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0E968" w14:textId="380282B1" w:rsidR="001E082A" w:rsidRPr="00B36A61" w:rsidRDefault="001E082A" w:rsidP="001E082A">
      <w:pPr>
        <w:pStyle w:val="Title"/>
        <w:rPr>
          <w:rFonts w:cs="Times New Roman"/>
          <w:color w:val="17365D"/>
        </w:rPr>
      </w:pPr>
      <w:r w:rsidRPr="00B36A61">
        <w:rPr>
          <w:rFonts w:cs="Times New Roman"/>
          <w:noProof w:val="0"/>
          <w:color w:val="17365D"/>
        </w:rPr>
        <w:t xml:space="preserve">Skaidrojums par </w:t>
      </w:r>
      <w:r w:rsidR="0041142B" w:rsidRPr="00B36A61">
        <w:rPr>
          <w:rFonts w:cs="Times New Roman"/>
          <w:noProof w:val="0"/>
          <w:color w:val="17365D"/>
        </w:rPr>
        <w:t>konsolidēto valsts budžeta izpildi</w:t>
      </w:r>
    </w:p>
    <w:p w14:paraId="21A73BCF" w14:textId="0FEF8DC0" w:rsidR="001E082A" w:rsidRPr="00B36A61" w:rsidRDefault="001E082A" w:rsidP="001E082A">
      <w:pPr>
        <w:pStyle w:val="Heading1"/>
        <w:rPr>
          <w:rFonts w:cs="Times New Roman"/>
          <w:noProof w:val="0"/>
          <w:color w:val="17365D"/>
        </w:rPr>
      </w:pPr>
      <w:r w:rsidRPr="00B36A61">
        <w:rPr>
          <w:rFonts w:cs="Times New Roman"/>
          <w:noProof w:val="0"/>
          <w:color w:val="17365D"/>
        </w:rPr>
        <w:t>Vispārīgie principi</w:t>
      </w:r>
    </w:p>
    <w:p w14:paraId="0A588F55" w14:textId="72945936" w:rsidR="002E01F2" w:rsidRPr="00B36A61" w:rsidRDefault="002E01F2" w:rsidP="002E01F2">
      <w:pPr>
        <w:pStyle w:val="Pamatteksts"/>
        <w:rPr>
          <w:noProof w:val="0"/>
          <w:color w:val="17365D"/>
        </w:rPr>
      </w:pPr>
      <w:r w:rsidRPr="00B36A61">
        <w:rPr>
          <w:noProof w:val="0"/>
          <w:color w:val="17365D"/>
        </w:rPr>
        <w:t xml:space="preserve">Valsts pamatbudžeta un speciālā </w:t>
      </w:r>
      <w:r w:rsidRPr="00B36A61">
        <w:rPr>
          <w:iCs/>
          <w:noProof w:val="0"/>
          <w:color w:val="17365D"/>
        </w:rPr>
        <w:t>budžeta izpildes pārskats sagatavots atbilstoši</w:t>
      </w:r>
      <w:r w:rsidRPr="00B36A61">
        <w:rPr>
          <w:noProof w:val="0"/>
          <w:color w:val="17365D"/>
        </w:rPr>
        <w:t xml:space="preserve"> likumam “Par valsts budžetu 20</w:t>
      </w:r>
      <w:r w:rsidR="00D87027" w:rsidRPr="00B36A61">
        <w:rPr>
          <w:noProof w:val="0"/>
          <w:color w:val="17365D"/>
        </w:rPr>
        <w:t>2</w:t>
      </w:r>
      <w:r w:rsidR="00F605A9" w:rsidRPr="00B36A61">
        <w:rPr>
          <w:noProof w:val="0"/>
          <w:color w:val="17365D"/>
        </w:rPr>
        <w:t>2</w:t>
      </w:r>
      <w:r w:rsidRPr="00B36A61">
        <w:rPr>
          <w:noProof w:val="0"/>
          <w:color w:val="17365D"/>
        </w:rPr>
        <w:t>. gadam” (turpmāk – Likums)</w:t>
      </w:r>
      <w:r w:rsidRPr="00B36A61">
        <w:rPr>
          <w:iCs/>
          <w:noProof w:val="0"/>
          <w:color w:val="17365D"/>
        </w:rPr>
        <w:t xml:space="preserve"> un </w:t>
      </w:r>
      <w:r w:rsidRPr="00B36A61">
        <w:rPr>
          <w:noProof w:val="0"/>
          <w:color w:val="17365D"/>
        </w:rPr>
        <w:t>budžeta nefinansētu iestāžu pamatdarbības budžeta izpildes pārskats sagatavots atbilstoši</w:t>
      </w:r>
      <w:r w:rsidRPr="00B36A61">
        <w:rPr>
          <w:iCs/>
          <w:noProof w:val="0"/>
          <w:color w:val="17365D"/>
        </w:rPr>
        <w:t xml:space="preserve"> </w:t>
      </w:r>
      <w:r w:rsidRPr="00B36A61">
        <w:rPr>
          <w:noProof w:val="0"/>
          <w:color w:val="17365D"/>
        </w:rPr>
        <w:t>Likum</w:t>
      </w:r>
      <w:r w:rsidR="00935363" w:rsidRPr="00B36A61">
        <w:rPr>
          <w:noProof w:val="0"/>
          <w:color w:val="17365D"/>
        </w:rPr>
        <w:t>ā</w:t>
      </w:r>
      <w:r w:rsidRPr="00B36A61">
        <w:rPr>
          <w:noProof w:val="0"/>
          <w:color w:val="17365D"/>
        </w:rPr>
        <w:t xml:space="preserve"> par budžetu un finanšu vadību</w:t>
      </w:r>
      <w:r w:rsidR="00935363" w:rsidRPr="00B36A61">
        <w:rPr>
          <w:noProof w:val="0"/>
          <w:color w:val="17365D"/>
        </w:rPr>
        <w:t xml:space="preserve"> noteiktajam</w:t>
      </w:r>
      <w:r w:rsidRPr="00B36A61">
        <w:rPr>
          <w:noProof w:val="0"/>
          <w:color w:val="17365D"/>
        </w:rPr>
        <w:t xml:space="preserve">. Pārskatā uzrādīta </w:t>
      </w:r>
      <w:r w:rsidRPr="00B36A61">
        <w:rPr>
          <w:iCs/>
          <w:noProof w:val="0"/>
          <w:color w:val="17365D"/>
        </w:rPr>
        <w:t>valsts budžeta, no valsts budžeta daļēji finansētu atvasinātu publisku personu un budžeta nefinansētu iestāžu budžetu izpilde</w:t>
      </w:r>
      <w:r w:rsidRPr="00B36A61">
        <w:rPr>
          <w:noProof w:val="0"/>
          <w:color w:val="17365D"/>
        </w:rPr>
        <w:t xml:space="preserve"> 20</w:t>
      </w:r>
      <w:r w:rsidR="00D87027" w:rsidRPr="00B36A61">
        <w:rPr>
          <w:noProof w:val="0"/>
          <w:color w:val="17365D"/>
        </w:rPr>
        <w:t>2</w:t>
      </w:r>
      <w:r w:rsidR="00F605A9" w:rsidRPr="00B36A61">
        <w:rPr>
          <w:noProof w:val="0"/>
          <w:color w:val="17365D"/>
        </w:rPr>
        <w:t>2</w:t>
      </w:r>
      <w:r w:rsidRPr="00B36A61">
        <w:rPr>
          <w:noProof w:val="0"/>
          <w:color w:val="17365D"/>
        </w:rPr>
        <w:t>. gadā (turpmāk –</w:t>
      </w:r>
      <w:r w:rsidR="009857FA" w:rsidRPr="00B36A61">
        <w:rPr>
          <w:noProof w:val="0"/>
          <w:color w:val="17365D"/>
        </w:rPr>
        <w:t xml:space="preserve"> </w:t>
      </w:r>
      <w:r w:rsidRPr="00B36A61">
        <w:rPr>
          <w:noProof w:val="0"/>
          <w:color w:val="17365D"/>
        </w:rPr>
        <w:t xml:space="preserve">valsts budžets). </w:t>
      </w:r>
    </w:p>
    <w:p w14:paraId="63BE3545" w14:textId="6AB793CE" w:rsidR="00C84BED" w:rsidRPr="00B36A61" w:rsidRDefault="00C84BED" w:rsidP="008F2503">
      <w:pPr>
        <w:pStyle w:val="Pamatteksts"/>
        <w:rPr>
          <w:noProof w:val="0"/>
          <w:color w:val="17365D"/>
        </w:rPr>
      </w:pPr>
      <w:r w:rsidRPr="00B36A61">
        <w:rPr>
          <w:noProof w:val="0"/>
          <w:color w:val="17365D"/>
        </w:rPr>
        <w:t>Pārskatu par valsts budžeta, no valsts budžeta daļēji finansētu atvasinātu publisku personu budžetu un budžeta nefina</w:t>
      </w:r>
      <w:r w:rsidR="006A2558" w:rsidRPr="00B36A61">
        <w:rPr>
          <w:noProof w:val="0"/>
          <w:color w:val="17365D"/>
        </w:rPr>
        <w:t>n</w:t>
      </w:r>
      <w:r w:rsidRPr="00B36A61">
        <w:rPr>
          <w:noProof w:val="0"/>
          <w:color w:val="17365D"/>
        </w:rPr>
        <w:t xml:space="preserve">sētu iestāžu budžetu izpildi </w:t>
      </w:r>
      <w:r w:rsidR="00170F87" w:rsidRPr="00B36A61">
        <w:rPr>
          <w:noProof w:val="0"/>
          <w:color w:val="17365D"/>
        </w:rPr>
        <w:t xml:space="preserve">(turpmāk – pārskats) </w:t>
      </w:r>
      <w:r w:rsidRPr="00B36A61">
        <w:rPr>
          <w:noProof w:val="0"/>
          <w:color w:val="17365D"/>
        </w:rPr>
        <w:t>veido, apkopojot un konsolidējot ministriju un centrālo valsts iestāžu</w:t>
      </w:r>
      <w:r w:rsidR="00D5761A" w:rsidRPr="00B36A61">
        <w:rPr>
          <w:noProof w:val="0"/>
          <w:color w:val="17365D"/>
        </w:rPr>
        <w:t xml:space="preserve"> sagatavotos</w:t>
      </w:r>
      <w:r w:rsidRPr="00B36A61">
        <w:rPr>
          <w:noProof w:val="0"/>
          <w:color w:val="17365D"/>
        </w:rPr>
        <w:t xml:space="preserve"> budžeta izpildes pārskatus. </w:t>
      </w:r>
      <w:r w:rsidR="007A5333" w:rsidRPr="00B36A61">
        <w:rPr>
          <w:noProof w:val="0"/>
          <w:color w:val="17365D"/>
        </w:rPr>
        <w:t xml:space="preserve">Pārskati sagatavoti atbilstoši naudas plūsmas principam un </w:t>
      </w:r>
      <w:r w:rsidR="00302DF4" w:rsidRPr="00B36A61">
        <w:rPr>
          <w:noProof w:val="0"/>
          <w:color w:val="17365D"/>
        </w:rPr>
        <w:t>tajos</w:t>
      </w:r>
      <w:r w:rsidR="007A5333" w:rsidRPr="00B36A61">
        <w:rPr>
          <w:noProof w:val="0"/>
          <w:color w:val="17365D"/>
        </w:rPr>
        <w:t xml:space="preserve"> apkopota informācija par 20</w:t>
      </w:r>
      <w:r w:rsidR="00D87027" w:rsidRPr="00B36A61">
        <w:rPr>
          <w:noProof w:val="0"/>
          <w:color w:val="17365D"/>
        </w:rPr>
        <w:t>2</w:t>
      </w:r>
      <w:r w:rsidR="00F605A9" w:rsidRPr="00B36A61">
        <w:rPr>
          <w:noProof w:val="0"/>
          <w:color w:val="17365D"/>
        </w:rPr>
        <w:t>2</w:t>
      </w:r>
      <w:r w:rsidR="003010D6" w:rsidRPr="00B36A61">
        <w:rPr>
          <w:noProof w:val="0"/>
          <w:color w:val="17365D"/>
        </w:rPr>
        <w:t>. </w:t>
      </w:r>
      <w:r w:rsidR="007A5333" w:rsidRPr="00B36A61">
        <w:rPr>
          <w:noProof w:val="0"/>
          <w:color w:val="17365D"/>
        </w:rPr>
        <w:t>gada ieņēmumiem, izdevumiem</w:t>
      </w:r>
      <w:r w:rsidR="00935363" w:rsidRPr="00B36A61">
        <w:rPr>
          <w:noProof w:val="0"/>
          <w:color w:val="17365D"/>
        </w:rPr>
        <w:t xml:space="preserve"> atbilstoši ekonomiskajām un </w:t>
      </w:r>
      <w:r w:rsidR="00465888" w:rsidRPr="00B36A61">
        <w:rPr>
          <w:color w:val="17365D"/>
        </w:rPr>
        <w:t>funkcionālajām kategorijām</w:t>
      </w:r>
      <w:r w:rsidR="007A5333" w:rsidRPr="00B36A61">
        <w:rPr>
          <w:noProof w:val="0"/>
          <w:color w:val="17365D"/>
        </w:rPr>
        <w:t xml:space="preserve"> un budžeta finansēšanu. </w:t>
      </w:r>
    </w:p>
    <w:p w14:paraId="3C02B9F6" w14:textId="5B798C35" w:rsidR="002E01F2" w:rsidRPr="00B36A61" w:rsidRDefault="002E01F2" w:rsidP="002E01F2">
      <w:pPr>
        <w:pStyle w:val="Pamatteksts"/>
        <w:rPr>
          <w:color w:val="17365D"/>
        </w:rPr>
      </w:pPr>
      <w:r w:rsidRPr="00B36A61">
        <w:rPr>
          <w:noProof w:val="0"/>
          <w:color w:val="17365D"/>
        </w:rPr>
        <w:t>Pārskatos sniegtai informācijai par valsts pamatbudžetu, valsts speciālo budžetu, no valsts budžeta daļēji finansētu atvasinātu publisku personu budžetu un budžeta nefinansētu iestāžu pamatdarbības</w:t>
      </w:r>
      <w:r w:rsidR="007E75F3" w:rsidRPr="00B36A61">
        <w:rPr>
          <w:noProof w:val="0"/>
          <w:color w:val="17365D"/>
        </w:rPr>
        <w:t xml:space="preserve"> budžeta</w:t>
      </w:r>
      <w:r w:rsidRPr="00B36A61">
        <w:rPr>
          <w:noProof w:val="0"/>
          <w:color w:val="17365D"/>
        </w:rPr>
        <w:t xml:space="preserve"> izpildi un ziedojumiem un dāvinājumiem </w:t>
      </w:r>
      <w:r w:rsidRPr="00B36A61">
        <w:rPr>
          <w:color w:val="17365D"/>
        </w:rPr>
        <w:t>noteikts būtiskuma līmenis</w:t>
      </w:r>
      <w:r w:rsidR="007E7D4A" w:rsidRPr="00B36A61">
        <w:rPr>
          <w:color w:val="17365D"/>
        </w:rPr>
        <w:t xml:space="preserve"> </w:t>
      </w:r>
      <w:r w:rsidR="00134836" w:rsidRPr="00B36A61">
        <w:rPr>
          <w:b/>
          <w:color w:val="17365D"/>
        </w:rPr>
        <w:t>63 500 000 </w:t>
      </w:r>
      <w:r w:rsidRPr="00B36A61">
        <w:rPr>
          <w:i/>
          <w:color w:val="17365D"/>
        </w:rPr>
        <w:t>euro</w:t>
      </w:r>
      <w:r w:rsidRPr="00B36A61">
        <w:rPr>
          <w:color w:val="17365D"/>
        </w:rPr>
        <w:t xml:space="preserve"> un </w:t>
      </w:r>
      <w:r w:rsidRPr="00B36A61">
        <w:rPr>
          <w:b/>
          <w:color w:val="17365D"/>
        </w:rPr>
        <w:t xml:space="preserve">10% </w:t>
      </w:r>
      <w:r w:rsidRPr="00B36A61">
        <w:rPr>
          <w:color w:val="17365D"/>
        </w:rPr>
        <w:t>– absolūta vai relatīva vērtība, ar kuru sākot pārskatos sniedz informāciju par attiecīgā budžeta izpildi. Procentuālās izmaiņas skaidrotas</w:t>
      </w:r>
      <w:r w:rsidR="00655DB4" w:rsidRPr="00B36A61">
        <w:rPr>
          <w:color w:val="17365D"/>
        </w:rPr>
        <w:t>,</w:t>
      </w:r>
      <w:r w:rsidRPr="00B36A61">
        <w:rPr>
          <w:color w:val="17365D"/>
        </w:rPr>
        <w:t xml:space="preserve"> </w:t>
      </w:r>
      <w:r w:rsidR="00975815" w:rsidRPr="00B36A61">
        <w:rPr>
          <w:color w:val="17365D"/>
        </w:rPr>
        <w:t>ja tās pārsniedz 10%</w:t>
      </w:r>
      <w:r w:rsidRPr="00B36A61">
        <w:rPr>
          <w:color w:val="17365D"/>
        </w:rPr>
        <w:t xml:space="preserve">. </w:t>
      </w:r>
    </w:p>
    <w:p w14:paraId="730B4CDF" w14:textId="5D533F2A" w:rsidR="00E00DF0" w:rsidRPr="00B36A61" w:rsidRDefault="004D3149" w:rsidP="004D3149">
      <w:pPr>
        <w:pStyle w:val="Heading1"/>
        <w:rPr>
          <w:rFonts w:cs="Times New Roman"/>
          <w:noProof w:val="0"/>
          <w:color w:val="17365D"/>
        </w:rPr>
      </w:pPr>
      <w:r w:rsidRPr="00B36A61">
        <w:rPr>
          <w:rFonts w:cs="Times New Roman"/>
          <w:noProof w:val="0"/>
          <w:color w:val="17365D"/>
        </w:rPr>
        <w:t>Valsts konsolidētais budžets</w:t>
      </w:r>
    </w:p>
    <w:p w14:paraId="24B1525E" w14:textId="38C7B411" w:rsidR="007A09E6" w:rsidRPr="00B36A61" w:rsidRDefault="00216337" w:rsidP="006945F6">
      <w:pPr>
        <w:pStyle w:val="Pamatteksts"/>
        <w:rPr>
          <w:noProof w:val="0"/>
          <w:color w:val="17365D"/>
        </w:rPr>
      </w:pPr>
      <w:r w:rsidRPr="00B36A61">
        <w:rPr>
          <w:b/>
          <w:color w:val="17365D"/>
          <w:u w:val="single"/>
        </w:rPr>
        <mc:AlternateContent>
          <mc:Choice Requires="wps">
            <w:drawing>
              <wp:anchor distT="0" distB="0" distL="114300" distR="114300" simplePos="0" relativeHeight="251653632" behindDoc="1" locked="0" layoutInCell="1" allowOverlap="1" wp14:anchorId="6F18CB3B" wp14:editId="5AA521CF">
                <wp:simplePos x="0" y="0"/>
                <wp:positionH relativeFrom="column">
                  <wp:posOffset>4259580</wp:posOffset>
                </wp:positionH>
                <wp:positionV relativeFrom="paragraph">
                  <wp:posOffset>59690</wp:posOffset>
                </wp:positionV>
                <wp:extent cx="1681200" cy="961200"/>
                <wp:effectExtent l="0" t="0" r="14605" b="10795"/>
                <wp:wrapTight wrapText="bothSides">
                  <wp:wrapPolygon edited="0">
                    <wp:start x="0" y="0"/>
                    <wp:lineTo x="0" y="21414"/>
                    <wp:lineTo x="21543" y="21414"/>
                    <wp:lineTo x="21543" y="0"/>
                    <wp:lineTo x="0" y="0"/>
                  </wp:wrapPolygon>
                </wp:wrapTight>
                <wp:docPr id="25" name="Rectangle 25"/>
                <wp:cNvGraphicFramePr/>
                <a:graphic xmlns:a="http://schemas.openxmlformats.org/drawingml/2006/main">
                  <a:graphicData uri="http://schemas.microsoft.com/office/word/2010/wordprocessingShape">
                    <wps:wsp>
                      <wps:cNvSpPr/>
                      <wps:spPr>
                        <a:xfrm>
                          <a:off x="0" y="0"/>
                          <a:ext cx="1681200" cy="961200"/>
                        </a:xfrm>
                        <a:prstGeom prst="rect">
                          <a:avLst/>
                        </a:prstGeom>
                        <a:solidFill>
                          <a:sysClr val="window" lastClr="FFFFFF"/>
                        </a:solidFill>
                        <a:ln w="25400" cap="flat" cmpd="sng" algn="ctr">
                          <a:solidFill>
                            <a:srgbClr val="17365D"/>
                          </a:solidFill>
                          <a:prstDash val="sysDot"/>
                        </a:ln>
                        <a:effectLst/>
                      </wps:spPr>
                      <wps:txbx>
                        <w:txbxContent>
                          <w:p w14:paraId="22BE659D" w14:textId="77777777" w:rsidR="00B36A61" w:rsidRPr="00E77E55" w:rsidRDefault="00B36A61" w:rsidP="004B1D14">
                            <w:pPr>
                              <w:ind w:firstLine="0"/>
                              <w:jc w:val="center"/>
                              <w:rPr>
                                <w:color w:val="17365D"/>
                              </w:rPr>
                            </w:pPr>
                            <w:r w:rsidRPr="00E77E55">
                              <w:rPr>
                                <w:color w:val="17365D"/>
                              </w:rPr>
                              <w:t>Valsts konsolidētā budžeta ieņēmumi –</w:t>
                            </w:r>
                          </w:p>
                          <w:p w14:paraId="7D4D0761" w14:textId="7E6E57EB" w:rsidR="00B36A61" w:rsidRPr="00E77E55" w:rsidRDefault="00B36A61" w:rsidP="004B1D14">
                            <w:pPr>
                              <w:ind w:firstLine="0"/>
                              <w:jc w:val="center"/>
                              <w:rPr>
                                <w:color w:val="17365D"/>
                              </w:rPr>
                            </w:pPr>
                            <w:r w:rsidRPr="00480814">
                              <w:rPr>
                                <w:b/>
                                <w:color w:val="17365D"/>
                              </w:rPr>
                              <w:t>12</w:t>
                            </w:r>
                            <w:r>
                              <w:rPr>
                                <w:b/>
                                <w:color w:val="17365D"/>
                              </w:rPr>
                              <w:t> </w:t>
                            </w:r>
                            <w:r w:rsidRPr="00480814">
                              <w:rPr>
                                <w:b/>
                                <w:color w:val="17365D"/>
                              </w:rPr>
                              <w:t>134</w:t>
                            </w:r>
                            <w:r>
                              <w:rPr>
                                <w:b/>
                                <w:color w:val="17365D"/>
                              </w:rPr>
                              <w:t> </w:t>
                            </w:r>
                            <w:r w:rsidRPr="00480814">
                              <w:rPr>
                                <w:b/>
                                <w:color w:val="17365D"/>
                              </w:rPr>
                              <w:t>764</w:t>
                            </w:r>
                            <w:r>
                              <w:rPr>
                                <w:b/>
                                <w:color w:val="17365D"/>
                              </w:rPr>
                              <w:t> </w:t>
                            </w:r>
                            <w:r w:rsidRPr="00480814">
                              <w:rPr>
                                <w:b/>
                                <w:color w:val="17365D"/>
                              </w:rPr>
                              <w:t>918</w:t>
                            </w:r>
                            <w:r>
                              <w:rPr>
                                <w:b/>
                                <w:color w:val="17365D"/>
                              </w:rPr>
                              <w:t xml:space="preserve"> </w:t>
                            </w:r>
                            <w:r w:rsidRPr="00E77E55">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8CB3B" id="Rectangle 25" o:spid="_x0000_s1026" style="position:absolute;left:0;text-align:left;margin-left:335.4pt;margin-top:4.7pt;width:132.4pt;height:75.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" fillcolor="window" strokecolor="#17365d" strokeweight="2pt">
                <v:stroke dashstyle="1 1"/>
                <v:textbox>
                  <w:txbxContent>
                    <w:p w14:paraId="22BE659D" w14:textId="77777777" w:rsidR="00B36A61" w:rsidRPr="00E77E55" w:rsidRDefault="00B36A61" w:rsidP="004B1D14">
                      <w:pPr>
                        <w:ind w:firstLine="0"/>
                        <w:jc w:val="center"/>
                        <w:rPr>
                          <w:color w:val="17365D"/>
                        </w:rPr>
                      </w:pPr>
                      <w:r w:rsidRPr="00E77E55">
                        <w:rPr>
                          <w:color w:val="17365D"/>
                        </w:rPr>
                        <w:t>Valsts konsolidētā budžeta ieņēmumi –</w:t>
                      </w:r>
                    </w:p>
                    <w:p w14:paraId="7D4D0761" w14:textId="7E6E57EB" w:rsidR="00B36A61" w:rsidRPr="00E77E55" w:rsidRDefault="00B36A61" w:rsidP="004B1D14">
                      <w:pPr>
                        <w:ind w:firstLine="0"/>
                        <w:jc w:val="center"/>
                        <w:rPr>
                          <w:color w:val="17365D"/>
                        </w:rPr>
                      </w:pPr>
                      <w:r w:rsidRPr="00480814">
                        <w:rPr>
                          <w:b/>
                          <w:color w:val="17365D"/>
                        </w:rPr>
                        <w:t>12</w:t>
                      </w:r>
                      <w:r>
                        <w:rPr>
                          <w:b/>
                          <w:color w:val="17365D"/>
                        </w:rPr>
                        <w:t> </w:t>
                      </w:r>
                      <w:r w:rsidRPr="00480814">
                        <w:rPr>
                          <w:b/>
                          <w:color w:val="17365D"/>
                        </w:rPr>
                        <w:t>134</w:t>
                      </w:r>
                      <w:r>
                        <w:rPr>
                          <w:b/>
                          <w:color w:val="17365D"/>
                        </w:rPr>
                        <w:t> </w:t>
                      </w:r>
                      <w:r w:rsidRPr="00480814">
                        <w:rPr>
                          <w:b/>
                          <w:color w:val="17365D"/>
                        </w:rPr>
                        <w:t>764</w:t>
                      </w:r>
                      <w:r>
                        <w:rPr>
                          <w:b/>
                          <w:color w:val="17365D"/>
                        </w:rPr>
                        <w:t> </w:t>
                      </w:r>
                      <w:r w:rsidRPr="00480814">
                        <w:rPr>
                          <w:b/>
                          <w:color w:val="17365D"/>
                        </w:rPr>
                        <w:t>918</w:t>
                      </w:r>
                      <w:r>
                        <w:rPr>
                          <w:b/>
                          <w:color w:val="17365D"/>
                        </w:rPr>
                        <w:t xml:space="preserve"> </w:t>
                      </w:r>
                      <w:r w:rsidRPr="00E77E55">
                        <w:rPr>
                          <w:i/>
                          <w:color w:val="17365D"/>
                        </w:rPr>
                        <w:t>euro</w:t>
                      </w:r>
                    </w:p>
                  </w:txbxContent>
                </v:textbox>
                <w10:wrap type="tight"/>
              </v:rect>
            </w:pict>
          </mc:Fallback>
        </mc:AlternateContent>
      </w:r>
      <w:r w:rsidR="007A09E6" w:rsidRPr="00B36A61">
        <w:rPr>
          <w:noProof w:val="0"/>
          <w:color w:val="17365D"/>
          <w:u w:val="single"/>
        </w:rPr>
        <w:t>Valsts konsolidētā budžeta ieņēmumi</w:t>
      </w:r>
      <w:r w:rsidR="007A09E6" w:rsidRPr="00B36A61">
        <w:rPr>
          <w:noProof w:val="0"/>
          <w:color w:val="17365D"/>
        </w:rPr>
        <w:t xml:space="preserve"> 20</w:t>
      </w:r>
      <w:r w:rsidR="004A6878" w:rsidRPr="00B36A61">
        <w:rPr>
          <w:noProof w:val="0"/>
          <w:color w:val="17365D"/>
        </w:rPr>
        <w:t>2</w:t>
      </w:r>
      <w:r w:rsidR="000D406C" w:rsidRPr="00B36A61">
        <w:rPr>
          <w:noProof w:val="0"/>
          <w:color w:val="17365D"/>
        </w:rPr>
        <w:t>2</w:t>
      </w:r>
      <w:r w:rsidR="007A09E6" w:rsidRPr="00B36A61">
        <w:rPr>
          <w:noProof w:val="0"/>
          <w:color w:val="17365D"/>
        </w:rPr>
        <w:t>.</w:t>
      </w:r>
      <w:r w:rsidR="008F2503" w:rsidRPr="00B36A61">
        <w:rPr>
          <w:noProof w:val="0"/>
          <w:color w:val="17365D"/>
        </w:rPr>
        <w:t> </w:t>
      </w:r>
      <w:r w:rsidR="007A09E6" w:rsidRPr="00B36A61">
        <w:rPr>
          <w:noProof w:val="0"/>
          <w:color w:val="17365D"/>
        </w:rPr>
        <w:t xml:space="preserve">gadā ir </w:t>
      </w:r>
      <w:r w:rsidR="000D406C" w:rsidRPr="00B36A61">
        <w:rPr>
          <w:noProof w:val="0"/>
          <w:color w:val="17365D"/>
        </w:rPr>
        <w:t>12 134,8</w:t>
      </w:r>
      <w:r w:rsidR="005A0F71" w:rsidRPr="00B36A61">
        <w:rPr>
          <w:noProof w:val="0"/>
          <w:color w:val="17365D"/>
        </w:rPr>
        <w:t> </w:t>
      </w:r>
      <w:r w:rsidR="0082540A" w:rsidRPr="00B36A61">
        <w:rPr>
          <w:noProof w:val="0"/>
          <w:color w:val="17365D"/>
        </w:rPr>
        <w:t>milj. </w:t>
      </w:r>
      <w:r w:rsidR="00B14435" w:rsidRPr="00B36A61">
        <w:rPr>
          <w:i/>
          <w:noProof w:val="0"/>
          <w:color w:val="17365D"/>
        </w:rPr>
        <w:t>euro</w:t>
      </w:r>
      <w:r w:rsidR="007A09E6" w:rsidRPr="00B36A61">
        <w:rPr>
          <w:noProof w:val="0"/>
          <w:color w:val="17365D"/>
        </w:rPr>
        <w:t xml:space="preserve"> vērtībā, kas ir par </w:t>
      </w:r>
      <w:r w:rsidR="007A7F3C" w:rsidRPr="00B36A61">
        <w:rPr>
          <w:noProof w:val="0"/>
          <w:color w:val="17365D"/>
        </w:rPr>
        <w:t>1</w:t>
      </w:r>
      <w:r w:rsidR="00302DF4" w:rsidRPr="00B36A61">
        <w:rPr>
          <w:noProof w:val="0"/>
          <w:color w:val="17365D"/>
        </w:rPr>
        <w:t> </w:t>
      </w:r>
      <w:r w:rsidR="00480814" w:rsidRPr="00B36A61">
        <w:rPr>
          <w:noProof w:val="0"/>
          <w:color w:val="17365D"/>
        </w:rPr>
        <w:t>457</w:t>
      </w:r>
      <w:r w:rsidR="00565876" w:rsidRPr="00B36A61">
        <w:rPr>
          <w:color w:val="17365D"/>
        </w:rPr>
        <w:t>,</w:t>
      </w:r>
      <w:r w:rsidR="00480814" w:rsidRPr="00B36A61">
        <w:rPr>
          <w:color w:val="17365D"/>
        </w:rPr>
        <w:t>8</w:t>
      </w:r>
      <w:r w:rsidR="00565876" w:rsidRPr="00B36A61">
        <w:rPr>
          <w:color w:val="17365D"/>
        </w:rPr>
        <w:t> </w:t>
      </w:r>
      <w:r w:rsidR="0082540A" w:rsidRPr="00B36A61">
        <w:rPr>
          <w:noProof w:val="0"/>
          <w:color w:val="17365D"/>
        </w:rPr>
        <w:t>milj. </w:t>
      </w:r>
      <w:r w:rsidR="0082540A" w:rsidRPr="00B36A61">
        <w:rPr>
          <w:i/>
          <w:noProof w:val="0"/>
          <w:color w:val="17365D"/>
        </w:rPr>
        <w:t>euro</w:t>
      </w:r>
      <w:r w:rsidR="007A09E6" w:rsidRPr="00B36A61">
        <w:rPr>
          <w:noProof w:val="0"/>
          <w:color w:val="17365D"/>
        </w:rPr>
        <w:t xml:space="preserve"> jeb </w:t>
      </w:r>
      <w:r w:rsidR="007A7F3C" w:rsidRPr="00B36A61">
        <w:rPr>
          <w:noProof w:val="0"/>
          <w:color w:val="17365D"/>
        </w:rPr>
        <w:t>1</w:t>
      </w:r>
      <w:r w:rsidR="00480814" w:rsidRPr="00B36A61">
        <w:rPr>
          <w:noProof w:val="0"/>
          <w:color w:val="17365D"/>
        </w:rPr>
        <w:t>3</w:t>
      </w:r>
      <w:r w:rsidR="007A09E6" w:rsidRPr="00B36A61">
        <w:rPr>
          <w:noProof w:val="0"/>
          <w:color w:val="17365D"/>
        </w:rPr>
        <w:t>,</w:t>
      </w:r>
      <w:r w:rsidR="00271B20" w:rsidRPr="00B36A61">
        <w:rPr>
          <w:noProof w:val="0"/>
          <w:color w:val="17365D"/>
        </w:rPr>
        <w:t>7</w:t>
      </w:r>
      <w:r w:rsidR="006618F3" w:rsidRPr="00B36A61">
        <w:rPr>
          <w:noProof w:val="0"/>
          <w:color w:val="17365D"/>
        </w:rPr>
        <w:t> </w:t>
      </w:r>
      <w:r w:rsidR="006A7956" w:rsidRPr="00B36A61">
        <w:rPr>
          <w:noProof w:val="0"/>
          <w:color w:val="17365D"/>
        </w:rPr>
        <w:t>%</w:t>
      </w:r>
      <w:r w:rsidR="007A09E6" w:rsidRPr="00B36A61">
        <w:rPr>
          <w:noProof w:val="0"/>
          <w:color w:val="17365D"/>
        </w:rPr>
        <w:t xml:space="preserve"> vairāk nekā </w:t>
      </w:r>
      <w:r w:rsidR="008F2503" w:rsidRPr="00B36A61">
        <w:rPr>
          <w:noProof w:val="0"/>
          <w:color w:val="17365D"/>
        </w:rPr>
        <w:t>20</w:t>
      </w:r>
      <w:r w:rsidR="007A7F3C" w:rsidRPr="00B36A61">
        <w:rPr>
          <w:noProof w:val="0"/>
          <w:color w:val="17365D"/>
        </w:rPr>
        <w:t>2</w:t>
      </w:r>
      <w:r w:rsidR="009E3CAE" w:rsidRPr="00B36A61">
        <w:rPr>
          <w:noProof w:val="0"/>
          <w:color w:val="17365D"/>
        </w:rPr>
        <w:t>1</w:t>
      </w:r>
      <w:r w:rsidR="008F2503" w:rsidRPr="00B36A61">
        <w:rPr>
          <w:noProof w:val="0"/>
          <w:color w:val="17365D"/>
        </w:rPr>
        <w:t>. gad</w:t>
      </w:r>
      <w:r w:rsidR="007A09E6" w:rsidRPr="00B36A61">
        <w:rPr>
          <w:noProof w:val="0"/>
          <w:color w:val="17365D"/>
        </w:rPr>
        <w:t xml:space="preserve">ā. </w:t>
      </w:r>
      <w:r w:rsidR="007741D4" w:rsidRPr="00B36A61">
        <w:rPr>
          <w:noProof w:val="0"/>
          <w:color w:val="17365D"/>
        </w:rPr>
        <w:t>Detalizēta informācija skatāma 20</w:t>
      </w:r>
      <w:r w:rsidR="006756C7" w:rsidRPr="00B36A61">
        <w:rPr>
          <w:noProof w:val="0"/>
          <w:color w:val="17365D"/>
        </w:rPr>
        <w:t>2</w:t>
      </w:r>
      <w:r w:rsidR="009E3CAE" w:rsidRPr="00B36A61">
        <w:rPr>
          <w:noProof w:val="0"/>
          <w:color w:val="17365D"/>
        </w:rPr>
        <w:t>2</w:t>
      </w:r>
      <w:r w:rsidR="007741D4" w:rsidRPr="00B36A61">
        <w:rPr>
          <w:noProof w:val="0"/>
          <w:color w:val="17365D"/>
        </w:rPr>
        <w:t xml:space="preserve">. gada pārskata </w:t>
      </w:r>
      <w:r w:rsidR="000116C6" w:rsidRPr="00B36A61">
        <w:rPr>
          <w:noProof w:val="0"/>
          <w:color w:val="17365D"/>
        </w:rPr>
        <w:t>3.1</w:t>
      </w:r>
      <w:r w:rsidR="007741D4" w:rsidRPr="00B36A61">
        <w:rPr>
          <w:noProof w:val="0"/>
          <w:color w:val="17365D"/>
        </w:rPr>
        <w:t>.</w:t>
      </w:r>
      <w:r w:rsidR="00647DC6" w:rsidRPr="00B36A61">
        <w:rPr>
          <w:noProof w:val="0"/>
          <w:color w:val="17365D"/>
        </w:rPr>
        <w:t> </w:t>
      </w:r>
      <w:r w:rsidR="007741D4" w:rsidRPr="00B36A61">
        <w:rPr>
          <w:noProof w:val="0"/>
          <w:color w:val="17365D"/>
        </w:rPr>
        <w:t xml:space="preserve">pielikumā </w:t>
      </w:r>
      <w:r w:rsidR="00BD5215" w:rsidRPr="00B36A61">
        <w:rPr>
          <w:noProof w:val="0"/>
          <w:color w:val="17365D"/>
        </w:rPr>
        <w:t>“</w:t>
      </w:r>
      <w:r w:rsidR="000116C6" w:rsidRPr="00B36A61">
        <w:rPr>
          <w:noProof w:val="0"/>
          <w:color w:val="17365D"/>
        </w:rPr>
        <w:t xml:space="preserve">Konsolidētā valsts budžeta izpilde </w:t>
      </w:r>
      <w:r w:rsidR="007741D4" w:rsidRPr="00B36A61">
        <w:rPr>
          <w:noProof w:val="0"/>
          <w:color w:val="17365D"/>
        </w:rPr>
        <w:t>20</w:t>
      </w:r>
      <w:r w:rsidR="006756C7" w:rsidRPr="00B36A61">
        <w:rPr>
          <w:noProof w:val="0"/>
          <w:color w:val="17365D"/>
        </w:rPr>
        <w:t>2</w:t>
      </w:r>
      <w:r w:rsidR="009E3CAE" w:rsidRPr="00B36A61">
        <w:rPr>
          <w:noProof w:val="0"/>
          <w:color w:val="17365D"/>
        </w:rPr>
        <w:t>2</w:t>
      </w:r>
      <w:r w:rsidR="003010D6" w:rsidRPr="00B36A61">
        <w:rPr>
          <w:noProof w:val="0"/>
          <w:color w:val="17365D"/>
        </w:rPr>
        <w:t>. </w:t>
      </w:r>
      <w:r w:rsidR="007741D4" w:rsidRPr="00B36A61">
        <w:rPr>
          <w:noProof w:val="0"/>
          <w:color w:val="17365D"/>
        </w:rPr>
        <w:t xml:space="preserve">gadā”. </w:t>
      </w:r>
      <w:r w:rsidR="007A09E6" w:rsidRPr="00B36A61">
        <w:rPr>
          <w:noProof w:val="0"/>
          <w:color w:val="17365D"/>
        </w:rPr>
        <w:t>Kopējie ieņēmumi attiecībā pret gada plānu</w:t>
      </w:r>
      <w:r w:rsidR="00D1054F" w:rsidRPr="00B36A61">
        <w:rPr>
          <w:noProof w:val="0"/>
          <w:color w:val="17365D"/>
        </w:rPr>
        <w:t xml:space="preserve"> ar izmaiņām</w:t>
      </w:r>
      <w:r w:rsidR="007A09E6" w:rsidRPr="00B36A61">
        <w:rPr>
          <w:noProof w:val="0"/>
          <w:color w:val="17365D"/>
        </w:rPr>
        <w:t xml:space="preserve"> ir </w:t>
      </w:r>
      <w:r w:rsidR="008645C9" w:rsidRPr="00B36A61">
        <w:rPr>
          <w:noProof w:val="0"/>
          <w:color w:val="17365D"/>
        </w:rPr>
        <w:t xml:space="preserve">izpildīti par </w:t>
      </w:r>
      <w:r w:rsidR="00995D12" w:rsidRPr="00B36A61">
        <w:rPr>
          <w:noProof w:val="0"/>
          <w:color w:val="17365D"/>
        </w:rPr>
        <w:t>1</w:t>
      </w:r>
      <w:r w:rsidR="009E3CAE" w:rsidRPr="00B36A61">
        <w:rPr>
          <w:noProof w:val="0"/>
          <w:color w:val="17365D"/>
        </w:rPr>
        <w:t>11</w:t>
      </w:r>
      <w:r w:rsidR="007A09E6" w:rsidRPr="00B36A61">
        <w:rPr>
          <w:noProof w:val="0"/>
          <w:color w:val="17365D"/>
        </w:rPr>
        <w:t>,</w:t>
      </w:r>
      <w:r w:rsidR="009E3CAE" w:rsidRPr="00B36A61">
        <w:rPr>
          <w:noProof w:val="0"/>
          <w:color w:val="17365D"/>
        </w:rPr>
        <w:t>0</w:t>
      </w:r>
      <w:r w:rsidR="006A7956" w:rsidRPr="00B36A61">
        <w:rPr>
          <w:noProof w:val="0"/>
          <w:color w:val="17365D"/>
        </w:rPr>
        <w:t> %</w:t>
      </w:r>
      <w:r w:rsidR="007A09E6" w:rsidRPr="00B36A61">
        <w:rPr>
          <w:noProof w:val="0"/>
          <w:color w:val="17365D"/>
        </w:rPr>
        <w:t xml:space="preserve">. </w:t>
      </w:r>
      <w:r w:rsidR="00D1054F" w:rsidRPr="00B36A61">
        <w:rPr>
          <w:noProof w:val="0"/>
          <w:color w:val="17365D"/>
        </w:rPr>
        <w:t>L</w:t>
      </w:r>
      <w:r w:rsidR="00687F81" w:rsidRPr="00B36A61">
        <w:rPr>
          <w:noProof w:val="0"/>
          <w:color w:val="17365D"/>
        </w:rPr>
        <w:t>ielāko daļu</w:t>
      </w:r>
      <w:r w:rsidR="007A09E6" w:rsidRPr="00B36A61">
        <w:rPr>
          <w:noProof w:val="0"/>
          <w:color w:val="17365D"/>
        </w:rPr>
        <w:t xml:space="preserve"> </w:t>
      </w:r>
      <w:r w:rsidR="00D1054F" w:rsidRPr="00B36A61">
        <w:rPr>
          <w:noProof w:val="0"/>
          <w:color w:val="17365D"/>
        </w:rPr>
        <w:t>202</w:t>
      </w:r>
      <w:r w:rsidR="009E3CAE" w:rsidRPr="00B36A61">
        <w:rPr>
          <w:noProof w:val="0"/>
          <w:color w:val="17365D"/>
        </w:rPr>
        <w:t>2</w:t>
      </w:r>
      <w:r w:rsidR="00D1054F" w:rsidRPr="00B36A61">
        <w:rPr>
          <w:noProof w:val="0"/>
          <w:color w:val="17365D"/>
        </w:rPr>
        <w:t xml:space="preserve">. gada valsts budžeta ieņēmumos </w:t>
      </w:r>
      <w:r w:rsidR="007A09E6" w:rsidRPr="00B36A61">
        <w:rPr>
          <w:noProof w:val="0"/>
          <w:color w:val="17365D"/>
        </w:rPr>
        <w:t>veido nodokļu ieņēmumi</w:t>
      </w:r>
      <w:r w:rsidR="00624D2D" w:rsidRPr="00B36A61">
        <w:rPr>
          <w:noProof w:val="0"/>
          <w:color w:val="17365D"/>
        </w:rPr>
        <w:t xml:space="preserve"> </w:t>
      </w:r>
      <w:r w:rsidR="009E3CAE" w:rsidRPr="00B36A61">
        <w:rPr>
          <w:noProof w:val="0"/>
          <w:color w:val="17365D"/>
        </w:rPr>
        <w:t>9</w:t>
      </w:r>
      <w:r w:rsidR="00D1054F" w:rsidRPr="00B36A61">
        <w:rPr>
          <w:noProof w:val="0"/>
          <w:color w:val="17365D"/>
        </w:rPr>
        <w:t> </w:t>
      </w:r>
      <w:r w:rsidR="009E3CAE" w:rsidRPr="00B36A61">
        <w:rPr>
          <w:noProof w:val="0"/>
          <w:color w:val="17365D"/>
        </w:rPr>
        <w:t>617</w:t>
      </w:r>
      <w:r w:rsidR="00D1054F" w:rsidRPr="00B36A61">
        <w:rPr>
          <w:noProof w:val="0"/>
          <w:color w:val="17365D"/>
        </w:rPr>
        <w:t>,</w:t>
      </w:r>
      <w:r w:rsidR="009E3CAE" w:rsidRPr="00B36A61">
        <w:rPr>
          <w:noProof w:val="0"/>
          <w:color w:val="17365D"/>
        </w:rPr>
        <w:t>8</w:t>
      </w:r>
      <w:r w:rsidR="00D1054F" w:rsidRPr="00B36A61">
        <w:rPr>
          <w:noProof w:val="0"/>
          <w:color w:val="17365D"/>
        </w:rPr>
        <w:t xml:space="preserve"> milj. </w:t>
      </w:r>
      <w:r w:rsidR="00D1054F" w:rsidRPr="00B36A61">
        <w:rPr>
          <w:i/>
          <w:noProof w:val="0"/>
          <w:color w:val="17365D"/>
        </w:rPr>
        <w:t xml:space="preserve">euro </w:t>
      </w:r>
      <w:r w:rsidR="00D1054F" w:rsidRPr="00B36A61">
        <w:rPr>
          <w:noProof w:val="0"/>
          <w:color w:val="17365D"/>
        </w:rPr>
        <w:t>vērtībā</w:t>
      </w:r>
      <w:r w:rsidR="007A09E6" w:rsidRPr="00B36A61">
        <w:rPr>
          <w:noProof w:val="0"/>
          <w:color w:val="17365D"/>
        </w:rPr>
        <w:t xml:space="preserve">, kas ir par </w:t>
      </w:r>
      <w:r w:rsidR="00995D12" w:rsidRPr="00B36A61">
        <w:rPr>
          <w:noProof w:val="0"/>
          <w:color w:val="17365D"/>
        </w:rPr>
        <w:t>1 </w:t>
      </w:r>
      <w:r w:rsidR="009E3CAE" w:rsidRPr="00B36A61">
        <w:rPr>
          <w:noProof w:val="0"/>
          <w:color w:val="17365D"/>
        </w:rPr>
        <w:t>270</w:t>
      </w:r>
      <w:r w:rsidR="007A09E6" w:rsidRPr="00B36A61">
        <w:rPr>
          <w:noProof w:val="0"/>
          <w:color w:val="17365D"/>
        </w:rPr>
        <w:t>,</w:t>
      </w:r>
      <w:r w:rsidR="009E3CAE" w:rsidRPr="00B36A61">
        <w:rPr>
          <w:noProof w:val="0"/>
          <w:color w:val="17365D"/>
        </w:rPr>
        <w:t>6</w:t>
      </w:r>
      <w:r w:rsidR="00536DFF" w:rsidRPr="00B36A61">
        <w:rPr>
          <w:noProof w:val="0"/>
          <w:color w:val="17365D"/>
        </w:rPr>
        <w:t> </w:t>
      </w:r>
      <w:r w:rsidR="007A09E6" w:rsidRPr="00B36A61">
        <w:rPr>
          <w:noProof w:val="0"/>
          <w:color w:val="17365D"/>
        </w:rPr>
        <w:t>milj</w:t>
      </w:r>
      <w:r w:rsidR="0082540A" w:rsidRPr="00B36A61">
        <w:rPr>
          <w:noProof w:val="0"/>
          <w:color w:val="17365D"/>
        </w:rPr>
        <w:t>. </w:t>
      </w:r>
      <w:r w:rsidR="0082540A" w:rsidRPr="00B36A61">
        <w:rPr>
          <w:i/>
          <w:noProof w:val="0"/>
          <w:color w:val="17365D"/>
        </w:rPr>
        <w:t>euro</w:t>
      </w:r>
      <w:r w:rsidR="0082540A" w:rsidRPr="00B36A61">
        <w:rPr>
          <w:noProof w:val="0"/>
          <w:color w:val="17365D"/>
        </w:rPr>
        <w:t xml:space="preserve"> </w:t>
      </w:r>
      <w:r w:rsidR="007A09E6" w:rsidRPr="00B36A61">
        <w:rPr>
          <w:noProof w:val="0"/>
          <w:color w:val="17365D"/>
        </w:rPr>
        <w:t xml:space="preserve">jeb </w:t>
      </w:r>
      <w:r w:rsidR="00995D12" w:rsidRPr="00B36A61">
        <w:rPr>
          <w:noProof w:val="0"/>
          <w:color w:val="17365D"/>
        </w:rPr>
        <w:t>1</w:t>
      </w:r>
      <w:r w:rsidR="009E3CAE" w:rsidRPr="00B36A61">
        <w:rPr>
          <w:noProof w:val="0"/>
          <w:color w:val="17365D"/>
        </w:rPr>
        <w:t>5</w:t>
      </w:r>
      <w:r w:rsidR="007A09E6" w:rsidRPr="00B36A61">
        <w:rPr>
          <w:noProof w:val="0"/>
          <w:color w:val="17365D"/>
        </w:rPr>
        <w:t>,</w:t>
      </w:r>
      <w:r w:rsidR="009E3CAE" w:rsidRPr="00B36A61">
        <w:rPr>
          <w:noProof w:val="0"/>
          <w:color w:val="17365D"/>
        </w:rPr>
        <w:t>2</w:t>
      </w:r>
      <w:r w:rsidR="006618F3" w:rsidRPr="00B36A61">
        <w:rPr>
          <w:noProof w:val="0"/>
          <w:color w:val="17365D"/>
        </w:rPr>
        <w:t> </w:t>
      </w:r>
      <w:r w:rsidR="006A7956" w:rsidRPr="00B36A61">
        <w:rPr>
          <w:noProof w:val="0"/>
          <w:color w:val="17365D"/>
        </w:rPr>
        <w:t>%</w:t>
      </w:r>
      <w:r w:rsidR="007A09E6" w:rsidRPr="00B36A61">
        <w:rPr>
          <w:noProof w:val="0"/>
          <w:color w:val="17365D"/>
        </w:rPr>
        <w:t xml:space="preserve"> vairāk nekā </w:t>
      </w:r>
      <w:r w:rsidR="008F2503" w:rsidRPr="00B36A61">
        <w:rPr>
          <w:noProof w:val="0"/>
          <w:color w:val="17365D"/>
        </w:rPr>
        <w:t>20</w:t>
      </w:r>
      <w:r w:rsidR="00995D12" w:rsidRPr="00B36A61">
        <w:rPr>
          <w:noProof w:val="0"/>
          <w:color w:val="17365D"/>
        </w:rPr>
        <w:t>2</w:t>
      </w:r>
      <w:r w:rsidR="009E3CAE" w:rsidRPr="00B36A61">
        <w:rPr>
          <w:noProof w:val="0"/>
          <w:color w:val="17365D"/>
        </w:rPr>
        <w:t>1</w:t>
      </w:r>
      <w:r w:rsidR="008F2503" w:rsidRPr="00B36A61">
        <w:rPr>
          <w:noProof w:val="0"/>
          <w:color w:val="17365D"/>
        </w:rPr>
        <w:t>. gad</w:t>
      </w:r>
      <w:r w:rsidR="007A09E6" w:rsidRPr="00B36A61">
        <w:rPr>
          <w:noProof w:val="0"/>
          <w:color w:val="17365D"/>
        </w:rPr>
        <w:t xml:space="preserve">ā. Nenodokļu ieņēmumi </w:t>
      </w:r>
      <w:r w:rsidR="008F2503" w:rsidRPr="00B36A61">
        <w:rPr>
          <w:noProof w:val="0"/>
          <w:color w:val="17365D"/>
        </w:rPr>
        <w:t>20</w:t>
      </w:r>
      <w:r w:rsidR="006756C7" w:rsidRPr="00B36A61">
        <w:rPr>
          <w:noProof w:val="0"/>
          <w:color w:val="17365D"/>
        </w:rPr>
        <w:t>2</w:t>
      </w:r>
      <w:r w:rsidR="009E3CAE" w:rsidRPr="00B36A61">
        <w:rPr>
          <w:noProof w:val="0"/>
          <w:color w:val="17365D"/>
        </w:rPr>
        <w:t>2</w:t>
      </w:r>
      <w:r w:rsidR="008F2503" w:rsidRPr="00B36A61">
        <w:rPr>
          <w:noProof w:val="0"/>
          <w:color w:val="17365D"/>
        </w:rPr>
        <w:t>. gad</w:t>
      </w:r>
      <w:r w:rsidR="007A09E6" w:rsidRPr="00B36A61">
        <w:rPr>
          <w:noProof w:val="0"/>
          <w:color w:val="17365D"/>
        </w:rPr>
        <w:t xml:space="preserve">ā ir </w:t>
      </w:r>
      <w:r w:rsidR="009E3CAE" w:rsidRPr="00B36A61">
        <w:rPr>
          <w:noProof w:val="0"/>
          <w:color w:val="17365D"/>
        </w:rPr>
        <w:t>762</w:t>
      </w:r>
      <w:r w:rsidR="007A09E6" w:rsidRPr="00B36A61">
        <w:rPr>
          <w:noProof w:val="0"/>
          <w:color w:val="17365D"/>
        </w:rPr>
        <w:t>,</w:t>
      </w:r>
      <w:r w:rsidR="009E3CAE" w:rsidRPr="00B36A61">
        <w:rPr>
          <w:noProof w:val="0"/>
          <w:color w:val="17365D"/>
        </w:rPr>
        <w:t>7</w:t>
      </w:r>
      <w:r w:rsidR="00536DFF" w:rsidRPr="00B36A61">
        <w:rPr>
          <w:noProof w:val="0"/>
          <w:color w:val="17365D"/>
        </w:rPr>
        <w:t> </w:t>
      </w:r>
      <w:r w:rsidR="007A09E6" w:rsidRPr="00B36A61">
        <w:rPr>
          <w:noProof w:val="0"/>
          <w:color w:val="17365D"/>
        </w:rPr>
        <w:t>milj</w:t>
      </w:r>
      <w:r w:rsidR="000A4A1D" w:rsidRPr="00B36A61">
        <w:rPr>
          <w:noProof w:val="0"/>
          <w:color w:val="17365D"/>
        </w:rPr>
        <w:t>. </w:t>
      </w:r>
      <w:r w:rsidR="000A4A1D" w:rsidRPr="00B36A61">
        <w:rPr>
          <w:i/>
          <w:noProof w:val="0"/>
          <w:color w:val="17365D"/>
        </w:rPr>
        <w:t>euro</w:t>
      </w:r>
      <w:r w:rsidR="00375D5A" w:rsidRPr="00B36A61">
        <w:rPr>
          <w:i/>
          <w:noProof w:val="0"/>
          <w:color w:val="17365D"/>
        </w:rPr>
        <w:t xml:space="preserve"> </w:t>
      </w:r>
      <w:r w:rsidR="00375D5A" w:rsidRPr="00B36A61">
        <w:rPr>
          <w:noProof w:val="0"/>
          <w:color w:val="17365D"/>
        </w:rPr>
        <w:t>vērtībā</w:t>
      </w:r>
      <w:r w:rsidR="007A09E6" w:rsidRPr="00B36A61">
        <w:rPr>
          <w:noProof w:val="0"/>
          <w:color w:val="17365D"/>
        </w:rPr>
        <w:t xml:space="preserve">, kas ir par </w:t>
      </w:r>
      <w:r w:rsidR="009E3CAE" w:rsidRPr="00B36A61">
        <w:rPr>
          <w:noProof w:val="0"/>
          <w:color w:val="17365D"/>
        </w:rPr>
        <w:t>71</w:t>
      </w:r>
      <w:r w:rsidR="00536DFF" w:rsidRPr="00B36A61">
        <w:rPr>
          <w:noProof w:val="0"/>
          <w:color w:val="17365D"/>
        </w:rPr>
        <w:t>,</w:t>
      </w:r>
      <w:r w:rsidR="009E3CAE" w:rsidRPr="00B36A61">
        <w:rPr>
          <w:noProof w:val="0"/>
          <w:color w:val="17365D"/>
        </w:rPr>
        <w:t>7</w:t>
      </w:r>
      <w:r w:rsidR="00536DFF" w:rsidRPr="00B36A61">
        <w:rPr>
          <w:noProof w:val="0"/>
          <w:color w:val="17365D"/>
        </w:rPr>
        <w:t> </w:t>
      </w:r>
      <w:r w:rsidR="007A09E6" w:rsidRPr="00B36A61">
        <w:rPr>
          <w:noProof w:val="0"/>
          <w:color w:val="17365D"/>
        </w:rPr>
        <w:t>milj</w:t>
      </w:r>
      <w:r w:rsidR="0082540A" w:rsidRPr="00B36A61">
        <w:rPr>
          <w:noProof w:val="0"/>
          <w:color w:val="17365D"/>
        </w:rPr>
        <w:t>. </w:t>
      </w:r>
      <w:r w:rsidR="0082540A" w:rsidRPr="00B36A61">
        <w:rPr>
          <w:i/>
          <w:noProof w:val="0"/>
          <w:color w:val="17365D"/>
        </w:rPr>
        <w:t>euro</w:t>
      </w:r>
      <w:r w:rsidR="0082540A" w:rsidRPr="00B36A61">
        <w:rPr>
          <w:noProof w:val="0"/>
          <w:color w:val="17365D"/>
        </w:rPr>
        <w:t xml:space="preserve"> </w:t>
      </w:r>
      <w:r w:rsidR="007A09E6" w:rsidRPr="00B36A61">
        <w:rPr>
          <w:noProof w:val="0"/>
          <w:color w:val="17365D"/>
        </w:rPr>
        <w:t xml:space="preserve">jeb </w:t>
      </w:r>
      <w:r w:rsidR="00995D12" w:rsidRPr="00B36A61">
        <w:rPr>
          <w:noProof w:val="0"/>
          <w:color w:val="17365D"/>
        </w:rPr>
        <w:t>1</w:t>
      </w:r>
      <w:r w:rsidR="009E3CAE" w:rsidRPr="00B36A61">
        <w:rPr>
          <w:noProof w:val="0"/>
          <w:color w:val="17365D"/>
        </w:rPr>
        <w:t>0</w:t>
      </w:r>
      <w:r w:rsidR="007A09E6" w:rsidRPr="00B36A61">
        <w:rPr>
          <w:noProof w:val="0"/>
          <w:color w:val="17365D"/>
        </w:rPr>
        <w:t>,</w:t>
      </w:r>
      <w:r w:rsidR="009E3CAE" w:rsidRPr="00B36A61">
        <w:rPr>
          <w:noProof w:val="0"/>
          <w:color w:val="17365D"/>
        </w:rPr>
        <w:t>4</w:t>
      </w:r>
      <w:r w:rsidR="006A7956" w:rsidRPr="00B36A61">
        <w:rPr>
          <w:noProof w:val="0"/>
          <w:color w:val="17365D"/>
        </w:rPr>
        <w:t> %</w:t>
      </w:r>
      <w:r w:rsidR="007A09E6" w:rsidRPr="00B36A61">
        <w:rPr>
          <w:noProof w:val="0"/>
          <w:color w:val="17365D"/>
        </w:rPr>
        <w:t xml:space="preserve"> </w:t>
      </w:r>
      <w:r w:rsidR="001152D1" w:rsidRPr="00B36A61">
        <w:rPr>
          <w:noProof w:val="0"/>
          <w:color w:val="17365D"/>
        </w:rPr>
        <w:t>vairāk</w:t>
      </w:r>
      <w:r w:rsidR="007A09E6" w:rsidRPr="00B36A61">
        <w:rPr>
          <w:noProof w:val="0"/>
          <w:color w:val="17365D"/>
        </w:rPr>
        <w:t xml:space="preserve"> nekā </w:t>
      </w:r>
      <w:r w:rsidR="008F2503" w:rsidRPr="00B36A61">
        <w:rPr>
          <w:noProof w:val="0"/>
          <w:color w:val="17365D"/>
        </w:rPr>
        <w:t>20</w:t>
      </w:r>
      <w:r w:rsidR="00995D12" w:rsidRPr="00B36A61">
        <w:rPr>
          <w:noProof w:val="0"/>
          <w:color w:val="17365D"/>
        </w:rPr>
        <w:t>2</w:t>
      </w:r>
      <w:r w:rsidR="009E3CAE" w:rsidRPr="00B36A61">
        <w:rPr>
          <w:noProof w:val="0"/>
          <w:color w:val="17365D"/>
        </w:rPr>
        <w:t>1</w:t>
      </w:r>
      <w:r w:rsidR="008F2503" w:rsidRPr="00B36A61">
        <w:rPr>
          <w:noProof w:val="0"/>
          <w:color w:val="17365D"/>
        </w:rPr>
        <w:t>. gad</w:t>
      </w:r>
      <w:r w:rsidR="007A09E6" w:rsidRPr="00B36A61">
        <w:rPr>
          <w:noProof w:val="0"/>
          <w:color w:val="17365D"/>
        </w:rPr>
        <w:t xml:space="preserve">ā. Maksas pakalpojumi un citi pašu ieņēmumi ir </w:t>
      </w:r>
      <w:r w:rsidR="00D71014" w:rsidRPr="00B36A61">
        <w:rPr>
          <w:noProof w:val="0"/>
          <w:color w:val="17365D"/>
        </w:rPr>
        <w:t>2</w:t>
      </w:r>
      <w:r w:rsidR="009E3CAE" w:rsidRPr="00B36A61">
        <w:rPr>
          <w:noProof w:val="0"/>
          <w:color w:val="17365D"/>
        </w:rPr>
        <w:t>90</w:t>
      </w:r>
      <w:r w:rsidR="007A09E6" w:rsidRPr="00B36A61">
        <w:rPr>
          <w:noProof w:val="0"/>
          <w:color w:val="17365D"/>
        </w:rPr>
        <w:t>,</w:t>
      </w:r>
      <w:r w:rsidR="009E3CAE" w:rsidRPr="00B36A61">
        <w:rPr>
          <w:noProof w:val="0"/>
          <w:color w:val="17365D"/>
        </w:rPr>
        <w:t>1</w:t>
      </w:r>
      <w:r w:rsidR="00536DFF" w:rsidRPr="00B36A61">
        <w:rPr>
          <w:noProof w:val="0"/>
          <w:color w:val="17365D"/>
        </w:rPr>
        <w:t> </w:t>
      </w:r>
      <w:r w:rsidR="007A09E6" w:rsidRPr="00B36A61">
        <w:rPr>
          <w:noProof w:val="0"/>
          <w:color w:val="17365D"/>
        </w:rPr>
        <w:t>milj</w:t>
      </w:r>
      <w:r w:rsidR="000A4A1D" w:rsidRPr="00B36A61">
        <w:rPr>
          <w:noProof w:val="0"/>
          <w:color w:val="17365D"/>
        </w:rPr>
        <w:t>. </w:t>
      </w:r>
      <w:r w:rsidR="000A4A1D" w:rsidRPr="00B36A61">
        <w:rPr>
          <w:i/>
          <w:noProof w:val="0"/>
          <w:color w:val="17365D"/>
        </w:rPr>
        <w:t>euro</w:t>
      </w:r>
      <w:r w:rsidR="00375D5A" w:rsidRPr="00B36A61">
        <w:rPr>
          <w:i/>
          <w:noProof w:val="0"/>
          <w:color w:val="17365D"/>
        </w:rPr>
        <w:t xml:space="preserve"> </w:t>
      </w:r>
      <w:r w:rsidR="00375D5A" w:rsidRPr="00B36A61">
        <w:rPr>
          <w:noProof w:val="0"/>
          <w:color w:val="17365D"/>
        </w:rPr>
        <w:t>vērtībā</w:t>
      </w:r>
      <w:r w:rsidR="007A09E6" w:rsidRPr="00B36A61">
        <w:rPr>
          <w:noProof w:val="0"/>
          <w:color w:val="17365D"/>
        </w:rPr>
        <w:t xml:space="preserve">, kas ir par </w:t>
      </w:r>
      <w:r w:rsidR="00AA37A3" w:rsidRPr="00B36A61">
        <w:rPr>
          <w:noProof w:val="0"/>
          <w:color w:val="17365D"/>
        </w:rPr>
        <w:t>2</w:t>
      </w:r>
      <w:r w:rsidR="009E3CAE" w:rsidRPr="00B36A61">
        <w:rPr>
          <w:noProof w:val="0"/>
          <w:color w:val="17365D"/>
        </w:rPr>
        <w:t>1</w:t>
      </w:r>
      <w:r w:rsidR="007A09E6" w:rsidRPr="00B36A61">
        <w:rPr>
          <w:noProof w:val="0"/>
          <w:color w:val="17365D"/>
        </w:rPr>
        <w:t>,</w:t>
      </w:r>
      <w:r w:rsidR="009E3CAE" w:rsidRPr="00B36A61">
        <w:rPr>
          <w:noProof w:val="0"/>
          <w:color w:val="17365D"/>
        </w:rPr>
        <w:t>5</w:t>
      </w:r>
      <w:r w:rsidR="00536DFF" w:rsidRPr="00B36A61">
        <w:rPr>
          <w:noProof w:val="0"/>
          <w:color w:val="17365D"/>
        </w:rPr>
        <w:t> </w:t>
      </w:r>
      <w:r w:rsidR="007A09E6" w:rsidRPr="00B36A61">
        <w:rPr>
          <w:noProof w:val="0"/>
          <w:color w:val="17365D"/>
        </w:rPr>
        <w:t>milj</w:t>
      </w:r>
      <w:r w:rsidR="0082540A" w:rsidRPr="00B36A61">
        <w:rPr>
          <w:noProof w:val="0"/>
          <w:color w:val="17365D"/>
        </w:rPr>
        <w:t>. </w:t>
      </w:r>
      <w:r w:rsidR="0082540A" w:rsidRPr="00B36A61">
        <w:rPr>
          <w:i/>
          <w:noProof w:val="0"/>
          <w:color w:val="17365D"/>
        </w:rPr>
        <w:t>euro</w:t>
      </w:r>
      <w:r w:rsidR="0082540A" w:rsidRPr="00B36A61">
        <w:rPr>
          <w:noProof w:val="0"/>
          <w:color w:val="17365D"/>
        </w:rPr>
        <w:t xml:space="preserve"> </w:t>
      </w:r>
      <w:r w:rsidR="000C7045" w:rsidRPr="00B36A61">
        <w:rPr>
          <w:noProof w:val="0"/>
          <w:color w:val="17365D"/>
        </w:rPr>
        <w:t xml:space="preserve">jeb </w:t>
      </w:r>
      <w:r w:rsidR="009E3CAE" w:rsidRPr="00B36A61">
        <w:rPr>
          <w:noProof w:val="0"/>
          <w:color w:val="17365D"/>
        </w:rPr>
        <w:t>8</w:t>
      </w:r>
      <w:r w:rsidR="000C7045" w:rsidRPr="00B36A61">
        <w:rPr>
          <w:noProof w:val="0"/>
          <w:color w:val="17365D"/>
        </w:rPr>
        <w:t>,</w:t>
      </w:r>
      <w:r w:rsidR="009E3CAE" w:rsidRPr="00B36A61">
        <w:rPr>
          <w:noProof w:val="0"/>
          <w:color w:val="17365D"/>
        </w:rPr>
        <w:t>0</w:t>
      </w:r>
      <w:r w:rsidR="000C7045" w:rsidRPr="00B36A61">
        <w:rPr>
          <w:noProof w:val="0"/>
          <w:color w:val="17365D"/>
        </w:rPr>
        <w:t xml:space="preserve"> % </w:t>
      </w:r>
      <w:r w:rsidR="00E217DA" w:rsidRPr="00B36A61">
        <w:rPr>
          <w:noProof w:val="0"/>
          <w:color w:val="17365D"/>
        </w:rPr>
        <w:t>vairāk</w:t>
      </w:r>
      <w:r w:rsidR="007A09E6" w:rsidRPr="00B36A61">
        <w:rPr>
          <w:noProof w:val="0"/>
          <w:color w:val="17365D"/>
        </w:rPr>
        <w:t xml:space="preserve"> nekā </w:t>
      </w:r>
      <w:r w:rsidR="008F2503" w:rsidRPr="00B36A61">
        <w:rPr>
          <w:noProof w:val="0"/>
          <w:color w:val="17365D"/>
        </w:rPr>
        <w:t>20</w:t>
      </w:r>
      <w:r w:rsidR="00E217DA" w:rsidRPr="00B36A61">
        <w:rPr>
          <w:noProof w:val="0"/>
          <w:color w:val="17365D"/>
        </w:rPr>
        <w:t>2</w:t>
      </w:r>
      <w:r w:rsidR="009E3CAE" w:rsidRPr="00B36A61">
        <w:rPr>
          <w:noProof w:val="0"/>
          <w:color w:val="17365D"/>
        </w:rPr>
        <w:t>1</w:t>
      </w:r>
      <w:r w:rsidR="008F2503" w:rsidRPr="00B36A61">
        <w:rPr>
          <w:noProof w:val="0"/>
          <w:color w:val="17365D"/>
        </w:rPr>
        <w:t>. gad</w:t>
      </w:r>
      <w:r w:rsidR="007A09E6" w:rsidRPr="00B36A61">
        <w:rPr>
          <w:noProof w:val="0"/>
          <w:color w:val="17365D"/>
        </w:rPr>
        <w:t xml:space="preserve">ā. Ārvalstu finanšu palīdzība </w:t>
      </w:r>
      <w:r w:rsidR="00CF6A1A" w:rsidRPr="00B36A61">
        <w:rPr>
          <w:noProof w:val="0"/>
          <w:color w:val="17365D"/>
        </w:rPr>
        <w:t>saņemta</w:t>
      </w:r>
      <w:r w:rsidR="007A09E6" w:rsidRPr="00B36A61">
        <w:rPr>
          <w:noProof w:val="0"/>
          <w:color w:val="17365D"/>
        </w:rPr>
        <w:t xml:space="preserve"> </w:t>
      </w:r>
      <w:r w:rsidR="00AA37A3" w:rsidRPr="00B36A61">
        <w:rPr>
          <w:noProof w:val="0"/>
          <w:color w:val="17365D"/>
        </w:rPr>
        <w:t>1 </w:t>
      </w:r>
      <w:r w:rsidR="009E3CAE" w:rsidRPr="00B36A61">
        <w:rPr>
          <w:noProof w:val="0"/>
          <w:color w:val="17365D"/>
        </w:rPr>
        <w:t>460</w:t>
      </w:r>
      <w:r w:rsidR="007A09E6" w:rsidRPr="00B36A61">
        <w:rPr>
          <w:noProof w:val="0"/>
          <w:color w:val="17365D"/>
        </w:rPr>
        <w:t>,</w:t>
      </w:r>
      <w:r w:rsidR="009E3CAE" w:rsidRPr="00B36A61">
        <w:rPr>
          <w:noProof w:val="0"/>
          <w:color w:val="17365D"/>
        </w:rPr>
        <w:t>8</w:t>
      </w:r>
      <w:r w:rsidR="009303E9" w:rsidRPr="00B36A61">
        <w:rPr>
          <w:noProof w:val="0"/>
          <w:color w:val="17365D"/>
        </w:rPr>
        <w:t> </w:t>
      </w:r>
      <w:r w:rsidR="007A09E6" w:rsidRPr="00B36A61">
        <w:rPr>
          <w:noProof w:val="0"/>
          <w:color w:val="17365D"/>
        </w:rPr>
        <w:t>milj</w:t>
      </w:r>
      <w:r w:rsidR="000A4A1D" w:rsidRPr="00B36A61">
        <w:rPr>
          <w:noProof w:val="0"/>
          <w:color w:val="17365D"/>
        </w:rPr>
        <w:t>. </w:t>
      </w:r>
      <w:r w:rsidR="000A4A1D" w:rsidRPr="00B36A61">
        <w:rPr>
          <w:i/>
          <w:noProof w:val="0"/>
          <w:color w:val="17365D"/>
        </w:rPr>
        <w:t>euro</w:t>
      </w:r>
      <w:r w:rsidR="00CF6A1A" w:rsidRPr="00B36A61">
        <w:rPr>
          <w:i/>
          <w:noProof w:val="0"/>
          <w:color w:val="17365D"/>
        </w:rPr>
        <w:t xml:space="preserve"> </w:t>
      </w:r>
      <w:r w:rsidR="00375D5A" w:rsidRPr="00B36A61">
        <w:rPr>
          <w:noProof w:val="0"/>
          <w:color w:val="17365D"/>
        </w:rPr>
        <w:t>vērtībā</w:t>
      </w:r>
      <w:r w:rsidR="007A09E6" w:rsidRPr="00B36A61">
        <w:rPr>
          <w:noProof w:val="0"/>
          <w:color w:val="17365D"/>
        </w:rPr>
        <w:t xml:space="preserve">, kas ir par </w:t>
      </w:r>
      <w:r w:rsidR="009E3CAE" w:rsidRPr="00B36A61">
        <w:rPr>
          <w:noProof w:val="0"/>
          <w:color w:val="17365D"/>
        </w:rPr>
        <w:t>95</w:t>
      </w:r>
      <w:r w:rsidR="00536DFF" w:rsidRPr="00B36A61">
        <w:rPr>
          <w:noProof w:val="0"/>
          <w:color w:val="17365D"/>
        </w:rPr>
        <w:t>,</w:t>
      </w:r>
      <w:r w:rsidR="009E3CAE" w:rsidRPr="00B36A61">
        <w:rPr>
          <w:noProof w:val="0"/>
          <w:color w:val="17365D"/>
        </w:rPr>
        <w:t>8</w:t>
      </w:r>
      <w:r w:rsidR="00536DFF" w:rsidRPr="00B36A61">
        <w:rPr>
          <w:noProof w:val="0"/>
          <w:color w:val="17365D"/>
        </w:rPr>
        <w:t> </w:t>
      </w:r>
      <w:r w:rsidR="007A09E6" w:rsidRPr="00B36A61">
        <w:rPr>
          <w:noProof w:val="0"/>
          <w:color w:val="17365D"/>
        </w:rPr>
        <w:t xml:space="preserve">milj. </w:t>
      </w:r>
      <w:r w:rsidR="0094459F" w:rsidRPr="00B36A61">
        <w:rPr>
          <w:i/>
          <w:noProof w:val="0"/>
          <w:color w:val="17365D"/>
        </w:rPr>
        <w:t>euro</w:t>
      </w:r>
      <w:r w:rsidR="007A09E6" w:rsidRPr="00B36A61">
        <w:rPr>
          <w:noProof w:val="0"/>
          <w:color w:val="17365D"/>
        </w:rPr>
        <w:t xml:space="preserve"> jeb </w:t>
      </w:r>
      <w:r w:rsidR="009E3CAE" w:rsidRPr="00B36A61">
        <w:rPr>
          <w:noProof w:val="0"/>
          <w:color w:val="17365D"/>
        </w:rPr>
        <w:t>7</w:t>
      </w:r>
      <w:r w:rsidR="007A09E6" w:rsidRPr="00B36A61">
        <w:rPr>
          <w:noProof w:val="0"/>
          <w:color w:val="17365D"/>
        </w:rPr>
        <w:t>,</w:t>
      </w:r>
      <w:r w:rsidR="009E3CAE" w:rsidRPr="00B36A61">
        <w:rPr>
          <w:noProof w:val="0"/>
          <w:color w:val="17365D"/>
        </w:rPr>
        <w:t>0</w:t>
      </w:r>
      <w:r w:rsidR="006A7956" w:rsidRPr="00B36A61">
        <w:rPr>
          <w:noProof w:val="0"/>
          <w:color w:val="17365D"/>
        </w:rPr>
        <w:t> %</w:t>
      </w:r>
      <w:r w:rsidR="007A09E6" w:rsidRPr="00B36A61">
        <w:rPr>
          <w:noProof w:val="0"/>
          <w:color w:val="17365D"/>
        </w:rPr>
        <w:t xml:space="preserve"> </w:t>
      </w:r>
      <w:r w:rsidR="00E217DA" w:rsidRPr="00B36A61">
        <w:rPr>
          <w:noProof w:val="0"/>
          <w:color w:val="17365D"/>
        </w:rPr>
        <w:t>vair</w:t>
      </w:r>
      <w:r w:rsidR="003C5B03" w:rsidRPr="00B36A61">
        <w:rPr>
          <w:noProof w:val="0"/>
          <w:color w:val="17365D"/>
        </w:rPr>
        <w:t>āk</w:t>
      </w:r>
      <w:r w:rsidR="007A09E6" w:rsidRPr="00B36A61">
        <w:rPr>
          <w:noProof w:val="0"/>
          <w:color w:val="17365D"/>
        </w:rPr>
        <w:t xml:space="preserve"> nekā </w:t>
      </w:r>
      <w:r w:rsidR="008F2503" w:rsidRPr="00B36A61">
        <w:rPr>
          <w:noProof w:val="0"/>
          <w:color w:val="17365D"/>
        </w:rPr>
        <w:t>20</w:t>
      </w:r>
      <w:r w:rsidR="00E217DA" w:rsidRPr="00B36A61">
        <w:rPr>
          <w:noProof w:val="0"/>
          <w:color w:val="17365D"/>
        </w:rPr>
        <w:t>2</w:t>
      </w:r>
      <w:r w:rsidR="009E3CAE" w:rsidRPr="00B36A61">
        <w:rPr>
          <w:noProof w:val="0"/>
          <w:color w:val="17365D"/>
        </w:rPr>
        <w:t>1</w:t>
      </w:r>
      <w:r w:rsidR="008F2503" w:rsidRPr="00B36A61">
        <w:rPr>
          <w:noProof w:val="0"/>
          <w:color w:val="17365D"/>
        </w:rPr>
        <w:t>. gad</w:t>
      </w:r>
      <w:r w:rsidR="007A09E6" w:rsidRPr="00B36A61">
        <w:rPr>
          <w:noProof w:val="0"/>
          <w:color w:val="17365D"/>
        </w:rPr>
        <w:t>ā. Transfert</w:t>
      </w:r>
      <w:r w:rsidR="00624D2D" w:rsidRPr="00B36A61">
        <w:rPr>
          <w:noProof w:val="0"/>
          <w:color w:val="17365D"/>
        </w:rPr>
        <w:t>u ieņēmumi</w:t>
      </w:r>
      <w:r w:rsidR="007A09E6" w:rsidRPr="00B36A61">
        <w:rPr>
          <w:noProof w:val="0"/>
          <w:color w:val="17365D"/>
        </w:rPr>
        <w:t xml:space="preserve"> ir </w:t>
      </w:r>
      <w:r w:rsidR="003C5B03" w:rsidRPr="00B36A61">
        <w:rPr>
          <w:noProof w:val="0"/>
          <w:color w:val="17365D"/>
        </w:rPr>
        <w:t>2</w:t>
      </w:r>
      <w:r w:rsidR="007A09E6" w:rsidRPr="00B36A61">
        <w:rPr>
          <w:noProof w:val="0"/>
          <w:color w:val="17365D"/>
        </w:rPr>
        <w:t>,</w:t>
      </w:r>
      <w:r w:rsidR="00E217DA" w:rsidRPr="00B36A61">
        <w:rPr>
          <w:noProof w:val="0"/>
          <w:color w:val="17365D"/>
        </w:rPr>
        <w:t>4</w:t>
      </w:r>
      <w:r w:rsidR="00536DFF" w:rsidRPr="00B36A61">
        <w:rPr>
          <w:noProof w:val="0"/>
          <w:color w:val="17365D"/>
        </w:rPr>
        <w:t> </w:t>
      </w:r>
      <w:r w:rsidR="00DA3DC4" w:rsidRPr="00B36A61">
        <w:rPr>
          <w:noProof w:val="0"/>
          <w:color w:val="17365D"/>
        </w:rPr>
        <w:t>milj. </w:t>
      </w:r>
      <w:r w:rsidR="00DA3DC4" w:rsidRPr="00B36A61">
        <w:rPr>
          <w:i/>
          <w:noProof w:val="0"/>
          <w:color w:val="17365D"/>
        </w:rPr>
        <w:t>euro</w:t>
      </w:r>
      <w:r w:rsidR="00375D5A" w:rsidRPr="00B36A61">
        <w:rPr>
          <w:i/>
          <w:noProof w:val="0"/>
          <w:color w:val="17365D"/>
        </w:rPr>
        <w:t xml:space="preserve"> </w:t>
      </w:r>
      <w:r w:rsidR="00375D5A" w:rsidRPr="00B36A61">
        <w:rPr>
          <w:noProof w:val="0"/>
          <w:color w:val="17365D"/>
        </w:rPr>
        <w:t>vērtībā</w:t>
      </w:r>
      <w:r w:rsidR="007A09E6" w:rsidRPr="00B36A61">
        <w:rPr>
          <w:noProof w:val="0"/>
          <w:color w:val="17365D"/>
        </w:rPr>
        <w:t xml:space="preserve">, kas ir par </w:t>
      </w:r>
      <w:r w:rsidR="00E217DA" w:rsidRPr="00B36A61">
        <w:rPr>
          <w:noProof w:val="0"/>
          <w:color w:val="17365D"/>
        </w:rPr>
        <w:t>0</w:t>
      </w:r>
      <w:r w:rsidR="007A09E6" w:rsidRPr="00B36A61">
        <w:rPr>
          <w:noProof w:val="0"/>
          <w:color w:val="17365D"/>
        </w:rPr>
        <w:t>,</w:t>
      </w:r>
      <w:r w:rsidR="00DF2FD0" w:rsidRPr="00B36A61">
        <w:rPr>
          <w:noProof w:val="0"/>
          <w:color w:val="17365D"/>
        </w:rPr>
        <w:t>1</w:t>
      </w:r>
      <w:r w:rsidR="00536DFF" w:rsidRPr="00B36A61">
        <w:rPr>
          <w:noProof w:val="0"/>
          <w:color w:val="17365D"/>
        </w:rPr>
        <w:t> </w:t>
      </w:r>
      <w:r w:rsidR="007A09E6" w:rsidRPr="00B36A61">
        <w:rPr>
          <w:noProof w:val="0"/>
          <w:color w:val="17365D"/>
        </w:rPr>
        <w:t>milj</w:t>
      </w:r>
      <w:r w:rsidR="0094459F" w:rsidRPr="00B36A61">
        <w:rPr>
          <w:noProof w:val="0"/>
          <w:color w:val="17365D"/>
        </w:rPr>
        <w:t>. </w:t>
      </w:r>
      <w:r w:rsidR="0094459F" w:rsidRPr="00B36A61">
        <w:rPr>
          <w:i/>
          <w:noProof w:val="0"/>
          <w:color w:val="17365D"/>
        </w:rPr>
        <w:t>euro</w:t>
      </w:r>
      <w:r w:rsidR="0094459F" w:rsidRPr="00B36A61">
        <w:rPr>
          <w:noProof w:val="0"/>
          <w:color w:val="17365D"/>
        </w:rPr>
        <w:t xml:space="preserve"> </w:t>
      </w:r>
      <w:r w:rsidR="007A09E6" w:rsidRPr="00B36A61">
        <w:rPr>
          <w:noProof w:val="0"/>
          <w:color w:val="17365D"/>
        </w:rPr>
        <w:t xml:space="preserve">jeb </w:t>
      </w:r>
      <w:r w:rsidR="009E3CAE" w:rsidRPr="00B36A61">
        <w:rPr>
          <w:noProof w:val="0"/>
          <w:color w:val="17365D"/>
        </w:rPr>
        <w:t>0</w:t>
      </w:r>
      <w:r w:rsidR="007A09E6" w:rsidRPr="00B36A61">
        <w:rPr>
          <w:noProof w:val="0"/>
          <w:color w:val="17365D"/>
        </w:rPr>
        <w:t>,</w:t>
      </w:r>
      <w:r w:rsidR="00DF2FD0" w:rsidRPr="00B36A61">
        <w:rPr>
          <w:noProof w:val="0"/>
          <w:color w:val="17365D"/>
        </w:rPr>
        <w:t>6</w:t>
      </w:r>
      <w:r w:rsidR="006A7956" w:rsidRPr="00B36A61">
        <w:rPr>
          <w:noProof w:val="0"/>
          <w:color w:val="17365D"/>
        </w:rPr>
        <w:t> %</w:t>
      </w:r>
      <w:r w:rsidR="007A09E6" w:rsidRPr="00B36A61">
        <w:rPr>
          <w:noProof w:val="0"/>
          <w:color w:val="17365D"/>
        </w:rPr>
        <w:t xml:space="preserve"> </w:t>
      </w:r>
      <w:r w:rsidR="009E3CAE" w:rsidRPr="00B36A61">
        <w:rPr>
          <w:noProof w:val="0"/>
          <w:color w:val="17365D"/>
        </w:rPr>
        <w:t>mazāk</w:t>
      </w:r>
      <w:r w:rsidR="007A09E6" w:rsidRPr="00B36A61">
        <w:rPr>
          <w:noProof w:val="0"/>
          <w:color w:val="17365D"/>
        </w:rPr>
        <w:t xml:space="preserve"> nekā </w:t>
      </w:r>
      <w:r w:rsidR="008F2503" w:rsidRPr="00B36A61">
        <w:rPr>
          <w:noProof w:val="0"/>
          <w:color w:val="17365D"/>
        </w:rPr>
        <w:t>20</w:t>
      </w:r>
      <w:r w:rsidR="00E217DA" w:rsidRPr="00B36A61">
        <w:rPr>
          <w:noProof w:val="0"/>
          <w:color w:val="17365D"/>
        </w:rPr>
        <w:t>2</w:t>
      </w:r>
      <w:r w:rsidR="009E3CAE" w:rsidRPr="00B36A61">
        <w:rPr>
          <w:noProof w:val="0"/>
          <w:color w:val="17365D"/>
        </w:rPr>
        <w:t>1</w:t>
      </w:r>
      <w:r w:rsidR="008F2503" w:rsidRPr="00B36A61">
        <w:rPr>
          <w:noProof w:val="0"/>
          <w:color w:val="17365D"/>
        </w:rPr>
        <w:t>. gad</w:t>
      </w:r>
      <w:r w:rsidR="007A09E6" w:rsidRPr="00B36A61">
        <w:rPr>
          <w:noProof w:val="0"/>
          <w:color w:val="17365D"/>
        </w:rPr>
        <w:t xml:space="preserve">ā, saņemtie ziedojumi un dāvinājumi ir </w:t>
      </w:r>
      <w:r w:rsidR="009E3CAE" w:rsidRPr="00B36A61">
        <w:rPr>
          <w:noProof w:val="0"/>
          <w:color w:val="17365D"/>
        </w:rPr>
        <w:t>0</w:t>
      </w:r>
      <w:r w:rsidR="007A09E6" w:rsidRPr="00B36A61">
        <w:rPr>
          <w:noProof w:val="0"/>
          <w:color w:val="17365D"/>
        </w:rPr>
        <w:t>,</w:t>
      </w:r>
      <w:r w:rsidR="009E3CAE" w:rsidRPr="00B36A61">
        <w:rPr>
          <w:noProof w:val="0"/>
          <w:color w:val="17365D"/>
        </w:rPr>
        <w:t>8</w:t>
      </w:r>
      <w:r w:rsidR="00536DFF" w:rsidRPr="00B36A61">
        <w:rPr>
          <w:noProof w:val="0"/>
          <w:color w:val="17365D"/>
        </w:rPr>
        <w:t> </w:t>
      </w:r>
      <w:r w:rsidR="007A09E6" w:rsidRPr="00B36A61">
        <w:rPr>
          <w:noProof w:val="0"/>
          <w:color w:val="17365D"/>
        </w:rPr>
        <w:t>milj</w:t>
      </w:r>
      <w:r w:rsidR="00EC5285" w:rsidRPr="00B36A61">
        <w:rPr>
          <w:noProof w:val="0"/>
          <w:color w:val="17365D"/>
        </w:rPr>
        <w:t>. </w:t>
      </w:r>
      <w:r w:rsidR="00EC5285" w:rsidRPr="00B36A61">
        <w:rPr>
          <w:i/>
          <w:noProof w:val="0"/>
          <w:color w:val="17365D"/>
        </w:rPr>
        <w:t>euro</w:t>
      </w:r>
      <w:r w:rsidR="00375D5A" w:rsidRPr="00B36A61">
        <w:rPr>
          <w:i/>
          <w:noProof w:val="0"/>
          <w:color w:val="17365D"/>
        </w:rPr>
        <w:t xml:space="preserve"> </w:t>
      </w:r>
      <w:r w:rsidR="00375D5A" w:rsidRPr="00B36A61">
        <w:rPr>
          <w:noProof w:val="0"/>
          <w:color w:val="17365D"/>
        </w:rPr>
        <w:t>vērtībā</w:t>
      </w:r>
      <w:r w:rsidR="007A09E6" w:rsidRPr="00B36A61">
        <w:rPr>
          <w:noProof w:val="0"/>
          <w:color w:val="17365D"/>
        </w:rPr>
        <w:t xml:space="preserve">, kas ir par </w:t>
      </w:r>
      <w:r w:rsidR="009E3CAE" w:rsidRPr="00B36A61">
        <w:rPr>
          <w:noProof w:val="0"/>
          <w:color w:val="17365D"/>
        </w:rPr>
        <w:t>1</w:t>
      </w:r>
      <w:r w:rsidR="007A09E6" w:rsidRPr="00B36A61">
        <w:rPr>
          <w:noProof w:val="0"/>
          <w:color w:val="17365D"/>
        </w:rPr>
        <w:t>,</w:t>
      </w:r>
      <w:r w:rsidR="009E3CAE" w:rsidRPr="00B36A61">
        <w:rPr>
          <w:noProof w:val="0"/>
          <w:color w:val="17365D"/>
        </w:rPr>
        <w:t>8</w:t>
      </w:r>
      <w:r w:rsidR="00536DFF" w:rsidRPr="00B36A61">
        <w:rPr>
          <w:noProof w:val="0"/>
          <w:color w:val="17365D"/>
        </w:rPr>
        <w:t> </w:t>
      </w:r>
      <w:r w:rsidR="007A09E6" w:rsidRPr="00B36A61">
        <w:rPr>
          <w:noProof w:val="0"/>
          <w:color w:val="17365D"/>
        </w:rPr>
        <w:t>milj</w:t>
      </w:r>
      <w:r w:rsidR="0094459F" w:rsidRPr="00B36A61">
        <w:rPr>
          <w:noProof w:val="0"/>
          <w:color w:val="17365D"/>
        </w:rPr>
        <w:t>. </w:t>
      </w:r>
      <w:r w:rsidR="0094459F" w:rsidRPr="00B36A61">
        <w:rPr>
          <w:i/>
          <w:noProof w:val="0"/>
          <w:color w:val="17365D"/>
        </w:rPr>
        <w:t>euro</w:t>
      </w:r>
      <w:r w:rsidR="0094459F" w:rsidRPr="00B36A61">
        <w:rPr>
          <w:noProof w:val="0"/>
          <w:color w:val="17365D"/>
        </w:rPr>
        <w:t xml:space="preserve"> </w:t>
      </w:r>
      <w:r w:rsidR="007A09E6" w:rsidRPr="00B36A61">
        <w:rPr>
          <w:noProof w:val="0"/>
          <w:color w:val="17365D"/>
        </w:rPr>
        <w:t xml:space="preserve">jeb </w:t>
      </w:r>
      <w:r w:rsidR="009E3CAE" w:rsidRPr="00B36A61">
        <w:rPr>
          <w:noProof w:val="0"/>
          <w:color w:val="17365D"/>
        </w:rPr>
        <w:t>68</w:t>
      </w:r>
      <w:r w:rsidR="007A09E6" w:rsidRPr="00B36A61">
        <w:rPr>
          <w:noProof w:val="0"/>
          <w:color w:val="17365D"/>
        </w:rPr>
        <w:t>,</w:t>
      </w:r>
      <w:r w:rsidR="00E217DA" w:rsidRPr="00B36A61">
        <w:rPr>
          <w:noProof w:val="0"/>
          <w:color w:val="17365D"/>
        </w:rPr>
        <w:t>1</w:t>
      </w:r>
      <w:r w:rsidR="006A7956" w:rsidRPr="00B36A61">
        <w:rPr>
          <w:noProof w:val="0"/>
          <w:color w:val="17365D"/>
        </w:rPr>
        <w:t> %</w:t>
      </w:r>
      <w:r w:rsidR="007A09E6" w:rsidRPr="00B36A61">
        <w:rPr>
          <w:noProof w:val="0"/>
          <w:color w:val="17365D"/>
        </w:rPr>
        <w:t xml:space="preserve"> </w:t>
      </w:r>
      <w:r w:rsidR="009E3CAE" w:rsidRPr="00B36A61">
        <w:rPr>
          <w:noProof w:val="0"/>
          <w:color w:val="17365D"/>
        </w:rPr>
        <w:t>mazāk</w:t>
      </w:r>
      <w:r w:rsidR="007A09E6" w:rsidRPr="00B36A61">
        <w:rPr>
          <w:noProof w:val="0"/>
          <w:color w:val="17365D"/>
        </w:rPr>
        <w:t xml:space="preserve"> nekā </w:t>
      </w:r>
      <w:r w:rsidR="008F2503" w:rsidRPr="00B36A61">
        <w:rPr>
          <w:noProof w:val="0"/>
          <w:color w:val="17365D"/>
        </w:rPr>
        <w:t>20</w:t>
      </w:r>
      <w:r w:rsidR="00E217DA" w:rsidRPr="00B36A61">
        <w:rPr>
          <w:noProof w:val="0"/>
          <w:color w:val="17365D"/>
        </w:rPr>
        <w:t>2</w:t>
      </w:r>
      <w:r w:rsidR="009E3CAE" w:rsidRPr="00B36A61">
        <w:rPr>
          <w:noProof w:val="0"/>
          <w:color w:val="17365D"/>
        </w:rPr>
        <w:t>1</w:t>
      </w:r>
      <w:r w:rsidR="008F2503" w:rsidRPr="00B36A61">
        <w:rPr>
          <w:noProof w:val="0"/>
          <w:color w:val="17365D"/>
        </w:rPr>
        <w:t>. gad</w:t>
      </w:r>
      <w:r w:rsidR="006F09B0" w:rsidRPr="00B36A61">
        <w:rPr>
          <w:noProof w:val="0"/>
          <w:color w:val="17365D"/>
        </w:rPr>
        <w:t>ā</w:t>
      </w:r>
      <w:r w:rsidR="007A09E6" w:rsidRPr="00B36A61">
        <w:rPr>
          <w:noProof w:val="0"/>
          <w:color w:val="17365D"/>
        </w:rPr>
        <w:t>.</w:t>
      </w:r>
    </w:p>
    <w:p w14:paraId="41B1B68A" w14:textId="71FCE2CB" w:rsidR="007A09E6" w:rsidRPr="00B36A61" w:rsidRDefault="008645C9" w:rsidP="00474D40">
      <w:pPr>
        <w:pStyle w:val="Pamatteksts"/>
        <w:rPr>
          <w:noProof w:val="0"/>
          <w:color w:val="17365D"/>
          <w:u w:val="single"/>
        </w:rPr>
      </w:pPr>
      <w:r w:rsidRPr="00B36A61">
        <w:rPr>
          <w:b/>
          <w:color w:val="17365D"/>
        </w:rPr>
        <mc:AlternateContent>
          <mc:Choice Requires="wps">
            <w:drawing>
              <wp:anchor distT="0" distB="0" distL="114300" distR="114300" simplePos="0" relativeHeight="251655680" behindDoc="1" locked="0" layoutInCell="1" allowOverlap="1" wp14:anchorId="2B88D1A8" wp14:editId="09D3E7F0">
                <wp:simplePos x="0" y="0"/>
                <wp:positionH relativeFrom="column">
                  <wp:posOffset>4263390</wp:posOffset>
                </wp:positionH>
                <wp:positionV relativeFrom="paragraph">
                  <wp:posOffset>91440</wp:posOffset>
                </wp:positionV>
                <wp:extent cx="1680845" cy="895350"/>
                <wp:effectExtent l="0" t="0" r="14605" b="19050"/>
                <wp:wrapTight wrapText="bothSides">
                  <wp:wrapPolygon edited="0">
                    <wp:start x="0" y="0"/>
                    <wp:lineTo x="0" y="21600"/>
                    <wp:lineTo x="21543" y="21600"/>
                    <wp:lineTo x="21543" y="0"/>
                    <wp:lineTo x="0" y="0"/>
                  </wp:wrapPolygon>
                </wp:wrapTight>
                <wp:docPr id="26" name="Rectangle 26"/>
                <wp:cNvGraphicFramePr/>
                <a:graphic xmlns:a="http://schemas.openxmlformats.org/drawingml/2006/main">
                  <a:graphicData uri="http://schemas.microsoft.com/office/word/2010/wordprocessingShape">
                    <wps:wsp>
                      <wps:cNvSpPr/>
                      <wps:spPr>
                        <a:xfrm>
                          <a:off x="0" y="0"/>
                          <a:ext cx="1680845" cy="895350"/>
                        </a:xfrm>
                        <a:prstGeom prst="rect">
                          <a:avLst/>
                        </a:prstGeom>
                        <a:solidFill>
                          <a:sysClr val="window" lastClr="FFFFFF"/>
                        </a:solidFill>
                        <a:ln w="25400" cap="flat" cmpd="sng" algn="ctr">
                          <a:solidFill>
                            <a:srgbClr val="17365D"/>
                          </a:solidFill>
                          <a:prstDash val="sysDot"/>
                        </a:ln>
                        <a:effectLst/>
                      </wps:spPr>
                      <wps:txbx>
                        <w:txbxContent>
                          <w:p w14:paraId="05280D36" w14:textId="77777777" w:rsidR="00B36A61" w:rsidRPr="00E77E55" w:rsidRDefault="00B36A61" w:rsidP="004B1D14">
                            <w:pPr>
                              <w:ind w:firstLine="0"/>
                              <w:jc w:val="center"/>
                              <w:rPr>
                                <w:color w:val="17365D"/>
                              </w:rPr>
                            </w:pPr>
                            <w:r w:rsidRPr="00E77E55">
                              <w:rPr>
                                <w:color w:val="17365D"/>
                              </w:rPr>
                              <w:t>Valsts konsolidētā budžeta izdevumi –</w:t>
                            </w:r>
                          </w:p>
                          <w:p w14:paraId="6C8F7854" w14:textId="76CE4A07" w:rsidR="00B36A61" w:rsidRPr="00E77E55" w:rsidRDefault="00B36A61" w:rsidP="00364336">
                            <w:pPr>
                              <w:ind w:firstLine="0"/>
                              <w:jc w:val="center"/>
                              <w:rPr>
                                <w:b/>
                                <w:bCs/>
                                <w:color w:val="17365D"/>
                              </w:rPr>
                            </w:pPr>
                            <w:r w:rsidRPr="003F0C52">
                              <w:rPr>
                                <w:b/>
                                <w:bCs/>
                                <w:color w:val="17365D"/>
                              </w:rPr>
                              <w:t>13</w:t>
                            </w:r>
                            <w:r>
                              <w:rPr>
                                <w:b/>
                                <w:bCs/>
                                <w:color w:val="17365D"/>
                              </w:rPr>
                              <w:t> </w:t>
                            </w:r>
                            <w:r w:rsidRPr="003F0C52">
                              <w:rPr>
                                <w:b/>
                                <w:bCs/>
                                <w:color w:val="17365D"/>
                              </w:rPr>
                              <w:t>621</w:t>
                            </w:r>
                            <w:r>
                              <w:rPr>
                                <w:b/>
                                <w:bCs/>
                                <w:color w:val="17365D"/>
                              </w:rPr>
                              <w:t> </w:t>
                            </w:r>
                            <w:r w:rsidRPr="003F0C52">
                              <w:rPr>
                                <w:b/>
                                <w:bCs/>
                                <w:color w:val="17365D"/>
                              </w:rPr>
                              <w:t>530</w:t>
                            </w:r>
                            <w:r>
                              <w:rPr>
                                <w:b/>
                                <w:bCs/>
                                <w:color w:val="17365D"/>
                              </w:rPr>
                              <w:t> </w:t>
                            </w:r>
                            <w:r w:rsidRPr="003F0C52">
                              <w:rPr>
                                <w:b/>
                                <w:bCs/>
                                <w:color w:val="17365D"/>
                              </w:rPr>
                              <w:t>743</w:t>
                            </w:r>
                            <w:r>
                              <w:rPr>
                                <w:b/>
                                <w:bCs/>
                                <w:color w:val="17365D"/>
                              </w:rPr>
                              <w:t xml:space="preserve"> </w:t>
                            </w:r>
                            <w:r w:rsidRPr="00E77E55">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8D1A8" id="Rectangle 26" o:spid="_x0000_s1027" style="position:absolute;left:0;text-align:left;margin-left:335.7pt;margin-top:7.2pt;width:132.35pt;height:7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" fillcolor="window" strokecolor="#17365d" strokeweight="2pt">
                <v:stroke dashstyle="1 1"/>
                <v:textbox>
                  <w:txbxContent>
                    <w:p w14:paraId="05280D36" w14:textId="77777777" w:rsidR="00B36A61" w:rsidRPr="00E77E55" w:rsidRDefault="00B36A61" w:rsidP="004B1D14">
                      <w:pPr>
                        <w:ind w:firstLine="0"/>
                        <w:jc w:val="center"/>
                        <w:rPr>
                          <w:color w:val="17365D"/>
                        </w:rPr>
                      </w:pPr>
                      <w:r w:rsidRPr="00E77E55">
                        <w:rPr>
                          <w:color w:val="17365D"/>
                        </w:rPr>
                        <w:t>Valsts konsolidētā budžeta izdevumi –</w:t>
                      </w:r>
                    </w:p>
                    <w:p w14:paraId="6C8F7854" w14:textId="76CE4A07" w:rsidR="00B36A61" w:rsidRPr="00E77E55" w:rsidRDefault="00B36A61" w:rsidP="00364336">
                      <w:pPr>
                        <w:ind w:firstLine="0"/>
                        <w:jc w:val="center"/>
                        <w:rPr>
                          <w:b/>
                          <w:bCs/>
                          <w:color w:val="17365D"/>
                        </w:rPr>
                      </w:pPr>
                      <w:r w:rsidRPr="003F0C52">
                        <w:rPr>
                          <w:b/>
                          <w:bCs/>
                          <w:color w:val="17365D"/>
                        </w:rPr>
                        <w:t>13</w:t>
                      </w:r>
                      <w:r>
                        <w:rPr>
                          <w:b/>
                          <w:bCs/>
                          <w:color w:val="17365D"/>
                        </w:rPr>
                        <w:t> </w:t>
                      </w:r>
                      <w:r w:rsidRPr="003F0C52">
                        <w:rPr>
                          <w:b/>
                          <w:bCs/>
                          <w:color w:val="17365D"/>
                        </w:rPr>
                        <w:t>621</w:t>
                      </w:r>
                      <w:r>
                        <w:rPr>
                          <w:b/>
                          <w:bCs/>
                          <w:color w:val="17365D"/>
                        </w:rPr>
                        <w:t> </w:t>
                      </w:r>
                      <w:r w:rsidRPr="003F0C52">
                        <w:rPr>
                          <w:b/>
                          <w:bCs/>
                          <w:color w:val="17365D"/>
                        </w:rPr>
                        <w:t>530</w:t>
                      </w:r>
                      <w:r>
                        <w:rPr>
                          <w:b/>
                          <w:bCs/>
                          <w:color w:val="17365D"/>
                        </w:rPr>
                        <w:t> </w:t>
                      </w:r>
                      <w:r w:rsidRPr="003F0C52">
                        <w:rPr>
                          <w:b/>
                          <w:bCs/>
                          <w:color w:val="17365D"/>
                        </w:rPr>
                        <w:t>743</w:t>
                      </w:r>
                      <w:r>
                        <w:rPr>
                          <w:b/>
                          <w:bCs/>
                          <w:color w:val="17365D"/>
                        </w:rPr>
                        <w:t xml:space="preserve"> </w:t>
                      </w:r>
                      <w:r w:rsidRPr="00E77E55">
                        <w:rPr>
                          <w:i/>
                          <w:color w:val="17365D"/>
                        </w:rPr>
                        <w:t>euro</w:t>
                      </w:r>
                    </w:p>
                  </w:txbxContent>
                </v:textbox>
                <w10:wrap type="tight"/>
              </v:rect>
            </w:pict>
          </mc:Fallback>
        </mc:AlternateContent>
      </w:r>
      <w:r w:rsidR="007A09E6" w:rsidRPr="00B36A61">
        <w:rPr>
          <w:noProof w:val="0"/>
          <w:color w:val="17365D"/>
          <w:u w:val="single"/>
        </w:rPr>
        <w:t>Valsts konsolidētā budžeta izdevumi</w:t>
      </w:r>
      <w:r w:rsidR="007A09E6" w:rsidRPr="00B36A61">
        <w:rPr>
          <w:noProof w:val="0"/>
          <w:color w:val="17365D"/>
        </w:rPr>
        <w:t xml:space="preserve"> 20</w:t>
      </w:r>
      <w:r w:rsidR="00611E9E" w:rsidRPr="00B36A61">
        <w:rPr>
          <w:noProof w:val="0"/>
          <w:color w:val="17365D"/>
        </w:rPr>
        <w:t>2</w:t>
      </w:r>
      <w:r w:rsidR="003F0C52" w:rsidRPr="00B36A61">
        <w:rPr>
          <w:noProof w:val="0"/>
          <w:color w:val="17365D"/>
        </w:rPr>
        <w:t>2</w:t>
      </w:r>
      <w:r w:rsidR="00687F81" w:rsidRPr="00B36A61">
        <w:rPr>
          <w:noProof w:val="0"/>
          <w:color w:val="17365D"/>
        </w:rPr>
        <w:t>. </w:t>
      </w:r>
      <w:r w:rsidR="007A09E6" w:rsidRPr="00B36A61">
        <w:rPr>
          <w:noProof w:val="0"/>
          <w:color w:val="17365D"/>
        </w:rPr>
        <w:t xml:space="preserve">gadā ir </w:t>
      </w:r>
      <w:r w:rsidR="00611E9E" w:rsidRPr="00B36A61">
        <w:rPr>
          <w:noProof w:val="0"/>
          <w:color w:val="17365D"/>
        </w:rPr>
        <w:t>1</w:t>
      </w:r>
      <w:r w:rsidR="00DB15FA" w:rsidRPr="00B36A61">
        <w:rPr>
          <w:noProof w:val="0"/>
          <w:color w:val="17365D"/>
        </w:rPr>
        <w:t>3</w:t>
      </w:r>
      <w:r w:rsidR="00536DFF" w:rsidRPr="00B36A61">
        <w:rPr>
          <w:noProof w:val="0"/>
          <w:color w:val="17365D"/>
        </w:rPr>
        <w:t> </w:t>
      </w:r>
      <w:r w:rsidR="00DB15FA" w:rsidRPr="00B36A61">
        <w:rPr>
          <w:noProof w:val="0"/>
          <w:color w:val="17365D"/>
        </w:rPr>
        <w:t>621</w:t>
      </w:r>
      <w:r w:rsidR="007A09E6" w:rsidRPr="00B36A61">
        <w:rPr>
          <w:noProof w:val="0"/>
          <w:color w:val="17365D"/>
        </w:rPr>
        <w:t>,</w:t>
      </w:r>
      <w:r w:rsidR="00DB15FA" w:rsidRPr="00B36A61">
        <w:rPr>
          <w:noProof w:val="0"/>
          <w:color w:val="17365D"/>
        </w:rPr>
        <w:t>5</w:t>
      </w:r>
      <w:r w:rsidR="0096552B" w:rsidRPr="00B36A61">
        <w:rPr>
          <w:noProof w:val="0"/>
          <w:color w:val="17365D"/>
        </w:rPr>
        <w:t> </w:t>
      </w:r>
      <w:r w:rsidR="007A09E6" w:rsidRPr="00B36A61">
        <w:rPr>
          <w:noProof w:val="0"/>
          <w:color w:val="17365D"/>
        </w:rPr>
        <w:t>milj</w:t>
      </w:r>
      <w:r w:rsidR="008A1FEA" w:rsidRPr="00B36A61">
        <w:rPr>
          <w:noProof w:val="0"/>
          <w:color w:val="17365D"/>
        </w:rPr>
        <w:t>. </w:t>
      </w:r>
      <w:r w:rsidR="008A1FEA" w:rsidRPr="00B36A61">
        <w:rPr>
          <w:i/>
          <w:noProof w:val="0"/>
          <w:color w:val="17365D"/>
        </w:rPr>
        <w:t>euro</w:t>
      </w:r>
      <w:r w:rsidR="008A1FEA" w:rsidRPr="00B36A61">
        <w:rPr>
          <w:noProof w:val="0"/>
          <w:color w:val="17365D"/>
        </w:rPr>
        <w:t xml:space="preserve"> </w:t>
      </w:r>
      <w:r w:rsidR="007A09E6" w:rsidRPr="00B36A61">
        <w:rPr>
          <w:noProof w:val="0"/>
          <w:color w:val="17365D"/>
        </w:rPr>
        <w:t xml:space="preserve">vērtībā, kas ir par </w:t>
      </w:r>
      <w:r w:rsidR="00210DE8" w:rsidRPr="00B36A61">
        <w:rPr>
          <w:noProof w:val="0"/>
          <w:color w:val="17365D"/>
        </w:rPr>
        <w:t>1 </w:t>
      </w:r>
      <w:r w:rsidR="00DB15FA" w:rsidRPr="00B36A61">
        <w:rPr>
          <w:noProof w:val="0"/>
          <w:color w:val="17365D"/>
        </w:rPr>
        <w:t>190</w:t>
      </w:r>
      <w:r w:rsidR="007A09E6" w:rsidRPr="00B36A61">
        <w:rPr>
          <w:noProof w:val="0"/>
          <w:color w:val="17365D"/>
        </w:rPr>
        <w:t>,</w:t>
      </w:r>
      <w:r w:rsidR="00DB15FA" w:rsidRPr="00B36A61">
        <w:rPr>
          <w:noProof w:val="0"/>
          <w:color w:val="17365D"/>
        </w:rPr>
        <w:t>7</w:t>
      </w:r>
      <w:r w:rsidR="0096552B" w:rsidRPr="00B36A61">
        <w:rPr>
          <w:noProof w:val="0"/>
          <w:color w:val="17365D"/>
        </w:rPr>
        <w:t> </w:t>
      </w:r>
      <w:r w:rsidR="007A09E6" w:rsidRPr="00B36A61">
        <w:rPr>
          <w:noProof w:val="0"/>
          <w:color w:val="17365D"/>
        </w:rPr>
        <w:t>milj</w:t>
      </w:r>
      <w:r w:rsidR="00BF5BA5" w:rsidRPr="00B36A61">
        <w:rPr>
          <w:noProof w:val="0"/>
          <w:color w:val="17365D"/>
        </w:rPr>
        <w:t>. </w:t>
      </w:r>
      <w:r w:rsidR="00BF5BA5" w:rsidRPr="00B36A61">
        <w:rPr>
          <w:i/>
          <w:noProof w:val="0"/>
          <w:color w:val="17365D"/>
        </w:rPr>
        <w:t>euro</w:t>
      </w:r>
      <w:r w:rsidR="00BF5BA5" w:rsidRPr="00B36A61">
        <w:rPr>
          <w:noProof w:val="0"/>
          <w:color w:val="17365D"/>
        </w:rPr>
        <w:t xml:space="preserve"> </w:t>
      </w:r>
      <w:r w:rsidR="007A09E6" w:rsidRPr="00B36A61">
        <w:rPr>
          <w:noProof w:val="0"/>
          <w:color w:val="17365D"/>
        </w:rPr>
        <w:t xml:space="preserve">jeb </w:t>
      </w:r>
      <w:r w:rsidR="00DB15FA" w:rsidRPr="00B36A61">
        <w:rPr>
          <w:noProof w:val="0"/>
          <w:color w:val="17365D"/>
        </w:rPr>
        <w:t>9</w:t>
      </w:r>
      <w:r w:rsidR="007A09E6" w:rsidRPr="00B36A61">
        <w:rPr>
          <w:noProof w:val="0"/>
          <w:color w:val="17365D"/>
        </w:rPr>
        <w:t>,</w:t>
      </w:r>
      <w:r w:rsidR="00210DE8" w:rsidRPr="00B36A61">
        <w:rPr>
          <w:noProof w:val="0"/>
          <w:color w:val="17365D"/>
        </w:rPr>
        <w:t>6</w:t>
      </w:r>
      <w:r w:rsidR="006A7956" w:rsidRPr="00B36A61">
        <w:rPr>
          <w:noProof w:val="0"/>
          <w:color w:val="17365D"/>
        </w:rPr>
        <w:t> %</w:t>
      </w:r>
      <w:r w:rsidR="007A09E6" w:rsidRPr="00B36A61">
        <w:rPr>
          <w:noProof w:val="0"/>
          <w:color w:val="17365D"/>
        </w:rPr>
        <w:t xml:space="preserve"> </w:t>
      </w:r>
      <w:r w:rsidR="007A3D4A" w:rsidRPr="00B36A61">
        <w:rPr>
          <w:noProof w:val="0"/>
          <w:color w:val="17365D"/>
        </w:rPr>
        <w:t>vair</w:t>
      </w:r>
      <w:r w:rsidR="007A09E6" w:rsidRPr="00B36A61">
        <w:rPr>
          <w:noProof w:val="0"/>
          <w:color w:val="17365D"/>
        </w:rPr>
        <w:t xml:space="preserve">āk nekā </w:t>
      </w:r>
      <w:r w:rsidR="008F2503" w:rsidRPr="00B36A61">
        <w:rPr>
          <w:noProof w:val="0"/>
          <w:color w:val="17365D"/>
        </w:rPr>
        <w:t>20</w:t>
      </w:r>
      <w:r w:rsidR="00210DE8" w:rsidRPr="00B36A61">
        <w:rPr>
          <w:noProof w:val="0"/>
          <w:color w:val="17365D"/>
        </w:rPr>
        <w:t>2</w:t>
      </w:r>
      <w:r w:rsidR="00DB15FA" w:rsidRPr="00B36A61">
        <w:rPr>
          <w:noProof w:val="0"/>
          <w:color w:val="17365D"/>
        </w:rPr>
        <w:t>1</w:t>
      </w:r>
      <w:r w:rsidR="008F2503" w:rsidRPr="00B36A61">
        <w:rPr>
          <w:noProof w:val="0"/>
          <w:color w:val="17365D"/>
        </w:rPr>
        <w:t>. gad</w:t>
      </w:r>
      <w:r w:rsidR="007A09E6" w:rsidRPr="00B36A61">
        <w:rPr>
          <w:noProof w:val="0"/>
          <w:color w:val="17365D"/>
        </w:rPr>
        <w:t>ā. Budžeta izpilde pret saimnieciskā gada plānu</w:t>
      </w:r>
      <w:r w:rsidRPr="00B36A61">
        <w:rPr>
          <w:noProof w:val="0"/>
          <w:color w:val="17365D"/>
        </w:rPr>
        <w:t xml:space="preserve"> ar izmaiņām</w:t>
      </w:r>
      <w:r w:rsidR="007A09E6" w:rsidRPr="00B36A61">
        <w:rPr>
          <w:noProof w:val="0"/>
          <w:color w:val="17365D"/>
        </w:rPr>
        <w:t xml:space="preserve"> ir </w:t>
      </w:r>
      <w:r w:rsidR="0005004F" w:rsidRPr="00B36A61">
        <w:rPr>
          <w:noProof w:val="0"/>
          <w:color w:val="17365D"/>
        </w:rPr>
        <w:t>9</w:t>
      </w:r>
      <w:r w:rsidR="00DB15FA" w:rsidRPr="00B36A61">
        <w:rPr>
          <w:noProof w:val="0"/>
          <w:color w:val="17365D"/>
        </w:rPr>
        <w:t>1</w:t>
      </w:r>
      <w:r w:rsidR="007A09E6" w:rsidRPr="00B36A61">
        <w:rPr>
          <w:noProof w:val="0"/>
          <w:color w:val="17365D"/>
        </w:rPr>
        <w:t>,</w:t>
      </w:r>
      <w:r w:rsidR="00DB15FA" w:rsidRPr="00B36A61">
        <w:rPr>
          <w:noProof w:val="0"/>
          <w:color w:val="17365D"/>
        </w:rPr>
        <w:t>7</w:t>
      </w:r>
      <w:r w:rsidR="006A7956" w:rsidRPr="00B36A61">
        <w:rPr>
          <w:noProof w:val="0"/>
          <w:color w:val="17365D"/>
        </w:rPr>
        <w:t> %</w:t>
      </w:r>
      <w:r w:rsidR="007A09E6" w:rsidRPr="00B36A61">
        <w:rPr>
          <w:noProof w:val="0"/>
          <w:color w:val="17365D"/>
        </w:rPr>
        <w:t xml:space="preserve">. Valsts konsolidētā budžeta </w:t>
      </w:r>
      <w:r w:rsidR="006F2E62" w:rsidRPr="00B36A61">
        <w:rPr>
          <w:noProof w:val="0"/>
          <w:color w:val="17365D"/>
        </w:rPr>
        <w:t xml:space="preserve">izdevumu lielāko daļu atbilstoši ekonomiskajām kategorijām (turpmāk – EKK) veido </w:t>
      </w:r>
      <w:r w:rsidR="007A09E6" w:rsidRPr="00B36A61">
        <w:rPr>
          <w:noProof w:val="0"/>
          <w:color w:val="17365D"/>
        </w:rPr>
        <w:t xml:space="preserve">uzturēšanas izdevumi </w:t>
      </w:r>
      <w:r w:rsidR="00210DE8" w:rsidRPr="00B36A61">
        <w:rPr>
          <w:noProof w:val="0"/>
          <w:color w:val="17365D"/>
        </w:rPr>
        <w:t>1</w:t>
      </w:r>
      <w:r w:rsidR="00DB15FA" w:rsidRPr="00B36A61">
        <w:rPr>
          <w:noProof w:val="0"/>
          <w:color w:val="17365D"/>
        </w:rPr>
        <w:t>2</w:t>
      </w:r>
      <w:r w:rsidR="00C90546" w:rsidRPr="00B36A61">
        <w:rPr>
          <w:noProof w:val="0"/>
          <w:color w:val="17365D"/>
        </w:rPr>
        <w:t> </w:t>
      </w:r>
      <w:r w:rsidR="00DB15FA" w:rsidRPr="00B36A61">
        <w:rPr>
          <w:noProof w:val="0"/>
          <w:color w:val="17365D"/>
        </w:rPr>
        <w:t>742</w:t>
      </w:r>
      <w:r w:rsidR="007A09E6" w:rsidRPr="00B36A61">
        <w:rPr>
          <w:noProof w:val="0"/>
          <w:color w:val="17365D"/>
        </w:rPr>
        <w:t>,</w:t>
      </w:r>
      <w:r w:rsidR="00DB15FA" w:rsidRPr="00B36A61">
        <w:rPr>
          <w:noProof w:val="0"/>
          <w:color w:val="17365D"/>
        </w:rPr>
        <w:t>9</w:t>
      </w:r>
      <w:r w:rsidR="0096552B" w:rsidRPr="00B36A61">
        <w:rPr>
          <w:noProof w:val="0"/>
          <w:color w:val="17365D"/>
        </w:rPr>
        <w:t> </w:t>
      </w:r>
      <w:r w:rsidR="007A09E6" w:rsidRPr="00B36A61">
        <w:rPr>
          <w:noProof w:val="0"/>
          <w:color w:val="17365D"/>
        </w:rPr>
        <w:t>milj</w:t>
      </w:r>
      <w:r w:rsidR="00C90546" w:rsidRPr="00B36A61">
        <w:rPr>
          <w:noProof w:val="0"/>
          <w:color w:val="17365D"/>
        </w:rPr>
        <w:t>. </w:t>
      </w:r>
      <w:r w:rsidR="00C90546" w:rsidRPr="00B36A61">
        <w:rPr>
          <w:i/>
          <w:noProof w:val="0"/>
          <w:color w:val="17365D"/>
        </w:rPr>
        <w:t>euro</w:t>
      </w:r>
      <w:r w:rsidR="006F2E62" w:rsidRPr="00B36A61">
        <w:rPr>
          <w:i/>
          <w:noProof w:val="0"/>
          <w:color w:val="17365D"/>
        </w:rPr>
        <w:t xml:space="preserve"> </w:t>
      </w:r>
      <w:r w:rsidR="006F2E62" w:rsidRPr="00B36A61">
        <w:rPr>
          <w:noProof w:val="0"/>
          <w:color w:val="17365D"/>
        </w:rPr>
        <w:t>vērtībā</w:t>
      </w:r>
      <w:r w:rsidR="007A09E6" w:rsidRPr="00B36A61">
        <w:rPr>
          <w:noProof w:val="0"/>
          <w:color w:val="17365D"/>
        </w:rPr>
        <w:t xml:space="preserve">, kas ir par </w:t>
      </w:r>
      <w:r w:rsidR="006517DF" w:rsidRPr="00B36A61">
        <w:rPr>
          <w:noProof w:val="0"/>
          <w:color w:val="17365D"/>
        </w:rPr>
        <w:t>1 </w:t>
      </w:r>
      <w:r w:rsidR="00DB15FA" w:rsidRPr="00B36A61">
        <w:rPr>
          <w:noProof w:val="0"/>
          <w:color w:val="17365D"/>
        </w:rPr>
        <w:t>149</w:t>
      </w:r>
      <w:r w:rsidR="001809BF" w:rsidRPr="00B36A61">
        <w:rPr>
          <w:noProof w:val="0"/>
          <w:color w:val="17365D"/>
        </w:rPr>
        <w:t>,</w:t>
      </w:r>
      <w:r w:rsidR="00DB15FA" w:rsidRPr="00B36A61">
        <w:rPr>
          <w:noProof w:val="0"/>
          <w:color w:val="17365D"/>
        </w:rPr>
        <w:t>3</w:t>
      </w:r>
      <w:r w:rsidR="0096552B" w:rsidRPr="00B36A61">
        <w:rPr>
          <w:noProof w:val="0"/>
          <w:color w:val="17365D"/>
        </w:rPr>
        <w:t> </w:t>
      </w:r>
      <w:r w:rsidR="007A09E6" w:rsidRPr="00B36A61">
        <w:rPr>
          <w:noProof w:val="0"/>
          <w:color w:val="17365D"/>
        </w:rPr>
        <w:t>milj</w:t>
      </w:r>
      <w:r w:rsidR="00AA38E7" w:rsidRPr="00B36A61">
        <w:rPr>
          <w:noProof w:val="0"/>
          <w:color w:val="17365D"/>
        </w:rPr>
        <w:t>. </w:t>
      </w:r>
      <w:r w:rsidR="00AA38E7" w:rsidRPr="00B36A61">
        <w:rPr>
          <w:i/>
          <w:noProof w:val="0"/>
          <w:color w:val="17365D"/>
        </w:rPr>
        <w:t>euro</w:t>
      </w:r>
      <w:r w:rsidR="00AA38E7" w:rsidRPr="00B36A61">
        <w:rPr>
          <w:noProof w:val="0"/>
          <w:color w:val="17365D"/>
        </w:rPr>
        <w:t xml:space="preserve"> </w:t>
      </w:r>
      <w:r w:rsidR="007A09E6" w:rsidRPr="00B36A61">
        <w:rPr>
          <w:noProof w:val="0"/>
          <w:color w:val="17365D"/>
        </w:rPr>
        <w:t xml:space="preserve">jeb </w:t>
      </w:r>
      <w:r w:rsidR="00DB15FA" w:rsidRPr="00B36A61">
        <w:rPr>
          <w:noProof w:val="0"/>
          <w:color w:val="17365D"/>
        </w:rPr>
        <w:t>9</w:t>
      </w:r>
      <w:r w:rsidR="007A09E6" w:rsidRPr="00B36A61">
        <w:rPr>
          <w:noProof w:val="0"/>
          <w:color w:val="17365D"/>
        </w:rPr>
        <w:t>,</w:t>
      </w:r>
      <w:r w:rsidR="006517DF" w:rsidRPr="00B36A61">
        <w:rPr>
          <w:noProof w:val="0"/>
          <w:color w:val="17365D"/>
        </w:rPr>
        <w:t>9</w:t>
      </w:r>
      <w:r w:rsidR="006A7956" w:rsidRPr="00B36A61">
        <w:rPr>
          <w:noProof w:val="0"/>
          <w:color w:val="17365D"/>
        </w:rPr>
        <w:t> %</w:t>
      </w:r>
      <w:r w:rsidR="007A09E6" w:rsidRPr="00B36A61">
        <w:rPr>
          <w:noProof w:val="0"/>
          <w:color w:val="17365D"/>
        </w:rPr>
        <w:t xml:space="preserve"> vairāk nekā </w:t>
      </w:r>
      <w:r w:rsidR="008F2503" w:rsidRPr="00B36A61">
        <w:rPr>
          <w:noProof w:val="0"/>
          <w:color w:val="17365D"/>
        </w:rPr>
        <w:t>20</w:t>
      </w:r>
      <w:r w:rsidR="006517DF" w:rsidRPr="00B36A61">
        <w:rPr>
          <w:noProof w:val="0"/>
          <w:color w:val="17365D"/>
        </w:rPr>
        <w:t>2</w:t>
      </w:r>
      <w:r w:rsidR="00DB15FA" w:rsidRPr="00B36A61">
        <w:rPr>
          <w:noProof w:val="0"/>
          <w:color w:val="17365D"/>
        </w:rPr>
        <w:t>1</w:t>
      </w:r>
      <w:r w:rsidR="008F2503" w:rsidRPr="00B36A61">
        <w:rPr>
          <w:noProof w:val="0"/>
          <w:color w:val="17365D"/>
        </w:rPr>
        <w:t>. gad</w:t>
      </w:r>
      <w:r w:rsidR="007A09E6" w:rsidRPr="00B36A61">
        <w:rPr>
          <w:noProof w:val="0"/>
          <w:color w:val="17365D"/>
        </w:rPr>
        <w:t>ā</w:t>
      </w:r>
      <w:r w:rsidR="006F2E62" w:rsidRPr="00B36A61">
        <w:rPr>
          <w:noProof w:val="0"/>
          <w:color w:val="17365D"/>
        </w:rPr>
        <w:t>.</w:t>
      </w:r>
      <w:r w:rsidR="007A09E6" w:rsidRPr="00B36A61">
        <w:rPr>
          <w:noProof w:val="0"/>
          <w:color w:val="17365D"/>
        </w:rPr>
        <w:t xml:space="preserve"> </w:t>
      </w:r>
      <w:r w:rsidR="006F2E62" w:rsidRPr="00B36A61">
        <w:rPr>
          <w:noProof w:val="0"/>
          <w:color w:val="17365D"/>
        </w:rPr>
        <w:t>K</w:t>
      </w:r>
      <w:r w:rsidR="007A09E6" w:rsidRPr="00B36A61">
        <w:rPr>
          <w:noProof w:val="0"/>
          <w:color w:val="17365D"/>
        </w:rPr>
        <w:t xml:space="preserve">apitālie izdevumi ir </w:t>
      </w:r>
      <w:r w:rsidR="003C7A3B" w:rsidRPr="00B36A61">
        <w:rPr>
          <w:noProof w:val="0"/>
          <w:color w:val="17365D"/>
        </w:rPr>
        <w:t>8</w:t>
      </w:r>
      <w:r w:rsidR="00DB15FA" w:rsidRPr="00B36A61">
        <w:rPr>
          <w:noProof w:val="0"/>
          <w:color w:val="17365D"/>
        </w:rPr>
        <w:t>78</w:t>
      </w:r>
      <w:r w:rsidR="007A09E6" w:rsidRPr="00B36A61">
        <w:rPr>
          <w:noProof w:val="0"/>
          <w:color w:val="17365D"/>
        </w:rPr>
        <w:t>,</w:t>
      </w:r>
      <w:r w:rsidR="00DB15FA" w:rsidRPr="00B36A61">
        <w:rPr>
          <w:noProof w:val="0"/>
          <w:color w:val="17365D"/>
        </w:rPr>
        <w:t>6</w:t>
      </w:r>
      <w:r w:rsidR="00536DFF" w:rsidRPr="00B36A61">
        <w:rPr>
          <w:noProof w:val="0"/>
          <w:color w:val="17365D"/>
        </w:rPr>
        <w:t> </w:t>
      </w:r>
      <w:r w:rsidR="007A09E6" w:rsidRPr="00B36A61">
        <w:rPr>
          <w:noProof w:val="0"/>
          <w:color w:val="17365D"/>
        </w:rPr>
        <w:t>milj</w:t>
      </w:r>
      <w:r w:rsidR="00C90546" w:rsidRPr="00B36A61">
        <w:rPr>
          <w:noProof w:val="0"/>
          <w:color w:val="17365D"/>
        </w:rPr>
        <w:t>. </w:t>
      </w:r>
      <w:r w:rsidR="00C90546" w:rsidRPr="00B36A61">
        <w:rPr>
          <w:i/>
          <w:noProof w:val="0"/>
          <w:color w:val="17365D"/>
        </w:rPr>
        <w:t>euro</w:t>
      </w:r>
      <w:r w:rsidR="009E35F2" w:rsidRPr="00B36A61">
        <w:rPr>
          <w:i/>
          <w:noProof w:val="0"/>
          <w:color w:val="17365D"/>
        </w:rPr>
        <w:t xml:space="preserve"> </w:t>
      </w:r>
      <w:r w:rsidR="009E35F2" w:rsidRPr="00B36A61">
        <w:rPr>
          <w:noProof w:val="0"/>
          <w:color w:val="17365D"/>
        </w:rPr>
        <w:t>vērtībā</w:t>
      </w:r>
      <w:r w:rsidR="007A09E6" w:rsidRPr="00B36A61">
        <w:rPr>
          <w:noProof w:val="0"/>
          <w:color w:val="17365D"/>
        </w:rPr>
        <w:t xml:space="preserve">, kas ir par </w:t>
      </w:r>
      <w:r w:rsidR="00DB15FA" w:rsidRPr="00B36A61">
        <w:rPr>
          <w:noProof w:val="0"/>
          <w:color w:val="17365D"/>
        </w:rPr>
        <w:t>41</w:t>
      </w:r>
      <w:r w:rsidR="007A09E6" w:rsidRPr="00B36A61">
        <w:rPr>
          <w:noProof w:val="0"/>
          <w:color w:val="17365D"/>
        </w:rPr>
        <w:t>,</w:t>
      </w:r>
      <w:r w:rsidR="00DB15FA" w:rsidRPr="00B36A61">
        <w:rPr>
          <w:noProof w:val="0"/>
          <w:color w:val="17365D"/>
        </w:rPr>
        <w:t>4</w:t>
      </w:r>
      <w:r w:rsidR="00536DFF" w:rsidRPr="00B36A61">
        <w:rPr>
          <w:noProof w:val="0"/>
          <w:color w:val="17365D"/>
        </w:rPr>
        <w:t> </w:t>
      </w:r>
      <w:r w:rsidR="00AA38E7" w:rsidRPr="00B36A61">
        <w:rPr>
          <w:noProof w:val="0"/>
          <w:color w:val="17365D"/>
        </w:rPr>
        <w:t>milj. </w:t>
      </w:r>
      <w:r w:rsidR="00AA38E7" w:rsidRPr="00B36A61">
        <w:rPr>
          <w:i/>
          <w:noProof w:val="0"/>
          <w:color w:val="17365D"/>
        </w:rPr>
        <w:t>euro</w:t>
      </w:r>
      <w:r w:rsidR="007A09E6" w:rsidRPr="00B36A61">
        <w:rPr>
          <w:noProof w:val="0"/>
          <w:color w:val="17365D"/>
        </w:rPr>
        <w:t xml:space="preserve"> jeb </w:t>
      </w:r>
      <w:r w:rsidR="00DB15FA" w:rsidRPr="00B36A61">
        <w:rPr>
          <w:noProof w:val="0"/>
          <w:color w:val="17365D"/>
        </w:rPr>
        <w:t>4</w:t>
      </w:r>
      <w:r w:rsidR="007A09E6" w:rsidRPr="00B36A61">
        <w:rPr>
          <w:noProof w:val="0"/>
          <w:color w:val="17365D"/>
        </w:rPr>
        <w:t>,</w:t>
      </w:r>
      <w:r w:rsidR="006517DF" w:rsidRPr="00B36A61">
        <w:rPr>
          <w:noProof w:val="0"/>
          <w:color w:val="17365D"/>
        </w:rPr>
        <w:t>9</w:t>
      </w:r>
      <w:r w:rsidR="006A7956" w:rsidRPr="00B36A61">
        <w:rPr>
          <w:noProof w:val="0"/>
          <w:color w:val="17365D"/>
        </w:rPr>
        <w:t> %</w:t>
      </w:r>
      <w:r w:rsidR="007A09E6" w:rsidRPr="00B36A61">
        <w:rPr>
          <w:noProof w:val="0"/>
          <w:color w:val="17365D"/>
        </w:rPr>
        <w:t xml:space="preserve"> </w:t>
      </w:r>
      <w:r w:rsidR="00F457E3" w:rsidRPr="00B36A61">
        <w:rPr>
          <w:noProof w:val="0"/>
          <w:color w:val="17365D"/>
        </w:rPr>
        <w:t>vair</w:t>
      </w:r>
      <w:r w:rsidR="007A09E6" w:rsidRPr="00B36A61">
        <w:rPr>
          <w:noProof w:val="0"/>
          <w:color w:val="17365D"/>
        </w:rPr>
        <w:t xml:space="preserve">āk nekā </w:t>
      </w:r>
      <w:r w:rsidR="008F2503" w:rsidRPr="00B36A61">
        <w:rPr>
          <w:noProof w:val="0"/>
          <w:color w:val="17365D"/>
        </w:rPr>
        <w:t>20</w:t>
      </w:r>
      <w:r w:rsidR="006517DF" w:rsidRPr="00B36A61">
        <w:rPr>
          <w:noProof w:val="0"/>
          <w:color w:val="17365D"/>
        </w:rPr>
        <w:t>2</w:t>
      </w:r>
      <w:r w:rsidR="00DB15FA" w:rsidRPr="00B36A61">
        <w:rPr>
          <w:noProof w:val="0"/>
          <w:color w:val="17365D"/>
        </w:rPr>
        <w:t>1</w:t>
      </w:r>
      <w:r w:rsidR="008F2503" w:rsidRPr="00B36A61">
        <w:rPr>
          <w:noProof w:val="0"/>
          <w:color w:val="17365D"/>
        </w:rPr>
        <w:t>. gad</w:t>
      </w:r>
      <w:r w:rsidR="007A09E6" w:rsidRPr="00B36A61">
        <w:rPr>
          <w:noProof w:val="0"/>
          <w:color w:val="17365D"/>
        </w:rPr>
        <w:t xml:space="preserve">ā. </w:t>
      </w:r>
    </w:p>
    <w:p w14:paraId="59B4B688" w14:textId="7F50D9FF" w:rsidR="007A09E6" w:rsidRPr="00B36A61" w:rsidRDefault="007A09E6" w:rsidP="00474D40">
      <w:pPr>
        <w:pStyle w:val="Pamatteksts"/>
        <w:rPr>
          <w:noProof w:val="0"/>
          <w:color w:val="17365D"/>
        </w:rPr>
      </w:pPr>
      <w:r w:rsidRPr="00B36A61">
        <w:rPr>
          <w:noProof w:val="0"/>
          <w:color w:val="17365D"/>
          <w:u w:val="single"/>
        </w:rPr>
        <w:t xml:space="preserve">Valsts konsolidētā budžeta </w:t>
      </w:r>
      <w:r w:rsidR="002313CF" w:rsidRPr="00B36A61">
        <w:rPr>
          <w:noProof w:val="0"/>
          <w:color w:val="17365D"/>
          <w:u w:val="single"/>
        </w:rPr>
        <w:t>finansiālās bilances</w:t>
      </w:r>
      <w:r w:rsidR="002313CF" w:rsidRPr="00B36A61">
        <w:rPr>
          <w:noProof w:val="0"/>
          <w:color w:val="17365D"/>
        </w:rPr>
        <w:t xml:space="preserve"> rezultāts </w:t>
      </w:r>
      <w:r w:rsidRPr="00B36A61">
        <w:rPr>
          <w:noProof w:val="0"/>
          <w:color w:val="17365D"/>
        </w:rPr>
        <w:t xml:space="preserve">pārskata gadā </w:t>
      </w:r>
      <w:r w:rsidR="00CF6A1A" w:rsidRPr="00B36A61">
        <w:rPr>
          <w:noProof w:val="0"/>
          <w:color w:val="17365D"/>
        </w:rPr>
        <w:t xml:space="preserve">pēc </w:t>
      </w:r>
      <w:r w:rsidR="00BD5215" w:rsidRPr="00B36A61">
        <w:rPr>
          <w:noProof w:val="0"/>
          <w:color w:val="17365D"/>
        </w:rPr>
        <w:t>naudas plūsmas principa</w:t>
      </w:r>
      <w:r w:rsidR="00CF6A1A" w:rsidRPr="00B36A61">
        <w:rPr>
          <w:noProof w:val="0"/>
          <w:color w:val="17365D"/>
        </w:rPr>
        <w:t xml:space="preserve"> ir deficīts </w:t>
      </w:r>
      <w:r w:rsidR="008900C0" w:rsidRPr="00B36A61">
        <w:rPr>
          <w:noProof w:val="0"/>
          <w:color w:val="17365D"/>
        </w:rPr>
        <w:t xml:space="preserve">1 </w:t>
      </w:r>
      <w:r w:rsidR="00491C02" w:rsidRPr="00B36A61">
        <w:rPr>
          <w:noProof w:val="0"/>
          <w:color w:val="17365D"/>
        </w:rPr>
        <w:t>486</w:t>
      </w:r>
      <w:r w:rsidRPr="00B36A61">
        <w:rPr>
          <w:noProof w:val="0"/>
          <w:color w:val="17365D"/>
        </w:rPr>
        <w:t>,</w:t>
      </w:r>
      <w:r w:rsidR="00491C02" w:rsidRPr="00B36A61">
        <w:rPr>
          <w:noProof w:val="0"/>
          <w:color w:val="17365D"/>
        </w:rPr>
        <w:t>8</w:t>
      </w:r>
      <w:r w:rsidR="0096552B" w:rsidRPr="00B36A61">
        <w:rPr>
          <w:noProof w:val="0"/>
          <w:color w:val="17365D"/>
        </w:rPr>
        <w:t> </w:t>
      </w:r>
      <w:r w:rsidRPr="00B36A61">
        <w:rPr>
          <w:noProof w:val="0"/>
          <w:color w:val="17365D"/>
        </w:rPr>
        <w:t>milj</w:t>
      </w:r>
      <w:r w:rsidR="00F820BF" w:rsidRPr="00B36A61">
        <w:rPr>
          <w:noProof w:val="0"/>
          <w:color w:val="17365D"/>
        </w:rPr>
        <w:t>. </w:t>
      </w:r>
      <w:r w:rsidR="00F820BF" w:rsidRPr="00B36A61">
        <w:rPr>
          <w:i/>
          <w:noProof w:val="0"/>
          <w:color w:val="17365D"/>
        </w:rPr>
        <w:t>euro</w:t>
      </w:r>
      <w:r w:rsidR="00F820BF" w:rsidRPr="00B36A61">
        <w:rPr>
          <w:noProof w:val="0"/>
          <w:color w:val="17365D"/>
        </w:rPr>
        <w:t xml:space="preserve"> </w:t>
      </w:r>
      <w:r w:rsidRPr="00B36A61">
        <w:rPr>
          <w:noProof w:val="0"/>
          <w:color w:val="17365D"/>
        </w:rPr>
        <w:t xml:space="preserve">vērtībā jeb </w:t>
      </w:r>
      <w:r w:rsidR="00491C02" w:rsidRPr="00B36A61">
        <w:rPr>
          <w:noProof w:val="0"/>
          <w:color w:val="17365D"/>
        </w:rPr>
        <w:t>3</w:t>
      </w:r>
      <w:r w:rsidR="00536DFF" w:rsidRPr="00B36A61">
        <w:rPr>
          <w:noProof w:val="0"/>
          <w:color w:val="17365D"/>
        </w:rPr>
        <w:t>,</w:t>
      </w:r>
      <w:r w:rsidR="00491C02" w:rsidRPr="00B36A61">
        <w:rPr>
          <w:noProof w:val="0"/>
          <w:color w:val="17365D"/>
        </w:rPr>
        <w:t>9</w:t>
      </w:r>
      <w:r w:rsidR="006A7956" w:rsidRPr="00B36A61">
        <w:rPr>
          <w:noProof w:val="0"/>
          <w:color w:val="17365D"/>
        </w:rPr>
        <w:t> %</w:t>
      </w:r>
      <w:r w:rsidRPr="00B36A61">
        <w:rPr>
          <w:noProof w:val="0"/>
          <w:color w:val="17365D"/>
        </w:rPr>
        <w:t xml:space="preserve"> apjomā no iekšzemes kopprodukta, salīdzinoši </w:t>
      </w:r>
      <w:r w:rsidR="008F2503" w:rsidRPr="00B36A61">
        <w:rPr>
          <w:noProof w:val="0"/>
          <w:color w:val="17365D"/>
        </w:rPr>
        <w:t>20</w:t>
      </w:r>
      <w:r w:rsidR="008E6424" w:rsidRPr="00B36A61">
        <w:rPr>
          <w:noProof w:val="0"/>
          <w:color w:val="17365D"/>
        </w:rPr>
        <w:t>2</w:t>
      </w:r>
      <w:r w:rsidR="00491C02" w:rsidRPr="00B36A61">
        <w:rPr>
          <w:noProof w:val="0"/>
          <w:color w:val="17365D"/>
        </w:rPr>
        <w:t>1</w:t>
      </w:r>
      <w:r w:rsidR="008F2503" w:rsidRPr="00B36A61">
        <w:rPr>
          <w:noProof w:val="0"/>
          <w:color w:val="17365D"/>
        </w:rPr>
        <w:t>. gad</w:t>
      </w:r>
      <w:r w:rsidRPr="00B36A61">
        <w:rPr>
          <w:noProof w:val="0"/>
          <w:color w:val="17365D"/>
        </w:rPr>
        <w:t xml:space="preserve">ā valsts konsolidētā budžeta finansiālā bilance bija ar </w:t>
      </w:r>
      <w:r w:rsidR="00AA38E7" w:rsidRPr="00B36A61">
        <w:rPr>
          <w:noProof w:val="0"/>
          <w:color w:val="17365D"/>
        </w:rPr>
        <w:t>deficīt</w:t>
      </w:r>
      <w:r w:rsidR="002313CF" w:rsidRPr="00B36A61">
        <w:rPr>
          <w:noProof w:val="0"/>
          <w:color w:val="17365D"/>
        </w:rPr>
        <w:t xml:space="preserve">u </w:t>
      </w:r>
      <w:r w:rsidR="002A57D4" w:rsidRPr="00B36A61">
        <w:rPr>
          <w:noProof w:val="0"/>
          <w:color w:val="17365D"/>
        </w:rPr>
        <w:t>1</w:t>
      </w:r>
      <w:r w:rsidR="008E6424" w:rsidRPr="00B36A61">
        <w:rPr>
          <w:noProof w:val="0"/>
          <w:color w:val="17365D"/>
        </w:rPr>
        <w:t> </w:t>
      </w:r>
      <w:r w:rsidR="00491C02" w:rsidRPr="00B36A61">
        <w:rPr>
          <w:noProof w:val="0"/>
          <w:color w:val="17365D"/>
        </w:rPr>
        <w:t>753</w:t>
      </w:r>
      <w:r w:rsidR="0035308D" w:rsidRPr="00B36A61">
        <w:rPr>
          <w:noProof w:val="0"/>
          <w:color w:val="17365D"/>
        </w:rPr>
        <w:t>,</w:t>
      </w:r>
      <w:r w:rsidR="00491C02" w:rsidRPr="00B36A61">
        <w:rPr>
          <w:noProof w:val="0"/>
          <w:color w:val="17365D"/>
        </w:rPr>
        <w:t>9</w:t>
      </w:r>
      <w:r w:rsidR="00536DFF" w:rsidRPr="00B36A61">
        <w:rPr>
          <w:noProof w:val="0"/>
          <w:color w:val="17365D"/>
        </w:rPr>
        <w:t> </w:t>
      </w:r>
      <w:r w:rsidRPr="00B36A61">
        <w:rPr>
          <w:noProof w:val="0"/>
          <w:color w:val="17365D"/>
        </w:rPr>
        <w:t>milj.</w:t>
      </w:r>
      <w:r w:rsidR="00536DFF" w:rsidRPr="00B36A61">
        <w:rPr>
          <w:i/>
          <w:noProof w:val="0"/>
          <w:color w:val="17365D"/>
        </w:rPr>
        <w:t> </w:t>
      </w:r>
      <w:r w:rsidR="00AA38E7" w:rsidRPr="00B36A61">
        <w:rPr>
          <w:i/>
          <w:noProof w:val="0"/>
          <w:color w:val="17365D"/>
        </w:rPr>
        <w:t>euro</w:t>
      </w:r>
      <w:r w:rsidR="00AA38E7" w:rsidRPr="00B36A61">
        <w:rPr>
          <w:noProof w:val="0"/>
          <w:color w:val="17365D"/>
        </w:rPr>
        <w:t xml:space="preserve"> </w:t>
      </w:r>
      <w:r w:rsidRPr="00B36A61">
        <w:rPr>
          <w:noProof w:val="0"/>
          <w:color w:val="17365D"/>
        </w:rPr>
        <w:t>(skatīt 1.</w:t>
      </w:r>
      <w:r w:rsidR="008F2503" w:rsidRPr="00B36A61">
        <w:rPr>
          <w:noProof w:val="0"/>
          <w:color w:val="17365D"/>
        </w:rPr>
        <w:t> </w:t>
      </w:r>
      <w:r w:rsidRPr="00B36A61">
        <w:rPr>
          <w:noProof w:val="0"/>
          <w:color w:val="17365D"/>
        </w:rPr>
        <w:t>attēlu).</w:t>
      </w:r>
      <w:r w:rsidR="00DB3007" w:rsidRPr="00B36A61">
        <w:rPr>
          <w:noProof w:val="0"/>
          <w:color w:val="17365D"/>
        </w:rPr>
        <w:t xml:space="preserve"> Informācija par </w:t>
      </w:r>
      <w:r w:rsidR="003D3208" w:rsidRPr="00B36A61">
        <w:rPr>
          <w:noProof w:val="0"/>
          <w:color w:val="17365D"/>
        </w:rPr>
        <w:t>finansēšanas</w:t>
      </w:r>
      <w:r w:rsidR="00DB3007" w:rsidRPr="00B36A61">
        <w:rPr>
          <w:noProof w:val="0"/>
          <w:color w:val="17365D"/>
        </w:rPr>
        <w:t xml:space="preserve"> </w:t>
      </w:r>
      <w:r w:rsidR="005724EA" w:rsidRPr="00B36A61">
        <w:rPr>
          <w:noProof w:val="0"/>
          <w:color w:val="17365D"/>
        </w:rPr>
        <w:t>rādītājie</w:t>
      </w:r>
      <w:r w:rsidR="00DB3007" w:rsidRPr="00B36A61">
        <w:rPr>
          <w:noProof w:val="0"/>
          <w:color w:val="17365D"/>
        </w:rPr>
        <w:t>m</w:t>
      </w:r>
      <w:r w:rsidR="00E334EE" w:rsidRPr="00B36A61">
        <w:rPr>
          <w:noProof w:val="0"/>
          <w:color w:val="17365D"/>
        </w:rPr>
        <w:t xml:space="preserve"> – noguldījumi </w:t>
      </w:r>
      <w:r w:rsidR="00E334EE" w:rsidRPr="00B36A61">
        <w:rPr>
          <w:noProof w:val="0"/>
          <w:color w:val="17365D"/>
        </w:rPr>
        <w:lastRenderedPageBreak/>
        <w:t>(bilances pasīvā), emitētie parāda vērtspapīri un</w:t>
      </w:r>
      <w:r w:rsidR="007E19A0" w:rsidRPr="00B36A61">
        <w:rPr>
          <w:noProof w:val="0"/>
          <w:color w:val="17365D"/>
        </w:rPr>
        <w:t xml:space="preserve"> </w:t>
      </w:r>
      <w:r w:rsidR="00E334EE" w:rsidRPr="00B36A61">
        <w:rPr>
          <w:noProof w:val="0"/>
          <w:color w:val="17365D"/>
        </w:rPr>
        <w:t>aizņēmu</w:t>
      </w:r>
      <w:r w:rsidR="009C6F4D" w:rsidRPr="00B36A61">
        <w:rPr>
          <w:noProof w:val="0"/>
          <w:color w:val="17365D"/>
        </w:rPr>
        <w:t>mi</w:t>
      </w:r>
      <w:r w:rsidR="00DB3007" w:rsidRPr="00B36A61">
        <w:rPr>
          <w:noProof w:val="0"/>
          <w:color w:val="17365D"/>
        </w:rPr>
        <w:t xml:space="preserve"> </w:t>
      </w:r>
      <w:r w:rsidR="008F14EF" w:rsidRPr="00B36A61">
        <w:rPr>
          <w:noProof w:val="0"/>
          <w:color w:val="17365D"/>
        </w:rPr>
        <w:t xml:space="preserve">– </w:t>
      </w:r>
      <w:r w:rsidR="00DB3007" w:rsidRPr="00B36A61">
        <w:rPr>
          <w:noProof w:val="0"/>
          <w:color w:val="17365D"/>
        </w:rPr>
        <w:t xml:space="preserve">sniegta </w:t>
      </w:r>
      <w:r w:rsidR="00864A5B" w:rsidRPr="00B36A61">
        <w:rPr>
          <w:noProof w:val="0"/>
          <w:color w:val="17365D"/>
        </w:rPr>
        <w:t xml:space="preserve">gada pārskata </w:t>
      </w:r>
      <w:r w:rsidR="00302DF4" w:rsidRPr="00B36A61">
        <w:rPr>
          <w:noProof w:val="0"/>
          <w:color w:val="17365D"/>
        </w:rPr>
        <w:t>pielikumā</w:t>
      </w:r>
      <w:r w:rsidR="00864A5B" w:rsidRPr="00B36A61">
        <w:rPr>
          <w:noProof w:val="0"/>
          <w:color w:val="17365D"/>
        </w:rPr>
        <w:t xml:space="preserve"> </w:t>
      </w:r>
      <w:r w:rsidR="00DB3007" w:rsidRPr="00B36A61">
        <w:rPr>
          <w:noProof w:val="0"/>
          <w:color w:val="17365D"/>
        </w:rPr>
        <w:t>“Skaidrojum</w:t>
      </w:r>
      <w:r w:rsidR="00624D2D" w:rsidRPr="00B36A61">
        <w:rPr>
          <w:noProof w:val="0"/>
          <w:color w:val="17365D"/>
        </w:rPr>
        <w:t>s</w:t>
      </w:r>
      <w:r w:rsidR="00DB3007" w:rsidRPr="00B36A61">
        <w:rPr>
          <w:noProof w:val="0"/>
          <w:color w:val="17365D"/>
        </w:rPr>
        <w:t xml:space="preserve"> pārskatam par valsts konsolidēto parādu”.</w:t>
      </w:r>
    </w:p>
    <w:p w14:paraId="13354953" w14:textId="41362EF3" w:rsidR="00721BDB" w:rsidRPr="00B36A61" w:rsidRDefault="006D2861" w:rsidP="007615FB">
      <w:pPr>
        <w:pStyle w:val="Pamatteksts"/>
        <w:ind w:firstLine="0"/>
        <w:rPr>
          <w:noProof w:val="0"/>
          <w:color w:val="17365D"/>
        </w:rPr>
      </w:pPr>
      <w:r w:rsidRPr="00B36A61">
        <w:rPr>
          <w:color w:val="17365D"/>
        </w:rPr>
        <w:drawing>
          <wp:inline distT="0" distB="0" distL="0" distR="0" wp14:anchorId="56B3FFBC" wp14:editId="6F7C7D0B">
            <wp:extent cx="5939790" cy="3238500"/>
            <wp:effectExtent l="0" t="0" r="381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97B3E47" w14:textId="5DCAEE64" w:rsidR="007A09E6" w:rsidRPr="00B36A61" w:rsidRDefault="007A09E6" w:rsidP="00962552">
      <w:pPr>
        <w:pStyle w:val="Attlanosaukums"/>
        <w:spacing w:before="240"/>
        <w:ind w:firstLine="0"/>
        <w:rPr>
          <w:noProof w:val="0"/>
          <w:color w:val="17365D"/>
          <w:sz w:val="20"/>
          <w:szCs w:val="20"/>
        </w:rPr>
      </w:pPr>
      <w:r w:rsidRPr="00B36A61">
        <w:rPr>
          <w:noProof w:val="0"/>
          <w:color w:val="17365D"/>
          <w:sz w:val="20"/>
          <w:szCs w:val="20"/>
        </w:rPr>
        <w:t>1.</w:t>
      </w:r>
      <w:r w:rsidR="006A7956" w:rsidRPr="00B36A61">
        <w:rPr>
          <w:noProof w:val="0"/>
          <w:color w:val="17365D"/>
          <w:sz w:val="20"/>
          <w:szCs w:val="20"/>
        </w:rPr>
        <w:t> </w:t>
      </w:r>
      <w:r w:rsidRPr="00B36A61">
        <w:rPr>
          <w:noProof w:val="0"/>
          <w:color w:val="17365D"/>
          <w:sz w:val="20"/>
          <w:szCs w:val="20"/>
        </w:rPr>
        <w:t>attēls. Valsts konsolidētā budžeta</w:t>
      </w:r>
      <w:r w:rsidR="0012339D" w:rsidRPr="00B36A61">
        <w:rPr>
          <w:noProof w:val="0"/>
          <w:color w:val="17365D"/>
          <w:sz w:val="20"/>
          <w:szCs w:val="20"/>
        </w:rPr>
        <w:t xml:space="preserve"> </w:t>
      </w:r>
      <w:r w:rsidRPr="00B36A61">
        <w:rPr>
          <w:noProof w:val="0"/>
          <w:color w:val="17365D"/>
          <w:sz w:val="20"/>
          <w:szCs w:val="20"/>
        </w:rPr>
        <w:t xml:space="preserve">ieņēmumi, izdevumi un finansiālā bilance </w:t>
      </w:r>
      <w:r w:rsidR="008F2503" w:rsidRPr="00B36A61">
        <w:rPr>
          <w:noProof w:val="0"/>
          <w:color w:val="17365D"/>
          <w:sz w:val="20"/>
          <w:szCs w:val="20"/>
        </w:rPr>
        <w:t>20</w:t>
      </w:r>
      <w:r w:rsidR="002C577A" w:rsidRPr="00B36A61">
        <w:rPr>
          <w:noProof w:val="0"/>
          <w:color w:val="17365D"/>
          <w:sz w:val="20"/>
          <w:szCs w:val="20"/>
        </w:rPr>
        <w:t>2</w:t>
      </w:r>
      <w:r w:rsidR="007C69B2" w:rsidRPr="00B36A61">
        <w:rPr>
          <w:noProof w:val="0"/>
          <w:color w:val="17365D"/>
          <w:sz w:val="20"/>
          <w:szCs w:val="20"/>
        </w:rPr>
        <w:t>1</w:t>
      </w:r>
      <w:r w:rsidR="008F2503" w:rsidRPr="00B36A61">
        <w:rPr>
          <w:noProof w:val="0"/>
          <w:color w:val="17365D"/>
          <w:sz w:val="20"/>
          <w:szCs w:val="20"/>
        </w:rPr>
        <w:t>. gad</w:t>
      </w:r>
      <w:r w:rsidRPr="00B36A61">
        <w:rPr>
          <w:noProof w:val="0"/>
          <w:color w:val="17365D"/>
          <w:sz w:val="20"/>
          <w:szCs w:val="20"/>
        </w:rPr>
        <w:t xml:space="preserve">ā un </w:t>
      </w:r>
      <w:r w:rsidR="008F2503" w:rsidRPr="00B36A61">
        <w:rPr>
          <w:noProof w:val="0"/>
          <w:color w:val="17365D"/>
          <w:sz w:val="20"/>
          <w:szCs w:val="20"/>
        </w:rPr>
        <w:t>20</w:t>
      </w:r>
      <w:r w:rsidR="00544AB1" w:rsidRPr="00B36A61">
        <w:rPr>
          <w:noProof w:val="0"/>
          <w:color w:val="17365D"/>
          <w:sz w:val="20"/>
          <w:szCs w:val="20"/>
        </w:rPr>
        <w:t>2</w:t>
      </w:r>
      <w:r w:rsidR="007C69B2" w:rsidRPr="00B36A61">
        <w:rPr>
          <w:noProof w:val="0"/>
          <w:color w:val="17365D"/>
          <w:sz w:val="20"/>
          <w:szCs w:val="20"/>
        </w:rPr>
        <w:t>2</w:t>
      </w:r>
      <w:r w:rsidR="008F2503" w:rsidRPr="00B36A61">
        <w:rPr>
          <w:noProof w:val="0"/>
          <w:color w:val="17365D"/>
          <w:sz w:val="20"/>
          <w:szCs w:val="20"/>
        </w:rPr>
        <w:t>. gad</w:t>
      </w:r>
      <w:r w:rsidRPr="00B36A61">
        <w:rPr>
          <w:noProof w:val="0"/>
          <w:color w:val="17365D"/>
          <w:sz w:val="20"/>
          <w:szCs w:val="20"/>
        </w:rPr>
        <w:t>ā (milj.</w:t>
      </w:r>
      <w:r w:rsidR="006A7956" w:rsidRPr="00B36A61">
        <w:rPr>
          <w:noProof w:val="0"/>
          <w:color w:val="17365D"/>
          <w:sz w:val="20"/>
          <w:szCs w:val="20"/>
        </w:rPr>
        <w:t> </w:t>
      </w:r>
      <w:r w:rsidR="00EF3754" w:rsidRPr="00B36A61">
        <w:rPr>
          <w:noProof w:val="0"/>
          <w:color w:val="17365D"/>
          <w:sz w:val="20"/>
          <w:szCs w:val="20"/>
        </w:rPr>
        <w:t>euro</w:t>
      </w:r>
      <w:r w:rsidRPr="00B36A61">
        <w:rPr>
          <w:noProof w:val="0"/>
          <w:color w:val="17365D"/>
          <w:sz w:val="20"/>
          <w:szCs w:val="20"/>
        </w:rPr>
        <w:t>)</w:t>
      </w:r>
    </w:p>
    <w:p w14:paraId="6E3997EC" w14:textId="09163B62" w:rsidR="001156C0" w:rsidRPr="00B36A61" w:rsidRDefault="00C85E26" w:rsidP="00474D40">
      <w:pPr>
        <w:pStyle w:val="Pamatteksts"/>
        <w:rPr>
          <w:noProof w:val="0"/>
          <w:color w:val="17365D"/>
        </w:rPr>
      </w:pPr>
      <w:r w:rsidRPr="00B36A61">
        <w:rPr>
          <w:noProof w:val="0"/>
          <w:color w:val="17365D"/>
        </w:rPr>
        <w:t>Būtiskākie b</w:t>
      </w:r>
      <w:r w:rsidR="007A09E6" w:rsidRPr="00B36A61">
        <w:rPr>
          <w:noProof w:val="0"/>
          <w:color w:val="17365D"/>
        </w:rPr>
        <w:t xml:space="preserve">udžeta izdevumi atbilstoši </w:t>
      </w:r>
      <w:r w:rsidR="007A09E6" w:rsidRPr="00B36A61">
        <w:rPr>
          <w:noProof w:val="0"/>
          <w:color w:val="17365D"/>
          <w:u w:val="single"/>
        </w:rPr>
        <w:t>funkcionālajām kategorijām</w:t>
      </w:r>
      <w:r w:rsidR="007A09E6" w:rsidRPr="00B36A61">
        <w:rPr>
          <w:noProof w:val="0"/>
          <w:color w:val="17365D"/>
        </w:rPr>
        <w:t xml:space="preserve"> </w:t>
      </w:r>
      <w:r w:rsidR="00DF487C" w:rsidRPr="00B36A61">
        <w:rPr>
          <w:color w:val="17365D"/>
        </w:rPr>
        <w:t xml:space="preserve">(turpmāk – funkcijas) </w:t>
      </w:r>
      <w:r w:rsidR="008F2503" w:rsidRPr="00B36A61">
        <w:rPr>
          <w:noProof w:val="0"/>
          <w:color w:val="17365D"/>
        </w:rPr>
        <w:t>20</w:t>
      </w:r>
      <w:r w:rsidR="00523FC0" w:rsidRPr="00B36A61">
        <w:rPr>
          <w:noProof w:val="0"/>
          <w:color w:val="17365D"/>
        </w:rPr>
        <w:t>2</w:t>
      </w:r>
      <w:r w:rsidR="006D2861" w:rsidRPr="00B36A61">
        <w:rPr>
          <w:noProof w:val="0"/>
          <w:color w:val="17365D"/>
        </w:rPr>
        <w:t>2</w:t>
      </w:r>
      <w:r w:rsidR="008F2503" w:rsidRPr="00B36A61">
        <w:rPr>
          <w:noProof w:val="0"/>
          <w:color w:val="17365D"/>
        </w:rPr>
        <w:t>. gad</w:t>
      </w:r>
      <w:r w:rsidR="007A09E6" w:rsidRPr="00B36A61">
        <w:rPr>
          <w:noProof w:val="0"/>
          <w:color w:val="17365D"/>
        </w:rPr>
        <w:t xml:space="preserve">ā </w:t>
      </w:r>
      <w:r w:rsidRPr="00B36A61">
        <w:rPr>
          <w:noProof w:val="0"/>
          <w:color w:val="17365D"/>
        </w:rPr>
        <w:t>veikti</w:t>
      </w:r>
      <w:r w:rsidR="007A09E6" w:rsidRPr="00B36A61">
        <w:rPr>
          <w:noProof w:val="0"/>
          <w:color w:val="17365D"/>
        </w:rPr>
        <w:t xml:space="preserve"> </w:t>
      </w:r>
      <w:r w:rsidR="001D7D3F" w:rsidRPr="00B36A61">
        <w:rPr>
          <w:noProof w:val="0"/>
          <w:color w:val="17365D"/>
        </w:rPr>
        <w:t>sociālās aizsardzības</w:t>
      </w:r>
      <w:r w:rsidR="00677F96" w:rsidRPr="00B36A61">
        <w:rPr>
          <w:noProof w:val="0"/>
          <w:color w:val="17365D"/>
        </w:rPr>
        <w:t xml:space="preserve"> jomā</w:t>
      </w:r>
      <w:r w:rsidR="007A09E6" w:rsidRPr="00B36A61">
        <w:rPr>
          <w:noProof w:val="0"/>
          <w:color w:val="17365D"/>
        </w:rPr>
        <w:t xml:space="preserve">, kas veido </w:t>
      </w:r>
      <w:r w:rsidR="006D2861" w:rsidRPr="00B36A61">
        <w:rPr>
          <w:noProof w:val="0"/>
          <w:color w:val="17365D"/>
        </w:rPr>
        <w:t>4 489</w:t>
      </w:r>
      <w:r w:rsidR="007A09E6" w:rsidRPr="00B36A61">
        <w:rPr>
          <w:noProof w:val="0"/>
          <w:color w:val="17365D"/>
        </w:rPr>
        <w:t>,</w:t>
      </w:r>
      <w:r w:rsidR="006D2861" w:rsidRPr="00B36A61">
        <w:rPr>
          <w:noProof w:val="0"/>
          <w:color w:val="17365D"/>
        </w:rPr>
        <w:t>6</w:t>
      </w:r>
      <w:r w:rsidR="00536DFF" w:rsidRPr="00B36A61">
        <w:rPr>
          <w:noProof w:val="0"/>
          <w:color w:val="17365D"/>
        </w:rPr>
        <w:t> </w:t>
      </w:r>
      <w:r w:rsidR="00F820BF" w:rsidRPr="00B36A61">
        <w:rPr>
          <w:noProof w:val="0"/>
          <w:color w:val="17365D"/>
        </w:rPr>
        <w:t>milj. </w:t>
      </w:r>
      <w:r w:rsidR="00F820BF" w:rsidRPr="00B36A61">
        <w:rPr>
          <w:i/>
          <w:noProof w:val="0"/>
          <w:color w:val="17365D"/>
        </w:rPr>
        <w:t>euro</w:t>
      </w:r>
      <w:r w:rsidR="007A09E6" w:rsidRPr="00B36A61">
        <w:rPr>
          <w:noProof w:val="0"/>
          <w:color w:val="17365D"/>
        </w:rPr>
        <w:t xml:space="preserve"> </w:t>
      </w:r>
      <w:r w:rsidR="00A976C0" w:rsidRPr="00B36A61">
        <w:rPr>
          <w:noProof w:val="0"/>
          <w:color w:val="17365D"/>
        </w:rPr>
        <w:t xml:space="preserve">vērtībā </w:t>
      </w:r>
      <w:r w:rsidR="007A09E6" w:rsidRPr="00B36A61">
        <w:rPr>
          <w:noProof w:val="0"/>
          <w:color w:val="17365D"/>
        </w:rPr>
        <w:t xml:space="preserve">jeb </w:t>
      </w:r>
      <w:r w:rsidR="000F5D93" w:rsidRPr="00B36A61">
        <w:rPr>
          <w:noProof w:val="0"/>
          <w:color w:val="17365D"/>
        </w:rPr>
        <w:t>33</w:t>
      </w:r>
      <w:r w:rsidR="00E13409" w:rsidRPr="00B36A61">
        <w:rPr>
          <w:noProof w:val="0"/>
          <w:color w:val="17365D"/>
        </w:rPr>
        <w:t>,</w:t>
      </w:r>
      <w:r w:rsidR="006D2861" w:rsidRPr="00B36A61">
        <w:rPr>
          <w:noProof w:val="0"/>
          <w:color w:val="17365D"/>
        </w:rPr>
        <w:t>0</w:t>
      </w:r>
      <w:r w:rsidR="006A7956" w:rsidRPr="00B36A61">
        <w:rPr>
          <w:noProof w:val="0"/>
          <w:color w:val="17365D"/>
        </w:rPr>
        <w:t> %</w:t>
      </w:r>
      <w:r w:rsidR="007A09E6" w:rsidRPr="00B36A61">
        <w:rPr>
          <w:noProof w:val="0"/>
          <w:color w:val="17365D"/>
        </w:rPr>
        <w:t xml:space="preserve"> no va</w:t>
      </w:r>
      <w:r w:rsidRPr="00B36A61">
        <w:rPr>
          <w:noProof w:val="0"/>
          <w:color w:val="17365D"/>
        </w:rPr>
        <w:t>lsts konsolidētajiem izdevumiem,</w:t>
      </w:r>
      <w:r w:rsidR="007A09E6" w:rsidRPr="00B36A61">
        <w:rPr>
          <w:noProof w:val="0"/>
          <w:color w:val="17365D"/>
        </w:rPr>
        <w:t xml:space="preserve"> </w:t>
      </w:r>
      <w:r w:rsidR="002A0B3F" w:rsidRPr="00B36A61">
        <w:rPr>
          <w:noProof w:val="0"/>
          <w:color w:val="17365D"/>
        </w:rPr>
        <w:t>ekonomiskajai darbībai</w:t>
      </w:r>
      <w:r w:rsidR="008E6424" w:rsidRPr="00B36A61">
        <w:rPr>
          <w:noProof w:val="0"/>
          <w:color w:val="17365D"/>
        </w:rPr>
        <w:t xml:space="preserve"> – 2 </w:t>
      </w:r>
      <w:r w:rsidR="006D2861" w:rsidRPr="00B36A61">
        <w:rPr>
          <w:noProof w:val="0"/>
          <w:color w:val="17365D"/>
        </w:rPr>
        <w:t>419</w:t>
      </w:r>
      <w:r w:rsidR="008E6424" w:rsidRPr="00B36A61">
        <w:rPr>
          <w:noProof w:val="0"/>
          <w:color w:val="17365D"/>
        </w:rPr>
        <w:t>,</w:t>
      </w:r>
      <w:r w:rsidR="006D2861" w:rsidRPr="00B36A61">
        <w:rPr>
          <w:noProof w:val="0"/>
          <w:color w:val="17365D"/>
        </w:rPr>
        <w:t>0</w:t>
      </w:r>
      <w:r w:rsidR="008E6424" w:rsidRPr="00B36A61">
        <w:rPr>
          <w:noProof w:val="0"/>
          <w:color w:val="17365D"/>
        </w:rPr>
        <w:t> milj. </w:t>
      </w:r>
      <w:r w:rsidR="008E6424" w:rsidRPr="00B36A61">
        <w:rPr>
          <w:i/>
          <w:noProof w:val="0"/>
          <w:color w:val="17365D"/>
        </w:rPr>
        <w:t>euro</w:t>
      </w:r>
      <w:r w:rsidR="008E6424" w:rsidRPr="00B36A61">
        <w:rPr>
          <w:noProof w:val="0"/>
          <w:color w:val="17365D"/>
        </w:rPr>
        <w:t xml:space="preserve"> vērtībā jeb 1</w:t>
      </w:r>
      <w:r w:rsidR="006D2861" w:rsidRPr="00B36A61">
        <w:rPr>
          <w:noProof w:val="0"/>
          <w:color w:val="17365D"/>
        </w:rPr>
        <w:t>7</w:t>
      </w:r>
      <w:r w:rsidR="008E6424" w:rsidRPr="00B36A61">
        <w:rPr>
          <w:noProof w:val="0"/>
          <w:color w:val="17365D"/>
        </w:rPr>
        <w:t>,</w:t>
      </w:r>
      <w:r w:rsidR="006D2861" w:rsidRPr="00B36A61">
        <w:rPr>
          <w:noProof w:val="0"/>
          <w:color w:val="17365D"/>
        </w:rPr>
        <w:t>8</w:t>
      </w:r>
      <w:r w:rsidR="008E6424" w:rsidRPr="00B36A61">
        <w:rPr>
          <w:noProof w:val="0"/>
          <w:color w:val="17365D"/>
        </w:rPr>
        <w:t xml:space="preserve"> % no </w:t>
      </w:r>
      <w:r w:rsidR="007B7E2B" w:rsidRPr="00B36A61">
        <w:rPr>
          <w:noProof w:val="0"/>
          <w:color w:val="17365D"/>
        </w:rPr>
        <w:t xml:space="preserve">valsts konsolidētajiem izdevumiem, </w:t>
      </w:r>
      <w:r w:rsidR="008E6424" w:rsidRPr="00B36A61">
        <w:rPr>
          <w:noProof w:val="0"/>
          <w:color w:val="17365D"/>
        </w:rPr>
        <w:t xml:space="preserve">un </w:t>
      </w:r>
      <w:r w:rsidR="00C873D7" w:rsidRPr="00B36A61">
        <w:rPr>
          <w:noProof w:val="0"/>
          <w:color w:val="17365D"/>
        </w:rPr>
        <w:t>veselības</w:t>
      </w:r>
      <w:r w:rsidR="00523FC0" w:rsidRPr="00B36A61">
        <w:rPr>
          <w:noProof w:val="0"/>
          <w:color w:val="17365D"/>
        </w:rPr>
        <w:t xml:space="preserve"> jomā </w:t>
      </w:r>
      <w:r w:rsidR="009E5E16" w:rsidRPr="00B36A61">
        <w:rPr>
          <w:noProof w:val="0"/>
          <w:color w:val="17365D"/>
        </w:rPr>
        <w:t xml:space="preserve">tie </w:t>
      </w:r>
      <w:r w:rsidR="00E13409" w:rsidRPr="00B36A61">
        <w:rPr>
          <w:noProof w:val="0"/>
          <w:color w:val="17365D"/>
        </w:rPr>
        <w:t>ir 1 </w:t>
      </w:r>
      <w:r w:rsidR="006D2861" w:rsidRPr="00B36A61">
        <w:rPr>
          <w:noProof w:val="0"/>
          <w:color w:val="17365D"/>
        </w:rPr>
        <w:t>901</w:t>
      </w:r>
      <w:r w:rsidR="00E13409" w:rsidRPr="00B36A61">
        <w:rPr>
          <w:noProof w:val="0"/>
          <w:color w:val="17365D"/>
        </w:rPr>
        <w:t>,</w:t>
      </w:r>
      <w:r w:rsidR="006D2861" w:rsidRPr="00B36A61">
        <w:rPr>
          <w:noProof w:val="0"/>
          <w:color w:val="17365D"/>
        </w:rPr>
        <w:t>7</w:t>
      </w:r>
      <w:r w:rsidR="00523FC0" w:rsidRPr="00B36A61">
        <w:rPr>
          <w:noProof w:val="0"/>
          <w:color w:val="17365D"/>
        </w:rPr>
        <w:t> milj. </w:t>
      </w:r>
      <w:r w:rsidR="00523FC0" w:rsidRPr="00B36A61">
        <w:rPr>
          <w:i/>
          <w:noProof w:val="0"/>
          <w:color w:val="17365D"/>
        </w:rPr>
        <w:t>euro</w:t>
      </w:r>
      <w:r w:rsidR="00523FC0" w:rsidRPr="00B36A61">
        <w:rPr>
          <w:noProof w:val="0"/>
          <w:color w:val="17365D"/>
        </w:rPr>
        <w:t xml:space="preserve"> </w:t>
      </w:r>
      <w:r w:rsidR="00A976C0" w:rsidRPr="00B36A61">
        <w:rPr>
          <w:noProof w:val="0"/>
          <w:color w:val="17365D"/>
        </w:rPr>
        <w:t xml:space="preserve">vērtībā </w:t>
      </w:r>
      <w:r w:rsidR="00523FC0" w:rsidRPr="00B36A61">
        <w:rPr>
          <w:noProof w:val="0"/>
          <w:color w:val="17365D"/>
        </w:rPr>
        <w:t xml:space="preserve">jeb </w:t>
      </w:r>
      <w:r w:rsidR="000F5D93" w:rsidRPr="00B36A61">
        <w:rPr>
          <w:noProof w:val="0"/>
          <w:color w:val="17365D"/>
        </w:rPr>
        <w:t>1</w:t>
      </w:r>
      <w:r w:rsidR="00C873D7" w:rsidRPr="00B36A61">
        <w:rPr>
          <w:noProof w:val="0"/>
          <w:color w:val="17365D"/>
        </w:rPr>
        <w:t>4</w:t>
      </w:r>
      <w:r w:rsidR="00523FC0" w:rsidRPr="00B36A61">
        <w:rPr>
          <w:noProof w:val="0"/>
          <w:color w:val="17365D"/>
        </w:rPr>
        <w:t>,</w:t>
      </w:r>
      <w:r w:rsidR="006D2861" w:rsidRPr="00B36A61">
        <w:rPr>
          <w:noProof w:val="0"/>
          <w:color w:val="17365D"/>
        </w:rPr>
        <w:t>0</w:t>
      </w:r>
      <w:r w:rsidR="00523FC0" w:rsidRPr="00B36A61">
        <w:rPr>
          <w:noProof w:val="0"/>
          <w:color w:val="17365D"/>
        </w:rPr>
        <w:t xml:space="preserve"> % no </w:t>
      </w:r>
      <w:r w:rsidR="007B7E2B" w:rsidRPr="00B36A61">
        <w:rPr>
          <w:noProof w:val="0"/>
          <w:color w:val="17365D"/>
        </w:rPr>
        <w:t xml:space="preserve">valsts konsolidētajiem izdevumiem </w:t>
      </w:r>
      <w:r w:rsidR="007A09E6" w:rsidRPr="00B36A61">
        <w:rPr>
          <w:noProof w:val="0"/>
          <w:color w:val="17365D"/>
        </w:rPr>
        <w:t>(skatīt 2.</w:t>
      </w:r>
      <w:r w:rsidR="007F357D" w:rsidRPr="00B36A61">
        <w:rPr>
          <w:noProof w:val="0"/>
          <w:color w:val="17365D"/>
        </w:rPr>
        <w:t> </w:t>
      </w:r>
      <w:r w:rsidR="007A09E6" w:rsidRPr="00B36A61">
        <w:rPr>
          <w:noProof w:val="0"/>
          <w:color w:val="17365D"/>
        </w:rPr>
        <w:t>attēlu).</w:t>
      </w:r>
    </w:p>
    <w:p w14:paraId="32D6976D" w14:textId="2D0DFA4B" w:rsidR="00694E66" w:rsidRPr="00B36A61" w:rsidRDefault="00C65DF9" w:rsidP="005C2920">
      <w:pPr>
        <w:pStyle w:val="Pamatteksts"/>
        <w:ind w:firstLine="0"/>
        <w:rPr>
          <w:noProof w:val="0"/>
          <w:color w:val="17365D"/>
        </w:rPr>
      </w:pPr>
      <w:r w:rsidRPr="00B36A61">
        <w:rPr>
          <w:color w:val="17365D"/>
        </w:rPr>
        <w:drawing>
          <wp:inline distT="0" distB="0" distL="0" distR="0" wp14:anchorId="0C47DF93" wp14:editId="76420A00">
            <wp:extent cx="5652770" cy="3819525"/>
            <wp:effectExtent l="0" t="0" r="508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C986FB3" w14:textId="7BBFF2D0" w:rsidR="004F6D35" w:rsidRPr="00B36A61" w:rsidRDefault="0099580E" w:rsidP="00D22434">
      <w:pPr>
        <w:pStyle w:val="Attlanosaukums"/>
        <w:ind w:firstLine="0"/>
        <w:rPr>
          <w:noProof w:val="0"/>
          <w:color w:val="17365D"/>
          <w:sz w:val="20"/>
        </w:rPr>
      </w:pPr>
      <w:r w:rsidRPr="00B36A61">
        <w:rPr>
          <w:noProof w:val="0"/>
          <w:color w:val="17365D"/>
          <w:sz w:val="20"/>
        </w:rPr>
        <w:t>2.</w:t>
      </w:r>
      <w:r w:rsidR="007F357D" w:rsidRPr="00B36A61">
        <w:rPr>
          <w:noProof w:val="0"/>
          <w:color w:val="17365D"/>
          <w:sz w:val="20"/>
        </w:rPr>
        <w:t> </w:t>
      </w:r>
      <w:r w:rsidRPr="00B36A61">
        <w:rPr>
          <w:noProof w:val="0"/>
          <w:color w:val="17365D"/>
          <w:sz w:val="20"/>
        </w:rPr>
        <w:t>attēls. Valsts konsolidētā budžeta izdevumu pa funkci</w:t>
      </w:r>
      <w:r w:rsidR="00B51F4B" w:rsidRPr="00B36A61">
        <w:rPr>
          <w:noProof w:val="0"/>
          <w:color w:val="17365D"/>
          <w:sz w:val="20"/>
        </w:rPr>
        <w:t xml:space="preserve">onālajām kategorijām </w:t>
      </w:r>
      <w:r w:rsidR="00514C16" w:rsidRPr="00B36A61">
        <w:rPr>
          <w:noProof w:val="0"/>
          <w:color w:val="17365D"/>
          <w:sz w:val="20"/>
        </w:rPr>
        <w:t>20</w:t>
      </w:r>
      <w:r w:rsidR="00AE4BAE" w:rsidRPr="00B36A61">
        <w:rPr>
          <w:noProof w:val="0"/>
          <w:color w:val="17365D"/>
          <w:sz w:val="20"/>
        </w:rPr>
        <w:t>2</w:t>
      </w:r>
      <w:r w:rsidR="000F089F" w:rsidRPr="00B36A61">
        <w:rPr>
          <w:noProof w:val="0"/>
          <w:color w:val="17365D"/>
          <w:sz w:val="20"/>
        </w:rPr>
        <w:t>1</w:t>
      </w:r>
      <w:r w:rsidR="00514C16" w:rsidRPr="00B36A61">
        <w:rPr>
          <w:noProof w:val="0"/>
          <w:color w:val="17365D"/>
          <w:sz w:val="20"/>
        </w:rPr>
        <w:t>. gadā un 20</w:t>
      </w:r>
      <w:r w:rsidR="00A57595" w:rsidRPr="00B36A61">
        <w:rPr>
          <w:noProof w:val="0"/>
          <w:color w:val="17365D"/>
          <w:sz w:val="20"/>
        </w:rPr>
        <w:t>2</w:t>
      </w:r>
      <w:r w:rsidR="000F089F" w:rsidRPr="00B36A61">
        <w:rPr>
          <w:noProof w:val="0"/>
          <w:color w:val="17365D"/>
          <w:sz w:val="20"/>
        </w:rPr>
        <w:t>2</w:t>
      </w:r>
      <w:r w:rsidR="00514C16" w:rsidRPr="00B36A61">
        <w:rPr>
          <w:noProof w:val="0"/>
          <w:color w:val="17365D"/>
          <w:sz w:val="20"/>
        </w:rPr>
        <w:t>. gadā</w:t>
      </w:r>
    </w:p>
    <w:p w14:paraId="0D13383E" w14:textId="0CB458D2" w:rsidR="00565876" w:rsidRPr="00B36A61" w:rsidRDefault="00565876" w:rsidP="000659AE">
      <w:pPr>
        <w:pStyle w:val="Heading1"/>
        <w:rPr>
          <w:b w:val="0"/>
          <w:bCs w:val="0"/>
          <w:noProof w:val="0"/>
          <w:color w:val="17365D"/>
        </w:rPr>
      </w:pPr>
      <w:r w:rsidRPr="00B36A61">
        <w:rPr>
          <w:rFonts w:cs="Times New Roman"/>
          <w:color w:val="17365D"/>
        </w:rPr>
        <w:t>Konsolidētā valsts budžeta i</w:t>
      </w:r>
      <w:r w:rsidR="00A01665" w:rsidRPr="00B36A61">
        <w:rPr>
          <w:rFonts w:cs="Times New Roman"/>
          <w:color w:val="17365D"/>
        </w:rPr>
        <w:t>eņēmumi</w:t>
      </w:r>
    </w:p>
    <w:p w14:paraId="3EA08517" w14:textId="6E97E514" w:rsidR="0099580E" w:rsidRPr="00B36A61" w:rsidRDefault="00791BEC" w:rsidP="006945F6">
      <w:pPr>
        <w:pStyle w:val="Pamatteksts"/>
        <w:rPr>
          <w:noProof w:val="0"/>
          <w:color w:val="17365D"/>
        </w:rPr>
      </w:pPr>
      <w:r w:rsidRPr="00B36A61">
        <w:rPr>
          <w:b/>
          <w:color w:val="17365D"/>
        </w:rPr>
        <mc:AlternateContent>
          <mc:Choice Requires="wps">
            <w:drawing>
              <wp:anchor distT="0" distB="0" distL="114300" distR="114300" simplePos="0" relativeHeight="251665920" behindDoc="1" locked="0" layoutInCell="1" allowOverlap="1" wp14:anchorId="2AF1621B" wp14:editId="757016FF">
                <wp:simplePos x="0" y="0"/>
                <wp:positionH relativeFrom="column">
                  <wp:posOffset>4249932</wp:posOffset>
                </wp:positionH>
                <wp:positionV relativeFrom="paragraph">
                  <wp:posOffset>11932</wp:posOffset>
                </wp:positionV>
                <wp:extent cx="1680845" cy="1148080"/>
                <wp:effectExtent l="0" t="0" r="14605" b="13970"/>
                <wp:wrapTight wrapText="bothSides">
                  <wp:wrapPolygon edited="0">
                    <wp:start x="0" y="0"/>
                    <wp:lineTo x="0" y="21504"/>
                    <wp:lineTo x="21543" y="21504"/>
                    <wp:lineTo x="21543" y="0"/>
                    <wp:lineTo x="0" y="0"/>
                  </wp:wrapPolygon>
                </wp:wrapTight>
                <wp:docPr id="29" name="Rectangle 29"/>
                <wp:cNvGraphicFramePr/>
                <a:graphic xmlns:a="http://schemas.openxmlformats.org/drawingml/2006/main">
                  <a:graphicData uri="http://schemas.microsoft.com/office/word/2010/wordprocessingShape">
                    <wps:wsp>
                      <wps:cNvSpPr/>
                      <wps:spPr>
                        <a:xfrm>
                          <a:off x="0" y="0"/>
                          <a:ext cx="1680845" cy="1148080"/>
                        </a:xfrm>
                        <a:prstGeom prst="rect">
                          <a:avLst/>
                        </a:prstGeom>
                        <a:solidFill>
                          <a:sysClr val="window" lastClr="FFFFFF"/>
                        </a:solidFill>
                        <a:ln w="25400" cap="flat" cmpd="sng" algn="ctr">
                          <a:solidFill>
                            <a:srgbClr val="17365D"/>
                          </a:solidFill>
                          <a:prstDash val="sysDot"/>
                        </a:ln>
                        <a:effectLst/>
                      </wps:spPr>
                      <wps:txbx>
                        <w:txbxContent>
                          <w:p w14:paraId="6BC20AF5" w14:textId="77777777" w:rsidR="00B36A61" w:rsidRPr="00AC4394" w:rsidRDefault="00B36A61" w:rsidP="004B1D14">
                            <w:pPr>
                              <w:ind w:firstLine="0"/>
                              <w:jc w:val="center"/>
                              <w:rPr>
                                <w:color w:val="17365D"/>
                              </w:rPr>
                            </w:pPr>
                            <w:r w:rsidRPr="00AC4394">
                              <w:rPr>
                                <w:color w:val="17365D"/>
                              </w:rPr>
                              <w:t>Pievienotās vērtības nodokļa ieņēmumi –</w:t>
                            </w:r>
                          </w:p>
                          <w:p w14:paraId="0E2B401C" w14:textId="22D22F95" w:rsidR="00B36A61" w:rsidRPr="00AC4394" w:rsidRDefault="00B36A61" w:rsidP="002A7B83">
                            <w:pPr>
                              <w:ind w:firstLine="0"/>
                              <w:jc w:val="center"/>
                              <w:rPr>
                                <w:b/>
                                <w:color w:val="17365D"/>
                              </w:rPr>
                            </w:pPr>
                            <w:r w:rsidRPr="00897FA2">
                              <w:rPr>
                                <w:b/>
                                <w:color w:val="17365D"/>
                              </w:rPr>
                              <w:t>3</w:t>
                            </w:r>
                            <w:r>
                              <w:rPr>
                                <w:b/>
                                <w:color w:val="17365D"/>
                              </w:rPr>
                              <w:t xml:space="preserve"> </w:t>
                            </w:r>
                            <w:r w:rsidRPr="00897FA2">
                              <w:rPr>
                                <w:b/>
                                <w:color w:val="17365D"/>
                              </w:rPr>
                              <w:t>558</w:t>
                            </w:r>
                            <w:r>
                              <w:rPr>
                                <w:b/>
                                <w:color w:val="17365D"/>
                              </w:rPr>
                              <w:t xml:space="preserve"> </w:t>
                            </w:r>
                            <w:r w:rsidRPr="00897FA2">
                              <w:rPr>
                                <w:b/>
                                <w:color w:val="17365D"/>
                              </w:rPr>
                              <w:t>670</w:t>
                            </w:r>
                            <w:r>
                              <w:rPr>
                                <w:b/>
                                <w:color w:val="17365D"/>
                              </w:rPr>
                              <w:t xml:space="preserve"> </w:t>
                            </w:r>
                            <w:r w:rsidRPr="00897FA2">
                              <w:rPr>
                                <w:b/>
                                <w:color w:val="17365D"/>
                              </w:rPr>
                              <w:t>960</w:t>
                            </w:r>
                            <w:r>
                              <w:rPr>
                                <w:b/>
                                <w:color w:val="17365D"/>
                              </w:rPr>
                              <w:t xml:space="preserve"> </w:t>
                            </w:r>
                            <w:r w:rsidRPr="00AC4394">
                              <w:rPr>
                                <w:i/>
                                <w:color w:val="17365D"/>
                              </w:rPr>
                              <w:t>euro</w:t>
                            </w:r>
                          </w:p>
                          <w:p w14:paraId="62CC0D27" w14:textId="51D95A33" w:rsidR="00B36A61" w:rsidRPr="00AC4394" w:rsidRDefault="00B36A61" w:rsidP="004B1D14">
                            <w:pPr>
                              <w:ind w:firstLine="0"/>
                              <w:jc w:val="center"/>
                              <w:rPr>
                                <w:color w:val="17365D"/>
                              </w:rPr>
                            </w:pPr>
                            <w:r>
                              <w:rPr>
                                <w:color w:val="17365D"/>
                              </w:rPr>
                              <w:t>42</w:t>
                            </w:r>
                            <w:r w:rsidRPr="00AC4394">
                              <w:rPr>
                                <w:color w:val="17365D"/>
                              </w:rPr>
                              <w:t>,</w:t>
                            </w:r>
                            <w:r>
                              <w:rPr>
                                <w:color w:val="17365D"/>
                              </w:rPr>
                              <w:t>8</w:t>
                            </w:r>
                            <w:r w:rsidRPr="00AC4394">
                              <w:rPr>
                                <w:color w:val="17365D"/>
                              </w:rPr>
                              <w:t> % no ieņēmumiem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1621B" id="Rectangle 29" o:spid="_x0000_s1028" style="position:absolute;left:0;text-align:left;margin-left:334.65pt;margin-top:.95pt;width:132.35pt;height:90.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" fillcolor="window" strokecolor="#17365d" strokeweight="2pt">
                <v:stroke dashstyle="1 1"/>
                <v:textbox>
                  <w:txbxContent>
                    <w:p w14:paraId="6BC20AF5" w14:textId="77777777" w:rsidR="00B36A61" w:rsidRPr="00AC4394" w:rsidRDefault="00B36A61" w:rsidP="004B1D14">
                      <w:pPr>
                        <w:ind w:firstLine="0"/>
                        <w:jc w:val="center"/>
                        <w:rPr>
                          <w:color w:val="17365D"/>
                        </w:rPr>
                      </w:pPr>
                      <w:r w:rsidRPr="00AC4394">
                        <w:rPr>
                          <w:color w:val="17365D"/>
                        </w:rPr>
                        <w:t>Pievienotās vērtības nodokļa ieņēmumi –</w:t>
                      </w:r>
                    </w:p>
                    <w:p w14:paraId="0E2B401C" w14:textId="22D22F95" w:rsidR="00B36A61" w:rsidRPr="00AC4394" w:rsidRDefault="00B36A61" w:rsidP="002A7B83">
                      <w:pPr>
                        <w:ind w:firstLine="0"/>
                        <w:jc w:val="center"/>
                        <w:rPr>
                          <w:b/>
                          <w:color w:val="17365D"/>
                        </w:rPr>
                      </w:pPr>
                      <w:r w:rsidRPr="00897FA2">
                        <w:rPr>
                          <w:b/>
                          <w:color w:val="17365D"/>
                        </w:rPr>
                        <w:t>3</w:t>
                      </w:r>
                      <w:r>
                        <w:rPr>
                          <w:b/>
                          <w:color w:val="17365D"/>
                        </w:rPr>
                        <w:t xml:space="preserve"> </w:t>
                      </w:r>
                      <w:r w:rsidRPr="00897FA2">
                        <w:rPr>
                          <w:b/>
                          <w:color w:val="17365D"/>
                        </w:rPr>
                        <w:t>558</w:t>
                      </w:r>
                      <w:r>
                        <w:rPr>
                          <w:b/>
                          <w:color w:val="17365D"/>
                        </w:rPr>
                        <w:t xml:space="preserve"> </w:t>
                      </w:r>
                      <w:r w:rsidRPr="00897FA2">
                        <w:rPr>
                          <w:b/>
                          <w:color w:val="17365D"/>
                        </w:rPr>
                        <w:t>670</w:t>
                      </w:r>
                      <w:r>
                        <w:rPr>
                          <w:b/>
                          <w:color w:val="17365D"/>
                        </w:rPr>
                        <w:t xml:space="preserve"> </w:t>
                      </w:r>
                      <w:r w:rsidRPr="00897FA2">
                        <w:rPr>
                          <w:b/>
                          <w:color w:val="17365D"/>
                        </w:rPr>
                        <w:t>960</w:t>
                      </w:r>
                      <w:r>
                        <w:rPr>
                          <w:b/>
                          <w:color w:val="17365D"/>
                        </w:rPr>
                        <w:t xml:space="preserve"> </w:t>
                      </w:r>
                      <w:r w:rsidRPr="00AC4394">
                        <w:rPr>
                          <w:i/>
                          <w:color w:val="17365D"/>
                        </w:rPr>
                        <w:t>euro</w:t>
                      </w:r>
                    </w:p>
                    <w:p w14:paraId="62CC0D27" w14:textId="51D95A33" w:rsidR="00B36A61" w:rsidRPr="00AC4394" w:rsidRDefault="00B36A61" w:rsidP="004B1D14">
                      <w:pPr>
                        <w:ind w:firstLine="0"/>
                        <w:jc w:val="center"/>
                        <w:rPr>
                          <w:color w:val="17365D"/>
                        </w:rPr>
                      </w:pPr>
                      <w:r>
                        <w:rPr>
                          <w:color w:val="17365D"/>
                        </w:rPr>
                        <w:t>42</w:t>
                      </w:r>
                      <w:r w:rsidRPr="00AC4394">
                        <w:rPr>
                          <w:color w:val="17365D"/>
                        </w:rPr>
                        <w:t>,</w:t>
                      </w:r>
                      <w:r>
                        <w:rPr>
                          <w:color w:val="17365D"/>
                        </w:rPr>
                        <w:t>8</w:t>
                      </w:r>
                      <w:r w:rsidRPr="00AC4394">
                        <w:rPr>
                          <w:color w:val="17365D"/>
                        </w:rPr>
                        <w:t> % no ieņēmumiem</w:t>
                      </w:r>
                    </w:p>
                  </w:txbxContent>
                </v:textbox>
                <w10:wrap type="tight"/>
              </v:rect>
            </w:pict>
          </mc:Fallback>
        </mc:AlternateContent>
      </w:r>
      <w:r w:rsidR="0099580E" w:rsidRPr="00B36A61">
        <w:rPr>
          <w:bCs/>
          <w:noProof w:val="0"/>
          <w:color w:val="17365D"/>
        </w:rPr>
        <w:t xml:space="preserve">Valsts pamatbudžeta </w:t>
      </w:r>
      <w:r w:rsidR="0099580E" w:rsidRPr="00B36A61">
        <w:rPr>
          <w:bCs/>
          <w:noProof w:val="0"/>
          <w:color w:val="17365D"/>
          <w:u w:val="single"/>
        </w:rPr>
        <w:t>ieņēmumos</w:t>
      </w:r>
      <w:r w:rsidR="0099580E" w:rsidRPr="00B36A61">
        <w:rPr>
          <w:noProof w:val="0"/>
          <w:color w:val="17365D"/>
        </w:rPr>
        <w:t xml:space="preserve"> </w:t>
      </w:r>
      <w:r w:rsidR="008F2503" w:rsidRPr="00B36A61">
        <w:rPr>
          <w:noProof w:val="0"/>
          <w:color w:val="17365D"/>
        </w:rPr>
        <w:t>20</w:t>
      </w:r>
      <w:r w:rsidR="002B0F23" w:rsidRPr="00B36A61">
        <w:rPr>
          <w:noProof w:val="0"/>
          <w:color w:val="17365D"/>
        </w:rPr>
        <w:t>2</w:t>
      </w:r>
      <w:r w:rsidR="00FB0B69" w:rsidRPr="00B36A61">
        <w:rPr>
          <w:noProof w:val="0"/>
          <w:color w:val="17365D"/>
        </w:rPr>
        <w:t>2</w:t>
      </w:r>
      <w:r w:rsidR="008F2503" w:rsidRPr="00B36A61">
        <w:rPr>
          <w:noProof w:val="0"/>
          <w:color w:val="17365D"/>
        </w:rPr>
        <w:t>. gad</w:t>
      </w:r>
      <w:r w:rsidR="0099580E" w:rsidRPr="00B36A61">
        <w:rPr>
          <w:noProof w:val="0"/>
          <w:color w:val="17365D"/>
        </w:rPr>
        <w:t xml:space="preserve">ā lielāko daļu veido </w:t>
      </w:r>
      <w:r w:rsidR="0099580E" w:rsidRPr="00B36A61">
        <w:rPr>
          <w:b/>
          <w:iCs/>
          <w:noProof w:val="0"/>
          <w:color w:val="17365D"/>
        </w:rPr>
        <w:t>nodokļu ieņēmumi</w:t>
      </w:r>
      <w:r w:rsidR="0099580E" w:rsidRPr="00B36A61">
        <w:rPr>
          <w:i/>
          <w:iCs/>
          <w:noProof w:val="0"/>
          <w:color w:val="17365D"/>
        </w:rPr>
        <w:t xml:space="preserve"> </w:t>
      </w:r>
      <w:r w:rsidR="00B865AD" w:rsidRPr="00B36A61">
        <w:rPr>
          <w:i/>
          <w:iCs/>
          <w:noProof w:val="0"/>
          <w:color w:val="17365D"/>
        </w:rPr>
        <w:t>–</w:t>
      </w:r>
      <w:r w:rsidR="006A7956" w:rsidRPr="00B36A61">
        <w:rPr>
          <w:i/>
          <w:iCs/>
          <w:noProof w:val="0"/>
          <w:color w:val="17365D"/>
        </w:rPr>
        <w:t xml:space="preserve"> </w:t>
      </w:r>
      <w:r w:rsidR="00FB0B69" w:rsidRPr="00B36A61">
        <w:rPr>
          <w:noProof w:val="0"/>
          <w:color w:val="17365D"/>
        </w:rPr>
        <w:t>6</w:t>
      </w:r>
      <w:r w:rsidR="0099580E" w:rsidRPr="00B36A61">
        <w:rPr>
          <w:noProof w:val="0"/>
          <w:color w:val="17365D"/>
        </w:rPr>
        <w:t> </w:t>
      </w:r>
      <w:r w:rsidR="00FB0B69" w:rsidRPr="00B36A61">
        <w:rPr>
          <w:noProof w:val="0"/>
          <w:color w:val="17365D"/>
        </w:rPr>
        <w:t>078</w:t>
      </w:r>
      <w:r w:rsidR="0099580E" w:rsidRPr="00B36A61">
        <w:rPr>
          <w:noProof w:val="0"/>
          <w:color w:val="17365D"/>
        </w:rPr>
        <w:t>,</w:t>
      </w:r>
      <w:r w:rsidR="00FB0B69" w:rsidRPr="00B36A61">
        <w:rPr>
          <w:noProof w:val="0"/>
          <w:color w:val="17365D"/>
        </w:rPr>
        <w:t>3</w:t>
      </w:r>
      <w:r w:rsidR="0099580E" w:rsidRPr="00B36A61">
        <w:rPr>
          <w:noProof w:val="0"/>
          <w:color w:val="17365D"/>
        </w:rPr>
        <w:t> milj.</w:t>
      </w:r>
      <w:r w:rsidR="00B72EAB" w:rsidRPr="00B36A61">
        <w:rPr>
          <w:noProof w:val="0"/>
          <w:color w:val="17365D"/>
        </w:rPr>
        <w:t> </w:t>
      </w:r>
      <w:r w:rsidR="00EF7B9A" w:rsidRPr="00B36A61">
        <w:rPr>
          <w:rStyle w:val="Piemrstxt"/>
          <w:rFonts w:ascii="Times New Roman" w:hAnsi="Times New Roman"/>
          <w:i/>
          <w:noProof w:val="0"/>
          <w:color w:val="17365D"/>
          <w:sz w:val="24"/>
        </w:rPr>
        <w:t>euro</w:t>
      </w:r>
      <w:r w:rsidR="003703B2" w:rsidRPr="00B36A61">
        <w:rPr>
          <w:noProof w:val="0"/>
          <w:color w:val="17365D"/>
        </w:rPr>
        <w:t xml:space="preserve"> </w:t>
      </w:r>
      <w:r w:rsidR="00A976C0" w:rsidRPr="00B36A61">
        <w:rPr>
          <w:noProof w:val="0"/>
          <w:color w:val="17365D"/>
        </w:rPr>
        <w:t xml:space="preserve">vērtībā </w:t>
      </w:r>
      <w:r w:rsidR="0099580E" w:rsidRPr="00B36A61">
        <w:rPr>
          <w:noProof w:val="0"/>
          <w:color w:val="17365D"/>
        </w:rPr>
        <w:t xml:space="preserve">jeb </w:t>
      </w:r>
      <w:r w:rsidR="00503D44" w:rsidRPr="00B36A61">
        <w:rPr>
          <w:noProof w:val="0"/>
          <w:color w:val="17365D"/>
        </w:rPr>
        <w:t>7</w:t>
      </w:r>
      <w:r w:rsidR="00FB0B69" w:rsidRPr="00B36A61">
        <w:rPr>
          <w:noProof w:val="0"/>
          <w:color w:val="17365D"/>
        </w:rPr>
        <w:t>3</w:t>
      </w:r>
      <w:r w:rsidR="0099580E" w:rsidRPr="00B36A61">
        <w:rPr>
          <w:noProof w:val="0"/>
          <w:color w:val="17365D"/>
        </w:rPr>
        <w:t>,</w:t>
      </w:r>
      <w:r w:rsidR="00FB0B69" w:rsidRPr="00B36A61">
        <w:rPr>
          <w:noProof w:val="0"/>
          <w:color w:val="17365D"/>
        </w:rPr>
        <w:t>2</w:t>
      </w:r>
      <w:r w:rsidR="006A7956" w:rsidRPr="00B36A61">
        <w:rPr>
          <w:noProof w:val="0"/>
          <w:color w:val="17365D"/>
        </w:rPr>
        <w:t> %</w:t>
      </w:r>
      <w:r w:rsidR="0099580E" w:rsidRPr="00B36A61">
        <w:rPr>
          <w:noProof w:val="0"/>
          <w:color w:val="17365D"/>
        </w:rPr>
        <w:t xml:space="preserve"> no ko</w:t>
      </w:r>
      <w:r w:rsidR="003C3051" w:rsidRPr="00B36A61">
        <w:rPr>
          <w:noProof w:val="0"/>
          <w:color w:val="17365D"/>
        </w:rPr>
        <w:t>pējās ieņēmumu summas.</w:t>
      </w:r>
      <w:r w:rsidR="004B7A9C" w:rsidRPr="00B36A61">
        <w:rPr>
          <w:noProof w:val="0"/>
          <w:color w:val="17365D"/>
        </w:rPr>
        <w:t xml:space="preserve"> Detalizēta informācija par va</w:t>
      </w:r>
      <w:r w:rsidR="000700B1" w:rsidRPr="00B36A61">
        <w:rPr>
          <w:noProof w:val="0"/>
          <w:color w:val="17365D"/>
        </w:rPr>
        <w:t xml:space="preserve">lsts budžeta ieņēmumiem skatāma </w:t>
      </w:r>
      <w:r w:rsidR="004B7A9C" w:rsidRPr="00B36A61">
        <w:rPr>
          <w:noProof w:val="0"/>
          <w:color w:val="17365D"/>
        </w:rPr>
        <w:t>20</w:t>
      </w:r>
      <w:r w:rsidR="002A7B83" w:rsidRPr="00B36A61">
        <w:rPr>
          <w:noProof w:val="0"/>
          <w:color w:val="17365D"/>
        </w:rPr>
        <w:t>2</w:t>
      </w:r>
      <w:r w:rsidR="00FB0B69" w:rsidRPr="00B36A61">
        <w:rPr>
          <w:noProof w:val="0"/>
          <w:color w:val="17365D"/>
        </w:rPr>
        <w:t>2</w:t>
      </w:r>
      <w:r w:rsidR="004B7A9C" w:rsidRPr="00B36A61">
        <w:rPr>
          <w:noProof w:val="0"/>
          <w:color w:val="17365D"/>
        </w:rPr>
        <w:t xml:space="preserve">. gada pārskata </w:t>
      </w:r>
      <w:r w:rsidR="00250F01" w:rsidRPr="00B36A61">
        <w:rPr>
          <w:noProof w:val="0"/>
          <w:color w:val="17365D"/>
        </w:rPr>
        <w:t>3.1.</w:t>
      </w:r>
      <w:r w:rsidR="00CA4CD6" w:rsidRPr="00B36A61">
        <w:rPr>
          <w:noProof w:val="0"/>
          <w:color w:val="17365D"/>
        </w:rPr>
        <w:t>2</w:t>
      </w:r>
      <w:r w:rsidR="004B7A9C" w:rsidRPr="00B36A61">
        <w:rPr>
          <w:noProof w:val="0"/>
          <w:color w:val="17365D"/>
        </w:rPr>
        <w:t>.</w:t>
      </w:r>
      <w:r w:rsidR="000700B1" w:rsidRPr="00B36A61">
        <w:rPr>
          <w:noProof w:val="0"/>
          <w:color w:val="17365D"/>
        </w:rPr>
        <w:t> </w:t>
      </w:r>
      <w:r w:rsidR="004B7A9C" w:rsidRPr="00B36A61">
        <w:rPr>
          <w:noProof w:val="0"/>
          <w:color w:val="17365D"/>
        </w:rPr>
        <w:t>pielikum</w:t>
      </w:r>
      <w:r w:rsidR="00677F96" w:rsidRPr="00B36A61">
        <w:rPr>
          <w:noProof w:val="0"/>
          <w:color w:val="17365D"/>
        </w:rPr>
        <w:t>a</w:t>
      </w:r>
      <w:r w:rsidR="004B7A9C" w:rsidRPr="00B36A61">
        <w:rPr>
          <w:noProof w:val="0"/>
          <w:color w:val="17365D"/>
        </w:rPr>
        <w:t xml:space="preserve"> </w:t>
      </w:r>
      <w:r w:rsidR="00677F96" w:rsidRPr="00B36A61">
        <w:rPr>
          <w:noProof w:val="0"/>
          <w:color w:val="17365D"/>
        </w:rPr>
        <w:t>“</w:t>
      </w:r>
      <w:r w:rsidR="00250F01" w:rsidRPr="00B36A61">
        <w:rPr>
          <w:noProof w:val="0"/>
          <w:color w:val="17365D"/>
        </w:rPr>
        <w:t>Likuma par valsts budžetu 2.pielikuma “Valsts budžeta ieņēmumi” izpilde</w:t>
      </w:r>
      <w:r w:rsidR="000700B1" w:rsidRPr="00B36A61">
        <w:rPr>
          <w:noProof w:val="0"/>
          <w:color w:val="17365D"/>
        </w:rPr>
        <w:t>”</w:t>
      </w:r>
      <w:r w:rsidR="00E71A6D" w:rsidRPr="00B36A61">
        <w:rPr>
          <w:noProof w:val="0"/>
          <w:color w:val="17365D"/>
        </w:rPr>
        <w:t xml:space="preserve"> sadaļā “I Valsts pamatbudžeta ieņēmumi 20</w:t>
      </w:r>
      <w:r w:rsidR="002A7B83" w:rsidRPr="00B36A61">
        <w:rPr>
          <w:noProof w:val="0"/>
          <w:color w:val="17365D"/>
        </w:rPr>
        <w:t>2</w:t>
      </w:r>
      <w:r w:rsidR="00FB0B69" w:rsidRPr="00B36A61">
        <w:rPr>
          <w:noProof w:val="0"/>
          <w:color w:val="17365D"/>
        </w:rPr>
        <w:t>2</w:t>
      </w:r>
      <w:r w:rsidR="003703B2" w:rsidRPr="00B36A61">
        <w:rPr>
          <w:noProof w:val="0"/>
          <w:color w:val="17365D"/>
        </w:rPr>
        <w:t>. </w:t>
      </w:r>
      <w:r w:rsidR="00E71A6D" w:rsidRPr="00B36A61">
        <w:rPr>
          <w:noProof w:val="0"/>
          <w:color w:val="17365D"/>
        </w:rPr>
        <w:t>gadā”</w:t>
      </w:r>
      <w:r w:rsidR="004B7A9C" w:rsidRPr="00B36A61">
        <w:rPr>
          <w:noProof w:val="0"/>
          <w:color w:val="17365D"/>
        </w:rPr>
        <w:t>.</w:t>
      </w:r>
      <w:r w:rsidR="005C0511" w:rsidRPr="00B36A61">
        <w:rPr>
          <w:b/>
          <w:noProof w:val="0"/>
          <w:color w:val="17365D"/>
          <w:lang w:eastAsia="en-US"/>
        </w:rPr>
        <w:t xml:space="preserve"> </w:t>
      </w:r>
    </w:p>
    <w:p w14:paraId="2F1E9614" w14:textId="709E876D" w:rsidR="006945F6" w:rsidRPr="00B36A61" w:rsidRDefault="0099580E" w:rsidP="00CC1055">
      <w:pPr>
        <w:pStyle w:val="Pamatteksts"/>
        <w:tabs>
          <w:tab w:val="left" w:pos="3402"/>
        </w:tabs>
        <w:rPr>
          <w:noProof w:val="0"/>
          <w:color w:val="17365D"/>
        </w:rPr>
      </w:pPr>
      <w:r w:rsidRPr="00B36A61">
        <w:rPr>
          <w:noProof w:val="0"/>
          <w:color w:val="17365D"/>
        </w:rPr>
        <w:t>Lielāk</w:t>
      </w:r>
      <w:r w:rsidR="00C8673D" w:rsidRPr="00B36A61">
        <w:rPr>
          <w:noProof w:val="0"/>
          <w:color w:val="17365D"/>
        </w:rPr>
        <w:t>os</w:t>
      </w:r>
      <w:r w:rsidRPr="00B36A61">
        <w:rPr>
          <w:noProof w:val="0"/>
          <w:color w:val="17365D"/>
        </w:rPr>
        <w:t xml:space="preserve"> nodokļu ieņēmum</w:t>
      </w:r>
      <w:r w:rsidR="00C8673D" w:rsidRPr="00B36A61">
        <w:rPr>
          <w:noProof w:val="0"/>
          <w:color w:val="17365D"/>
        </w:rPr>
        <w:t>us</w:t>
      </w:r>
      <w:r w:rsidRPr="00B36A61">
        <w:rPr>
          <w:noProof w:val="0"/>
          <w:color w:val="17365D"/>
        </w:rPr>
        <w:t xml:space="preserve"> </w:t>
      </w:r>
      <w:r w:rsidR="00322822" w:rsidRPr="00B36A61">
        <w:rPr>
          <w:noProof w:val="0"/>
          <w:color w:val="17365D"/>
        </w:rPr>
        <w:t xml:space="preserve">valsts </w:t>
      </w:r>
      <w:r w:rsidRPr="00B36A61">
        <w:rPr>
          <w:noProof w:val="0"/>
          <w:color w:val="17365D"/>
        </w:rPr>
        <w:t xml:space="preserve">budžetā </w:t>
      </w:r>
      <w:r w:rsidR="00C8673D" w:rsidRPr="00B36A61">
        <w:rPr>
          <w:noProof w:val="0"/>
          <w:color w:val="17365D"/>
        </w:rPr>
        <w:t>veido</w:t>
      </w:r>
      <w:r w:rsidRPr="00B36A61">
        <w:rPr>
          <w:noProof w:val="0"/>
          <w:color w:val="17365D"/>
        </w:rPr>
        <w:t xml:space="preserve"> </w:t>
      </w:r>
      <w:r w:rsidR="00245401" w:rsidRPr="00B36A61">
        <w:rPr>
          <w:noProof w:val="0"/>
          <w:color w:val="17365D"/>
          <w:u w:val="single"/>
        </w:rPr>
        <w:t>pievienotās vērtības nodokl</w:t>
      </w:r>
      <w:r w:rsidR="00C8673D" w:rsidRPr="00B36A61">
        <w:rPr>
          <w:noProof w:val="0"/>
          <w:color w:val="17365D"/>
          <w:u w:val="single"/>
        </w:rPr>
        <w:t>is</w:t>
      </w:r>
      <w:r w:rsidR="00005DF2" w:rsidRPr="00B36A61">
        <w:rPr>
          <w:noProof w:val="0"/>
          <w:color w:val="17365D"/>
        </w:rPr>
        <w:t xml:space="preserve"> (turpmāk – </w:t>
      </w:r>
      <w:r w:rsidR="0042117E" w:rsidRPr="00B36A61">
        <w:rPr>
          <w:noProof w:val="0"/>
          <w:color w:val="17365D"/>
        </w:rPr>
        <w:t>PVN)</w:t>
      </w:r>
      <w:r w:rsidR="00C31CA0" w:rsidRPr="00B36A61">
        <w:rPr>
          <w:noProof w:val="0"/>
          <w:color w:val="17365D"/>
        </w:rPr>
        <w:t xml:space="preserve"> </w:t>
      </w:r>
      <w:r w:rsidR="004045CB" w:rsidRPr="00B36A61">
        <w:rPr>
          <w:noProof w:val="0"/>
          <w:color w:val="17365D"/>
        </w:rPr>
        <w:t>3</w:t>
      </w:r>
      <w:r w:rsidR="00F92F23" w:rsidRPr="00B36A61">
        <w:rPr>
          <w:noProof w:val="0"/>
          <w:color w:val="17365D"/>
        </w:rPr>
        <w:t> </w:t>
      </w:r>
      <w:r w:rsidR="004045CB" w:rsidRPr="00B36A61">
        <w:rPr>
          <w:noProof w:val="0"/>
          <w:color w:val="17365D"/>
        </w:rPr>
        <w:t>558</w:t>
      </w:r>
      <w:r w:rsidRPr="00B36A61">
        <w:rPr>
          <w:noProof w:val="0"/>
          <w:color w:val="17365D"/>
        </w:rPr>
        <w:t>,</w:t>
      </w:r>
      <w:r w:rsidR="004045CB" w:rsidRPr="00B36A61">
        <w:rPr>
          <w:noProof w:val="0"/>
          <w:color w:val="17365D"/>
        </w:rPr>
        <w:t>7</w:t>
      </w:r>
      <w:r w:rsidRPr="00B36A61">
        <w:rPr>
          <w:noProof w:val="0"/>
          <w:color w:val="17365D"/>
        </w:rPr>
        <w:t> milj</w:t>
      </w:r>
      <w:r w:rsidR="00B72EAB" w:rsidRPr="00B36A61">
        <w:rPr>
          <w:noProof w:val="0"/>
          <w:color w:val="17365D"/>
        </w:rPr>
        <w:t>. </w:t>
      </w:r>
      <w:r w:rsidR="00EF7B9A" w:rsidRPr="00B36A61">
        <w:rPr>
          <w:rStyle w:val="Piemrstxt"/>
          <w:rFonts w:ascii="Times New Roman" w:hAnsi="Times New Roman"/>
          <w:i/>
          <w:noProof w:val="0"/>
          <w:color w:val="17365D"/>
          <w:sz w:val="24"/>
        </w:rPr>
        <w:t>euro</w:t>
      </w:r>
      <w:r w:rsidR="00126B3B" w:rsidRPr="00B36A61">
        <w:rPr>
          <w:rStyle w:val="Piemrstxt"/>
          <w:rFonts w:ascii="Times New Roman" w:hAnsi="Times New Roman"/>
          <w:i/>
          <w:noProof w:val="0"/>
          <w:color w:val="17365D"/>
          <w:sz w:val="24"/>
        </w:rPr>
        <w:t xml:space="preserve"> </w:t>
      </w:r>
      <w:r w:rsidR="00126B3B" w:rsidRPr="00B36A61">
        <w:rPr>
          <w:rStyle w:val="Piemrstxt"/>
          <w:rFonts w:ascii="Times New Roman" w:hAnsi="Times New Roman"/>
          <w:noProof w:val="0"/>
          <w:color w:val="17365D"/>
          <w:sz w:val="24"/>
        </w:rPr>
        <w:t>vērtībā</w:t>
      </w:r>
      <w:r w:rsidR="00AA04F0" w:rsidRPr="00B36A61">
        <w:rPr>
          <w:noProof w:val="0"/>
          <w:color w:val="17365D"/>
        </w:rPr>
        <w:t>.</w:t>
      </w:r>
      <w:r w:rsidRPr="00B36A61">
        <w:rPr>
          <w:noProof w:val="0"/>
          <w:color w:val="17365D"/>
        </w:rPr>
        <w:t xml:space="preserve"> </w:t>
      </w:r>
      <w:r w:rsidR="00AA04F0" w:rsidRPr="00B36A61">
        <w:rPr>
          <w:noProof w:val="0"/>
          <w:color w:val="17365D"/>
        </w:rPr>
        <w:t>Šī nodokļa ieņēmumu izpilde</w:t>
      </w:r>
      <w:r w:rsidR="00AA04F0" w:rsidRPr="00B36A61" w:rsidDel="00AA04F0">
        <w:rPr>
          <w:noProof w:val="0"/>
          <w:color w:val="17365D"/>
        </w:rPr>
        <w:t xml:space="preserve"> </w:t>
      </w:r>
      <w:r w:rsidR="00AA04F0" w:rsidRPr="00B36A61">
        <w:rPr>
          <w:noProof w:val="0"/>
          <w:color w:val="17365D"/>
        </w:rPr>
        <w:t xml:space="preserve">salīdzinājumā ar Likumā noteikto </w:t>
      </w:r>
      <w:r w:rsidRPr="00B36A61">
        <w:rPr>
          <w:noProof w:val="0"/>
          <w:color w:val="17365D"/>
        </w:rPr>
        <w:t>gada plān</w:t>
      </w:r>
      <w:r w:rsidR="00AA04F0" w:rsidRPr="00B36A61">
        <w:rPr>
          <w:noProof w:val="0"/>
          <w:color w:val="17365D"/>
        </w:rPr>
        <w:t>u</w:t>
      </w:r>
      <w:r w:rsidR="008645C9" w:rsidRPr="00B36A61">
        <w:rPr>
          <w:noProof w:val="0"/>
          <w:color w:val="17365D"/>
        </w:rPr>
        <w:t xml:space="preserve"> ar izmaiņām</w:t>
      </w:r>
      <w:r w:rsidRPr="00B36A61">
        <w:rPr>
          <w:noProof w:val="0"/>
          <w:color w:val="17365D"/>
        </w:rPr>
        <w:t xml:space="preserve"> ir </w:t>
      </w:r>
      <w:r w:rsidR="00506776" w:rsidRPr="00B36A61">
        <w:rPr>
          <w:noProof w:val="0"/>
          <w:color w:val="17365D"/>
        </w:rPr>
        <w:t>1</w:t>
      </w:r>
      <w:r w:rsidR="004045CB" w:rsidRPr="00B36A61">
        <w:rPr>
          <w:noProof w:val="0"/>
          <w:color w:val="17365D"/>
        </w:rPr>
        <w:t>15</w:t>
      </w:r>
      <w:r w:rsidRPr="00B36A61">
        <w:rPr>
          <w:noProof w:val="0"/>
          <w:color w:val="17365D"/>
        </w:rPr>
        <w:t>,</w:t>
      </w:r>
      <w:r w:rsidR="004045CB" w:rsidRPr="00B36A61">
        <w:rPr>
          <w:noProof w:val="0"/>
          <w:color w:val="17365D"/>
        </w:rPr>
        <w:t>7</w:t>
      </w:r>
      <w:r w:rsidR="006A7956" w:rsidRPr="00B36A61">
        <w:rPr>
          <w:noProof w:val="0"/>
          <w:color w:val="17365D"/>
        </w:rPr>
        <w:t> %</w:t>
      </w:r>
      <w:r w:rsidR="00AA04F0" w:rsidRPr="00B36A61">
        <w:rPr>
          <w:noProof w:val="0"/>
          <w:color w:val="17365D"/>
        </w:rPr>
        <w:t xml:space="preserve"> un</w:t>
      </w:r>
      <w:r w:rsidRPr="00B36A61">
        <w:rPr>
          <w:noProof w:val="0"/>
          <w:color w:val="17365D"/>
        </w:rPr>
        <w:t xml:space="preserve"> </w:t>
      </w:r>
      <w:r w:rsidR="00AA04F0" w:rsidRPr="00B36A61">
        <w:rPr>
          <w:noProof w:val="0"/>
          <w:color w:val="17365D"/>
        </w:rPr>
        <w:t>s</w:t>
      </w:r>
      <w:r w:rsidRPr="00B36A61">
        <w:rPr>
          <w:noProof w:val="0"/>
          <w:color w:val="17365D"/>
        </w:rPr>
        <w:t xml:space="preserve">alīdzinājumā ar </w:t>
      </w:r>
      <w:r w:rsidR="008F2503" w:rsidRPr="00B36A61">
        <w:rPr>
          <w:noProof w:val="0"/>
          <w:color w:val="17365D"/>
        </w:rPr>
        <w:t>20</w:t>
      </w:r>
      <w:r w:rsidR="00506776" w:rsidRPr="00B36A61">
        <w:rPr>
          <w:noProof w:val="0"/>
          <w:color w:val="17365D"/>
        </w:rPr>
        <w:t>2</w:t>
      </w:r>
      <w:r w:rsidR="004045CB" w:rsidRPr="00B36A61">
        <w:rPr>
          <w:noProof w:val="0"/>
          <w:color w:val="17365D"/>
        </w:rPr>
        <w:t>1</w:t>
      </w:r>
      <w:r w:rsidR="008F2503" w:rsidRPr="00B36A61">
        <w:rPr>
          <w:noProof w:val="0"/>
          <w:color w:val="17365D"/>
        </w:rPr>
        <w:t>. gad</w:t>
      </w:r>
      <w:r w:rsidRPr="00B36A61">
        <w:rPr>
          <w:noProof w:val="0"/>
          <w:color w:val="17365D"/>
        </w:rPr>
        <w:t xml:space="preserve">u </w:t>
      </w:r>
      <w:r w:rsidR="0089551D" w:rsidRPr="00B36A61">
        <w:rPr>
          <w:noProof w:val="0"/>
          <w:color w:val="17365D"/>
        </w:rPr>
        <w:t>PVN</w:t>
      </w:r>
      <w:r w:rsidRPr="00B36A61">
        <w:rPr>
          <w:noProof w:val="0"/>
          <w:color w:val="17365D"/>
        </w:rPr>
        <w:t xml:space="preserve"> ieņēmumi ir </w:t>
      </w:r>
      <w:r w:rsidR="00506776" w:rsidRPr="00B36A61">
        <w:rPr>
          <w:noProof w:val="0"/>
          <w:color w:val="17365D"/>
        </w:rPr>
        <w:t>palieli</w:t>
      </w:r>
      <w:r w:rsidRPr="00B36A61">
        <w:rPr>
          <w:noProof w:val="0"/>
          <w:color w:val="17365D"/>
        </w:rPr>
        <w:t xml:space="preserve">nājušies par </w:t>
      </w:r>
      <w:r w:rsidR="004045CB" w:rsidRPr="00B36A61">
        <w:rPr>
          <w:noProof w:val="0"/>
          <w:color w:val="17365D"/>
        </w:rPr>
        <w:t>796</w:t>
      </w:r>
      <w:r w:rsidRPr="00B36A61">
        <w:rPr>
          <w:noProof w:val="0"/>
          <w:color w:val="17365D"/>
        </w:rPr>
        <w:t>,</w:t>
      </w:r>
      <w:r w:rsidR="004045CB" w:rsidRPr="00B36A61">
        <w:rPr>
          <w:noProof w:val="0"/>
          <w:color w:val="17365D"/>
        </w:rPr>
        <w:t>2</w:t>
      </w:r>
      <w:r w:rsidR="00CC1055" w:rsidRPr="00B36A61">
        <w:rPr>
          <w:noProof w:val="0"/>
          <w:color w:val="17365D"/>
        </w:rPr>
        <w:t> </w:t>
      </w:r>
      <w:r w:rsidRPr="00B36A61">
        <w:rPr>
          <w:noProof w:val="0"/>
          <w:color w:val="17365D"/>
        </w:rPr>
        <w:t>milj</w:t>
      </w:r>
      <w:r w:rsidR="00B72EAB" w:rsidRPr="00B36A61">
        <w:rPr>
          <w:noProof w:val="0"/>
          <w:color w:val="17365D"/>
        </w:rPr>
        <w:t>. </w:t>
      </w:r>
      <w:r w:rsidR="00EF7B9A" w:rsidRPr="00B36A61">
        <w:rPr>
          <w:rStyle w:val="Piemrstxt"/>
          <w:rFonts w:ascii="Times New Roman" w:hAnsi="Times New Roman"/>
          <w:i/>
          <w:noProof w:val="0"/>
          <w:color w:val="17365D"/>
          <w:sz w:val="24"/>
        </w:rPr>
        <w:t>euro</w:t>
      </w:r>
      <w:r w:rsidR="00B72EAB" w:rsidRPr="00B36A61">
        <w:rPr>
          <w:noProof w:val="0"/>
          <w:color w:val="17365D"/>
        </w:rPr>
        <w:t xml:space="preserve"> </w:t>
      </w:r>
      <w:r w:rsidRPr="00B36A61">
        <w:rPr>
          <w:noProof w:val="0"/>
          <w:color w:val="17365D"/>
        </w:rPr>
        <w:t xml:space="preserve">jeb </w:t>
      </w:r>
      <w:r w:rsidR="004045CB" w:rsidRPr="00B36A61">
        <w:rPr>
          <w:noProof w:val="0"/>
          <w:color w:val="17365D"/>
        </w:rPr>
        <w:t>2</w:t>
      </w:r>
      <w:r w:rsidR="00506776" w:rsidRPr="00B36A61">
        <w:rPr>
          <w:noProof w:val="0"/>
          <w:color w:val="17365D"/>
        </w:rPr>
        <w:t>8</w:t>
      </w:r>
      <w:r w:rsidRPr="00B36A61">
        <w:rPr>
          <w:noProof w:val="0"/>
          <w:color w:val="17365D"/>
        </w:rPr>
        <w:t>,</w:t>
      </w:r>
      <w:r w:rsidR="004045CB" w:rsidRPr="00B36A61">
        <w:rPr>
          <w:noProof w:val="0"/>
          <w:color w:val="17365D"/>
        </w:rPr>
        <w:t>8</w:t>
      </w:r>
      <w:r w:rsidR="003703B2" w:rsidRPr="00B36A61">
        <w:rPr>
          <w:noProof w:val="0"/>
          <w:color w:val="17365D"/>
        </w:rPr>
        <w:t> </w:t>
      </w:r>
      <w:r w:rsidR="007D4863" w:rsidRPr="00B36A61">
        <w:rPr>
          <w:noProof w:val="0"/>
          <w:color w:val="17365D"/>
        </w:rPr>
        <w:t>%</w:t>
      </w:r>
      <w:r w:rsidR="005F2846" w:rsidRPr="00B36A61">
        <w:rPr>
          <w:noProof w:val="0"/>
          <w:color w:val="17365D"/>
        </w:rPr>
        <w:t xml:space="preserve"> (skatīt </w:t>
      </w:r>
      <w:r w:rsidR="00CB5DD4" w:rsidRPr="00B36A61">
        <w:rPr>
          <w:noProof w:val="0"/>
          <w:color w:val="17365D"/>
        </w:rPr>
        <w:t>3.</w:t>
      </w:r>
      <w:r w:rsidR="0054767E" w:rsidRPr="00B36A61">
        <w:rPr>
          <w:noProof w:val="0"/>
          <w:color w:val="17365D"/>
        </w:rPr>
        <w:t xml:space="preserve"> </w:t>
      </w:r>
      <w:r w:rsidR="005F2846" w:rsidRPr="00B36A61">
        <w:rPr>
          <w:noProof w:val="0"/>
          <w:color w:val="17365D"/>
        </w:rPr>
        <w:t>attēlu)</w:t>
      </w:r>
      <w:r w:rsidRPr="00B36A61">
        <w:rPr>
          <w:noProof w:val="0"/>
          <w:color w:val="17365D"/>
        </w:rPr>
        <w:t>.</w:t>
      </w:r>
      <w:r w:rsidR="00DC642C" w:rsidRPr="00B36A61">
        <w:rPr>
          <w:noProof w:val="0"/>
          <w:color w:val="17365D"/>
        </w:rPr>
        <w:t xml:space="preserve"> </w:t>
      </w:r>
    </w:p>
    <w:p w14:paraId="4370451F" w14:textId="25F12491" w:rsidR="00166D9C" w:rsidRPr="00B36A61" w:rsidRDefault="00222D5E" w:rsidP="00BB660F">
      <w:pPr>
        <w:pStyle w:val="Pamatteksts"/>
        <w:tabs>
          <w:tab w:val="left" w:pos="3402"/>
        </w:tabs>
        <w:ind w:firstLine="0"/>
        <w:jc w:val="center"/>
        <w:rPr>
          <w:noProof w:val="0"/>
          <w:color w:val="17365D"/>
        </w:rPr>
      </w:pPr>
      <w:r w:rsidRPr="00B36A61">
        <w:rPr>
          <w:color w:val="17365D"/>
        </w:rPr>
        <w:drawing>
          <wp:inline distT="0" distB="0" distL="0" distR="0" wp14:anchorId="2F14A48C" wp14:editId="6992D3A4">
            <wp:extent cx="5939790" cy="3279140"/>
            <wp:effectExtent l="0" t="0" r="381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5189785" w14:textId="3E112391" w:rsidR="00166D9C" w:rsidRPr="00B36A61" w:rsidRDefault="00166D9C" w:rsidP="00290B1A">
      <w:pPr>
        <w:pStyle w:val="Pamatteksts"/>
        <w:tabs>
          <w:tab w:val="left" w:pos="3402"/>
        </w:tabs>
        <w:ind w:firstLine="0"/>
        <w:jc w:val="center"/>
        <w:rPr>
          <w:i/>
          <w:noProof w:val="0"/>
          <w:color w:val="17365D"/>
          <w:sz w:val="20"/>
          <w:szCs w:val="20"/>
        </w:rPr>
      </w:pPr>
      <w:r w:rsidRPr="00B36A61">
        <w:rPr>
          <w:i/>
          <w:noProof w:val="0"/>
          <w:color w:val="17365D"/>
          <w:sz w:val="20"/>
          <w:szCs w:val="20"/>
        </w:rPr>
        <w:t xml:space="preserve">3. attēls. </w:t>
      </w:r>
      <w:r w:rsidR="00337132" w:rsidRPr="00B36A61">
        <w:rPr>
          <w:i/>
          <w:noProof w:val="0"/>
          <w:color w:val="17365D"/>
          <w:sz w:val="20"/>
          <w:szCs w:val="20"/>
        </w:rPr>
        <w:t>N</w:t>
      </w:r>
      <w:r w:rsidRPr="00B36A61">
        <w:rPr>
          <w:i/>
          <w:noProof w:val="0"/>
          <w:color w:val="17365D"/>
          <w:sz w:val="20"/>
          <w:szCs w:val="20"/>
        </w:rPr>
        <w:t>odokļ</w:t>
      </w:r>
      <w:r w:rsidR="00337132" w:rsidRPr="00B36A61">
        <w:rPr>
          <w:i/>
          <w:noProof w:val="0"/>
          <w:color w:val="17365D"/>
          <w:sz w:val="20"/>
          <w:szCs w:val="20"/>
        </w:rPr>
        <w:t>u</w:t>
      </w:r>
      <w:r w:rsidRPr="00B36A61">
        <w:rPr>
          <w:i/>
          <w:noProof w:val="0"/>
          <w:color w:val="17365D"/>
          <w:sz w:val="20"/>
          <w:szCs w:val="20"/>
        </w:rPr>
        <w:t xml:space="preserve"> ieņēmumi 20</w:t>
      </w:r>
      <w:r w:rsidR="008C783E" w:rsidRPr="00B36A61">
        <w:rPr>
          <w:i/>
          <w:noProof w:val="0"/>
          <w:color w:val="17365D"/>
          <w:sz w:val="20"/>
          <w:szCs w:val="20"/>
        </w:rPr>
        <w:t>2</w:t>
      </w:r>
      <w:r w:rsidR="00222D5E" w:rsidRPr="00B36A61">
        <w:rPr>
          <w:i/>
          <w:noProof w:val="0"/>
          <w:color w:val="17365D"/>
          <w:sz w:val="20"/>
          <w:szCs w:val="20"/>
        </w:rPr>
        <w:t>1</w:t>
      </w:r>
      <w:r w:rsidRPr="00B36A61">
        <w:rPr>
          <w:i/>
          <w:noProof w:val="0"/>
          <w:color w:val="17365D"/>
          <w:sz w:val="20"/>
          <w:szCs w:val="20"/>
        </w:rPr>
        <w:t>. gadā un 20</w:t>
      </w:r>
      <w:r w:rsidR="004927E4" w:rsidRPr="00B36A61">
        <w:rPr>
          <w:i/>
          <w:noProof w:val="0"/>
          <w:color w:val="17365D"/>
          <w:sz w:val="20"/>
          <w:szCs w:val="20"/>
        </w:rPr>
        <w:t>2</w:t>
      </w:r>
      <w:r w:rsidR="00222D5E" w:rsidRPr="00B36A61">
        <w:rPr>
          <w:i/>
          <w:noProof w:val="0"/>
          <w:color w:val="17365D"/>
          <w:sz w:val="20"/>
          <w:szCs w:val="20"/>
        </w:rPr>
        <w:t>2</w:t>
      </w:r>
      <w:r w:rsidRPr="00B36A61">
        <w:rPr>
          <w:i/>
          <w:noProof w:val="0"/>
          <w:color w:val="17365D"/>
          <w:sz w:val="20"/>
          <w:szCs w:val="20"/>
        </w:rPr>
        <w:t>. gadā (milj. euro)</w:t>
      </w:r>
    </w:p>
    <w:p w14:paraId="5B799A50" w14:textId="37759626" w:rsidR="0099580E" w:rsidRPr="00B36A61" w:rsidRDefault="0089551D" w:rsidP="004045CB">
      <w:pPr>
        <w:pStyle w:val="Pamatteksts"/>
        <w:spacing w:before="240"/>
        <w:ind w:firstLine="0"/>
        <w:rPr>
          <w:noProof w:val="0"/>
          <w:color w:val="17365D"/>
        </w:rPr>
      </w:pPr>
      <w:r w:rsidRPr="00B36A61">
        <w:rPr>
          <w:noProof w:val="0"/>
          <w:color w:val="17365D"/>
        </w:rPr>
        <w:t>PVN</w:t>
      </w:r>
      <w:r w:rsidR="0099580E" w:rsidRPr="00B36A61">
        <w:rPr>
          <w:noProof w:val="0"/>
          <w:color w:val="17365D"/>
        </w:rPr>
        <w:t xml:space="preserve"> ieņēmumu </w:t>
      </w:r>
      <w:r w:rsidR="00E34164" w:rsidRPr="00B36A61">
        <w:rPr>
          <w:noProof w:val="0"/>
          <w:color w:val="17365D"/>
        </w:rPr>
        <w:t>paliel</w:t>
      </w:r>
      <w:r w:rsidR="00727AC0" w:rsidRPr="00B36A61">
        <w:rPr>
          <w:noProof w:val="0"/>
          <w:color w:val="17365D"/>
        </w:rPr>
        <w:t xml:space="preserve">inājumu </w:t>
      </w:r>
      <w:r w:rsidR="0099580E" w:rsidRPr="00B36A61">
        <w:rPr>
          <w:noProof w:val="0"/>
          <w:color w:val="17365D"/>
        </w:rPr>
        <w:t xml:space="preserve">pārskata gadā </w:t>
      </w:r>
      <w:r w:rsidR="00240AAD" w:rsidRPr="00B36A61">
        <w:rPr>
          <w:noProof w:val="0"/>
          <w:color w:val="17365D"/>
        </w:rPr>
        <w:t xml:space="preserve">galvenokārt </w:t>
      </w:r>
      <w:r w:rsidR="0099580E" w:rsidRPr="00B36A61">
        <w:rPr>
          <w:noProof w:val="0"/>
          <w:color w:val="17365D"/>
        </w:rPr>
        <w:t>ietekmēja</w:t>
      </w:r>
      <w:r w:rsidR="00727AC0" w:rsidRPr="00B36A61">
        <w:rPr>
          <w:noProof w:val="0"/>
          <w:color w:val="17365D"/>
        </w:rPr>
        <w:t xml:space="preserve"> </w:t>
      </w:r>
      <w:r w:rsidR="004045CB" w:rsidRPr="00B36A61">
        <w:rPr>
          <w:noProof w:val="0"/>
          <w:color w:val="17365D"/>
        </w:rPr>
        <w:t>privātā patēriņa pieaugums, saistībā ar ekonomikas atkopšan</w:t>
      </w:r>
      <w:r w:rsidR="005A32F4" w:rsidRPr="00B36A61">
        <w:rPr>
          <w:noProof w:val="0"/>
          <w:color w:val="17365D"/>
        </w:rPr>
        <w:t>o</w:t>
      </w:r>
      <w:r w:rsidR="004045CB" w:rsidRPr="00B36A61">
        <w:rPr>
          <w:noProof w:val="0"/>
          <w:color w:val="17365D"/>
        </w:rPr>
        <w:t>s no Covid-19 krīzes, piegādes ķēžu pārrāvum</w:t>
      </w:r>
      <w:r w:rsidR="00F04A00" w:rsidRPr="00B36A61">
        <w:rPr>
          <w:noProof w:val="0"/>
          <w:color w:val="17365D"/>
        </w:rPr>
        <w:t>s</w:t>
      </w:r>
      <w:r w:rsidR="004045CB" w:rsidRPr="00B36A61">
        <w:rPr>
          <w:noProof w:val="0"/>
          <w:color w:val="17365D"/>
        </w:rPr>
        <w:t xml:space="preserve"> </w:t>
      </w:r>
      <w:r w:rsidR="00147FC5" w:rsidRPr="00B36A61">
        <w:rPr>
          <w:noProof w:val="0"/>
          <w:color w:val="17365D"/>
        </w:rPr>
        <w:t>stimulēja</w:t>
      </w:r>
      <w:r w:rsidR="004045CB" w:rsidRPr="00B36A61">
        <w:rPr>
          <w:noProof w:val="0"/>
          <w:color w:val="17365D"/>
        </w:rPr>
        <w:t xml:space="preserve"> cenu kāpum</w:t>
      </w:r>
      <w:r w:rsidR="00F04A00" w:rsidRPr="00B36A61">
        <w:rPr>
          <w:noProof w:val="0"/>
          <w:color w:val="17365D"/>
        </w:rPr>
        <w:t>u</w:t>
      </w:r>
      <w:r w:rsidR="004045CB" w:rsidRPr="00B36A61">
        <w:rPr>
          <w:noProof w:val="0"/>
          <w:color w:val="17365D"/>
        </w:rPr>
        <w:t xml:space="preserve"> un</w:t>
      </w:r>
      <w:r w:rsidR="00F04A00" w:rsidRPr="00B36A61">
        <w:rPr>
          <w:noProof w:val="0"/>
          <w:color w:val="17365D"/>
        </w:rPr>
        <w:t xml:space="preserve"> </w:t>
      </w:r>
      <w:r w:rsidR="004045CB" w:rsidRPr="00B36A61">
        <w:rPr>
          <w:noProof w:val="0"/>
          <w:color w:val="17365D"/>
        </w:rPr>
        <w:t>Krievijas izraisītais karš Ukrainā, būtisk</w:t>
      </w:r>
      <w:r w:rsidR="00F04A00" w:rsidRPr="00B36A61">
        <w:rPr>
          <w:noProof w:val="0"/>
          <w:color w:val="17365D"/>
        </w:rPr>
        <w:t xml:space="preserve">i ietekmēja </w:t>
      </w:r>
      <w:r w:rsidR="004045CB" w:rsidRPr="00B36A61">
        <w:rPr>
          <w:noProof w:val="0"/>
          <w:color w:val="17365D"/>
        </w:rPr>
        <w:t>energoresursu un pārtikas produktu cenu</w:t>
      </w:r>
      <w:r w:rsidR="00F04A00" w:rsidRPr="00B36A61">
        <w:rPr>
          <w:noProof w:val="0"/>
          <w:color w:val="17365D"/>
        </w:rPr>
        <w:t xml:space="preserve"> kāpumu</w:t>
      </w:r>
      <w:r w:rsidR="004045CB" w:rsidRPr="00B36A61">
        <w:rPr>
          <w:noProof w:val="0"/>
          <w:color w:val="17365D"/>
        </w:rPr>
        <w:t xml:space="preserve">, </w:t>
      </w:r>
      <w:r w:rsidR="00F04A00" w:rsidRPr="00B36A61">
        <w:rPr>
          <w:noProof w:val="0"/>
          <w:color w:val="17365D"/>
        </w:rPr>
        <w:t>kas radīja</w:t>
      </w:r>
      <w:r w:rsidR="004045CB" w:rsidRPr="00B36A61">
        <w:rPr>
          <w:noProof w:val="0"/>
          <w:color w:val="17365D"/>
        </w:rPr>
        <w:t xml:space="preserve"> vispārējās inflācijas </w:t>
      </w:r>
      <w:r w:rsidR="00F04A00" w:rsidRPr="00B36A61">
        <w:rPr>
          <w:noProof w:val="0"/>
          <w:color w:val="17365D"/>
        </w:rPr>
        <w:t xml:space="preserve">un nodokļa ieņēmuma palielinājumu. </w:t>
      </w:r>
      <w:r w:rsidR="006E60D6" w:rsidRPr="00B36A61">
        <w:rPr>
          <w:noProof w:val="0"/>
          <w:color w:val="17365D"/>
        </w:rPr>
        <w:t>Ietekmi radīja</w:t>
      </w:r>
      <w:r w:rsidR="00CC04E6" w:rsidRPr="00B36A61">
        <w:rPr>
          <w:noProof w:val="0"/>
          <w:color w:val="17365D"/>
        </w:rPr>
        <w:t xml:space="preserve"> </w:t>
      </w:r>
      <w:r w:rsidR="00147FC5" w:rsidRPr="00B36A61">
        <w:rPr>
          <w:noProof w:val="0"/>
          <w:color w:val="17365D"/>
        </w:rPr>
        <w:t xml:space="preserve">arī </w:t>
      </w:r>
      <w:r w:rsidR="00240AAD" w:rsidRPr="00B36A61">
        <w:rPr>
          <w:noProof w:val="0"/>
          <w:color w:val="17365D"/>
        </w:rPr>
        <w:t>normatīv</w:t>
      </w:r>
      <w:r w:rsidR="00403393" w:rsidRPr="00B36A61">
        <w:rPr>
          <w:noProof w:val="0"/>
          <w:color w:val="17365D"/>
        </w:rPr>
        <w:t>o</w:t>
      </w:r>
      <w:r w:rsidR="00240AAD" w:rsidRPr="00B36A61">
        <w:rPr>
          <w:noProof w:val="0"/>
          <w:color w:val="17365D"/>
        </w:rPr>
        <w:t xml:space="preserve"> akt</w:t>
      </w:r>
      <w:r w:rsidR="00403393" w:rsidRPr="00B36A61">
        <w:rPr>
          <w:noProof w:val="0"/>
          <w:color w:val="17365D"/>
        </w:rPr>
        <w:t>u</w:t>
      </w:r>
      <w:r w:rsidR="00F319DC" w:rsidRPr="00B36A61">
        <w:rPr>
          <w:noProof w:val="0"/>
          <w:color w:val="17365D"/>
        </w:rPr>
        <w:t xml:space="preserve"> </w:t>
      </w:r>
      <w:r w:rsidR="00AC196F" w:rsidRPr="00B36A61">
        <w:rPr>
          <w:noProof w:val="0"/>
          <w:color w:val="17365D"/>
        </w:rPr>
        <w:t>izmaiņas</w:t>
      </w:r>
      <w:r w:rsidR="0099580E" w:rsidRPr="00B36A61">
        <w:rPr>
          <w:noProof w:val="0"/>
          <w:color w:val="17365D"/>
        </w:rPr>
        <w:t>:</w:t>
      </w:r>
    </w:p>
    <w:p w14:paraId="3E40D30D" w14:textId="539E1DA3" w:rsidR="00F04A00" w:rsidRPr="00B36A61" w:rsidRDefault="00F04A00" w:rsidP="009E5E16">
      <w:pPr>
        <w:pStyle w:val="Bullets"/>
        <w:ind w:left="993" w:hanging="426"/>
        <w:rPr>
          <w:noProof w:val="0"/>
          <w:color w:val="17365D"/>
        </w:rPr>
      </w:pPr>
      <w:r w:rsidRPr="00B36A61">
        <w:rPr>
          <w:noProof w:val="0"/>
          <w:color w:val="17365D"/>
        </w:rPr>
        <w:t>5% PVN likmes piemērošana grāmatu, periodisko izdevumu un citu masu informācijas līdzekļu izdevumu vai publikāciju piegādei, iespieddarbu un elektroniskā izdevuma formātam, kā arī to abonentmaksai, lai veicinātu grāmatu un periodisko izdevumu daudzveidību un pieejamību sabiedrībai;</w:t>
      </w:r>
    </w:p>
    <w:p w14:paraId="3461D72D" w14:textId="264D8C8D" w:rsidR="00B817FD" w:rsidRPr="00B36A61" w:rsidRDefault="005A32F4" w:rsidP="009E5E16">
      <w:pPr>
        <w:pStyle w:val="Bullets"/>
        <w:ind w:left="993" w:hanging="426"/>
        <w:rPr>
          <w:noProof w:val="0"/>
          <w:color w:val="17365D"/>
        </w:rPr>
      </w:pPr>
      <w:r w:rsidRPr="00B36A61">
        <w:rPr>
          <w:noProof w:val="0"/>
          <w:color w:val="17365D"/>
        </w:rPr>
        <w:t xml:space="preserve">PVN atbrīvojums, kas </w:t>
      </w:r>
      <w:r w:rsidR="00DC55BE" w:rsidRPr="00B36A61">
        <w:rPr>
          <w:noProof w:val="0"/>
          <w:color w:val="17365D"/>
        </w:rPr>
        <w:t>attiec</w:t>
      </w:r>
      <w:r w:rsidR="00457DCC" w:rsidRPr="00B36A61">
        <w:rPr>
          <w:noProof w:val="0"/>
          <w:color w:val="17365D"/>
        </w:rPr>
        <w:t>ās</w:t>
      </w:r>
      <w:r w:rsidR="00DC55BE" w:rsidRPr="00B36A61">
        <w:rPr>
          <w:noProof w:val="0"/>
          <w:color w:val="17365D"/>
        </w:rPr>
        <w:t xml:space="preserve"> uz likumiskās zemes lietošanas tiesībām (arī piespiedu nomu) zemes un būves īpašnieku savstarpējā</w:t>
      </w:r>
      <w:r w:rsidR="00457DCC" w:rsidRPr="00B36A61">
        <w:rPr>
          <w:noProof w:val="0"/>
          <w:color w:val="17365D"/>
        </w:rPr>
        <w:t>m</w:t>
      </w:r>
      <w:r w:rsidR="00DC55BE" w:rsidRPr="00B36A61">
        <w:rPr>
          <w:noProof w:val="0"/>
          <w:color w:val="17365D"/>
        </w:rPr>
        <w:t xml:space="preserve"> tiesiskajā</w:t>
      </w:r>
      <w:r w:rsidR="00457DCC" w:rsidRPr="00B36A61">
        <w:rPr>
          <w:noProof w:val="0"/>
          <w:color w:val="17365D"/>
        </w:rPr>
        <w:t>m</w:t>
      </w:r>
      <w:r w:rsidR="00DC55BE" w:rsidRPr="00B36A61">
        <w:rPr>
          <w:noProof w:val="0"/>
          <w:color w:val="17365D"/>
        </w:rPr>
        <w:t xml:space="preserve"> attiecībā</w:t>
      </w:r>
      <w:r w:rsidR="00457DCC" w:rsidRPr="00B36A61">
        <w:rPr>
          <w:noProof w:val="0"/>
          <w:color w:val="17365D"/>
        </w:rPr>
        <w:t>m</w:t>
      </w:r>
      <w:r w:rsidR="00B817FD" w:rsidRPr="00B36A61">
        <w:rPr>
          <w:noProof w:val="0"/>
          <w:color w:val="17365D"/>
        </w:rPr>
        <w:t>;</w:t>
      </w:r>
    </w:p>
    <w:p w14:paraId="7F1A47E7" w14:textId="298AFDCD" w:rsidR="00574351" w:rsidRPr="00B36A61" w:rsidRDefault="00574351" w:rsidP="00574351">
      <w:pPr>
        <w:pStyle w:val="Bullets"/>
        <w:ind w:left="993" w:hanging="426"/>
        <w:rPr>
          <w:noProof w:val="0"/>
          <w:color w:val="17365D"/>
        </w:rPr>
      </w:pPr>
      <w:r w:rsidRPr="00B36A61">
        <w:rPr>
          <w:noProof w:val="0"/>
          <w:color w:val="17365D"/>
        </w:rPr>
        <w:t xml:space="preserve">ieviešot obligātu vienotu depozīta sistēmu PVN </w:t>
      </w:r>
      <w:r w:rsidR="00147FC5" w:rsidRPr="00B36A61">
        <w:rPr>
          <w:noProof w:val="0"/>
          <w:color w:val="17365D"/>
        </w:rPr>
        <w:t xml:space="preserve">turpmāk </w:t>
      </w:r>
      <w:r w:rsidRPr="00B36A61">
        <w:rPr>
          <w:noProof w:val="0"/>
          <w:color w:val="17365D"/>
        </w:rPr>
        <w:t>piemēro maksai par atkārtoti lietojamu dzēriena iepakojumu, nevis depozīta maksai.</w:t>
      </w:r>
    </w:p>
    <w:p w14:paraId="6A2454CF" w14:textId="5F0D8788" w:rsidR="002F5192" w:rsidRPr="00B36A61" w:rsidRDefault="0099580E">
      <w:pPr>
        <w:pStyle w:val="Pamatteksts"/>
        <w:rPr>
          <w:noProof w:val="0"/>
          <w:color w:val="17365D"/>
        </w:rPr>
      </w:pPr>
      <w:r w:rsidRPr="00B36A61">
        <w:rPr>
          <w:noProof w:val="0"/>
          <w:color w:val="17365D"/>
          <w:u w:val="single"/>
        </w:rPr>
        <w:t>Akcīzes nodokļa</w:t>
      </w:r>
      <w:r w:rsidRPr="00B36A61">
        <w:rPr>
          <w:iCs/>
          <w:noProof w:val="0"/>
          <w:color w:val="17365D"/>
        </w:rPr>
        <w:t xml:space="preserve"> </w:t>
      </w:r>
      <w:r w:rsidRPr="00B36A61">
        <w:rPr>
          <w:noProof w:val="0"/>
          <w:color w:val="17365D"/>
        </w:rPr>
        <w:t>kopējie ieņēmumi</w:t>
      </w:r>
      <w:r w:rsidRPr="00B36A61">
        <w:rPr>
          <w:i/>
          <w:noProof w:val="0"/>
          <w:color w:val="17365D"/>
        </w:rPr>
        <w:t xml:space="preserve"> </w:t>
      </w:r>
      <w:r w:rsidR="008F2503" w:rsidRPr="00B36A61">
        <w:rPr>
          <w:noProof w:val="0"/>
          <w:color w:val="17365D"/>
        </w:rPr>
        <w:t>20</w:t>
      </w:r>
      <w:r w:rsidR="007B551B" w:rsidRPr="00B36A61">
        <w:rPr>
          <w:noProof w:val="0"/>
          <w:color w:val="17365D"/>
        </w:rPr>
        <w:t>2</w:t>
      </w:r>
      <w:r w:rsidR="00C719C0" w:rsidRPr="00B36A61">
        <w:rPr>
          <w:noProof w:val="0"/>
          <w:color w:val="17365D"/>
        </w:rPr>
        <w:t>2</w:t>
      </w:r>
      <w:r w:rsidR="008F2503" w:rsidRPr="00B36A61">
        <w:rPr>
          <w:noProof w:val="0"/>
          <w:color w:val="17365D"/>
        </w:rPr>
        <w:t>. gad</w:t>
      </w:r>
      <w:r w:rsidRPr="00B36A61">
        <w:rPr>
          <w:noProof w:val="0"/>
          <w:color w:val="17365D"/>
        </w:rPr>
        <w:t xml:space="preserve">ā ir </w:t>
      </w:r>
      <w:r w:rsidR="009D050A" w:rsidRPr="00B36A61">
        <w:rPr>
          <w:noProof w:val="0"/>
          <w:color w:val="17365D"/>
        </w:rPr>
        <w:t>1</w:t>
      </w:r>
      <w:r w:rsidR="00D25432" w:rsidRPr="00B36A61">
        <w:rPr>
          <w:noProof w:val="0"/>
          <w:color w:val="17365D"/>
        </w:rPr>
        <w:t> </w:t>
      </w:r>
      <w:r w:rsidR="00C719C0" w:rsidRPr="00B36A61">
        <w:rPr>
          <w:noProof w:val="0"/>
          <w:color w:val="17365D"/>
        </w:rPr>
        <w:t>131</w:t>
      </w:r>
      <w:r w:rsidRPr="00B36A61">
        <w:rPr>
          <w:noProof w:val="0"/>
          <w:color w:val="17365D"/>
        </w:rPr>
        <w:t>,</w:t>
      </w:r>
      <w:r w:rsidR="00C719C0" w:rsidRPr="00B36A61">
        <w:rPr>
          <w:noProof w:val="0"/>
          <w:color w:val="17365D"/>
        </w:rPr>
        <w:t>0</w:t>
      </w:r>
      <w:r w:rsidRPr="00B36A61">
        <w:rPr>
          <w:noProof w:val="0"/>
          <w:color w:val="17365D"/>
        </w:rPr>
        <w:t> milj</w:t>
      </w:r>
      <w:r w:rsidR="00574FB1" w:rsidRPr="00B36A61">
        <w:rPr>
          <w:noProof w:val="0"/>
          <w:color w:val="17365D"/>
        </w:rPr>
        <w:t>. </w:t>
      </w:r>
      <w:r w:rsidR="00EF7B9A" w:rsidRPr="00B36A61">
        <w:rPr>
          <w:rStyle w:val="Piemrstxt"/>
          <w:rFonts w:ascii="Times New Roman" w:hAnsi="Times New Roman"/>
          <w:i/>
          <w:noProof w:val="0"/>
          <w:color w:val="17365D"/>
          <w:sz w:val="24"/>
        </w:rPr>
        <w:t>euro</w:t>
      </w:r>
      <w:r w:rsidR="00A976C0" w:rsidRPr="00B36A61">
        <w:rPr>
          <w:rStyle w:val="Piemrstxt"/>
          <w:rFonts w:ascii="Times New Roman" w:hAnsi="Times New Roman"/>
          <w:i/>
          <w:noProof w:val="0"/>
          <w:color w:val="17365D"/>
          <w:sz w:val="24"/>
        </w:rPr>
        <w:t xml:space="preserve"> </w:t>
      </w:r>
      <w:r w:rsidR="00A976C0" w:rsidRPr="00B36A61">
        <w:rPr>
          <w:rStyle w:val="Piemrstxt"/>
          <w:rFonts w:ascii="Times New Roman" w:hAnsi="Times New Roman"/>
          <w:noProof w:val="0"/>
          <w:color w:val="17365D"/>
          <w:sz w:val="24"/>
        </w:rPr>
        <w:t>vērtībā</w:t>
      </w:r>
      <w:r w:rsidRPr="00B36A61">
        <w:rPr>
          <w:noProof w:val="0"/>
          <w:color w:val="17365D"/>
        </w:rPr>
        <w:t xml:space="preserve">, kas salīdzinājumā ar </w:t>
      </w:r>
      <w:r w:rsidR="008F2503" w:rsidRPr="00B36A61">
        <w:rPr>
          <w:noProof w:val="0"/>
          <w:color w:val="17365D"/>
        </w:rPr>
        <w:t>20</w:t>
      </w:r>
      <w:r w:rsidR="00D25432" w:rsidRPr="00B36A61">
        <w:rPr>
          <w:noProof w:val="0"/>
          <w:color w:val="17365D"/>
        </w:rPr>
        <w:t>2</w:t>
      </w:r>
      <w:r w:rsidR="00C719C0" w:rsidRPr="00B36A61">
        <w:rPr>
          <w:noProof w:val="0"/>
          <w:color w:val="17365D"/>
        </w:rPr>
        <w:t>1</w:t>
      </w:r>
      <w:r w:rsidR="008F2503" w:rsidRPr="00B36A61">
        <w:rPr>
          <w:noProof w:val="0"/>
          <w:color w:val="17365D"/>
        </w:rPr>
        <w:t>. gad</w:t>
      </w:r>
      <w:r w:rsidRPr="00B36A61">
        <w:rPr>
          <w:noProof w:val="0"/>
          <w:color w:val="17365D"/>
        </w:rPr>
        <w:t xml:space="preserve">u </w:t>
      </w:r>
      <w:r w:rsidR="00736531" w:rsidRPr="00B36A61">
        <w:rPr>
          <w:noProof w:val="0"/>
          <w:color w:val="17365D"/>
        </w:rPr>
        <w:t>palieli</w:t>
      </w:r>
      <w:r w:rsidR="00CC04E6" w:rsidRPr="00B36A61">
        <w:rPr>
          <w:noProof w:val="0"/>
          <w:color w:val="17365D"/>
        </w:rPr>
        <w:t>nā</w:t>
      </w:r>
      <w:r w:rsidRPr="00B36A61">
        <w:rPr>
          <w:noProof w:val="0"/>
          <w:color w:val="17365D"/>
        </w:rPr>
        <w:t xml:space="preserve">jušies par </w:t>
      </w:r>
      <w:r w:rsidR="00C719C0" w:rsidRPr="00B36A61">
        <w:rPr>
          <w:noProof w:val="0"/>
          <w:color w:val="17365D"/>
        </w:rPr>
        <w:t>26</w:t>
      </w:r>
      <w:r w:rsidRPr="00B36A61">
        <w:rPr>
          <w:noProof w:val="0"/>
          <w:color w:val="17365D"/>
        </w:rPr>
        <w:t>,</w:t>
      </w:r>
      <w:r w:rsidR="00C719C0" w:rsidRPr="00B36A61">
        <w:rPr>
          <w:noProof w:val="0"/>
          <w:color w:val="17365D"/>
        </w:rPr>
        <w:t>2</w:t>
      </w:r>
      <w:r w:rsidR="00536DFF" w:rsidRPr="00B36A61">
        <w:rPr>
          <w:noProof w:val="0"/>
          <w:color w:val="17365D"/>
        </w:rPr>
        <w:t> milj.</w:t>
      </w:r>
      <w:r w:rsidR="00574FB1" w:rsidRPr="00B36A61">
        <w:rPr>
          <w:noProof w:val="0"/>
          <w:color w:val="17365D"/>
        </w:rPr>
        <w:t> </w:t>
      </w:r>
      <w:r w:rsidR="00EF7B9A" w:rsidRPr="00B36A61">
        <w:rPr>
          <w:rStyle w:val="Piemrstxt"/>
          <w:rFonts w:ascii="Times New Roman" w:hAnsi="Times New Roman"/>
          <w:i/>
          <w:noProof w:val="0"/>
          <w:color w:val="17365D"/>
          <w:sz w:val="24"/>
        </w:rPr>
        <w:t>euro</w:t>
      </w:r>
      <w:r w:rsidR="00574FB1" w:rsidRPr="00B36A61">
        <w:rPr>
          <w:noProof w:val="0"/>
          <w:color w:val="17365D"/>
        </w:rPr>
        <w:t> </w:t>
      </w:r>
      <w:r w:rsidRPr="00B36A61">
        <w:rPr>
          <w:noProof w:val="0"/>
          <w:color w:val="17365D"/>
        </w:rPr>
        <w:t xml:space="preserve">jeb </w:t>
      </w:r>
      <w:r w:rsidR="00C719C0" w:rsidRPr="00B36A61">
        <w:rPr>
          <w:noProof w:val="0"/>
          <w:color w:val="17365D"/>
        </w:rPr>
        <w:t>2</w:t>
      </w:r>
      <w:r w:rsidRPr="00B36A61">
        <w:rPr>
          <w:noProof w:val="0"/>
          <w:color w:val="17365D"/>
        </w:rPr>
        <w:t>,</w:t>
      </w:r>
      <w:r w:rsidR="00C719C0" w:rsidRPr="00B36A61">
        <w:rPr>
          <w:noProof w:val="0"/>
          <w:color w:val="17365D"/>
        </w:rPr>
        <w:t>4</w:t>
      </w:r>
      <w:r w:rsidR="00232D77" w:rsidRPr="00B36A61">
        <w:rPr>
          <w:noProof w:val="0"/>
          <w:color w:val="17365D"/>
        </w:rPr>
        <w:t> </w:t>
      </w:r>
      <w:r w:rsidR="006A7956" w:rsidRPr="00B36A61">
        <w:rPr>
          <w:noProof w:val="0"/>
          <w:color w:val="17365D"/>
        </w:rPr>
        <w:t>%</w:t>
      </w:r>
      <w:r w:rsidR="00986EEB" w:rsidRPr="00B36A61">
        <w:rPr>
          <w:noProof w:val="0"/>
          <w:color w:val="17365D"/>
        </w:rPr>
        <w:t xml:space="preserve">. </w:t>
      </w:r>
      <w:r w:rsidR="00952199" w:rsidRPr="00B36A61">
        <w:rPr>
          <w:noProof w:val="0"/>
          <w:color w:val="17365D"/>
        </w:rPr>
        <w:t>S</w:t>
      </w:r>
      <w:r w:rsidRPr="00B36A61">
        <w:rPr>
          <w:noProof w:val="0"/>
          <w:color w:val="17365D"/>
        </w:rPr>
        <w:t xml:space="preserve">avukārt </w:t>
      </w:r>
      <w:r w:rsidR="00F14D49" w:rsidRPr="00B36A61">
        <w:rPr>
          <w:noProof w:val="0"/>
          <w:color w:val="17365D"/>
        </w:rPr>
        <w:t xml:space="preserve">šī nodokļa </w:t>
      </w:r>
      <w:r w:rsidRPr="00B36A61">
        <w:rPr>
          <w:noProof w:val="0"/>
          <w:color w:val="17365D"/>
        </w:rPr>
        <w:t xml:space="preserve">gada plāna izpilde ir </w:t>
      </w:r>
      <w:r w:rsidR="00D25432" w:rsidRPr="00B36A61">
        <w:rPr>
          <w:noProof w:val="0"/>
          <w:color w:val="17365D"/>
        </w:rPr>
        <w:t>9</w:t>
      </w:r>
      <w:r w:rsidR="00C719C0" w:rsidRPr="00B36A61">
        <w:rPr>
          <w:noProof w:val="0"/>
          <w:color w:val="17365D"/>
        </w:rPr>
        <w:t>6</w:t>
      </w:r>
      <w:r w:rsidRPr="00B36A61">
        <w:rPr>
          <w:noProof w:val="0"/>
          <w:color w:val="17365D"/>
        </w:rPr>
        <w:t>,</w:t>
      </w:r>
      <w:r w:rsidR="00C719C0" w:rsidRPr="00B36A61">
        <w:rPr>
          <w:noProof w:val="0"/>
          <w:color w:val="17365D"/>
        </w:rPr>
        <w:t>9</w:t>
      </w:r>
      <w:r w:rsidR="006A7956" w:rsidRPr="00B36A61">
        <w:rPr>
          <w:noProof w:val="0"/>
          <w:color w:val="17365D"/>
        </w:rPr>
        <w:t> %</w:t>
      </w:r>
      <w:r w:rsidRPr="00B36A61">
        <w:rPr>
          <w:noProof w:val="0"/>
          <w:color w:val="17365D"/>
        </w:rPr>
        <w:t xml:space="preserve">. </w:t>
      </w:r>
    </w:p>
    <w:p w14:paraId="3834CC42" w14:textId="63AFD173" w:rsidR="009A581D" w:rsidRPr="00B36A61" w:rsidRDefault="00AA04F0" w:rsidP="00A976C0">
      <w:pPr>
        <w:pStyle w:val="Pamatteksts"/>
        <w:ind w:firstLine="0"/>
        <w:rPr>
          <w:noProof w:val="0"/>
          <w:color w:val="17365D"/>
        </w:rPr>
      </w:pPr>
      <w:r w:rsidRPr="00B36A61">
        <w:rPr>
          <w:noProof w:val="0"/>
          <w:color w:val="17365D"/>
        </w:rPr>
        <w:t xml:space="preserve">Akcīzes nodokļa ieņēmumu </w:t>
      </w:r>
      <w:r w:rsidR="009A581D" w:rsidRPr="00B36A61">
        <w:rPr>
          <w:noProof w:val="0"/>
          <w:color w:val="17365D"/>
        </w:rPr>
        <w:t>palielinājumu</w:t>
      </w:r>
      <w:r w:rsidRPr="00B36A61">
        <w:rPr>
          <w:noProof w:val="0"/>
          <w:color w:val="17365D"/>
        </w:rPr>
        <w:t xml:space="preserve"> galvenokārt </w:t>
      </w:r>
      <w:r w:rsidR="00825625" w:rsidRPr="00B36A61">
        <w:rPr>
          <w:noProof w:val="0"/>
          <w:color w:val="17365D"/>
        </w:rPr>
        <w:t>ietekmēja</w:t>
      </w:r>
      <w:r w:rsidR="009A581D" w:rsidRPr="00B36A61">
        <w:rPr>
          <w:noProof w:val="0"/>
          <w:color w:val="17365D"/>
        </w:rPr>
        <w:t xml:space="preserve">, </w:t>
      </w:r>
      <w:r w:rsidR="00081CB2" w:rsidRPr="00B36A61">
        <w:rPr>
          <w:noProof w:val="0"/>
          <w:color w:val="17365D"/>
        </w:rPr>
        <w:t>ekonomiskās aktivitātes palielināšanās</w:t>
      </w:r>
      <w:r w:rsidR="00CC7013" w:rsidRPr="00B36A61">
        <w:rPr>
          <w:noProof w:val="0"/>
          <w:color w:val="17365D"/>
        </w:rPr>
        <w:t xml:space="preserve"> un vispārējo preču cenu pieaugums, kā rezultātā pieauga patēriņš</w:t>
      </w:r>
      <w:r w:rsidR="00081CB2" w:rsidRPr="00B36A61">
        <w:rPr>
          <w:noProof w:val="0"/>
          <w:color w:val="17365D"/>
        </w:rPr>
        <w:t xml:space="preserve"> </w:t>
      </w:r>
      <w:r w:rsidR="00CC7013" w:rsidRPr="00B36A61">
        <w:rPr>
          <w:noProof w:val="0"/>
          <w:color w:val="17365D"/>
        </w:rPr>
        <w:t>alkoholiskiem dzērieniem, atsevišķiem naftas produktiem</w:t>
      </w:r>
      <w:r w:rsidR="003011B4" w:rsidRPr="00B36A61">
        <w:rPr>
          <w:noProof w:val="0"/>
          <w:color w:val="17365D"/>
        </w:rPr>
        <w:t xml:space="preserve">, </w:t>
      </w:r>
      <w:r w:rsidR="00CC7013" w:rsidRPr="00B36A61">
        <w:rPr>
          <w:noProof w:val="0"/>
          <w:color w:val="17365D"/>
        </w:rPr>
        <w:t>galvenokārt, dīzeļdegvielas, cigaretēm un pārējām akcīzes precēm, izņemot kafiju un dabasgāzi</w:t>
      </w:r>
      <w:r w:rsidR="003011B4" w:rsidRPr="00B36A61">
        <w:rPr>
          <w:noProof w:val="0"/>
          <w:color w:val="17365D"/>
        </w:rPr>
        <w:t>.</w:t>
      </w:r>
      <w:r w:rsidR="00CC7013" w:rsidRPr="00B36A61">
        <w:rPr>
          <w:noProof w:val="0"/>
          <w:color w:val="17365D"/>
        </w:rPr>
        <w:t xml:space="preserve"> </w:t>
      </w:r>
      <w:r w:rsidR="003011B4" w:rsidRPr="00B36A61">
        <w:rPr>
          <w:noProof w:val="0"/>
          <w:color w:val="17365D"/>
        </w:rPr>
        <w:t>Ietekmi arī radīja normatīvo aktu izmaiņas:</w:t>
      </w:r>
    </w:p>
    <w:p w14:paraId="12AE6F46" w14:textId="7A54D236" w:rsidR="00CC7013" w:rsidRPr="00B36A61" w:rsidRDefault="00CC7013" w:rsidP="00226D34">
      <w:pPr>
        <w:pStyle w:val="Pamatteksts"/>
        <w:numPr>
          <w:ilvl w:val="0"/>
          <w:numId w:val="34"/>
        </w:numPr>
        <w:ind w:left="993" w:hanging="426"/>
        <w:rPr>
          <w:noProof w:val="0"/>
          <w:color w:val="17365D"/>
        </w:rPr>
      </w:pPr>
      <w:r w:rsidRPr="00B36A61">
        <w:rPr>
          <w:noProof w:val="0"/>
          <w:color w:val="17365D"/>
        </w:rPr>
        <w:t>palielinā</w:t>
      </w:r>
      <w:r w:rsidR="003011B4" w:rsidRPr="00B36A61">
        <w:rPr>
          <w:noProof w:val="0"/>
          <w:color w:val="17365D"/>
        </w:rPr>
        <w:t>jā</w:t>
      </w:r>
      <w:r w:rsidRPr="00B36A61">
        <w:rPr>
          <w:noProof w:val="0"/>
          <w:color w:val="17365D"/>
        </w:rPr>
        <w:t>s akcīzes nodokļa likmes cigaretēm, smēķējamai tabakai un tabakas lapām, karsējamai tabakai, elektroniskajās smēķēšanas ierīcē</w:t>
      </w:r>
      <w:r w:rsidR="003011B4" w:rsidRPr="00B36A61">
        <w:rPr>
          <w:noProof w:val="0"/>
          <w:color w:val="17365D"/>
        </w:rPr>
        <w:t>m</w:t>
      </w:r>
      <w:r w:rsidRPr="00B36A61">
        <w:rPr>
          <w:noProof w:val="0"/>
          <w:color w:val="17365D"/>
        </w:rPr>
        <w:t xml:space="preserve"> izmantojamajam šķidrumam, tabakas aizstājējproduktiem un bezalkoholiskajiem dzērieniem par 100 litriem ar cukura saturu līdz 8 gramiem;</w:t>
      </w:r>
    </w:p>
    <w:p w14:paraId="70A35EF8" w14:textId="099A60BA" w:rsidR="009A581D" w:rsidRPr="00B36A61" w:rsidRDefault="00167EFF" w:rsidP="004E2537">
      <w:pPr>
        <w:pStyle w:val="Pamatteksts"/>
        <w:numPr>
          <w:ilvl w:val="0"/>
          <w:numId w:val="34"/>
        </w:numPr>
        <w:ind w:left="993" w:hanging="426"/>
        <w:rPr>
          <w:noProof w:val="0"/>
          <w:color w:val="17365D"/>
        </w:rPr>
      </w:pPr>
      <w:r w:rsidRPr="00B36A61">
        <w:rPr>
          <w:noProof w:val="0"/>
          <w:color w:val="17365D"/>
        </w:rPr>
        <w:t>samazinātās akcīzes nodokļa likmes vīnam, raudzētiem dzērieniem un starpproduktiem</w:t>
      </w:r>
      <w:r w:rsidR="003E6806" w:rsidRPr="00B36A61">
        <w:rPr>
          <w:noProof w:val="0"/>
          <w:color w:val="17365D"/>
        </w:rPr>
        <w:t>, kas attiecās uz sīkražotājiem, kuri saņēmuši Valsts ieņēmumu dienesta izsniegtu patstāvīga sīkražotāja sertifikātu, un kuru saražo</w:t>
      </w:r>
      <w:r w:rsidR="003011B4" w:rsidRPr="00B36A61">
        <w:rPr>
          <w:noProof w:val="0"/>
          <w:color w:val="17365D"/>
        </w:rPr>
        <w:t>tais</w:t>
      </w:r>
      <w:r w:rsidR="003E6806" w:rsidRPr="00B36A61">
        <w:rPr>
          <w:noProof w:val="0"/>
          <w:color w:val="17365D"/>
        </w:rPr>
        <w:t xml:space="preserve"> alkoholisko dzērienu apjoms nepārsniedz Latvijā noteikto ražošanas apjoma limitu.</w:t>
      </w:r>
    </w:p>
    <w:p w14:paraId="596B567A" w14:textId="5104741D" w:rsidR="00E859E6" w:rsidRPr="00B36A61" w:rsidRDefault="0099580E" w:rsidP="009A581D">
      <w:pPr>
        <w:pStyle w:val="Pamatteksts"/>
        <w:rPr>
          <w:noProof w:val="0"/>
          <w:color w:val="17365D"/>
        </w:rPr>
      </w:pPr>
      <w:r w:rsidRPr="00B36A61">
        <w:rPr>
          <w:noProof w:val="0"/>
          <w:color w:val="17365D"/>
          <w:u w:val="single"/>
        </w:rPr>
        <w:t>Iedzīvotāju ienākuma nodokļa</w:t>
      </w:r>
      <w:r w:rsidRPr="00B36A61">
        <w:rPr>
          <w:noProof w:val="0"/>
          <w:color w:val="17365D"/>
        </w:rPr>
        <w:t xml:space="preserve"> </w:t>
      </w:r>
      <w:r w:rsidR="000A70E2" w:rsidRPr="00B36A61">
        <w:rPr>
          <w:noProof w:val="0"/>
          <w:color w:val="17365D"/>
        </w:rPr>
        <w:t xml:space="preserve">(turpmāk – IIN) </w:t>
      </w:r>
      <w:r w:rsidRPr="00B36A61">
        <w:rPr>
          <w:noProof w:val="0"/>
          <w:color w:val="17365D"/>
        </w:rPr>
        <w:t xml:space="preserve">ieņēmumi valsts pamatbudžetā </w:t>
      </w:r>
      <w:r w:rsidR="008F2503" w:rsidRPr="00B36A61">
        <w:rPr>
          <w:noProof w:val="0"/>
          <w:color w:val="17365D"/>
        </w:rPr>
        <w:t>20</w:t>
      </w:r>
      <w:r w:rsidR="0064622B" w:rsidRPr="00B36A61">
        <w:rPr>
          <w:noProof w:val="0"/>
          <w:color w:val="17365D"/>
        </w:rPr>
        <w:t>2</w:t>
      </w:r>
      <w:r w:rsidR="00936D4E" w:rsidRPr="00B36A61">
        <w:rPr>
          <w:noProof w:val="0"/>
          <w:color w:val="17365D"/>
        </w:rPr>
        <w:t>2</w:t>
      </w:r>
      <w:r w:rsidR="008F2503" w:rsidRPr="00B36A61">
        <w:rPr>
          <w:noProof w:val="0"/>
          <w:color w:val="17365D"/>
        </w:rPr>
        <w:t>. gad</w:t>
      </w:r>
      <w:r w:rsidRPr="00B36A61">
        <w:rPr>
          <w:noProof w:val="0"/>
          <w:color w:val="17365D"/>
        </w:rPr>
        <w:t xml:space="preserve">ā ir </w:t>
      </w:r>
      <w:r w:rsidR="00936D4E" w:rsidRPr="00B36A61">
        <w:rPr>
          <w:noProof w:val="0"/>
          <w:color w:val="17365D"/>
        </w:rPr>
        <w:t>564</w:t>
      </w:r>
      <w:r w:rsidRPr="00B36A61">
        <w:rPr>
          <w:noProof w:val="0"/>
          <w:color w:val="17365D"/>
        </w:rPr>
        <w:t>,</w:t>
      </w:r>
      <w:r w:rsidR="00936D4E" w:rsidRPr="00B36A61">
        <w:rPr>
          <w:noProof w:val="0"/>
          <w:color w:val="17365D"/>
        </w:rPr>
        <w:t>6</w:t>
      </w:r>
      <w:r w:rsidR="00D30EB7" w:rsidRPr="00B36A61">
        <w:rPr>
          <w:noProof w:val="0"/>
          <w:color w:val="17365D"/>
        </w:rPr>
        <w:t> milj.</w:t>
      </w:r>
      <w:r w:rsidR="00BF4CF1" w:rsidRPr="00B36A61">
        <w:rPr>
          <w:noProof w:val="0"/>
          <w:color w:val="17365D"/>
        </w:rPr>
        <w:t> </w:t>
      </w:r>
      <w:r w:rsidR="00EF7B9A" w:rsidRPr="00B36A61">
        <w:rPr>
          <w:rStyle w:val="Piemrstxt"/>
          <w:rFonts w:ascii="Times New Roman" w:hAnsi="Times New Roman"/>
          <w:i/>
          <w:noProof w:val="0"/>
          <w:color w:val="17365D"/>
          <w:sz w:val="24"/>
        </w:rPr>
        <w:t>euro</w:t>
      </w:r>
      <w:r w:rsidR="00A976C0" w:rsidRPr="00B36A61">
        <w:rPr>
          <w:rStyle w:val="Piemrstxt"/>
          <w:rFonts w:ascii="Times New Roman" w:hAnsi="Times New Roman"/>
          <w:i/>
          <w:noProof w:val="0"/>
          <w:color w:val="17365D"/>
          <w:sz w:val="24"/>
        </w:rPr>
        <w:t xml:space="preserve"> </w:t>
      </w:r>
      <w:r w:rsidR="00A976C0" w:rsidRPr="00B36A61">
        <w:rPr>
          <w:rStyle w:val="Piemrstxt"/>
          <w:rFonts w:ascii="Times New Roman" w:hAnsi="Times New Roman"/>
          <w:noProof w:val="0"/>
          <w:color w:val="17365D"/>
          <w:sz w:val="24"/>
        </w:rPr>
        <w:t>vērtībā</w:t>
      </w:r>
      <w:r w:rsidRPr="00B36A61">
        <w:rPr>
          <w:noProof w:val="0"/>
          <w:color w:val="17365D"/>
        </w:rPr>
        <w:t xml:space="preserve">, kas salīdzinājumā ar </w:t>
      </w:r>
      <w:r w:rsidR="008F2503" w:rsidRPr="00B36A61">
        <w:rPr>
          <w:noProof w:val="0"/>
          <w:color w:val="17365D"/>
        </w:rPr>
        <w:t>20</w:t>
      </w:r>
      <w:r w:rsidR="00F12BE5" w:rsidRPr="00B36A61">
        <w:rPr>
          <w:noProof w:val="0"/>
          <w:color w:val="17365D"/>
        </w:rPr>
        <w:t>2</w:t>
      </w:r>
      <w:r w:rsidR="00936D4E" w:rsidRPr="00B36A61">
        <w:rPr>
          <w:noProof w:val="0"/>
          <w:color w:val="17365D"/>
        </w:rPr>
        <w:t>1</w:t>
      </w:r>
      <w:r w:rsidR="008F2503" w:rsidRPr="00B36A61">
        <w:rPr>
          <w:noProof w:val="0"/>
          <w:color w:val="17365D"/>
        </w:rPr>
        <w:t>. gad</w:t>
      </w:r>
      <w:r w:rsidRPr="00B36A61">
        <w:rPr>
          <w:noProof w:val="0"/>
          <w:color w:val="17365D"/>
        </w:rPr>
        <w:t xml:space="preserve">u ir par </w:t>
      </w:r>
      <w:r w:rsidR="00936D4E" w:rsidRPr="00B36A61">
        <w:rPr>
          <w:noProof w:val="0"/>
          <w:color w:val="17365D"/>
        </w:rPr>
        <w:t>87</w:t>
      </w:r>
      <w:r w:rsidR="002D7172" w:rsidRPr="00B36A61">
        <w:rPr>
          <w:noProof w:val="0"/>
          <w:color w:val="17365D"/>
        </w:rPr>
        <w:t>,</w:t>
      </w:r>
      <w:r w:rsidR="00936D4E" w:rsidRPr="00B36A61">
        <w:rPr>
          <w:noProof w:val="0"/>
          <w:color w:val="17365D"/>
        </w:rPr>
        <w:t>4</w:t>
      </w:r>
      <w:r w:rsidR="003346E4" w:rsidRPr="00B36A61">
        <w:rPr>
          <w:noProof w:val="0"/>
          <w:color w:val="17365D"/>
        </w:rPr>
        <w:t> milj.</w:t>
      </w:r>
      <w:r w:rsidR="00BF4CF1" w:rsidRPr="00B36A61">
        <w:rPr>
          <w:noProof w:val="0"/>
          <w:color w:val="17365D"/>
        </w:rPr>
        <w:t> </w:t>
      </w:r>
      <w:r w:rsidR="00EF7B9A" w:rsidRPr="00B36A61">
        <w:rPr>
          <w:rStyle w:val="Piemrstxt"/>
          <w:rFonts w:ascii="Times New Roman" w:hAnsi="Times New Roman"/>
          <w:i/>
          <w:noProof w:val="0"/>
          <w:color w:val="17365D"/>
          <w:sz w:val="24"/>
        </w:rPr>
        <w:t>euro</w:t>
      </w:r>
      <w:r w:rsidR="00BF4CF1" w:rsidRPr="00B36A61">
        <w:rPr>
          <w:noProof w:val="0"/>
          <w:color w:val="17365D"/>
        </w:rPr>
        <w:t> </w:t>
      </w:r>
      <w:r w:rsidRPr="00B36A61">
        <w:rPr>
          <w:noProof w:val="0"/>
          <w:color w:val="17365D"/>
        </w:rPr>
        <w:t xml:space="preserve">jeb par </w:t>
      </w:r>
      <w:r w:rsidR="00936D4E" w:rsidRPr="00B36A61">
        <w:rPr>
          <w:noProof w:val="0"/>
          <w:color w:val="17365D"/>
        </w:rPr>
        <w:t>18</w:t>
      </w:r>
      <w:r w:rsidRPr="00B36A61">
        <w:rPr>
          <w:noProof w:val="0"/>
          <w:color w:val="17365D"/>
        </w:rPr>
        <w:t>,</w:t>
      </w:r>
      <w:r w:rsidR="00936D4E" w:rsidRPr="00B36A61">
        <w:rPr>
          <w:noProof w:val="0"/>
          <w:color w:val="17365D"/>
        </w:rPr>
        <w:t>3</w:t>
      </w:r>
      <w:r w:rsidR="006A7956" w:rsidRPr="00B36A61">
        <w:rPr>
          <w:noProof w:val="0"/>
          <w:color w:val="17365D"/>
        </w:rPr>
        <w:t> %</w:t>
      </w:r>
      <w:r w:rsidRPr="00B36A61">
        <w:rPr>
          <w:noProof w:val="0"/>
          <w:color w:val="17365D"/>
        </w:rPr>
        <w:t xml:space="preserve"> </w:t>
      </w:r>
      <w:r w:rsidR="00F12BE5" w:rsidRPr="00B36A61">
        <w:rPr>
          <w:noProof w:val="0"/>
          <w:color w:val="17365D"/>
        </w:rPr>
        <w:t>vair</w:t>
      </w:r>
      <w:r w:rsidR="0064622B" w:rsidRPr="00B36A61">
        <w:rPr>
          <w:noProof w:val="0"/>
          <w:color w:val="17365D"/>
        </w:rPr>
        <w:t>āk</w:t>
      </w:r>
      <w:r w:rsidR="00B45557" w:rsidRPr="00B36A61">
        <w:rPr>
          <w:noProof w:val="0"/>
          <w:color w:val="17365D"/>
        </w:rPr>
        <w:t>.</w:t>
      </w:r>
      <w:r w:rsidRPr="00B36A61">
        <w:rPr>
          <w:noProof w:val="0"/>
          <w:color w:val="17365D"/>
        </w:rPr>
        <w:t xml:space="preserve"> </w:t>
      </w:r>
      <w:r w:rsidR="00984D87" w:rsidRPr="00B36A61">
        <w:rPr>
          <w:noProof w:val="0"/>
          <w:color w:val="17365D"/>
        </w:rPr>
        <w:t>IIN</w:t>
      </w:r>
      <w:r w:rsidRPr="00B36A61">
        <w:rPr>
          <w:noProof w:val="0"/>
          <w:color w:val="17365D"/>
        </w:rPr>
        <w:t xml:space="preserve"> gada plāna izpilde ir </w:t>
      </w:r>
      <w:r w:rsidR="002D7172" w:rsidRPr="00B36A61">
        <w:rPr>
          <w:noProof w:val="0"/>
          <w:color w:val="17365D"/>
        </w:rPr>
        <w:t>1</w:t>
      </w:r>
      <w:r w:rsidR="00936D4E" w:rsidRPr="00B36A61">
        <w:rPr>
          <w:noProof w:val="0"/>
          <w:color w:val="17365D"/>
        </w:rPr>
        <w:t>21</w:t>
      </w:r>
      <w:r w:rsidR="005D016A" w:rsidRPr="00B36A61">
        <w:rPr>
          <w:noProof w:val="0"/>
          <w:color w:val="17365D"/>
        </w:rPr>
        <w:t>,</w:t>
      </w:r>
      <w:r w:rsidR="00936D4E" w:rsidRPr="00B36A61">
        <w:rPr>
          <w:noProof w:val="0"/>
          <w:color w:val="17365D"/>
        </w:rPr>
        <w:t>3</w:t>
      </w:r>
      <w:r w:rsidR="006A7956" w:rsidRPr="00B36A61">
        <w:rPr>
          <w:noProof w:val="0"/>
          <w:color w:val="17365D"/>
        </w:rPr>
        <w:t> %</w:t>
      </w:r>
      <w:r w:rsidR="00B45557" w:rsidRPr="00B36A61">
        <w:rPr>
          <w:noProof w:val="0"/>
          <w:color w:val="17365D"/>
        </w:rPr>
        <w:t>.</w:t>
      </w:r>
      <w:r w:rsidR="00F542A7" w:rsidRPr="00B36A61">
        <w:rPr>
          <w:noProof w:val="0"/>
          <w:color w:val="17365D"/>
        </w:rPr>
        <w:t xml:space="preserve"> </w:t>
      </w:r>
    </w:p>
    <w:p w14:paraId="69CD6961" w14:textId="308D3045" w:rsidR="0020342F" w:rsidRPr="00B36A61" w:rsidRDefault="000A70E2" w:rsidP="005B36C9">
      <w:pPr>
        <w:pStyle w:val="Pamatteksts"/>
        <w:rPr>
          <w:color w:val="17365D"/>
        </w:rPr>
      </w:pPr>
      <w:r w:rsidRPr="00B36A61">
        <w:rPr>
          <w:noProof w:val="0"/>
          <w:color w:val="17365D"/>
        </w:rPr>
        <w:t xml:space="preserve">IIN </w:t>
      </w:r>
      <w:r w:rsidR="006C4516" w:rsidRPr="00B36A61">
        <w:rPr>
          <w:noProof w:val="0"/>
          <w:color w:val="17365D"/>
        </w:rPr>
        <w:t>ieņēmumu</w:t>
      </w:r>
      <w:r w:rsidR="00C8693D" w:rsidRPr="00B36A61">
        <w:rPr>
          <w:noProof w:val="0"/>
          <w:color w:val="17365D"/>
        </w:rPr>
        <w:t xml:space="preserve"> </w:t>
      </w:r>
      <w:r w:rsidR="00F12BE5" w:rsidRPr="00B36A61">
        <w:rPr>
          <w:noProof w:val="0"/>
          <w:color w:val="17365D"/>
        </w:rPr>
        <w:t>paliel</w:t>
      </w:r>
      <w:r w:rsidR="0064622B" w:rsidRPr="00B36A61">
        <w:rPr>
          <w:noProof w:val="0"/>
          <w:color w:val="17365D"/>
        </w:rPr>
        <w:t>inājum</w:t>
      </w:r>
      <w:r w:rsidR="00AD1C37" w:rsidRPr="00B36A61">
        <w:rPr>
          <w:noProof w:val="0"/>
          <w:color w:val="17365D"/>
        </w:rPr>
        <w:t>u</w:t>
      </w:r>
      <w:r w:rsidR="006C4516" w:rsidRPr="00B36A61">
        <w:rPr>
          <w:noProof w:val="0"/>
          <w:color w:val="17365D"/>
        </w:rPr>
        <w:t xml:space="preserve"> 20</w:t>
      </w:r>
      <w:r w:rsidR="0064622B" w:rsidRPr="00B36A61">
        <w:rPr>
          <w:noProof w:val="0"/>
          <w:color w:val="17365D"/>
        </w:rPr>
        <w:t>2</w:t>
      </w:r>
      <w:r w:rsidR="00A94033" w:rsidRPr="00B36A61">
        <w:rPr>
          <w:noProof w:val="0"/>
          <w:color w:val="17365D"/>
        </w:rPr>
        <w:t>2</w:t>
      </w:r>
      <w:r w:rsidR="006C4516" w:rsidRPr="00B36A61">
        <w:rPr>
          <w:noProof w:val="0"/>
          <w:color w:val="17365D"/>
        </w:rPr>
        <w:t>. gadā galvenokārt ietekmēja</w:t>
      </w:r>
      <w:r w:rsidR="007B0E6C" w:rsidRPr="00B36A61">
        <w:rPr>
          <w:noProof w:val="0"/>
          <w:color w:val="17365D"/>
        </w:rPr>
        <w:t xml:space="preserve"> </w:t>
      </w:r>
      <w:r w:rsidR="0020342F" w:rsidRPr="00B36A61">
        <w:rPr>
          <w:color w:val="17365D"/>
        </w:rPr>
        <w:t xml:space="preserve">strādājošo mēneša vidējā bruto darba samaksas un  </w:t>
      </w:r>
      <w:r w:rsidR="00147FC5" w:rsidRPr="00B36A61">
        <w:rPr>
          <w:color w:val="17365D"/>
        </w:rPr>
        <w:t>n</w:t>
      </w:r>
      <w:r w:rsidR="0020342F" w:rsidRPr="00B36A61">
        <w:rPr>
          <w:color w:val="17365D"/>
        </w:rPr>
        <w:t>odarbināto skaita pieaugums</w:t>
      </w:r>
      <w:r w:rsidR="00560490" w:rsidRPr="00B36A61">
        <w:rPr>
          <w:color w:val="17365D"/>
        </w:rPr>
        <w:t>. Lielākais nodarbināto skaita pieaugums bija vairumtirdzniecības un mazumtirdzniecības, automobiļu un motociklu remonta nozarē, informācijas un komunikācijas pakalpojumu nozarē, kā arī apstrādes rūpniecībā. Latvijā 2022.</w:t>
      </w:r>
      <w:r w:rsidR="005A32F4" w:rsidRPr="00B36A61">
        <w:rPr>
          <w:color w:val="17365D"/>
        </w:rPr>
        <w:t> </w:t>
      </w:r>
      <w:r w:rsidR="00560490" w:rsidRPr="00B36A61">
        <w:rPr>
          <w:color w:val="17365D"/>
        </w:rPr>
        <w:t>gadā bija nodarbināti 886,2 tūkstoši jeb 63,9% iedzīvotāju vecumā no 15 līdz 74 gadiem, liecina Centrālās statistikas pārvaldes dati, un salīdzinot ar 2021. gadu, nodarbinātības līmenis pieauga par 1,4 procentpunktiem, bet nodarbināto skaits – par 22,2 tūkstošiem.</w:t>
      </w:r>
    </w:p>
    <w:p w14:paraId="05E16A81" w14:textId="0905D8C6" w:rsidR="005B3BFC" w:rsidRPr="00B36A61" w:rsidRDefault="00403393" w:rsidP="00560490">
      <w:pPr>
        <w:pStyle w:val="Pamatteksts"/>
        <w:ind w:firstLine="0"/>
        <w:rPr>
          <w:color w:val="17365D"/>
        </w:rPr>
      </w:pPr>
      <w:r w:rsidRPr="00B36A61">
        <w:rPr>
          <w:color w:val="17365D"/>
        </w:rPr>
        <w:t>Ietekmi radīja arī</w:t>
      </w:r>
      <w:r w:rsidRPr="00B36A61">
        <w:rPr>
          <w:noProof w:val="0"/>
          <w:color w:val="17365D"/>
        </w:rPr>
        <w:t xml:space="preserve"> </w:t>
      </w:r>
      <w:r w:rsidR="007B0E6C" w:rsidRPr="00B36A61">
        <w:rPr>
          <w:noProof w:val="0"/>
          <w:color w:val="17365D"/>
        </w:rPr>
        <w:t>normatīv</w:t>
      </w:r>
      <w:r w:rsidRPr="00B36A61">
        <w:rPr>
          <w:noProof w:val="0"/>
          <w:color w:val="17365D"/>
        </w:rPr>
        <w:t>o</w:t>
      </w:r>
      <w:r w:rsidR="007B0E6C" w:rsidRPr="00B36A61">
        <w:rPr>
          <w:noProof w:val="0"/>
          <w:color w:val="17365D"/>
        </w:rPr>
        <w:t xml:space="preserve"> akt</w:t>
      </w:r>
      <w:r w:rsidRPr="00B36A61">
        <w:rPr>
          <w:noProof w:val="0"/>
          <w:color w:val="17365D"/>
        </w:rPr>
        <w:t>u</w:t>
      </w:r>
      <w:r w:rsidR="007D07F2" w:rsidRPr="00B36A61">
        <w:rPr>
          <w:noProof w:val="0"/>
          <w:color w:val="17365D"/>
        </w:rPr>
        <w:t xml:space="preserve"> </w:t>
      </w:r>
      <w:r w:rsidR="00B20A73" w:rsidRPr="00B36A61">
        <w:rPr>
          <w:noProof w:val="0"/>
          <w:color w:val="17365D"/>
        </w:rPr>
        <w:t>izmaiņas</w:t>
      </w:r>
      <w:r w:rsidR="005B3BFC" w:rsidRPr="00B36A61">
        <w:rPr>
          <w:noProof w:val="0"/>
          <w:color w:val="17365D"/>
        </w:rPr>
        <w:t>:</w:t>
      </w:r>
      <w:r w:rsidR="006C4516" w:rsidRPr="00B36A61">
        <w:rPr>
          <w:noProof w:val="0"/>
          <w:color w:val="17365D"/>
        </w:rPr>
        <w:t xml:space="preserve"> </w:t>
      </w:r>
    </w:p>
    <w:p w14:paraId="568A52E1" w14:textId="4D5E28BA" w:rsidR="00F12BE5" w:rsidRPr="00B36A61" w:rsidRDefault="00A94033" w:rsidP="008F1950">
      <w:pPr>
        <w:pStyle w:val="Pamatteksts"/>
        <w:numPr>
          <w:ilvl w:val="0"/>
          <w:numId w:val="8"/>
        </w:numPr>
        <w:ind w:left="993" w:hanging="426"/>
        <w:rPr>
          <w:noProof w:val="0"/>
          <w:color w:val="17365D"/>
        </w:rPr>
      </w:pPr>
      <w:r w:rsidRPr="00B36A61">
        <w:rPr>
          <w:noProof w:val="0"/>
          <w:color w:val="17365D"/>
        </w:rPr>
        <w:t>palielināts ar IIN neapliekamais minimums, Valsts ieņēmumu dienests paziņo neapliekamā minimuma apmēru divas reizes gadā no 2022. gada 1.</w:t>
      </w:r>
      <w:r w:rsidR="003011B4" w:rsidRPr="00B36A61">
        <w:rPr>
          <w:noProof w:val="0"/>
          <w:color w:val="17365D"/>
        </w:rPr>
        <w:t> </w:t>
      </w:r>
      <w:r w:rsidRPr="00B36A61">
        <w:rPr>
          <w:noProof w:val="0"/>
          <w:color w:val="17365D"/>
        </w:rPr>
        <w:t>janvāra līdz 30.</w:t>
      </w:r>
      <w:r w:rsidR="003011B4" w:rsidRPr="00B36A61">
        <w:rPr>
          <w:noProof w:val="0"/>
          <w:color w:val="17365D"/>
        </w:rPr>
        <w:t> </w:t>
      </w:r>
      <w:r w:rsidRPr="00B36A61">
        <w:rPr>
          <w:noProof w:val="0"/>
          <w:color w:val="17365D"/>
        </w:rPr>
        <w:t>jūnijam ar IIN neapliekamais minimums ir 350 </w:t>
      </w:r>
      <w:r w:rsidRPr="00B36A61">
        <w:rPr>
          <w:i/>
          <w:noProof w:val="0"/>
          <w:color w:val="17365D"/>
        </w:rPr>
        <w:t>euro</w:t>
      </w:r>
      <w:r w:rsidRPr="00B36A61">
        <w:rPr>
          <w:noProof w:val="0"/>
          <w:color w:val="17365D"/>
        </w:rPr>
        <w:t xml:space="preserve"> mēnesī, bet no 2022. gada 1.</w:t>
      </w:r>
      <w:r w:rsidR="003011B4" w:rsidRPr="00B36A61">
        <w:rPr>
          <w:noProof w:val="0"/>
          <w:color w:val="17365D"/>
        </w:rPr>
        <w:t> </w:t>
      </w:r>
      <w:r w:rsidRPr="00B36A61">
        <w:rPr>
          <w:noProof w:val="0"/>
          <w:color w:val="17365D"/>
        </w:rPr>
        <w:t>jūlija 500 </w:t>
      </w:r>
      <w:r w:rsidRPr="00B36A61">
        <w:rPr>
          <w:i/>
          <w:noProof w:val="0"/>
          <w:color w:val="17365D"/>
        </w:rPr>
        <w:t>euro</w:t>
      </w:r>
      <w:r w:rsidRPr="00B36A61">
        <w:rPr>
          <w:noProof w:val="0"/>
          <w:color w:val="17365D"/>
        </w:rPr>
        <w:t xml:space="preserve"> mēnesī</w:t>
      </w:r>
      <w:r w:rsidR="00F12BE5" w:rsidRPr="00B36A61">
        <w:rPr>
          <w:noProof w:val="0"/>
          <w:color w:val="17365D"/>
        </w:rPr>
        <w:t>;</w:t>
      </w:r>
    </w:p>
    <w:p w14:paraId="5C829B94" w14:textId="14C1A85B" w:rsidR="00F12BE5" w:rsidRPr="00B36A61" w:rsidRDefault="008F1950" w:rsidP="00BE414C">
      <w:pPr>
        <w:pStyle w:val="Pamatteksts"/>
        <w:numPr>
          <w:ilvl w:val="0"/>
          <w:numId w:val="8"/>
        </w:numPr>
        <w:ind w:left="993" w:hanging="426"/>
        <w:rPr>
          <w:noProof w:val="0"/>
          <w:color w:val="17365D"/>
        </w:rPr>
      </w:pPr>
      <w:r w:rsidRPr="00B36A61">
        <w:rPr>
          <w:noProof w:val="0"/>
          <w:color w:val="17365D"/>
        </w:rPr>
        <w:t xml:space="preserve">atcelti </w:t>
      </w:r>
      <w:r w:rsidR="004C5066" w:rsidRPr="00B36A61">
        <w:rPr>
          <w:noProof w:val="0"/>
          <w:color w:val="17365D"/>
        </w:rPr>
        <w:t>IIN</w:t>
      </w:r>
      <w:r w:rsidR="00F12BE5" w:rsidRPr="00B36A61">
        <w:rPr>
          <w:noProof w:val="0"/>
          <w:color w:val="17365D"/>
        </w:rPr>
        <w:t xml:space="preserve"> obligāt</w:t>
      </w:r>
      <w:r w:rsidRPr="00B36A61">
        <w:rPr>
          <w:noProof w:val="0"/>
          <w:color w:val="17365D"/>
        </w:rPr>
        <w:t>ie</w:t>
      </w:r>
      <w:r w:rsidR="00F12BE5" w:rsidRPr="00B36A61">
        <w:rPr>
          <w:noProof w:val="0"/>
          <w:color w:val="17365D"/>
        </w:rPr>
        <w:t xml:space="preserve"> avansa maksājum</w:t>
      </w:r>
      <w:r w:rsidRPr="00B36A61">
        <w:rPr>
          <w:noProof w:val="0"/>
          <w:color w:val="17365D"/>
        </w:rPr>
        <w:t>i</w:t>
      </w:r>
      <w:r w:rsidR="00F12BE5" w:rsidRPr="00B36A61">
        <w:rPr>
          <w:noProof w:val="0"/>
          <w:color w:val="17365D"/>
        </w:rPr>
        <w:t xml:space="preserve"> saimnieciskās darbības veicējiem;</w:t>
      </w:r>
    </w:p>
    <w:p w14:paraId="555366FA" w14:textId="6B59818B" w:rsidR="005B3BFC" w:rsidRPr="00B36A61" w:rsidRDefault="008F1950" w:rsidP="008F1950">
      <w:pPr>
        <w:pStyle w:val="Pamatteksts"/>
        <w:numPr>
          <w:ilvl w:val="0"/>
          <w:numId w:val="8"/>
        </w:numPr>
        <w:ind w:left="993" w:hanging="426"/>
        <w:rPr>
          <w:noProof w:val="0"/>
          <w:color w:val="17365D"/>
        </w:rPr>
      </w:pPr>
      <w:r w:rsidRPr="00B36A61">
        <w:rPr>
          <w:noProof w:val="0"/>
          <w:color w:val="17365D"/>
        </w:rPr>
        <w:t>pagarināts speciālais nodokļa režīms autoratlīdzības ienākumam</w:t>
      </w:r>
      <w:r w:rsidR="007D07F2" w:rsidRPr="00B36A61">
        <w:rPr>
          <w:noProof w:val="0"/>
          <w:color w:val="17365D"/>
        </w:rPr>
        <w:t>;</w:t>
      </w:r>
    </w:p>
    <w:p w14:paraId="284158D0" w14:textId="177F1720" w:rsidR="00D41EC6" w:rsidRPr="00B36A61" w:rsidRDefault="008F1950" w:rsidP="00560490">
      <w:pPr>
        <w:pStyle w:val="Pamatteksts"/>
        <w:numPr>
          <w:ilvl w:val="0"/>
          <w:numId w:val="8"/>
        </w:numPr>
        <w:ind w:left="993" w:hanging="426"/>
        <w:rPr>
          <w:noProof w:val="0"/>
          <w:color w:val="17365D"/>
        </w:rPr>
      </w:pPr>
      <w:r w:rsidRPr="00B36A61">
        <w:rPr>
          <w:bCs/>
          <w:noProof w:val="0"/>
          <w:color w:val="17365D"/>
        </w:rPr>
        <w:t xml:space="preserve">no aplikšanai ar IIN atbrīvoti darba devēja </w:t>
      </w:r>
      <w:r w:rsidR="007312BA" w:rsidRPr="00B36A61">
        <w:rPr>
          <w:bCs/>
          <w:noProof w:val="0"/>
          <w:color w:val="17365D"/>
        </w:rPr>
        <w:t xml:space="preserve">segtie </w:t>
      </w:r>
      <w:r w:rsidRPr="00B36A61">
        <w:rPr>
          <w:bCs/>
          <w:noProof w:val="0"/>
          <w:color w:val="17365D"/>
        </w:rPr>
        <w:t>ēdināšanas izdevumi</w:t>
      </w:r>
      <w:r w:rsidR="007312BA" w:rsidRPr="00B36A61">
        <w:rPr>
          <w:bCs/>
          <w:noProof w:val="0"/>
          <w:color w:val="17365D"/>
        </w:rPr>
        <w:t xml:space="preserve"> un </w:t>
      </w:r>
      <w:r w:rsidRPr="00B36A61">
        <w:rPr>
          <w:bCs/>
          <w:noProof w:val="0"/>
          <w:color w:val="17365D"/>
        </w:rPr>
        <w:t xml:space="preserve"> darba devēja segt</w:t>
      </w:r>
      <w:r w:rsidR="007312BA" w:rsidRPr="00B36A61">
        <w:rPr>
          <w:bCs/>
          <w:noProof w:val="0"/>
          <w:color w:val="17365D"/>
        </w:rPr>
        <w:t>ie</w:t>
      </w:r>
      <w:r w:rsidRPr="00B36A61">
        <w:rPr>
          <w:bCs/>
          <w:noProof w:val="0"/>
          <w:color w:val="17365D"/>
        </w:rPr>
        <w:t xml:space="preserve"> ārstniecības izdevum</w:t>
      </w:r>
      <w:r w:rsidR="007312BA" w:rsidRPr="00B36A61">
        <w:rPr>
          <w:bCs/>
          <w:noProof w:val="0"/>
          <w:color w:val="17365D"/>
        </w:rPr>
        <w:t>i</w:t>
      </w:r>
      <w:r w:rsidRPr="00B36A61">
        <w:rPr>
          <w:bCs/>
          <w:noProof w:val="0"/>
          <w:color w:val="17365D"/>
        </w:rPr>
        <w:t xml:space="preserve"> līdz 480 </w:t>
      </w:r>
      <w:r w:rsidRPr="00B36A61">
        <w:rPr>
          <w:bCs/>
          <w:i/>
          <w:noProof w:val="0"/>
          <w:color w:val="17365D"/>
        </w:rPr>
        <w:t>euro</w:t>
      </w:r>
      <w:r w:rsidRPr="00B36A61">
        <w:rPr>
          <w:bCs/>
          <w:noProof w:val="0"/>
          <w:color w:val="17365D"/>
        </w:rPr>
        <w:t xml:space="preserve"> gadā (summa iekļauj gan ēdināšanas gan ārstniecības izdevumus)</w:t>
      </w:r>
      <w:r w:rsidR="00382C64" w:rsidRPr="00B36A61">
        <w:rPr>
          <w:bCs/>
          <w:noProof w:val="0"/>
          <w:color w:val="17365D"/>
        </w:rPr>
        <w:t>, ja tie ir paredzēti darba koplīgumā</w:t>
      </w:r>
      <w:r w:rsidRPr="00B36A61">
        <w:rPr>
          <w:bCs/>
          <w:noProof w:val="0"/>
          <w:color w:val="17365D"/>
        </w:rPr>
        <w:t xml:space="preserve"> un </w:t>
      </w:r>
      <w:r w:rsidR="007312BA" w:rsidRPr="00B36A61">
        <w:rPr>
          <w:bCs/>
          <w:noProof w:val="0"/>
          <w:color w:val="17365D"/>
        </w:rPr>
        <w:t xml:space="preserve">ar </w:t>
      </w:r>
      <w:r w:rsidRPr="00B36A61">
        <w:rPr>
          <w:bCs/>
          <w:noProof w:val="0"/>
          <w:color w:val="17365D"/>
        </w:rPr>
        <w:t>attālinātā darba veikšanu saistīt</w:t>
      </w:r>
      <w:r w:rsidR="003011B4" w:rsidRPr="00B36A61">
        <w:rPr>
          <w:bCs/>
          <w:noProof w:val="0"/>
          <w:color w:val="17365D"/>
        </w:rPr>
        <w:t>ie</w:t>
      </w:r>
      <w:r w:rsidRPr="00B36A61">
        <w:rPr>
          <w:bCs/>
          <w:noProof w:val="0"/>
          <w:color w:val="17365D"/>
        </w:rPr>
        <w:t xml:space="preserve"> darba ņēmēja izdevum</w:t>
      </w:r>
      <w:r w:rsidR="003011B4" w:rsidRPr="00B36A61">
        <w:rPr>
          <w:bCs/>
          <w:noProof w:val="0"/>
          <w:color w:val="17365D"/>
        </w:rPr>
        <w:t>i,</w:t>
      </w:r>
      <w:r w:rsidRPr="00B36A61">
        <w:rPr>
          <w:bCs/>
          <w:noProof w:val="0"/>
          <w:color w:val="17365D"/>
        </w:rPr>
        <w:t xml:space="preserve"> </w:t>
      </w:r>
      <w:r w:rsidR="007312BA" w:rsidRPr="00B36A61">
        <w:rPr>
          <w:bCs/>
          <w:noProof w:val="0"/>
          <w:color w:val="17365D"/>
        </w:rPr>
        <w:t xml:space="preserve">kurus atbilstoši Darba likumam sedz darba devējs, ja to kopējais apmērs mēnesī par pilnas slodzes darbu nepārsniedz 30 </w:t>
      </w:r>
      <w:r w:rsidR="007312BA" w:rsidRPr="00B36A61">
        <w:rPr>
          <w:bCs/>
          <w:i/>
          <w:noProof w:val="0"/>
          <w:color w:val="17365D"/>
        </w:rPr>
        <w:t>euro</w:t>
      </w:r>
      <w:r w:rsidR="007312BA" w:rsidRPr="00B36A61">
        <w:rPr>
          <w:bCs/>
          <w:noProof w:val="0"/>
          <w:color w:val="17365D"/>
        </w:rPr>
        <w:t xml:space="preserve"> mēnesī</w:t>
      </w:r>
      <w:r w:rsidRPr="00B36A61">
        <w:rPr>
          <w:bCs/>
          <w:noProof w:val="0"/>
          <w:color w:val="17365D"/>
        </w:rPr>
        <w:t>.</w:t>
      </w:r>
    </w:p>
    <w:p w14:paraId="7BA26061" w14:textId="7CEB8333" w:rsidR="00E27BA1" w:rsidRPr="00B36A61" w:rsidRDefault="0072147A">
      <w:pPr>
        <w:pStyle w:val="Pamatteksts"/>
        <w:rPr>
          <w:noProof w:val="0"/>
          <w:color w:val="17365D"/>
        </w:rPr>
      </w:pPr>
      <w:r w:rsidRPr="00B36A61">
        <w:rPr>
          <w:noProof w:val="0"/>
          <w:color w:val="17365D"/>
          <w:u w:val="single"/>
        </w:rPr>
        <w:t>Uzņēmumu ienākuma nodokļa</w:t>
      </w:r>
      <w:r w:rsidRPr="00B36A61">
        <w:rPr>
          <w:noProof w:val="0"/>
          <w:color w:val="17365D"/>
        </w:rPr>
        <w:t xml:space="preserve"> (turpmāk –</w:t>
      </w:r>
      <w:r w:rsidR="0076665A" w:rsidRPr="00B36A61">
        <w:rPr>
          <w:noProof w:val="0"/>
          <w:color w:val="17365D"/>
        </w:rPr>
        <w:t xml:space="preserve"> </w:t>
      </w:r>
      <w:r w:rsidRPr="00B36A61">
        <w:rPr>
          <w:noProof w:val="0"/>
          <w:color w:val="17365D"/>
        </w:rPr>
        <w:t xml:space="preserve">UIN) ieņēmumi valsts budžetā </w:t>
      </w:r>
      <w:r w:rsidR="008F2503" w:rsidRPr="00B36A61">
        <w:rPr>
          <w:noProof w:val="0"/>
          <w:color w:val="17365D"/>
        </w:rPr>
        <w:t>20</w:t>
      </w:r>
      <w:r w:rsidR="006958C5" w:rsidRPr="00B36A61">
        <w:rPr>
          <w:noProof w:val="0"/>
          <w:color w:val="17365D"/>
        </w:rPr>
        <w:t>2</w:t>
      </w:r>
      <w:r w:rsidR="00C221DC" w:rsidRPr="00B36A61">
        <w:rPr>
          <w:noProof w:val="0"/>
          <w:color w:val="17365D"/>
        </w:rPr>
        <w:t>2</w:t>
      </w:r>
      <w:r w:rsidR="008F2503" w:rsidRPr="00B36A61">
        <w:rPr>
          <w:noProof w:val="0"/>
          <w:color w:val="17365D"/>
        </w:rPr>
        <w:t>. gad</w:t>
      </w:r>
      <w:r w:rsidRPr="00B36A61">
        <w:rPr>
          <w:noProof w:val="0"/>
          <w:color w:val="17365D"/>
        </w:rPr>
        <w:t xml:space="preserve">ā ir </w:t>
      </w:r>
      <w:r w:rsidR="00C221DC" w:rsidRPr="00B36A61">
        <w:rPr>
          <w:noProof w:val="0"/>
          <w:color w:val="17365D"/>
        </w:rPr>
        <w:t>378</w:t>
      </w:r>
      <w:r w:rsidRPr="00B36A61">
        <w:rPr>
          <w:noProof w:val="0"/>
          <w:color w:val="17365D"/>
        </w:rPr>
        <w:t>,</w:t>
      </w:r>
      <w:r w:rsidR="00C221DC" w:rsidRPr="00B36A61">
        <w:rPr>
          <w:noProof w:val="0"/>
          <w:color w:val="17365D"/>
        </w:rPr>
        <w:t>7</w:t>
      </w:r>
      <w:r w:rsidRPr="00B36A61">
        <w:rPr>
          <w:noProof w:val="0"/>
          <w:color w:val="17365D"/>
        </w:rPr>
        <w:t> milj</w:t>
      </w:r>
      <w:r w:rsidR="00C102EC" w:rsidRPr="00B36A61">
        <w:rPr>
          <w:noProof w:val="0"/>
          <w:color w:val="17365D"/>
        </w:rPr>
        <w:t>. </w:t>
      </w:r>
      <w:r w:rsidR="00EF7B9A" w:rsidRPr="00B36A61">
        <w:rPr>
          <w:rStyle w:val="Piemrstxt"/>
          <w:rFonts w:ascii="Times New Roman" w:hAnsi="Times New Roman"/>
          <w:i/>
          <w:noProof w:val="0"/>
          <w:color w:val="17365D"/>
          <w:sz w:val="24"/>
        </w:rPr>
        <w:t>euro</w:t>
      </w:r>
      <w:r w:rsidR="00A976C0" w:rsidRPr="00B36A61">
        <w:rPr>
          <w:rStyle w:val="Piemrstxt"/>
          <w:rFonts w:ascii="Times New Roman" w:hAnsi="Times New Roman"/>
          <w:i/>
          <w:noProof w:val="0"/>
          <w:color w:val="17365D"/>
          <w:sz w:val="24"/>
        </w:rPr>
        <w:t xml:space="preserve"> </w:t>
      </w:r>
      <w:r w:rsidR="00A976C0" w:rsidRPr="00B36A61">
        <w:rPr>
          <w:rStyle w:val="Piemrstxt"/>
          <w:rFonts w:ascii="Times New Roman" w:hAnsi="Times New Roman"/>
          <w:noProof w:val="0"/>
          <w:color w:val="17365D"/>
          <w:sz w:val="24"/>
        </w:rPr>
        <w:t>vērtībā</w:t>
      </w:r>
      <w:r w:rsidRPr="00B36A61">
        <w:rPr>
          <w:noProof w:val="0"/>
          <w:color w:val="17365D"/>
        </w:rPr>
        <w:t xml:space="preserve">, kas salīdzinājumā ar </w:t>
      </w:r>
      <w:r w:rsidR="008F2503" w:rsidRPr="00B36A61">
        <w:rPr>
          <w:noProof w:val="0"/>
          <w:color w:val="17365D"/>
        </w:rPr>
        <w:t>20</w:t>
      </w:r>
      <w:r w:rsidR="00AA0735" w:rsidRPr="00B36A61">
        <w:rPr>
          <w:noProof w:val="0"/>
          <w:color w:val="17365D"/>
        </w:rPr>
        <w:t>21</w:t>
      </w:r>
      <w:r w:rsidR="008F2503" w:rsidRPr="00B36A61">
        <w:rPr>
          <w:noProof w:val="0"/>
          <w:color w:val="17365D"/>
        </w:rPr>
        <w:t>. gad</w:t>
      </w:r>
      <w:r w:rsidRPr="00B36A61">
        <w:rPr>
          <w:noProof w:val="0"/>
          <w:color w:val="17365D"/>
        </w:rPr>
        <w:t xml:space="preserve">u </w:t>
      </w:r>
      <w:r w:rsidR="006958C5" w:rsidRPr="00B36A61">
        <w:rPr>
          <w:noProof w:val="0"/>
          <w:color w:val="17365D"/>
        </w:rPr>
        <w:t>palieli</w:t>
      </w:r>
      <w:r w:rsidR="00530B6A" w:rsidRPr="00B36A61">
        <w:rPr>
          <w:noProof w:val="0"/>
          <w:color w:val="17365D"/>
        </w:rPr>
        <w:t>nāj</w:t>
      </w:r>
      <w:r w:rsidR="00D971FB" w:rsidRPr="00B36A61">
        <w:rPr>
          <w:noProof w:val="0"/>
          <w:color w:val="17365D"/>
        </w:rPr>
        <w:t>ā</w:t>
      </w:r>
      <w:r w:rsidR="00530B6A" w:rsidRPr="00B36A61">
        <w:rPr>
          <w:noProof w:val="0"/>
          <w:color w:val="17365D"/>
        </w:rPr>
        <w:t>s</w:t>
      </w:r>
      <w:r w:rsidR="0008618A" w:rsidRPr="00B36A61">
        <w:rPr>
          <w:noProof w:val="0"/>
          <w:color w:val="17365D"/>
        </w:rPr>
        <w:t xml:space="preserve"> </w:t>
      </w:r>
      <w:r w:rsidRPr="00B36A61">
        <w:rPr>
          <w:noProof w:val="0"/>
          <w:color w:val="17365D"/>
        </w:rPr>
        <w:t xml:space="preserve">par </w:t>
      </w:r>
      <w:r w:rsidR="00C221DC" w:rsidRPr="00B36A61">
        <w:rPr>
          <w:noProof w:val="0"/>
          <w:color w:val="17365D"/>
        </w:rPr>
        <w:t>97</w:t>
      </w:r>
      <w:r w:rsidRPr="00B36A61">
        <w:rPr>
          <w:noProof w:val="0"/>
          <w:color w:val="17365D"/>
        </w:rPr>
        <w:t>,</w:t>
      </w:r>
      <w:r w:rsidR="00C221DC" w:rsidRPr="00B36A61">
        <w:rPr>
          <w:noProof w:val="0"/>
          <w:color w:val="17365D"/>
        </w:rPr>
        <w:t>7</w:t>
      </w:r>
      <w:r w:rsidR="00D30EB7" w:rsidRPr="00B36A61">
        <w:rPr>
          <w:noProof w:val="0"/>
          <w:color w:val="17365D"/>
        </w:rPr>
        <w:t> milj.</w:t>
      </w:r>
      <w:r w:rsidR="00C102EC" w:rsidRPr="00B36A61">
        <w:rPr>
          <w:noProof w:val="0"/>
          <w:color w:val="17365D"/>
        </w:rPr>
        <w:t> </w:t>
      </w:r>
      <w:r w:rsidR="00EF7B9A" w:rsidRPr="00B36A61">
        <w:rPr>
          <w:rStyle w:val="Piemrstxt"/>
          <w:rFonts w:ascii="Times New Roman" w:hAnsi="Times New Roman"/>
          <w:i/>
          <w:noProof w:val="0"/>
          <w:color w:val="17365D"/>
          <w:sz w:val="24"/>
        </w:rPr>
        <w:t>euro</w:t>
      </w:r>
      <w:r w:rsidR="00C263FD" w:rsidRPr="00B36A61">
        <w:rPr>
          <w:noProof w:val="0"/>
          <w:color w:val="17365D"/>
        </w:rPr>
        <w:t xml:space="preserve"> </w:t>
      </w:r>
      <w:r w:rsidRPr="00B36A61">
        <w:rPr>
          <w:noProof w:val="0"/>
          <w:color w:val="17365D"/>
        </w:rPr>
        <w:t xml:space="preserve">jeb </w:t>
      </w:r>
      <w:r w:rsidR="00D971FB" w:rsidRPr="00B36A61">
        <w:rPr>
          <w:noProof w:val="0"/>
          <w:color w:val="17365D"/>
        </w:rPr>
        <w:t>3</w:t>
      </w:r>
      <w:r w:rsidR="00C221DC" w:rsidRPr="00B36A61">
        <w:rPr>
          <w:noProof w:val="0"/>
          <w:color w:val="17365D"/>
        </w:rPr>
        <w:t>4</w:t>
      </w:r>
      <w:r w:rsidRPr="00B36A61">
        <w:rPr>
          <w:noProof w:val="0"/>
          <w:color w:val="17365D"/>
        </w:rPr>
        <w:t>,</w:t>
      </w:r>
      <w:r w:rsidR="00C221DC" w:rsidRPr="00B36A61">
        <w:rPr>
          <w:noProof w:val="0"/>
          <w:color w:val="17365D"/>
        </w:rPr>
        <w:t>7</w:t>
      </w:r>
      <w:r w:rsidR="006A7956" w:rsidRPr="00B36A61">
        <w:rPr>
          <w:noProof w:val="0"/>
          <w:color w:val="17365D"/>
        </w:rPr>
        <w:t> %</w:t>
      </w:r>
      <w:r w:rsidR="0008618A" w:rsidRPr="00B36A61">
        <w:rPr>
          <w:noProof w:val="0"/>
          <w:color w:val="17365D"/>
        </w:rPr>
        <w:t xml:space="preserve">. </w:t>
      </w:r>
      <w:r w:rsidRPr="00B36A61">
        <w:rPr>
          <w:noProof w:val="0"/>
          <w:color w:val="17365D"/>
        </w:rPr>
        <w:t xml:space="preserve">UIN gada plāna izpilde ir </w:t>
      </w:r>
      <w:r w:rsidR="00AA0735" w:rsidRPr="00B36A61">
        <w:rPr>
          <w:noProof w:val="0"/>
          <w:color w:val="17365D"/>
        </w:rPr>
        <w:t>1</w:t>
      </w:r>
      <w:r w:rsidR="00C221DC" w:rsidRPr="00B36A61">
        <w:rPr>
          <w:noProof w:val="0"/>
          <w:color w:val="17365D"/>
        </w:rPr>
        <w:t>19</w:t>
      </w:r>
      <w:r w:rsidRPr="00B36A61">
        <w:rPr>
          <w:noProof w:val="0"/>
          <w:color w:val="17365D"/>
        </w:rPr>
        <w:t>,</w:t>
      </w:r>
      <w:r w:rsidR="00C221DC" w:rsidRPr="00B36A61">
        <w:rPr>
          <w:noProof w:val="0"/>
          <w:color w:val="17365D"/>
        </w:rPr>
        <w:t>7</w:t>
      </w:r>
      <w:r w:rsidR="006A7956" w:rsidRPr="00B36A61">
        <w:rPr>
          <w:noProof w:val="0"/>
          <w:color w:val="17365D"/>
        </w:rPr>
        <w:t> %</w:t>
      </w:r>
      <w:r w:rsidR="0008618A" w:rsidRPr="00B36A61">
        <w:rPr>
          <w:noProof w:val="0"/>
          <w:color w:val="17365D"/>
        </w:rPr>
        <w:t>.</w:t>
      </w:r>
    </w:p>
    <w:p w14:paraId="0B1D5918" w14:textId="2118221F" w:rsidR="005732B7" w:rsidRPr="00B36A61" w:rsidRDefault="0078159B" w:rsidP="0071616E">
      <w:pPr>
        <w:spacing w:line="259" w:lineRule="auto"/>
        <w:rPr>
          <w:rFonts w:eastAsia="Calibri"/>
          <w:color w:val="17365D"/>
          <w:lang w:eastAsia="en-US"/>
        </w:rPr>
      </w:pPr>
      <w:r w:rsidRPr="00B36A61">
        <w:rPr>
          <w:color w:val="17365D"/>
        </w:rPr>
        <w:t xml:space="preserve">UIN ieņēmumu </w:t>
      </w:r>
      <w:r w:rsidR="00DB66DF" w:rsidRPr="00B36A61">
        <w:rPr>
          <w:color w:val="17365D"/>
        </w:rPr>
        <w:t>palieli</w:t>
      </w:r>
      <w:r w:rsidR="00987117" w:rsidRPr="00B36A61">
        <w:rPr>
          <w:color w:val="17365D"/>
        </w:rPr>
        <w:t>nājumu</w:t>
      </w:r>
      <w:r w:rsidRPr="00B36A61">
        <w:rPr>
          <w:rFonts w:eastAsia="Calibri"/>
          <w:color w:val="17365D"/>
          <w:lang w:eastAsia="en-US"/>
        </w:rPr>
        <w:t xml:space="preserve"> </w:t>
      </w:r>
      <w:r w:rsidR="00987117" w:rsidRPr="00B36A61">
        <w:rPr>
          <w:rFonts w:eastAsia="Calibri"/>
          <w:color w:val="17365D"/>
          <w:lang w:eastAsia="en-US"/>
        </w:rPr>
        <w:t>ietekmēja</w:t>
      </w:r>
      <w:r w:rsidR="0085654E" w:rsidRPr="00B36A61">
        <w:rPr>
          <w:rFonts w:eastAsia="Calibri"/>
          <w:color w:val="17365D"/>
          <w:lang w:eastAsia="en-US"/>
        </w:rPr>
        <w:t xml:space="preserve"> </w:t>
      </w:r>
      <w:r w:rsidR="00A440C1" w:rsidRPr="00B36A61">
        <w:rPr>
          <w:color w:val="17365D"/>
        </w:rPr>
        <w:t xml:space="preserve">nodokļa apmēra par peļņas sadali pieaugums, kā arī nodokli netieši ietekmēja lēmumi saistībā ar valsts kapitālsabiedrību dividendēs izmaksājamās daļas palielināšanu un </w:t>
      </w:r>
      <w:r w:rsidR="0085654E" w:rsidRPr="00B36A61">
        <w:rPr>
          <w:color w:val="17365D"/>
        </w:rPr>
        <w:t>normatīv</w:t>
      </w:r>
      <w:r w:rsidR="006B29E8" w:rsidRPr="00B36A61">
        <w:rPr>
          <w:color w:val="17365D"/>
        </w:rPr>
        <w:t>o</w:t>
      </w:r>
      <w:r w:rsidR="0085654E" w:rsidRPr="00B36A61">
        <w:rPr>
          <w:color w:val="17365D"/>
        </w:rPr>
        <w:t xml:space="preserve"> akt</w:t>
      </w:r>
      <w:r w:rsidR="006B29E8" w:rsidRPr="00B36A61">
        <w:rPr>
          <w:color w:val="17365D"/>
        </w:rPr>
        <w:t>u</w:t>
      </w:r>
      <w:r w:rsidR="0085654E" w:rsidRPr="00B36A61">
        <w:rPr>
          <w:color w:val="17365D"/>
        </w:rPr>
        <w:t xml:space="preserve"> </w:t>
      </w:r>
      <w:r w:rsidR="00B20A73" w:rsidRPr="00B36A61">
        <w:rPr>
          <w:color w:val="17365D"/>
        </w:rPr>
        <w:t>izmaiņas</w:t>
      </w:r>
      <w:r w:rsidR="0071616E" w:rsidRPr="00B36A61">
        <w:rPr>
          <w:color w:val="17365D"/>
        </w:rPr>
        <w:t xml:space="preserve"> – </w:t>
      </w:r>
      <w:r w:rsidR="005732B7" w:rsidRPr="00B36A61">
        <w:rPr>
          <w:rFonts w:eastAsia="Calibri"/>
          <w:color w:val="17365D"/>
          <w:lang w:eastAsia="en-US"/>
        </w:rPr>
        <w:t>UIN maksātāji par veiktajiem palielinātajiem procentu maksājumiem pārskata gadā, palielinātos procentu maksājumos var ietvert saimnieciskās darbības izdevumos pilnā apmērā. Ja palielināt</w:t>
      </w:r>
      <w:r w:rsidR="003011B4" w:rsidRPr="00B36A61">
        <w:rPr>
          <w:rFonts w:eastAsia="Calibri"/>
          <w:color w:val="17365D"/>
          <w:lang w:eastAsia="en-US"/>
        </w:rPr>
        <w:t>ās</w:t>
      </w:r>
      <w:r w:rsidR="005732B7" w:rsidRPr="00B36A61">
        <w:rPr>
          <w:rFonts w:eastAsia="Calibri"/>
          <w:color w:val="17365D"/>
          <w:lang w:eastAsia="en-US"/>
        </w:rPr>
        <w:t xml:space="preserve"> procentu izmaksas pārskata gadā pārsniedz 3</w:t>
      </w:r>
      <w:r w:rsidR="0071616E" w:rsidRPr="00B36A61">
        <w:rPr>
          <w:rFonts w:eastAsia="Calibri"/>
          <w:color w:val="17365D"/>
          <w:lang w:eastAsia="en-US"/>
        </w:rPr>
        <w:t> m</w:t>
      </w:r>
      <w:r w:rsidR="005732B7" w:rsidRPr="00B36A61">
        <w:rPr>
          <w:rFonts w:eastAsia="Calibri"/>
          <w:color w:val="17365D"/>
          <w:lang w:eastAsia="en-US"/>
        </w:rPr>
        <w:t>ilj. </w:t>
      </w:r>
      <w:r w:rsidR="005732B7" w:rsidRPr="00B36A61">
        <w:rPr>
          <w:rFonts w:eastAsia="Calibri"/>
          <w:i/>
          <w:color w:val="17365D"/>
          <w:lang w:eastAsia="en-US"/>
        </w:rPr>
        <w:t>euro</w:t>
      </w:r>
      <w:r w:rsidR="005732B7" w:rsidRPr="00B36A61">
        <w:rPr>
          <w:rFonts w:eastAsia="Calibri"/>
          <w:color w:val="17365D"/>
          <w:lang w:eastAsia="en-US"/>
        </w:rPr>
        <w:t xml:space="preserve"> nodokļu maksātājiem</w:t>
      </w:r>
      <w:r w:rsidR="003011B4" w:rsidRPr="00B36A61">
        <w:rPr>
          <w:rFonts w:eastAsia="Calibri"/>
          <w:color w:val="17365D"/>
          <w:lang w:eastAsia="en-US"/>
        </w:rPr>
        <w:t>,</w:t>
      </w:r>
      <w:r w:rsidR="005732B7" w:rsidRPr="00B36A61">
        <w:rPr>
          <w:rFonts w:eastAsia="Calibri"/>
          <w:color w:val="17365D"/>
          <w:lang w:eastAsia="en-US"/>
        </w:rPr>
        <w:t xml:space="preserve"> joprojām ir saistoši palielināt</w:t>
      </w:r>
      <w:r w:rsidR="003011B4" w:rsidRPr="00B36A61">
        <w:rPr>
          <w:rFonts w:eastAsia="Calibri"/>
          <w:color w:val="17365D"/>
          <w:lang w:eastAsia="en-US"/>
        </w:rPr>
        <w:t>ie</w:t>
      </w:r>
      <w:r w:rsidR="005732B7" w:rsidRPr="00B36A61">
        <w:rPr>
          <w:rFonts w:eastAsia="Calibri"/>
          <w:color w:val="17365D"/>
          <w:lang w:eastAsia="en-US"/>
        </w:rPr>
        <w:t xml:space="preserve"> procentu maksājumu nosacījumi arī 2022. pārskata gadā.</w:t>
      </w:r>
    </w:p>
    <w:p w14:paraId="6C53590C" w14:textId="1E17FEF6" w:rsidR="006B35AD" w:rsidRPr="00B36A61" w:rsidRDefault="006B35AD" w:rsidP="00865CD2">
      <w:pPr>
        <w:spacing w:after="0" w:line="259" w:lineRule="auto"/>
        <w:rPr>
          <w:rFonts w:eastAsia="Calibri"/>
          <w:color w:val="17365D"/>
        </w:rPr>
      </w:pPr>
      <w:r w:rsidRPr="00B36A61">
        <w:rPr>
          <w:color w:val="17365D"/>
          <w:u w:val="single"/>
        </w:rPr>
        <w:t>Transportlīdzekļa ekspluatācijas nodokļa</w:t>
      </w:r>
      <w:r w:rsidRPr="00B36A61">
        <w:rPr>
          <w:color w:val="17365D"/>
        </w:rPr>
        <w:t xml:space="preserve"> ieņēmumi 20</w:t>
      </w:r>
      <w:r w:rsidR="00582321" w:rsidRPr="00B36A61">
        <w:rPr>
          <w:color w:val="17365D"/>
        </w:rPr>
        <w:t>2</w:t>
      </w:r>
      <w:r w:rsidR="00B80844" w:rsidRPr="00B36A61">
        <w:rPr>
          <w:color w:val="17365D"/>
        </w:rPr>
        <w:t>2</w:t>
      </w:r>
      <w:r w:rsidRPr="00B36A61">
        <w:rPr>
          <w:color w:val="17365D"/>
        </w:rPr>
        <w:t xml:space="preserve">. gadā ir </w:t>
      </w:r>
      <w:r w:rsidR="00C719E5" w:rsidRPr="00B36A61">
        <w:rPr>
          <w:color w:val="17365D"/>
        </w:rPr>
        <w:t>10</w:t>
      </w:r>
      <w:r w:rsidR="00B80844" w:rsidRPr="00B36A61">
        <w:rPr>
          <w:color w:val="17365D"/>
        </w:rPr>
        <w:t>1</w:t>
      </w:r>
      <w:r w:rsidRPr="00B36A61">
        <w:rPr>
          <w:color w:val="17365D"/>
        </w:rPr>
        <w:t>,</w:t>
      </w:r>
      <w:r w:rsidR="00B80844" w:rsidRPr="00B36A61">
        <w:rPr>
          <w:color w:val="17365D"/>
        </w:rPr>
        <w:t>5</w:t>
      </w:r>
      <w:r w:rsidRPr="00B36A61">
        <w:rPr>
          <w:color w:val="17365D"/>
        </w:rPr>
        <w:t> milj. </w:t>
      </w:r>
      <w:r w:rsidRPr="00B36A61">
        <w:rPr>
          <w:i/>
          <w:color w:val="17365D"/>
        </w:rPr>
        <w:t>euro</w:t>
      </w:r>
      <w:r w:rsidR="00A976C0" w:rsidRPr="00B36A61">
        <w:rPr>
          <w:i/>
          <w:color w:val="17365D"/>
        </w:rPr>
        <w:t xml:space="preserve"> </w:t>
      </w:r>
      <w:r w:rsidR="00A976C0" w:rsidRPr="00B36A61">
        <w:rPr>
          <w:color w:val="17365D"/>
        </w:rPr>
        <w:t>vērtībā</w:t>
      </w:r>
      <w:r w:rsidRPr="00B36A61">
        <w:rPr>
          <w:color w:val="17365D"/>
        </w:rPr>
        <w:t>, kas salīdzinājumā ar 20</w:t>
      </w:r>
      <w:r w:rsidR="00C719E5" w:rsidRPr="00B36A61">
        <w:rPr>
          <w:color w:val="17365D"/>
        </w:rPr>
        <w:t>2</w:t>
      </w:r>
      <w:r w:rsidR="00B80844" w:rsidRPr="00B36A61">
        <w:rPr>
          <w:color w:val="17365D"/>
        </w:rPr>
        <w:t>1</w:t>
      </w:r>
      <w:r w:rsidRPr="00B36A61">
        <w:rPr>
          <w:color w:val="17365D"/>
        </w:rPr>
        <w:t xml:space="preserve">. gadu palielinājās par </w:t>
      </w:r>
      <w:r w:rsidR="00B80844" w:rsidRPr="00B36A61">
        <w:rPr>
          <w:color w:val="17365D"/>
        </w:rPr>
        <w:t>1</w:t>
      </w:r>
      <w:r w:rsidRPr="00B36A61">
        <w:rPr>
          <w:color w:val="17365D"/>
        </w:rPr>
        <w:t>,</w:t>
      </w:r>
      <w:r w:rsidR="00C719E5" w:rsidRPr="00B36A61">
        <w:rPr>
          <w:color w:val="17365D"/>
        </w:rPr>
        <w:t>5</w:t>
      </w:r>
      <w:r w:rsidRPr="00B36A61">
        <w:rPr>
          <w:color w:val="17365D"/>
        </w:rPr>
        <w:t> milj. </w:t>
      </w:r>
      <w:r w:rsidRPr="00B36A61">
        <w:rPr>
          <w:i/>
          <w:color w:val="17365D"/>
        </w:rPr>
        <w:t>euro</w:t>
      </w:r>
      <w:r w:rsidRPr="00B36A61">
        <w:rPr>
          <w:color w:val="17365D"/>
        </w:rPr>
        <w:t xml:space="preserve"> jeb </w:t>
      </w:r>
      <w:r w:rsidR="00B80844" w:rsidRPr="00B36A61">
        <w:rPr>
          <w:color w:val="17365D"/>
        </w:rPr>
        <w:t>1</w:t>
      </w:r>
      <w:r w:rsidRPr="00B36A61">
        <w:rPr>
          <w:color w:val="17365D"/>
        </w:rPr>
        <w:t>,</w:t>
      </w:r>
      <w:r w:rsidR="00B80844" w:rsidRPr="00B36A61">
        <w:rPr>
          <w:color w:val="17365D"/>
        </w:rPr>
        <w:t>5</w:t>
      </w:r>
      <w:r w:rsidRPr="00B36A61">
        <w:rPr>
          <w:color w:val="17365D"/>
        </w:rPr>
        <w:t> %</w:t>
      </w:r>
      <w:r w:rsidR="00984D87" w:rsidRPr="00B36A61">
        <w:rPr>
          <w:color w:val="17365D"/>
        </w:rPr>
        <w:t>,</w:t>
      </w:r>
      <w:r w:rsidRPr="00B36A61">
        <w:rPr>
          <w:color w:val="17365D"/>
        </w:rPr>
        <w:t xml:space="preserve"> un gada plāna izpilde ir </w:t>
      </w:r>
      <w:r w:rsidR="00867F03" w:rsidRPr="00B36A61">
        <w:rPr>
          <w:color w:val="17365D"/>
        </w:rPr>
        <w:t>9</w:t>
      </w:r>
      <w:r w:rsidR="00B80844" w:rsidRPr="00B36A61">
        <w:rPr>
          <w:color w:val="17365D"/>
        </w:rPr>
        <w:t>5</w:t>
      </w:r>
      <w:r w:rsidR="00867F03" w:rsidRPr="00B36A61">
        <w:rPr>
          <w:color w:val="17365D"/>
        </w:rPr>
        <w:t>,</w:t>
      </w:r>
      <w:r w:rsidR="00B80844" w:rsidRPr="00B36A61">
        <w:rPr>
          <w:color w:val="17365D"/>
        </w:rPr>
        <w:t>6</w:t>
      </w:r>
      <w:r w:rsidRPr="00B36A61">
        <w:rPr>
          <w:color w:val="17365D"/>
        </w:rPr>
        <w:t> %.</w:t>
      </w:r>
      <w:r w:rsidRPr="00B36A61">
        <w:rPr>
          <w:rFonts w:eastAsia="Calibri"/>
          <w:color w:val="17365D"/>
        </w:rPr>
        <w:t xml:space="preserve"> </w:t>
      </w:r>
    </w:p>
    <w:p w14:paraId="78F814A3" w14:textId="21770F9F" w:rsidR="00A56C99" w:rsidRPr="00B36A61" w:rsidRDefault="004C2C7D" w:rsidP="00A976C0">
      <w:pPr>
        <w:spacing w:line="259" w:lineRule="auto"/>
        <w:rPr>
          <w:rFonts w:eastAsia="Calibri"/>
          <w:color w:val="17365D"/>
        </w:rPr>
      </w:pPr>
      <w:r w:rsidRPr="00B36A61">
        <w:rPr>
          <w:rFonts w:eastAsia="Times"/>
          <w:color w:val="17365D"/>
        </w:rPr>
        <w:t>Transportlīdzekļa ekspluatācijas nodokļa ieņēmumu palielinājumu galvenokārt ietekmēja</w:t>
      </w:r>
      <w:r w:rsidR="00B608E0" w:rsidRPr="00B36A61">
        <w:rPr>
          <w:rFonts w:eastAsia="Calibri"/>
          <w:color w:val="17365D"/>
          <w:lang w:eastAsia="en-US"/>
        </w:rPr>
        <w:t xml:space="preserve"> </w:t>
      </w:r>
      <w:r w:rsidR="00B608E0" w:rsidRPr="00B36A61">
        <w:rPr>
          <w:rFonts w:eastAsia="Times"/>
          <w:color w:val="17365D"/>
        </w:rPr>
        <w:t>pamatpārbaud</w:t>
      </w:r>
      <w:r w:rsidR="00232D77" w:rsidRPr="00B36A61">
        <w:rPr>
          <w:rFonts w:eastAsia="Times"/>
          <w:color w:val="17365D"/>
        </w:rPr>
        <w:t>i</w:t>
      </w:r>
      <w:r w:rsidR="00B608E0" w:rsidRPr="00B36A61">
        <w:rPr>
          <w:rFonts w:eastAsia="Times"/>
          <w:color w:val="17365D"/>
        </w:rPr>
        <w:t xml:space="preserve"> </w:t>
      </w:r>
      <w:r w:rsidR="00232D77" w:rsidRPr="00B36A61">
        <w:rPr>
          <w:rFonts w:eastAsia="Times"/>
          <w:color w:val="17365D"/>
        </w:rPr>
        <w:t>(</w:t>
      </w:r>
      <w:r w:rsidR="00B608E0" w:rsidRPr="00B36A61">
        <w:rPr>
          <w:rFonts w:eastAsia="Times"/>
          <w:color w:val="17365D"/>
        </w:rPr>
        <w:t>valsts tehnisko apskati</w:t>
      </w:r>
      <w:r w:rsidR="00232D77" w:rsidRPr="00B36A61">
        <w:rPr>
          <w:rFonts w:eastAsia="Times"/>
          <w:color w:val="17365D"/>
        </w:rPr>
        <w:t>)</w:t>
      </w:r>
      <w:r w:rsidR="00B608E0" w:rsidRPr="00B36A61">
        <w:rPr>
          <w:rFonts w:eastAsia="Times"/>
          <w:color w:val="17365D"/>
        </w:rPr>
        <w:t xml:space="preserve"> veikušo transportlīdzekļu skaita pieaugums.</w:t>
      </w:r>
    </w:p>
    <w:p w14:paraId="60AA1CD4" w14:textId="2D45EC75" w:rsidR="00EE346D" w:rsidRPr="00B36A61" w:rsidRDefault="00A56C99" w:rsidP="00D75D93">
      <w:pPr>
        <w:pStyle w:val="Pamatteksts"/>
        <w:rPr>
          <w:noProof w:val="0"/>
          <w:color w:val="17365D"/>
        </w:rPr>
      </w:pPr>
      <w:r w:rsidRPr="00B36A61">
        <w:rPr>
          <w:b/>
          <w:color w:val="17365D"/>
          <w:u w:val="single"/>
        </w:rPr>
        <mc:AlternateContent>
          <mc:Choice Requires="wps">
            <w:drawing>
              <wp:anchor distT="0" distB="0" distL="114300" distR="114300" simplePos="0" relativeHeight="251666944" behindDoc="1" locked="0" layoutInCell="1" allowOverlap="1" wp14:anchorId="22064B23" wp14:editId="4CD43CAE">
                <wp:simplePos x="0" y="0"/>
                <wp:positionH relativeFrom="column">
                  <wp:posOffset>4266565</wp:posOffset>
                </wp:positionH>
                <wp:positionV relativeFrom="paragraph">
                  <wp:posOffset>81915</wp:posOffset>
                </wp:positionV>
                <wp:extent cx="1680845" cy="933450"/>
                <wp:effectExtent l="0" t="0" r="14605" b="19050"/>
                <wp:wrapTight wrapText="bothSides">
                  <wp:wrapPolygon edited="0">
                    <wp:start x="0" y="0"/>
                    <wp:lineTo x="0" y="21600"/>
                    <wp:lineTo x="21543" y="21600"/>
                    <wp:lineTo x="21543" y="0"/>
                    <wp:lineTo x="0" y="0"/>
                  </wp:wrapPolygon>
                </wp:wrapTight>
                <wp:docPr id="13" name="Rectangle 13"/>
                <wp:cNvGraphicFramePr/>
                <a:graphic xmlns:a="http://schemas.openxmlformats.org/drawingml/2006/main">
                  <a:graphicData uri="http://schemas.microsoft.com/office/word/2010/wordprocessingShape">
                    <wps:wsp>
                      <wps:cNvSpPr/>
                      <wps:spPr>
                        <a:xfrm>
                          <a:off x="0" y="0"/>
                          <a:ext cx="1680845" cy="933450"/>
                        </a:xfrm>
                        <a:prstGeom prst="rect">
                          <a:avLst/>
                        </a:prstGeom>
                        <a:solidFill>
                          <a:sysClr val="window" lastClr="FFFFFF"/>
                        </a:solidFill>
                        <a:ln w="25400" cap="flat" cmpd="sng" algn="ctr">
                          <a:solidFill>
                            <a:srgbClr val="17365D"/>
                          </a:solidFill>
                          <a:prstDash val="sysDot"/>
                        </a:ln>
                        <a:effectLst/>
                      </wps:spPr>
                      <wps:txbx>
                        <w:txbxContent>
                          <w:p w14:paraId="4020271E" w14:textId="2400DE74" w:rsidR="00B36A61" w:rsidRPr="00AC4394" w:rsidRDefault="00B36A61" w:rsidP="004B0C3A">
                            <w:pPr>
                              <w:ind w:firstLine="0"/>
                              <w:jc w:val="center"/>
                              <w:rPr>
                                <w:color w:val="17365D"/>
                              </w:rPr>
                            </w:pPr>
                            <w:r w:rsidRPr="00AC4394">
                              <w:rPr>
                                <w:color w:val="17365D"/>
                              </w:rPr>
                              <w:t>Sociālās apdrošināšanas iemaksas –</w:t>
                            </w:r>
                          </w:p>
                          <w:p w14:paraId="2C896DB6" w14:textId="6FD9FEAF" w:rsidR="00B36A61" w:rsidRPr="00AC4394" w:rsidRDefault="00B36A61" w:rsidP="004B0C3A">
                            <w:pPr>
                              <w:ind w:firstLine="0"/>
                              <w:jc w:val="center"/>
                              <w:rPr>
                                <w:color w:val="17365D"/>
                              </w:rPr>
                            </w:pPr>
                            <w:r w:rsidRPr="00B80844">
                              <w:rPr>
                                <w:b/>
                                <w:color w:val="17365D"/>
                              </w:rPr>
                              <w:t>3</w:t>
                            </w:r>
                            <w:r>
                              <w:rPr>
                                <w:b/>
                                <w:color w:val="17365D"/>
                              </w:rPr>
                              <w:t xml:space="preserve"> </w:t>
                            </w:r>
                            <w:r w:rsidRPr="00B80844">
                              <w:rPr>
                                <w:b/>
                                <w:color w:val="17365D"/>
                              </w:rPr>
                              <w:t>539</w:t>
                            </w:r>
                            <w:r>
                              <w:rPr>
                                <w:b/>
                                <w:color w:val="17365D"/>
                              </w:rPr>
                              <w:t xml:space="preserve"> </w:t>
                            </w:r>
                            <w:r w:rsidRPr="00B80844">
                              <w:rPr>
                                <w:b/>
                                <w:color w:val="17365D"/>
                              </w:rPr>
                              <w:t>526</w:t>
                            </w:r>
                            <w:r>
                              <w:rPr>
                                <w:b/>
                                <w:color w:val="17365D"/>
                              </w:rPr>
                              <w:t xml:space="preserve"> </w:t>
                            </w:r>
                            <w:r w:rsidRPr="00B80844">
                              <w:rPr>
                                <w:b/>
                                <w:color w:val="17365D"/>
                              </w:rPr>
                              <w:t xml:space="preserve">147 </w:t>
                            </w:r>
                            <w:r w:rsidRPr="00AC4394">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64B23" id="Rectangle 13" o:spid="_x0000_s1029" style="position:absolute;left:0;text-align:left;margin-left:335.95pt;margin-top:6.45pt;width:132.35pt;height:7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" fillcolor="window" strokecolor="#17365d" strokeweight="2pt">
                <v:stroke dashstyle="1 1"/>
                <v:textbox>
                  <w:txbxContent>
                    <w:p w14:paraId="4020271E" w14:textId="2400DE74" w:rsidR="00B36A61" w:rsidRPr="00AC4394" w:rsidRDefault="00B36A61" w:rsidP="004B0C3A">
                      <w:pPr>
                        <w:ind w:firstLine="0"/>
                        <w:jc w:val="center"/>
                        <w:rPr>
                          <w:color w:val="17365D"/>
                        </w:rPr>
                      </w:pPr>
                      <w:r w:rsidRPr="00AC4394">
                        <w:rPr>
                          <w:color w:val="17365D"/>
                        </w:rPr>
                        <w:t>Sociālās apdrošināšanas iemaksas –</w:t>
                      </w:r>
                    </w:p>
                    <w:p w14:paraId="2C896DB6" w14:textId="6FD9FEAF" w:rsidR="00B36A61" w:rsidRPr="00AC4394" w:rsidRDefault="00B36A61" w:rsidP="004B0C3A">
                      <w:pPr>
                        <w:ind w:firstLine="0"/>
                        <w:jc w:val="center"/>
                        <w:rPr>
                          <w:color w:val="17365D"/>
                        </w:rPr>
                      </w:pPr>
                      <w:r w:rsidRPr="00B80844">
                        <w:rPr>
                          <w:b/>
                          <w:color w:val="17365D"/>
                        </w:rPr>
                        <w:t>3</w:t>
                      </w:r>
                      <w:r>
                        <w:rPr>
                          <w:b/>
                          <w:color w:val="17365D"/>
                        </w:rPr>
                        <w:t xml:space="preserve"> </w:t>
                      </w:r>
                      <w:r w:rsidRPr="00B80844">
                        <w:rPr>
                          <w:b/>
                          <w:color w:val="17365D"/>
                        </w:rPr>
                        <w:t>539</w:t>
                      </w:r>
                      <w:r>
                        <w:rPr>
                          <w:b/>
                          <w:color w:val="17365D"/>
                        </w:rPr>
                        <w:t xml:space="preserve"> </w:t>
                      </w:r>
                      <w:r w:rsidRPr="00B80844">
                        <w:rPr>
                          <w:b/>
                          <w:color w:val="17365D"/>
                        </w:rPr>
                        <w:t>526</w:t>
                      </w:r>
                      <w:r>
                        <w:rPr>
                          <w:b/>
                          <w:color w:val="17365D"/>
                        </w:rPr>
                        <w:t xml:space="preserve"> </w:t>
                      </w:r>
                      <w:r w:rsidRPr="00B80844">
                        <w:rPr>
                          <w:b/>
                          <w:color w:val="17365D"/>
                        </w:rPr>
                        <w:t xml:space="preserve">147 </w:t>
                      </w:r>
                      <w:r w:rsidRPr="00AC4394">
                        <w:rPr>
                          <w:i/>
                          <w:color w:val="17365D"/>
                        </w:rPr>
                        <w:t>euro</w:t>
                      </w:r>
                    </w:p>
                  </w:txbxContent>
                </v:textbox>
                <w10:wrap type="tight"/>
              </v:rect>
            </w:pict>
          </mc:Fallback>
        </mc:AlternateContent>
      </w:r>
      <w:r w:rsidR="008F2B0E" w:rsidRPr="00B36A61">
        <w:rPr>
          <w:color w:val="17365D"/>
          <w:szCs w:val="20"/>
          <w:u w:val="single"/>
          <w:lang w:eastAsia="en-US"/>
        </w:rPr>
        <w:t>Valsts sociālās apdrošināšanas obligātās</w:t>
      </w:r>
      <w:r w:rsidR="008D3A60" w:rsidRPr="00B36A61">
        <w:rPr>
          <w:noProof w:val="0"/>
          <w:color w:val="17365D"/>
          <w:u w:val="single"/>
        </w:rPr>
        <w:t xml:space="preserve"> iemaksas</w:t>
      </w:r>
      <w:r w:rsidR="008D3A60" w:rsidRPr="00B36A61">
        <w:rPr>
          <w:noProof w:val="0"/>
          <w:color w:val="17365D"/>
        </w:rPr>
        <w:t xml:space="preserve"> nodrošina lielākos ieņēmumus valsts speciālajā budžetā un lielākos tiešo nodokļu ieņēmumus</w:t>
      </w:r>
      <w:r w:rsidR="0072147A" w:rsidRPr="00B36A61">
        <w:rPr>
          <w:noProof w:val="0"/>
          <w:color w:val="17365D"/>
        </w:rPr>
        <w:t>.</w:t>
      </w:r>
      <w:r w:rsidR="00117C41" w:rsidRPr="00B36A61">
        <w:rPr>
          <w:noProof w:val="0"/>
          <w:color w:val="17365D"/>
        </w:rPr>
        <w:t xml:space="preserve"> </w:t>
      </w:r>
      <w:r w:rsidR="008F2503" w:rsidRPr="00B36A61">
        <w:rPr>
          <w:noProof w:val="0"/>
          <w:color w:val="17365D"/>
        </w:rPr>
        <w:t>20</w:t>
      </w:r>
      <w:r w:rsidR="006C790A" w:rsidRPr="00B36A61">
        <w:rPr>
          <w:noProof w:val="0"/>
          <w:color w:val="17365D"/>
        </w:rPr>
        <w:t>2</w:t>
      </w:r>
      <w:r w:rsidR="00B80844" w:rsidRPr="00B36A61">
        <w:rPr>
          <w:noProof w:val="0"/>
          <w:color w:val="17365D"/>
        </w:rPr>
        <w:t>2</w:t>
      </w:r>
      <w:r w:rsidR="008F2503" w:rsidRPr="00B36A61">
        <w:rPr>
          <w:noProof w:val="0"/>
          <w:color w:val="17365D"/>
        </w:rPr>
        <w:t>. gad</w:t>
      </w:r>
      <w:r w:rsidR="0072147A" w:rsidRPr="00B36A61">
        <w:rPr>
          <w:noProof w:val="0"/>
          <w:color w:val="17365D"/>
        </w:rPr>
        <w:t xml:space="preserve">ā </w:t>
      </w:r>
      <w:r w:rsidR="00322822" w:rsidRPr="00B36A61">
        <w:rPr>
          <w:noProof w:val="0"/>
          <w:color w:val="17365D"/>
        </w:rPr>
        <w:t xml:space="preserve">VSAOI </w:t>
      </w:r>
      <w:r w:rsidR="0072147A" w:rsidRPr="00B36A61">
        <w:rPr>
          <w:noProof w:val="0"/>
          <w:color w:val="17365D"/>
        </w:rPr>
        <w:t xml:space="preserve">ieņēmumi ir </w:t>
      </w:r>
      <w:r w:rsidR="00BC2611" w:rsidRPr="00B36A61">
        <w:rPr>
          <w:noProof w:val="0"/>
          <w:color w:val="17365D"/>
        </w:rPr>
        <w:t>3</w:t>
      </w:r>
      <w:r w:rsidR="00955F9E" w:rsidRPr="00B36A61">
        <w:rPr>
          <w:noProof w:val="0"/>
          <w:color w:val="17365D"/>
        </w:rPr>
        <w:t> </w:t>
      </w:r>
      <w:r w:rsidR="00B80844" w:rsidRPr="00B36A61">
        <w:rPr>
          <w:noProof w:val="0"/>
          <w:color w:val="17365D"/>
        </w:rPr>
        <w:t>539</w:t>
      </w:r>
      <w:r w:rsidR="00732009" w:rsidRPr="00B36A61">
        <w:rPr>
          <w:noProof w:val="0"/>
          <w:color w:val="17365D"/>
        </w:rPr>
        <w:t>,</w:t>
      </w:r>
      <w:r w:rsidR="00B80844" w:rsidRPr="00B36A61">
        <w:rPr>
          <w:noProof w:val="0"/>
          <w:color w:val="17365D"/>
        </w:rPr>
        <w:t>5</w:t>
      </w:r>
      <w:r w:rsidR="00732009" w:rsidRPr="00B36A61">
        <w:rPr>
          <w:noProof w:val="0"/>
          <w:color w:val="17365D"/>
        </w:rPr>
        <w:t> milj. </w:t>
      </w:r>
      <w:r w:rsidR="00EF7B9A" w:rsidRPr="00B36A61">
        <w:rPr>
          <w:rStyle w:val="Piemrstxt"/>
          <w:rFonts w:ascii="Times New Roman" w:hAnsi="Times New Roman"/>
          <w:i/>
          <w:noProof w:val="0"/>
          <w:color w:val="17365D"/>
          <w:sz w:val="24"/>
        </w:rPr>
        <w:t>euro</w:t>
      </w:r>
      <w:r w:rsidR="00A976C0" w:rsidRPr="00B36A61">
        <w:rPr>
          <w:rStyle w:val="Piemrstxt"/>
          <w:rFonts w:ascii="Times New Roman" w:hAnsi="Times New Roman"/>
          <w:i/>
          <w:noProof w:val="0"/>
          <w:color w:val="17365D"/>
          <w:sz w:val="24"/>
        </w:rPr>
        <w:t xml:space="preserve"> </w:t>
      </w:r>
      <w:r w:rsidR="00A976C0" w:rsidRPr="00B36A61">
        <w:rPr>
          <w:rStyle w:val="Piemrstxt"/>
          <w:rFonts w:ascii="Times New Roman" w:hAnsi="Times New Roman"/>
          <w:noProof w:val="0"/>
          <w:color w:val="17365D"/>
          <w:sz w:val="24"/>
        </w:rPr>
        <w:t>vērtībā</w:t>
      </w:r>
      <w:r w:rsidR="0072147A" w:rsidRPr="00B36A61">
        <w:rPr>
          <w:noProof w:val="0"/>
          <w:color w:val="17365D"/>
        </w:rPr>
        <w:t xml:space="preserve">, kas salīdzinājumā ar </w:t>
      </w:r>
      <w:r w:rsidR="008F2503" w:rsidRPr="00B36A61">
        <w:rPr>
          <w:noProof w:val="0"/>
          <w:color w:val="17365D"/>
        </w:rPr>
        <w:t>20</w:t>
      </w:r>
      <w:r w:rsidR="00BC2611" w:rsidRPr="00B36A61">
        <w:rPr>
          <w:noProof w:val="0"/>
          <w:color w:val="17365D"/>
        </w:rPr>
        <w:t>2</w:t>
      </w:r>
      <w:r w:rsidR="00B80844" w:rsidRPr="00B36A61">
        <w:rPr>
          <w:noProof w:val="0"/>
          <w:color w:val="17365D"/>
        </w:rPr>
        <w:t>1</w:t>
      </w:r>
      <w:r w:rsidR="008F2503" w:rsidRPr="00B36A61">
        <w:rPr>
          <w:noProof w:val="0"/>
          <w:color w:val="17365D"/>
        </w:rPr>
        <w:t>. gad</w:t>
      </w:r>
      <w:r w:rsidR="0072147A" w:rsidRPr="00B36A61">
        <w:rPr>
          <w:noProof w:val="0"/>
          <w:color w:val="17365D"/>
        </w:rPr>
        <w:t xml:space="preserve">u ir par </w:t>
      </w:r>
      <w:r w:rsidR="00C431F9" w:rsidRPr="00B36A61">
        <w:rPr>
          <w:noProof w:val="0"/>
          <w:color w:val="17365D"/>
        </w:rPr>
        <w:t>521</w:t>
      </w:r>
      <w:r w:rsidR="0072147A" w:rsidRPr="00B36A61">
        <w:rPr>
          <w:noProof w:val="0"/>
          <w:color w:val="17365D"/>
        </w:rPr>
        <w:t>,</w:t>
      </w:r>
      <w:r w:rsidR="00C431F9" w:rsidRPr="00B36A61">
        <w:rPr>
          <w:noProof w:val="0"/>
          <w:color w:val="17365D"/>
        </w:rPr>
        <w:t>5</w:t>
      </w:r>
      <w:r w:rsidR="003F3D74" w:rsidRPr="00B36A61">
        <w:rPr>
          <w:noProof w:val="0"/>
          <w:color w:val="17365D"/>
        </w:rPr>
        <w:t> milj. </w:t>
      </w:r>
      <w:r w:rsidR="00EF7B9A" w:rsidRPr="00B36A61">
        <w:rPr>
          <w:rStyle w:val="Piemrstxt"/>
          <w:rFonts w:ascii="Times New Roman" w:hAnsi="Times New Roman"/>
          <w:i/>
          <w:noProof w:val="0"/>
          <w:color w:val="17365D"/>
          <w:sz w:val="24"/>
        </w:rPr>
        <w:t>euro</w:t>
      </w:r>
      <w:r w:rsidR="00C14F3E" w:rsidRPr="00B36A61">
        <w:rPr>
          <w:noProof w:val="0"/>
          <w:color w:val="17365D"/>
        </w:rPr>
        <w:t xml:space="preserve"> </w:t>
      </w:r>
      <w:r w:rsidR="0072147A" w:rsidRPr="00B36A61">
        <w:rPr>
          <w:noProof w:val="0"/>
          <w:color w:val="17365D"/>
        </w:rPr>
        <w:t xml:space="preserve">jeb </w:t>
      </w:r>
      <w:r w:rsidR="00C431F9" w:rsidRPr="00B36A61">
        <w:rPr>
          <w:noProof w:val="0"/>
          <w:color w:val="17365D"/>
        </w:rPr>
        <w:t>1</w:t>
      </w:r>
      <w:r w:rsidR="00BC2611" w:rsidRPr="00B36A61">
        <w:rPr>
          <w:noProof w:val="0"/>
          <w:color w:val="17365D"/>
        </w:rPr>
        <w:t>7</w:t>
      </w:r>
      <w:r w:rsidR="0072147A" w:rsidRPr="00B36A61">
        <w:rPr>
          <w:noProof w:val="0"/>
          <w:color w:val="17365D"/>
        </w:rPr>
        <w:t>,</w:t>
      </w:r>
      <w:r w:rsidR="00C431F9" w:rsidRPr="00B36A61">
        <w:rPr>
          <w:noProof w:val="0"/>
          <w:color w:val="17365D"/>
        </w:rPr>
        <w:t>3</w:t>
      </w:r>
      <w:r w:rsidR="006A7956" w:rsidRPr="00B36A61">
        <w:rPr>
          <w:noProof w:val="0"/>
          <w:color w:val="17365D"/>
        </w:rPr>
        <w:t> %</w:t>
      </w:r>
      <w:r w:rsidR="0072147A" w:rsidRPr="00B36A61">
        <w:rPr>
          <w:noProof w:val="0"/>
          <w:color w:val="17365D"/>
        </w:rPr>
        <w:t xml:space="preserve"> </w:t>
      </w:r>
      <w:r w:rsidR="00EC2FE0" w:rsidRPr="00B36A61">
        <w:rPr>
          <w:noProof w:val="0"/>
          <w:color w:val="17365D"/>
        </w:rPr>
        <w:t>vairāk</w:t>
      </w:r>
      <w:r w:rsidR="0072147A" w:rsidRPr="00B36A61">
        <w:rPr>
          <w:noProof w:val="0"/>
          <w:color w:val="17365D"/>
        </w:rPr>
        <w:t xml:space="preserve">. </w:t>
      </w:r>
      <w:r w:rsidR="00322822" w:rsidRPr="00B36A61">
        <w:rPr>
          <w:noProof w:val="0"/>
          <w:color w:val="17365D"/>
        </w:rPr>
        <w:t>VSAOI</w:t>
      </w:r>
      <w:r w:rsidR="0072147A" w:rsidRPr="00B36A61">
        <w:rPr>
          <w:noProof w:val="0"/>
          <w:color w:val="17365D"/>
        </w:rPr>
        <w:t xml:space="preserve"> gada plāna izpilde ir </w:t>
      </w:r>
      <w:r w:rsidR="00BC2611" w:rsidRPr="00B36A61">
        <w:rPr>
          <w:noProof w:val="0"/>
          <w:color w:val="17365D"/>
        </w:rPr>
        <w:t>1</w:t>
      </w:r>
      <w:r w:rsidR="00C431F9" w:rsidRPr="00B36A61">
        <w:rPr>
          <w:noProof w:val="0"/>
          <w:color w:val="17365D"/>
        </w:rPr>
        <w:t>1</w:t>
      </w:r>
      <w:r w:rsidR="00E51CFE" w:rsidRPr="00B36A61">
        <w:rPr>
          <w:noProof w:val="0"/>
          <w:color w:val="17365D"/>
        </w:rPr>
        <w:t>3</w:t>
      </w:r>
      <w:r w:rsidR="00405AD2" w:rsidRPr="00B36A61">
        <w:rPr>
          <w:noProof w:val="0"/>
          <w:color w:val="17365D"/>
        </w:rPr>
        <w:t>,</w:t>
      </w:r>
      <w:r w:rsidR="00E51CFE" w:rsidRPr="00B36A61">
        <w:rPr>
          <w:noProof w:val="0"/>
          <w:color w:val="17365D"/>
        </w:rPr>
        <w:t>0</w:t>
      </w:r>
      <w:r w:rsidR="006A7956" w:rsidRPr="00B36A61">
        <w:rPr>
          <w:noProof w:val="0"/>
          <w:color w:val="17365D"/>
        </w:rPr>
        <w:t> %</w:t>
      </w:r>
      <w:r w:rsidR="0072147A" w:rsidRPr="00B36A61">
        <w:rPr>
          <w:noProof w:val="0"/>
          <w:color w:val="17365D"/>
        </w:rPr>
        <w:t>.</w:t>
      </w:r>
    </w:p>
    <w:p w14:paraId="0D9B84D4" w14:textId="344B0F95" w:rsidR="0099673D" w:rsidRPr="00B36A61" w:rsidRDefault="008F3A92" w:rsidP="00DC6195">
      <w:pPr>
        <w:autoSpaceDE w:val="0"/>
        <w:autoSpaceDN w:val="0"/>
        <w:adjustRightInd w:val="0"/>
        <w:spacing w:after="0"/>
        <w:rPr>
          <w:color w:val="17365D"/>
        </w:rPr>
      </w:pPr>
      <w:r w:rsidRPr="00B36A61">
        <w:rPr>
          <w:color w:val="17365D"/>
          <w:szCs w:val="20"/>
          <w:lang w:eastAsia="en-US"/>
        </w:rPr>
        <w:t>VSAOI</w:t>
      </w:r>
      <w:r w:rsidR="00732009" w:rsidRPr="00B36A61">
        <w:rPr>
          <w:color w:val="17365D"/>
          <w:szCs w:val="20"/>
          <w:lang w:eastAsia="en-US"/>
        </w:rPr>
        <w:t xml:space="preserve"> </w:t>
      </w:r>
      <w:r w:rsidR="00DB5895" w:rsidRPr="00B36A61">
        <w:rPr>
          <w:color w:val="17365D"/>
          <w:szCs w:val="20"/>
          <w:lang w:eastAsia="en-US"/>
        </w:rPr>
        <w:t>paliel</w:t>
      </w:r>
      <w:r w:rsidR="0091499A" w:rsidRPr="00B36A61">
        <w:rPr>
          <w:color w:val="17365D"/>
          <w:szCs w:val="20"/>
          <w:lang w:eastAsia="en-US"/>
        </w:rPr>
        <w:t>inājumu</w:t>
      </w:r>
      <w:r w:rsidR="00732009" w:rsidRPr="00B36A61">
        <w:rPr>
          <w:color w:val="17365D"/>
          <w:szCs w:val="20"/>
          <w:lang w:eastAsia="en-US"/>
        </w:rPr>
        <w:t xml:space="preserve"> galvenokārt </w:t>
      </w:r>
      <w:r w:rsidR="0091499A" w:rsidRPr="00B36A61">
        <w:rPr>
          <w:color w:val="17365D"/>
          <w:szCs w:val="20"/>
          <w:lang w:eastAsia="en-US"/>
        </w:rPr>
        <w:t>ietekmēja</w:t>
      </w:r>
      <w:r w:rsidR="001A1D8C" w:rsidRPr="00B36A61">
        <w:rPr>
          <w:color w:val="17365D"/>
        </w:rPr>
        <w:t xml:space="preserve"> </w:t>
      </w:r>
      <w:r w:rsidR="00F42325" w:rsidRPr="00B36A61">
        <w:rPr>
          <w:color w:val="17365D"/>
          <w:szCs w:val="20"/>
          <w:lang w:eastAsia="en-US"/>
        </w:rPr>
        <w:t>mēneša vidējā bruto darba samaksas</w:t>
      </w:r>
      <w:r w:rsidR="00F42325" w:rsidRPr="00B36A61">
        <w:rPr>
          <w:color w:val="17365D"/>
        </w:rPr>
        <w:t xml:space="preserve"> pieaugums</w:t>
      </w:r>
      <w:r w:rsidR="0099673D" w:rsidRPr="00B36A61">
        <w:rPr>
          <w:color w:val="17365D"/>
        </w:rPr>
        <w:t>, kas 2022.</w:t>
      </w:r>
      <w:r w:rsidR="00B36A61">
        <w:rPr>
          <w:color w:val="17365D"/>
        </w:rPr>
        <w:t xml:space="preserve"> </w:t>
      </w:r>
      <w:r w:rsidR="0099673D" w:rsidRPr="00B36A61">
        <w:rPr>
          <w:color w:val="17365D"/>
        </w:rPr>
        <w:t xml:space="preserve">gadā </w:t>
      </w:r>
      <w:r w:rsidR="00F42325" w:rsidRPr="00B36A61">
        <w:rPr>
          <w:color w:val="17365D"/>
        </w:rPr>
        <w:t xml:space="preserve"> </w:t>
      </w:r>
      <w:r w:rsidR="00C66FD1" w:rsidRPr="00B36A61">
        <w:rPr>
          <w:color w:val="17365D"/>
        </w:rPr>
        <w:t xml:space="preserve">vidēji </w:t>
      </w:r>
      <w:r w:rsidR="00F42325" w:rsidRPr="00B36A61">
        <w:rPr>
          <w:color w:val="17365D"/>
        </w:rPr>
        <w:t>bija 1373 </w:t>
      </w:r>
      <w:r w:rsidR="00F42325" w:rsidRPr="00B36A61">
        <w:rPr>
          <w:i/>
          <w:color w:val="17365D"/>
        </w:rPr>
        <w:t>eiro</w:t>
      </w:r>
      <w:r w:rsidR="0099673D" w:rsidRPr="00B36A61">
        <w:rPr>
          <w:i/>
          <w:color w:val="17365D"/>
        </w:rPr>
        <w:t xml:space="preserve">, </w:t>
      </w:r>
      <w:r w:rsidR="0099673D" w:rsidRPr="00B36A61">
        <w:rPr>
          <w:color w:val="17365D"/>
        </w:rPr>
        <w:t xml:space="preserve">kas ietekmēja </w:t>
      </w:r>
      <w:r w:rsidR="00F42325" w:rsidRPr="00B36A61">
        <w:rPr>
          <w:color w:val="17365D"/>
        </w:rPr>
        <w:t xml:space="preserve"> </w:t>
      </w:r>
      <w:r w:rsidR="00F42325" w:rsidRPr="00B36A61">
        <w:rPr>
          <w:color w:val="17365D"/>
          <w:szCs w:val="20"/>
          <w:lang w:eastAsia="en-US"/>
        </w:rPr>
        <w:t>darba samaksas fonda pieaugum</w:t>
      </w:r>
      <w:r w:rsidR="0099673D" w:rsidRPr="00B36A61">
        <w:rPr>
          <w:color w:val="17365D"/>
          <w:szCs w:val="20"/>
          <w:lang w:eastAsia="en-US"/>
        </w:rPr>
        <w:t xml:space="preserve">u. Gada laikā vidējā darba samaksa visstraujāk pieauga ūdens apgādes, notekūdeņu un atkritumu apsaimniekošanas un sanācijas nozarē – par 13,1 %, izmitināšanas un ēdināšanas pakalpojumu nozarē – par 11,8 %, kā arī lauksaimniecības, mežsaimniecības, zivsaimniecības un transporta un uzglabāšanas nozarē – par 11,0 %. </w:t>
      </w:r>
      <w:r w:rsidR="00147FC5" w:rsidRPr="00B36A61">
        <w:rPr>
          <w:color w:val="17365D"/>
          <w:szCs w:val="20"/>
          <w:lang w:eastAsia="en-US"/>
        </w:rPr>
        <w:t>Savukārt z</w:t>
      </w:r>
      <w:r w:rsidR="0099673D" w:rsidRPr="00B36A61">
        <w:rPr>
          <w:color w:val="17365D"/>
          <w:szCs w:val="20"/>
          <w:lang w:eastAsia="en-US"/>
        </w:rPr>
        <w:t>emāk</w:t>
      </w:r>
      <w:r w:rsidR="00147FC5" w:rsidRPr="00B36A61">
        <w:rPr>
          <w:color w:val="17365D"/>
          <w:szCs w:val="20"/>
          <w:lang w:eastAsia="en-US"/>
        </w:rPr>
        <w:t>ie</w:t>
      </w:r>
      <w:r w:rsidR="0099673D" w:rsidRPr="00B36A61">
        <w:rPr>
          <w:color w:val="17365D"/>
          <w:szCs w:val="20"/>
          <w:lang w:eastAsia="en-US"/>
        </w:rPr>
        <w:t xml:space="preserve"> pieaugum</w:t>
      </w:r>
      <w:r w:rsidR="00147FC5" w:rsidRPr="00B36A61">
        <w:rPr>
          <w:color w:val="17365D"/>
          <w:szCs w:val="20"/>
          <w:lang w:eastAsia="en-US"/>
        </w:rPr>
        <w:t>i</w:t>
      </w:r>
      <w:r w:rsidR="0099673D" w:rsidRPr="00B36A61">
        <w:rPr>
          <w:color w:val="17365D"/>
          <w:szCs w:val="20"/>
          <w:lang w:eastAsia="en-US"/>
        </w:rPr>
        <w:t xml:space="preserve"> bija veselības un sociālās aprūpes nozarē – par 2,5 %, cit</w:t>
      </w:r>
      <w:r w:rsidR="00147FC5" w:rsidRPr="00B36A61">
        <w:rPr>
          <w:color w:val="17365D"/>
          <w:szCs w:val="20"/>
          <w:lang w:eastAsia="en-US"/>
        </w:rPr>
        <w:t>os</w:t>
      </w:r>
      <w:r w:rsidR="0099673D" w:rsidRPr="00B36A61">
        <w:rPr>
          <w:color w:val="17365D"/>
          <w:szCs w:val="20"/>
          <w:lang w:eastAsia="en-US"/>
        </w:rPr>
        <w:t xml:space="preserve"> pakalpojum</w:t>
      </w:r>
      <w:r w:rsidR="00147FC5" w:rsidRPr="00B36A61">
        <w:rPr>
          <w:color w:val="17365D"/>
          <w:szCs w:val="20"/>
          <w:lang w:eastAsia="en-US"/>
        </w:rPr>
        <w:t>os</w:t>
      </w:r>
      <w:r w:rsidR="0099673D" w:rsidRPr="00B36A61">
        <w:rPr>
          <w:color w:val="17365D"/>
          <w:szCs w:val="20"/>
          <w:lang w:eastAsia="en-US"/>
        </w:rPr>
        <w:t xml:space="preserve"> – par 4,9 % un būvniecībā – par 5,2 %.</w:t>
      </w:r>
      <w:r w:rsidR="0099673D" w:rsidRPr="00B36A61">
        <w:rPr>
          <w:color w:val="17365D"/>
        </w:rPr>
        <w:t xml:space="preserve"> </w:t>
      </w:r>
    </w:p>
    <w:p w14:paraId="71563FA9" w14:textId="5C5534B0" w:rsidR="0099673D" w:rsidRPr="00B36A61" w:rsidRDefault="0099673D" w:rsidP="00DC6195">
      <w:pPr>
        <w:autoSpaceDE w:val="0"/>
        <w:autoSpaceDN w:val="0"/>
        <w:adjustRightInd w:val="0"/>
        <w:spacing w:after="0"/>
        <w:rPr>
          <w:color w:val="17365D"/>
          <w:szCs w:val="20"/>
          <w:lang w:eastAsia="en-US"/>
        </w:rPr>
      </w:pPr>
      <w:r w:rsidRPr="00B36A61">
        <w:rPr>
          <w:color w:val="17365D"/>
          <w:szCs w:val="20"/>
          <w:lang w:eastAsia="en-US"/>
        </w:rPr>
        <w:t xml:space="preserve">2022. gadā vidējā darba samaksa mēnesī par pilnas slodzes darbu, </w:t>
      </w:r>
      <w:r w:rsidR="00147FC5" w:rsidRPr="00B36A61">
        <w:rPr>
          <w:color w:val="17365D"/>
          <w:szCs w:val="20"/>
          <w:lang w:eastAsia="en-US"/>
        </w:rPr>
        <w:t>līdzīgi</w:t>
      </w:r>
      <w:r w:rsidRPr="00B36A61">
        <w:rPr>
          <w:color w:val="17365D"/>
          <w:szCs w:val="20"/>
          <w:lang w:eastAsia="en-US"/>
        </w:rPr>
        <w:t xml:space="preserve"> kā </w:t>
      </w:r>
      <w:r w:rsidR="00147FC5" w:rsidRPr="00B36A61">
        <w:rPr>
          <w:color w:val="17365D"/>
          <w:szCs w:val="20"/>
          <w:lang w:eastAsia="en-US"/>
        </w:rPr>
        <w:t xml:space="preserve">iepriekšējā </w:t>
      </w:r>
      <w:r w:rsidRPr="00B36A61">
        <w:rPr>
          <w:color w:val="17365D"/>
          <w:szCs w:val="20"/>
          <w:lang w:eastAsia="en-US"/>
        </w:rPr>
        <w:t>gad</w:t>
      </w:r>
      <w:r w:rsidR="00147FC5" w:rsidRPr="00B36A61">
        <w:rPr>
          <w:color w:val="17365D"/>
          <w:szCs w:val="20"/>
          <w:lang w:eastAsia="en-US"/>
        </w:rPr>
        <w:t>ā</w:t>
      </w:r>
      <w:r w:rsidRPr="00B36A61">
        <w:rPr>
          <w:color w:val="17365D"/>
          <w:szCs w:val="20"/>
          <w:lang w:eastAsia="en-US"/>
        </w:rPr>
        <w:t xml:space="preserve"> lielāka par </w:t>
      </w:r>
      <w:r w:rsidR="00147FC5" w:rsidRPr="00B36A61">
        <w:rPr>
          <w:color w:val="17365D"/>
          <w:szCs w:val="20"/>
          <w:lang w:eastAsia="en-US"/>
        </w:rPr>
        <w:t xml:space="preserve">valstī </w:t>
      </w:r>
      <w:r w:rsidRPr="00B36A61">
        <w:rPr>
          <w:color w:val="17365D"/>
          <w:szCs w:val="20"/>
          <w:lang w:eastAsia="en-US"/>
        </w:rPr>
        <w:t>vidējo bija finanšu un apdrošināšanas darbību nozarē, informācijas un komunikācijas pakalpojumu, profesionālo, zinātnisko un tehnisko pakalpojumu, enerģētikas, veselības un sociālās aprūpes, valsts pārvaldes, kā arī ieguves rūpniecības un karjeru izstrādes nozarē.</w:t>
      </w:r>
    </w:p>
    <w:p w14:paraId="77718BE7" w14:textId="7BFD373E" w:rsidR="00096518" w:rsidRPr="00B36A61" w:rsidRDefault="0099673D" w:rsidP="00DC6195">
      <w:pPr>
        <w:autoSpaceDE w:val="0"/>
        <w:autoSpaceDN w:val="0"/>
        <w:adjustRightInd w:val="0"/>
        <w:spacing w:after="0"/>
        <w:rPr>
          <w:color w:val="17365D"/>
        </w:rPr>
      </w:pPr>
      <w:r w:rsidRPr="00B36A61">
        <w:rPr>
          <w:color w:val="17365D"/>
          <w:szCs w:val="20"/>
          <w:lang w:eastAsia="en-US"/>
        </w:rPr>
        <w:t>Ietekmi radīja arī normatīvo aktu izmaiņas</w:t>
      </w:r>
      <w:r w:rsidR="00B122B9" w:rsidRPr="00B36A61">
        <w:rPr>
          <w:color w:val="17365D"/>
        </w:rPr>
        <w:t>:</w:t>
      </w:r>
    </w:p>
    <w:p w14:paraId="7EEFAA70" w14:textId="123BC7C8" w:rsidR="00B122B9" w:rsidRPr="00B36A61" w:rsidRDefault="00F42325" w:rsidP="00B3080A">
      <w:pPr>
        <w:pStyle w:val="Bullets"/>
        <w:ind w:left="993" w:hanging="426"/>
        <w:rPr>
          <w:noProof w:val="0"/>
          <w:color w:val="17365D"/>
        </w:rPr>
      </w:pPr>
      <w:r w:rsidRPr="00B36A61">
        <w:rPr>
          <w:noProof w:val="0"/>
          <w:color w:val="17365D"/>
        </w:rPr>
        <w:t xml:space="preserve">VSAOI objekta maksimālais apmērs </w:t>
      </w:r>
      <w:r w:rsidR="00C66FD1" w:rsidRPr="00B36A61">
        <w:rPr>
          <w:noProof w:val="0"/>
          <w:color w:val="17365D"/>
        </w:rPr>
        <w:t>noteikts</w:t>
      </w:r>
      <w:r w:rsidRPr="00B36A61">
        <w:rPr>
          <w:noProof w:val="0"/>
          <w:color w:val="17365D"/>
        </w:rPr>
        <w:t xml:space="preserve"> 78 100 </w:t>
      </w:r>
      <w:r w:rsidRPr="00B36A61">
        <w:rPr>
          <w:i/>
          <w:noProof w:val="0"/>
          <w:color w:val="17365D"/>
        </w:rPr>
        <w:t>euro</w:t>
      </w:r>
      <w:r w:rsidR="00B122B9" w:rsidRPr="00B36A61">
        <w:rPr>
          <w:noProof w:val="0"/>
          <w:color w:val="17365D"/>
        </w:rPr>
        <w:t>;</w:t>
      </w:r>
    </w:p>
    <w:p w14:paraId="0EB0AFE8" w14:textId="5461DAE3" w:rsidR="00F42325" w:rsidRPr="00B36A61" w:rsidRDefault="00F42325" w:rsidP="00B3080A">
      <w:pPr>
        <w:pStyle w:val="ListParagraph"/>
        <w:numPr>
          <w:ilvl w:val="0"/>
          <w:numId w:val="11"/>
        </w:numPr>
        <w:spacing w:after="0" w:line="259" w:lineRule="auto"/>
        <w:ind w:left="993" w:hanging="426"/>
        <w:rPr>
          <w:color w:val="17365D"/>
        </w:rPr>
      </w:pPr>
      <w:r w:rsidRPr="00B36A61">
        <w:rPr>
          <w:color w:val="17365D"/>
        </w:rPr>
        <w:t>darba nespējas lapu no (01.04.2022.) 10.</w:t>
      </w:r>
      <w:r w:rsidR="0099673D" w:rsidRPr="00B36A61">
        <w:rPr>
          <w:color w:val="17365D"/>
        </w:rPr>
        <w:t> </w:t>
      </w:r>
      <w:r w:rsidRPr="00B36A61">
        <w:rPr>
          <w:color w:val="17365D"/>
        </w:rPr>
        <w:t xml:space="preserve">darbnespējas dienas apmaksā </w:t>
      </w:r>
      <w:r w:rsidR="00C66FD1" w:rsidRPr="00B36A61">
        <w:rPr>
          <w:color w:val="17365D"/>
        </w:rPr>
        <w:t>Valsts sociālā apdrošināšanas aģentūra no veiktajam VSAOI</w:t>
      </w:r>
      <w:r w:rsidRPr="00B36A61">
        <w:rPr>
          <w:color w:val="17365D"/>
        </w:rPr>
        <w:t xml:space="preserve">, </w:t>
      </w:r>
      <w:r w:rsidR="00C66FD1" w:rsidRPr="00B36A61">
        <w:rPr>
          <w:color w:val="17365D"/>
        </w:rPr>
        <w:t>savukārt</w:t>
      </w:r>
      <w:r w:rsidRPr="00B36A61">
        <w:rPr>
          <w:color w:val="17365D"/>
        </w:rPr>
        <w:t xml:space="preserve"> darba devējs apmaksā slimības naudu par 9 kalendāra</w:t>
      </w:r>
      <w:r w:rsidR="00C66FD1" w:rsidRPr="00B36A61">
        <w:rPr>
          <w:color w:val="17365D"/>
        </w:rPr>
        <w:t>jam</w:t>
      </w:r>
      <w:r w:rsidRPr="00B36A61">
        <w:rPr>
          <w:color w:val="17365D"/>
        </w:rPr>
        <w:t xml:space="preserve"> dienām.</w:t>
      </w:r>
    </w:p>
    <w:p w14:paraId="5F1083B7" w14:textId="5EAA46F2" w:rsidR="00DC6195" w:rsidRPr="00B36A61" w:rsidRDefault="00DC6195" w:rsidP="00F42325">
      <w:pPr>
        <w:autoSpaceDE w:val="0"/>
        <w:autoSpaceDN w:val="0"/>
        <w:adjustRightInd w:val="0"/>
        <w:spacing w:after="0"/>
        <w:rPr>
          <w:color w:val="17365D"/>
        </w:rPr>
      </w:pPr>
    </w:p>
    <w:p w14:paraId="25099FAF" w14:textId="743D5AE7" w:rsidR="00093EF5" w:rsidRPr="00B36A61" w:rsidRDefault="00093EF5" w:rsidP="003B42B7">
      <w:pPr>
        <w:pStyle w:val="Pamatteksts"/>
        <w:rPr>
          <w:noProof w:val="0"/>
          <w:color w:val="17365D"/>
        </w:rPr>
      </w:pPr>
      <w:r w:rsidRPr="00B36A61">
        <w:rPr>
          <w:noProof w:val="0"/>
          <w:color w:val="17365D"/>
        </w:rPr>
        <w:t>20</w:t>
      </w:r>
      <w:r w:rsidR="00D95EB6" w:rsidRPr="00B36A61">
        <w:rPr>
          <w:noProof w:val="0"/>
          <w:color w:val="17365D"/>
        </w:rPr>
        <w:t>2</w:t>
      </w:r>
      <w:r w:rsidR="00C12A1A" w:rsidRPr="00B36A61">
        <w:rPr>
          <w:noProof w:val="0"/>
          <w:color w:val="17365D"/>
        </w:rPr>
        <w:t>2</w:t>
      </w:r>
      <w:r w:rsidRPr="00B36A61">
        <w:rPr>
          <w:noProof w:val="0"/>
          <w:color w:val="17365D"/>
        </w:rPr>
        <w:t xml:space="preserve">. gadā </w:t>
      </w:r>
      <w:r w:rsidRPr="00B36A61">
        <w:rPr>
          <w:b/>
          <w:noProof w:val="0"/>
          <w:color w:val="17365D"/>
        </w:rPr>
        <w:t>nenodokļu ieņēmumi</w:t>
      </w:r>
      <w:r w:rsidRPr="00B36A61">
        <w:rPr>
          <w:noProof w:val="0"/>
          <w:color w:val="17365D"/>
        </w:rPr>
        <w:t xml:space="preserve"> valsts budžetā ir </w:t>
      </w:r>
      <w:r w:rsidR="00872BF7" w:rsidRPr="00B36A61">
        <w:rPr>
          <w:noProof w:val="0"/>
          <w:color w:val="17365D"/>
        </w:rPr>
        <w:t>6</w:t>
      </w:r>
      <w:r w:rsidR="00C12A1A" w:rsidRPr="00B36A61">
        <w:rPr>
          <w:noProof w:val="0"/>
          <w:color w:val="17365D"/>
        </w:rPr>
        <w:t>68</w:t>
      </w:r>
      <w:r w:rsidRPr="00B36A61">
        <w:rPr>
          <w:noProof w:val="0"/>
          <w:color w:val="17365D"/>
        </w:rPr>
        <w:t>,</w:t>
      </w:r>
      <w:r w:rsidR="00C12A1A" w:rsidRPr="00B36A61">
        <w:rPr>
          <w:noProof w:val="0"/>
          <w:color w:val="17365D"/>
        </w:rPr>
        <w:t>8</w:t>
      </w:r>
      <w:r w:rsidRPr="00B36A61">
        <w:rPr>
          <w:noProof w:val="0"/>
          <w:color w:val="17365D"/>
        </w:rPr>
        <w:t> milj. </w:t>
      </w:r>
      <w:r w:rsidRPr="00B36A61">
        <w:rPr>
          <w:rStyle w:val="Piemrstxt"/>
          <w:rFonts w:ascii="Times New Roman" w:hAnsi="Times New Roman"/>
          <w:i/>
          <w:noProof w:val="0"/>
          <w:color w:val="17365D"/>
          <w:sz w:val="24"/>
        </w:rPr>
        <w:t>euro</w:t>
      </w:r>
      <w:r w:rsidR="003B3908" w:rsidRPr="00B36A61">
        <w:rPr>
          <w:rStyle w:val="Piemrstxt"/>
          <w:rFonts w:ascii="Times New Roman" w:hAnsi="Times New Roman"/>
          <w:i/>
          <w:noProof w:val="0"/>
          <w:color w:val="17365D"/>
          <w:sz w:val="24"/>
        </w:rPr>
        <w:t xml:space="preserve"> </w:t>
      </w:r>
      <w:r w:rsidR="003B3908" w:rsidRPr="00B36A61">
        <w:rPr>
          <w:rStyle w:val="Piemrstxt"/>
          <w:rFonts w:ascii="Times New Roman" w:hAnsi="Times New Roman"/>
          <w:noProof w:val="0"/>
          <w:color w:val="17365D"/>
          <w:sz w:val="24"/>
        </w:rPr>
        <w:t>vērtībā</w:t>
      </w:r>
      <w:r w:rsidRPr="00B36A61">
        <w:rPr>
          <w:noProof w:val="0"/>
          <w:color w:val="17365D"/>
        </w:rPr>
        <w:t>,</w:t>
      </w:r>
      <w:r w:rsidR="003D19E7" w:rsidRPr="00B36A61">
        <w:rPr>
          <w:noProof w:val="0"/>
          <w:color w:val="17365D"/>
        </w:rPr>
        <w:t xml:space="preserve"> </w:t>
      </w:r>
      <w:r w:rsidR="009704FB" w:rsidRPr="00B36A61">
        <w:rPr>
          <w:noProof w:val="0"/>
          <w:color w:val="17365D"/>
        </w:rPr>
        <w:t>kas</w:t>
      </w:r>
      <w:r w:rsidRPr="00B36A61">
        <w:rPr>
          <w:noProof w:val="0"/>
          <w:color w:val="17365D"/>
        </w:rPr>
        <w:t xml:space="preserve"> salīdzinājumā ar 20</w:t>
      </w:r>
      <w:r w:rsidR="00872BF7" w:rsidRPr="00B36A61">
        <w:rPr>
          <w:noProof w:val="0"/>
          <w:color w:val="17365D"/>
        </w:rPr>
        <w:t>2</w:t>
      </w:r>
      <w:r w:rsidR="00C12A1A" w:rsidRPr="00B36A61">
        <w:rPr>
          <w:noProof w:val="0"/>
          <w:color w:val="17365D"/>
        </w:rPr>
        <w:t>1</w:t>
      </w:r>
      <w:r w:rsidR="00EC4186" w:rsidRPr="00B36A61">
        <w:rPr>
          <w:noProof w:val="0"/>
          <w:color w:val="17365D"/>
        </w:rPr>
        <w:t>. gadu</w:t>
      </w:r>
      <w:r w:rsidRPr="00B36A61">
        <w:rPr>
          <w:noProof w:val="0"/>
          <w:color w:val="17365D"/>
        </w:rPr>
        <w:t xml:space="preserve"> ir par </w:t>
      </w:r>
      <w:r w:rsidR="00C12A1A" w:rsidRPr="00B36A61">
        <w:rPr>
          <w:noProof w:val="0"/>
          <w:color w:val="17365D"/>
        </w:rPr>
        <w:t>48</w:t>
      </w:r>
      <w:r w:rsidRPr="00B36A61">
        <w:rPr>
          <w:noProof w:val="0"/>
          <w:color w:val="17365D"/>
        </w:rPr>
        <w:t>,</w:t>
      </w:r>
      <w:r w:rsidR="00872BF7" w:rsidRPr="00B36A61">
        <w:rPr>
          <w:noProof w:val="0"/>
          <w:color w:val="17365D"/>
        </w:rPr>
        <w:t>4</w:t>
      </w:r>
      <w:r w:rsidRPr="00B36A61">
        <w:rPr>
          <w:noProof w:val="0"/>
          <w:color w:val="17365D"/>
        </w:rPr>
        <w:t> milj. </w:t>
      </w:r>
      <w:r w:rsidRPr="00B36A61">
        <w:rPr>
          <w:rStyle w:val="Piemrstxt"/>
          <w:rFonts w:ascii="Times New Roman" w:hAnsi="Times New Roman"/>
          <w:i/>
          <w:noProof w:val="0"/>
          <w:color w:val="17365D"/>
          <w:sz w:val="24"/>
        </w:rPr>
        <w:t>euro</w:t>
      </w:r>
      <w:r w:rsidR="00EF09CC" w:rsidRPr="00B36A61">
        <w:rPr>
          <w:rStyle w:val="Piemrstxt"/>
          <w:rFonts w:ascii="Times New Roman" w:hAnsi="Times New Roman"/>
          <w:i/>
          <w:noProof w:val="0"/>
          <w:color w:val="17365D"/>
          <w:sz w:val="24"/>
        </w:rPr>
        <w:t xml:space="preserve"> </w:t>
      </w:r>
      <w:r w:rsidRPr="00B36A61">
        <w:rPr>
          <w:noProof w:val="0"/>
          <w:color w:val="17365D"/>
        </w:rPr>
        <w:t xml:space="preserve">jeb </w:t>
      </w:r>
      <w:r w:rsidR="00C12A1A" w:rsidRPr="00B36A61">
        <w:rPr>
          <w:noProof w:val="0"/>
          <w:color w:val="17365D"/>
        </w:rPr>
        <w:t>7</w:t>
      </w:r>
      <w:r w:rsidRPr="00B36A61">
        <w:rPr>
          <w:noProof w:val="0"/>
          <w:color w:val="17365D"/>
        </w:rPr>
        <w:t>,</w:t>
      </w:r>
      <w:r w:rsidR="00C12A1A" w:rsidRPr="00B36A61">
        <w:rPr>
          <w:noProof w:val="0"/>
          <w:color w:val="17365D"/>
        </w:rPr>
        <w:t>8</w:t>
      </w:r>
      <w:r w:rsidRPr="00B36A61">
        <w:rPr>
          <w:noProof w:val="0"/>
          <w:color w:val="17365D"/>
        </w:rPr>
        <w:t xml:space="preserve"> % </w:t>
      </w:r>
      <w:r w:rsidR="00D95EB6" w:rsidRPr="00B36A61">
        <w:rPr>
          <w:noProof w:val="0"/>
          <w:color w:val="17365D"/>
        </w:rPr>
        <w:t>vairāk</w:t>
      </w:r>
      <w:r w:rsidRPr="00B36A61">
        <w:rPr>
          <w:noProof w:val="0"/>
          <w:color w:val="17365D"/>
        </w:rPr>
        <w:t>. 20</w:t>
      </w:r>
      <w:r w:rsidR="00D95EB6" w:rsidRPr="00B36A61">
        <w:rPr>
          <w:noProof w:val="0"/>
          <w:color w:val="17365D"/>
        </w:rPr>
        <w:t>2</w:t>
      </w:r>
      <w:r w:rsidR="00C12A1A" w:rsidRPr="00B36A61">
        <w:rPr>
          <w:noProof w:val="0"/>
          <w:color w:val="17365D"/>
        </w:rPr>
        <w:t>2</w:t>
      </w:r>
      <w:r w:rsidRPr="00B36A61">
        <w:rPr>
          <w:noProof w:val="0"/>
          <w:color w:val="17365D"/>
        </w:rPr>
        <w:t xml:space="preserve">. gadā valsts pamatbudžeta nenodokļu ieņēmumi </w:t>
      </w:r>
      <w:r w:rsidR="001176B1" w:rsidRPr="00B36A61">
        <w:rPr>
          <w:noProof w:val="0"/>
          <w:color w:val="17365D"/>
        </w:rPr>
        <w:t xml:space="preserve">salīdzinājumā </w:t>
      </w:r>
      <w:r w:rsidRPr="00B36A61">
        <w:rPr>
          <w:noProof w:val="0"/>
          <w:color w:val="17365D"/>
        </w:rPr>
        <w:t>ar Likum</w:t>
      </w:r>
      <w:r w:rsidR="001176B1" w:rsidRPr="00B36A61">
        <w:rPr>
          <w:noProof w:val="0"/>
          <w:color w:val="17365D"/>
        </w:rPr>
        <w:t>ā plānoto</w:t>
      </w:r>
      <w:r w:rsidRPr="00B36A61">
        <w:rPr>
          <w:noProof w:val="0"/>
          <w:color w:val="17365D"/>
        </w:rPr>
        <w:t xml:space="preserve"> ir iekasēti </w:t>
      </w:r>
      <w:r w:rsidR="004E0E13" w:rsidRPr="00B36A61">
        <w:rPr>
          <w:noProof w:val="0"/>
          <w:color w:val="17365D"/>
        </w:rPr>
        <w:t>1</w:t>
      </w:r>
      <w:r w:rsidR="00872BF7" w:rsidRPr="00B36A61">
        <w:rPr>
          <w:noProof w:val="0"/>
          <w:color w:val="17365D"/>
        </w:rPr>
        <w:t>3</w:t>
      </w:r>
      <w:r w:rsidR="00C12A1A" w:rsidRPr="00B36A61">
        <w:rPr>
          <w:noProof w:val="0"/>
          <w:color w:val="17365D"/>
        </w:rPr>
        <w:t>5</w:t>
      </w:r>
      <w:r w:rsidRPr="00B36A61">
        <w:rPr>
          <w:noProof w:val="0"/>
          <w:color w:val="17365D"/>
        </w:rPr>
        <w:t>,</w:t>
      </w:r>
      <w:r w:rsidR="00C12A1A" w:rsidRPr="00B36A61">
        <w:rPr>
          <w:noProof w:val="0"/>
          <w:color w:val="17365D"/>
        </w:rPr>
        <w:t>6</w:t>
      </w:r>
      <w:r w:rsidRPr="00B36A61">
        <w:rPr>
          <w:noProof w:val="0"/>
          <w:color w:val="17365D"/>
        </w:rPr>
        <w:t> % apmērā.</w:t>
      </w:r>
    </w:p>
    <w:p w14:paraId="7D3FC314" w14:textId="15B02EEF" w:rsidR="00093EF5" w:rsidRPr="00B36A61" w:rsidRDefault="00093EF5" w:rsidP="003B42B7">
      <w:pPr>
        <w:pStyle w:val="Pamatteksts"/>
        <w:rPr>
          <w:noProof w:val="0"/>
          <w:color w:val="17365D"/>
        </w:rPr>
      </w:pPr>
      <w:r w:rsidRPr="00B36A61">
        <w:rPr>
          <w:noProof w:val="0"/>
          <w:color w:val="17365D"/>
        </w:rPr>
        <w:t>Lielākos valsts pamatbudžeta nenodokļu ieņēmumus 20</w:t>
      </w:r>
      <w:r w:rsidR="00D95EB6" w:rsidRPr="00B36A61">
        <w:rPr>
          <w:noProof w:val="0"/>
          <w:color w:val="17365D"/>
        </w:rPr>
        <w:t>2</w:t>
      </w:r>
      <w:r w:rsidR="00C12A1A" w:rsidRPr="00B36A61">
        <w:rPr>
          <w:noProof w:val="0"/>
          <w:color w:val="17365D"/>
        </w:rPr>
        <w:t>2</w:t>
      </w:r>
      <w:r w:rsidRPr="00B36A61">
        <w:rPr>
          <w:noProof w:val="0"/>
          <w:color w:val="17365D"/>
        </w:rPr>
        <w:t>. gadā veidoja:</w:t>
      </w:r>
    </w:p>
    <w:p w14:paraId="5298AD6C" w14:textId="3B8D2B66" w:rsidR="00726EA0" w:rsidRPr="00B36A61" w:rsidRDefault="00726EA0" w:rsidP="00226D34">
      <w:pPr>
        <w:pStyle w:val="Bullets"/>
        <w:numPr>
          <w:ilvl w:val="0"/>
          <w:numId w:val="9"/>
        </w:numPr>
        <w:ind w:left="993" w:hanging="425"/>
        <w:rPr>
          <w:noProof w:val="0"/>
          <w:color w:val="17365D"/>
        </w:rPr>
      </w:pPr>
      <w:r w:rsidRPr="00B36A61">
        <w:rPr>
          <w:noProof w:val="0"/>
          <w:color w:val="17365D"/>
        </w:rPr>
        <w:t xml:space="preserve">ieņēmumi no uzņēmējdarbības un īpašuma – palielinājums </w:t>
      </w:r>
      <w:r w:rsidR="00342DE2" w:rsidRPr="00B36A61">
        <w:rPr>
          <w:noProof w:val="0"/>
          <w:color w:val="17365D"/>
        </w:rPr>
        <w:t>12</w:t>
      </w:r>
      <w:r w:rsidRPr="00B36A61">
        <w:rPr>
          <w:noProof w:val="0"/>
          <w:color w:val="17365D"/>
        </w:rPr>
        <w:t>,</w:t>
      </w:r>
      <w:r w:rsidR="00342DE2" w:rsidRPr="00B36A61">
        <w:rPr>
          <w:noProof w:val="0"/>
          <w:color w:val="17365D"/>
        </w:rPr>
        <w:t>7</w:t>
      </w:r>
      <w:r w:rsidRPr="00B36A61">
        <w:rPr>
          <w:noProof w:val="0"/>
          <w:color w:val="17365D"/>
        </w:rPr>
        <w:t xml:space="preserve"> milj. </w:t>
      </w:r>
      <w:r w:rsidRPr="00B36A61">
        <w:rPr>
          <w:i/>
          <w:noProof w:val="0"/>
          <w:color w:val="17365D"/>
        </w:rPr>
        <w:t xml:space="preserve">euro </w:t>
      </w:r>
      <w:r w:rsidRPr="00B36A61">
        <w:rPr>
          <w:noProof w:val="0"/>
          <w:color w:val="17365D"/>
        </w:rPr>
        <w:t>vērtībā</w:t>
      </w:r>
      <w:r w:rsidR="007D0EF7" w:rsidRPr="00B36A61">
        <w:rPr>
          <w:noProof w:val="0"/>
          <w:color w:val="17365D"/>
        </w:rPr>
        <w:t>,</w:t>
      </w:r>
      <w:r w:rsidRPr="00B36A61">
        <w:rPr>
          <w:noProof w:val="0"/>
          <w:color w:val="17365D"/>
        </w:rPr>
        <w:t xml:space="preserve"> </w:t>
      </w:r>
      <w:r w:rsidR="006447C6" w:rsidRPr="00B36A61">
        <w:rPr>
          <w:noProof w:val="0"/>
          <w:color w:val="17365D"/>
        </w:rPr>
        <w:t xml:space="preserve">kuru </w:t>
      </w:r>
      <w:r w:rsidR="007D0EF7" w:rsidRPr="00B36A61">
        <w:rPr>
          <w:noProof w:val="0"/>
          <w:color w:val="17365D"/>
        </w:rPr>
        <w:t>izmaiņas</w:t>
      </w:r>
      <w:r w:rsidRPr="00B36A61">
        <w:rPr>
          <w:noProof w:val="0"/>
          <w:color w:val="17365D"/>
        </w:rPr>
        <w:t xml:space="preserve"> galvenokārt </w:t>
      </w:r>
      <w:r w:rsidR="007D0EF7" w:rsidRPr="00B36A61">
        <w:rPr>
          <w:noProof w:val="0"/>
          <w:color w:val="17365D"/>
        </w:rPr>
        <w:t>ietekmēja</w:t>
      </w:r>
      <w:r w:rsidRPr="00B36A61">
        <w:rPr>
          <w:noProof w:val="0"/>
          <w:color w:val="17365D"/>
        </w:rPr>
        <w:t xml:space="preserve">: </w:t>
      </w:r>
    </w:p>
    <w:p w14:paraId="09EA3EA9" w14:textId="5EF97354" w:rsidR="00AD0882" w:rsidRPr="00B36A61" w:rsidRDefault="00AD0882" w:rsidP="00AD0882">
      <w:pPr>
        <w:pStyle w:val="ListParagraph"/>
        <w:numPr>
          <w:ilvl w:val="1"/>
          <w:numId w:val="9"/>
        </w:numPr>
        <w:ind w:left="1560" w:hanging="426"/>
        <w:rPr>
          <w:color w:val="17365D"/>
        </w:rPr>
      </w:pPr>
      <w:r w:rsidRPr="00B36A61">
        <w:rPr>
          <w:color w:val="17365D"/>
        </w:rPr>
        <w:t>ieņēmumi no dividendēm (ieņēmumi no valsts (pašvaldību) kapitāla izmantošanas) 213,7 </w:t>
      </w:r>
      <w:r w:rsidR="004656E1" w:rsidRPr="00B36A61">
        <w:rPr>
          <w:color w:val="17365D"/>
        </w:rPr>
        <w:t>milj</w:t>
      </w:r>
      <w:r w:rsidR="00B36A61">
        <w:rPr>
          <w:color w:val="17365D"/>
        </w:rPr>
        <w:t>.</w:t>
      </w:r>
      <w:r w:rsidR="004656E1" w:rsidRPr="00B36A61">
        <w:rPr>
          <w:i/>
          <w:color w:val="17365D"/>
        </w:rPr>
        <w:t xml:space="preserve"> </w:t>
      </w:r>
      <w:r w:rsidRPr="00B36A61">
        <w:rPr>
          <w:i/>
          <w:color w:val="17365D"/>
        </w:rPr>
        <w:t>euro</w:t>
      </w:r>
      <w:r w:rsidRPr="00B36A61">
        <w:rPr>
          <w:color w:val="17365D"/>
        </w:rPr>
        <w:t xml:space="preserve"> vērtībā. Lielākos maksājumus par valsts kapitāla izmantošanu veica VAS “Latvijas valsts meži” 71,4 milj. </w:t>
      </w:r>
      <w:r w:rsidRPr="00B36A61">
        <w:rPr>
          <w:i/>
          <w:color w:val="17365D"/>
        </w:rPr>
        <w:t>euro</w:t>
      </w:r>
      <w:r w:rsidRPr="00B36A61">
        <w:rPr>
          <w:color w:val="17365D"/>
        </w:rPr>
        <w:t xml:space="preserve">, AS “Latvenergo” 70,2 milj. </w:t>
      </w:r>
      <w:r w:rsidRPr="00B36A61">
        <w:rPr>
          <w:i/>
          <w:color w:val="17365D"/>
        </w:rPr>
        <w:t>euro</w:t>
      </w:r>
      <w:r w:rsidRPr="00B36A61">
        <w:rPr>
          <w:color w:val="17365D"/>
        </w:rPr>
        <w:t xml:space="preserve">, AS “Augstsprieguma tīkls 29,4 milj. </w:t>
      </w:r>
      <w:r w:rsidRPr="00B36A61">
        <w:rPr>
          <w:i/>
          <w:color w:val="17365D"/>
        </w:rPr>
        <w:t>euro</w:t>
      </w:r>
      <w:r w:rsidRPr="00B36A61">
        <w:rPr>
          <w:color w:val="17365D"/>
        </w:rPr>
        <w:t>, Latvijas Banka 14,6</w:t>
      </w:r>
      <w:r w:rsidR="00B3080A">
        <w:rPr>
          <w:color w:val="17365D"/>
        </w:rPr>
        <w:t> </w:t>
      </w:r>
      <w:r w:rsidRPr="00B36A61">
        <w:rPr>
          <w:color w:val="17365D"/>
        </w:rPr>
        <w:t xml:space="preserve">milj. </w:t>
      </w:r>
      <w:r w:rsidRPr="00B36A61">
        <w:rPr>
          <w:i/>
          <w:color w:val="17365D"/>
        </w:rPr>
        <w:t>euro</w:t>
      </w:r>
      <w:r w:rsidRPr="00B36A61">
        <w:rPr>
          <w:color w:val="17365D"/>
        </w:rPr>
        <w:t xml:space="preserve"> un SIA “TET” 13,3 milj. </w:t>
      </w:r>
      <w:r w:rsidRPr="00B36A61">
        <w:rPr>
          <w:i/>
          <w:color w:val="17365D"/>
        </w:rPr>
        <w:t>euro</w:t>
      </w:r>
      <w:r w:rsidRPr="00B36A61">
        <w:rPr>
          <w:color w:val="17365D"/>
        </w:rPr>
        <w:t>;</w:t>
      </w:r>
    </w:p>
    <w:p w14:paraId="122BD38D" w14:textId="1854D7DF" w:rsidR="00093EF5" w:rsidRPr="00B36A61" w:rsidRDefault="00342DE2" w:rsidP="00342DE2">
      <w:pPr>
        <w:pStyle w:val="Bullets"/>
        <w:numPr>
          <w:ilvl w:val="1"/>
          <w:numId w:val="9"/>
        </w:numPr>
        <w:ind w:left="1560" w:hanging="426"/>
        <w:rPr>
          <w:noProof w:val="0"/>
          <w:color w:val="17365D"/>
        </w:rPr>
      </w:pPr>
      <w:r w:rsidRPr="00B36A61">
        <w:rPr>
          <w:noProof w:val="0"/>
          <w:color w:val="17365D"/>
        </w:rPr>
        <w:t>ieņēmumi no Latvijai piešķirto emisijas kvotu izsolīšanas un darījumiem ar gada emisijas vienībām un Latvijai piešķirtajām emisijas kvotām 84,2 milj. </w:t>
      </w:r>
      <w:r w:rsidRPr="00B36A61">
        <w:rPr>
          <w:i/>
          <w:noProof w:val="0"/>
          <w:color w:val="17365D"/>
        </w:rPr>
        <w:t>euro</w:t>
      </w:r>
      <w:r w:rsidRPr="00B36A61">
        <w:rPr>
          <w:noProof w:val="0"/>
          <w:color w:val="17365D"/>
        </w:rPr>
        <w:t xml:space="preserve"> vērtībā</w:t>
      </w:r>
      <w:r w:rsidR="00726EA0" w:rsidRPr="00B36A61">
        <w:rPr>
          <w:noProof w:val="0"/>
          <w:color w:val="17365D"/>
        </w:rPr>
        <w:t>;</w:t>
      </w:r>
    </w:p>
    <w:p w14:paraId="5E26A644" w14:textId="38DC6291" w:rsidR="00726EA0" w:rsidRPr="00B36A61" w:rsidRDefault="00726EA0" w:rsidP="00EA03DC">
      <w:pPr>
        <w:pStyle w:val="Pamatteksts"/>
        <w:numPr>
          <w:ilvl w:val="1"/>
          <w:numId w:val="9"/>
        </w:numPr>
        <w:ind w:left="1560" w:hanging="426"/>
        <w:rPr>
          <w:noProof w:val="0"/>
          <w:color w:val="17365D"/>
        </w:rPr>
      </w:pPr>
      <w:r w:rsidRPr="00B36A61">
        <w:rPr>
          <w:noProof w:val="0"/>
          <w:color w:val="17365D"/>
        </w:rPr>
        <w:t xml:space="preserve">procentu ieņēmumi par aizdevumiem </w:t>
      </w:r>
      <w:r w:rsidR="000E570C" w:rsidRPr="00B36A61">
        <w:rPr>
          <w:noProof w:val="0"/>
          <w:color w:val="17365D"/>
        </w:rPr>
        <w:t>11</w:t>
      </w:r>
      <w:r w:rsidRPr="00B36A61">
        <w:rPr>
          <w:noProof w:val="0"/>
          <w:color w:val="17365D"/>
        </w:rPr>
        <w:t>,</w:t>
      </w:r>
      <w:r w:rsidR="000E570C" w:rsidRPr="00B36A61">
        <w:rPr>
          <w:noProof w:val="0"/>
          <w:color w:val="17365D"/>
        </w:rPr>
        <w:t>5</w:t>
      </w:r>
      <w:r w:rsidR="00736531" w:rsidRPr="00B36A61">
        <w:rPr>
          <w:noProof w:val="0"/>
          <w:color w:val="17365D"/>
        </w:rPr>
        <w:t> </w:t>
      </w:r>
      <w:r w:rsidRPr="00B36A61">
        <w:rPr>
          <w:noProof w:val="0"/>
          <w:color w:val="17365D"/>
        </w:rPr>
        <w:t>milj.</w:t>
      </w:r>
      <w:r w:rsidR="004F2BBB" w:rsidRPr="00B36A61">
        <w:rPr>
          <w:noProof w:val="0"/>
          <w:color w:val="17365D"/>
        </w:rPr>
        <w:t> </w:t>
      </w:r>
      <w:r w:rsidRPr="00B36A61">
        <w:rPr>
          <w:i/>
          <w:noProof w:val="0"/>
          <w:color w:val="17365D"/>
        </w:rPr>
        <w:t>euro</w:t>
      </w:r>
      <w:r w:rsidRPr="00B36A61">
        <w:rPr>
          <w:noProof w:val="0"/>
          <w:color w:val="17365D"/>
        </w:rPr>
        <w:t xml:space="preserve"> vērtībā, tajā skaitā</w:t>
      </w:r>
      <w:r w:rsidR="00E57C6F" w:rsidRPr="00B36A61">
        <w:rPr>
          <w:noProof w:val="0"/>
          <w:color w:val="17365D"/>
        </w:rPr>
        <w:t>,</w:t>
      </w:r>
      <w:r w:rsidRPr="00B36A61">
        <w:rPr>
          <w:noProof w:val="0"/>
          <w:color w:val="17365D"/>
        </w:rPr>
        <w:t xml:space="preserve"> procentu ieņēmumi no pašvaldībām par aizdevumiem </w:t>
      </w:r>
      <w:r w:rsidR="000E570C" w:rsidRPr="00B36A61">
        <w:rPr>
          <w:noProof w:val="0"/>
          <w:color w:val="17365D"/>
        </w:rPr>
        <w:t>7</w:t>
      </w:r>
      <w:r w:rsidRPr="00B36A61">
        <w:rPr>
          <w:noProof w:val="0"/>
          <w:color w:val="17365D"/>
        </w:rPr>
        <w:t>,</w:t>
      </w:r>
      <w:r w:rsidR="000E570C" w:rsidRPr="00B36A61">
        <w:rPr>
          <w:noProof w:val="0"/>
          <w:color w:val="17365D"/>
        </w:rPr>
        <w:t>0</w:t>
      </w:r>
      <w:r w:rsidR="00736531" w:rsidRPr="00B36A61">
        <w:rPr>
          <w:noProof w:val="0"/>
          <w:color w:val="17365D"/>
        </w:rPr>
        <w:t> </w:t>
      </w:r>
      <w:r w:rsidRPr="00B36A61">
        <w:rPr>
          <w:noProof w:val="0"/>
          <w:color w:val="17365D"/>
        </w:rPr>
        <w:t>milj</w:t>
      </w:r>
      <w:r w:rsidR="00B538AD" w:rsidRPr="00B36A61">
        <w:rPr>
          <w:noProof w:val="0"/>
          <w:color w:val="17365D"/>
        </w:rPr>
        <w:t>.</w:t>
      </w:r>
      <w:r w:rsidR="00E57C6F" w:rsidRPr="00B36A61">
        <w:rPr>
          <w:noProof w:val="0"/>
          <w:color w:val="17365D"/>
        </w:rPr>
        <w:t> </w:t>
      </w:r>
      <w:r w:rsidRPr="00B36A61">
        <w:rPr>
          <w:i/>
          <w:noProof w:val="0"/>
          <w:color w:val="17365D"/>
        </w:rPr>
        <w:t>euro</w:t>
      </w:r>
      <w:r w:rsidRPr="00B36A61">
        <w:rPr>
          <w:noProof w:val="0"/>
          <w:color w:val="17365D"/>
        </w:rPr>
        <w:t xml:space="preserve"> vērtībā un no kapitālsabiedrībām par aizdevumiem </w:t>
      </w:r>
      <w:r w:rsidR="000E570C" w:rsidRPr="00B36A61">
        <w:rPr>
          <w:noProof w:val="0"/>
          <w:color w:val="17365D"/>
        </w:rPr>
        <w:t>4</w:t>
      </w:r>
      <w:r w:rsidRPr="00B36A61">
        <w:rPr>
          <w:noProof w:val="0"/>
          <w:color w:val="17365D"/>
        </w:rPr>
        <w:t>,3</w:t>
      </w:r>
      <w:r w:rsidR="00736531" w:rsidRPr="00B36A61">
        <w:rPr>
          <w:noProof w:val="0"/>
          <w:color w:val="17365D"/>
        </w:rPr>
        <w:t> </w:t>
      </w:r>
      <w:r w:rsidRPr="00B36A61">
        <w:rPr>
          <w:noProof w:val="0"/>
          <w:color w:val="17365D"/>
        </w:rPr>
        <w:t>milj</w:t>
      </w:r>
      <w:r w:rsidR="00B538AD" w:rsidRPr="00B36A61">
        <w:rPr>
          <w:noProof w:val="0"/>
          <w:color w:val="17365D"/>
        </w:rPr>
        <w:t>.</w:t>
      </w:r>
      <w:r w:rsidRPr="00B36A61">
        <w:rPr>
          <w:noProof w:val="0"/>
          <w:color w:val="17365D"/>
        </w:rPr>
        <w:t xml:space="preserve"> </w:t>
      </w:r>
      <w:r w:rsidRPr="00B36A61">
        <w:rPr>
          <w:i/>
          <w:noProof w:val="0"/>
          <w:color w:val="17365D"/>
        </w:rPr>
        <w:t>euro</w:t>
      </w:r>
      <w:r w:rsidRPr="00B36A61">
        <w:rPr>
          <w:noProof w:val="0"/>
          <w:color w:val="17365D"/>
        </w:rPr>
        <w:t xml:space="preserve"> vērtībā</w:t>
      </w:r>
      <w:r w:rsidR="00235478" w:rsidRPr="00B36A61">
        <w:rPr>
          <w:noProof w:val="0"/>
          <w:color w:val="17365D"/>
        </w:rPr>
        <w:t>.</w:t>
      </w:r>
    </w:p>
    <w:p w14:paraId="073ABEF0" w14:textId="591E5671" w:rsidR="007D0EF7" w:rsidRPr="00B36A61" w:rsidRDefault="007D0EF7" w:rsidP="00EA03DC">
      <w:pPr>
        <w:pStyle w:val="Bullets"/>
        <w:numPr>
          <w:ilvl w:val="0"/>
          <w:numId w:val="9"/>
        </w:numPr>
        <w:ind w:left="993" w:hanging="426"/>
        <w:rPr>
          <w:noProof w:val="0"/>
          <w:color w:val="17365D"/>
        </w:rPr>
      </w:pPr>
      <w:r w:rsidRPr="00B36A61">
        <w:rPr>
          <w:noProof w:val="0"/>
          <w:color w:val="17365D"/>
        </w:rPr>
        <w:t>valsts nodevas un kancelejas nodeva</w:t>
      </w:r>
      <w:r w:rsidR="006447C6" w:rsidRPr="00B36A61">
        <w:rPr>
          <w:noProof w:val="0"/>
          <w:color w:val="17365D"/>
        </w:rPr>
        <w:t>s</w:t>
      </w:r>
      <w:r w:rsidRPr="00B36A61">
        <w:rPr>
          <w:noProof w:val="0"/>
          <w:color w:val="17365D"/>
        </w:rPr>
        <w:t xml:space="preserve"> – palielinājums 1</w:t>
      </w:r>
      <w:r w:rsidR="00CA2439" w:rsidRPr="00B36A61">
        <w:rPr>
          <w:noProof w:val="0"/>
          <w:color w:val="17365D"/>
        </w:rPr>
        <w:t>3</w:t>
      </w:r>
      <w:r w:rsidRPr="00B36A61">
        <w:rPr>
          <w:noProof w:val="0"/>
          <w:color w:val="17365D"/>
        </w:rPr>
        <w:t>,</w:t>
      </w:r>
      <w:r w:rsidR="00CA2439" w:rsidRPr="00B36A61">
        <w:rPr>
          <w:noProof w:val="0"/>
          <w:color w:val="17365D"/>
        </w:rPr>
        <w:t>4</w:t>
      </w:r>
      <w:r w:rsidR="00830C9C" w:rsidRPr="00B36A61">
        <w:rPr>
          <w:noProof w:val="0"/>
          <w:color w:val="17365D"/>
        </w:rPr>
        <w:t> </w:t>
      </w:r>
      <w:r w:rsidRPr="00B36A61">
        <w:rPr>
          <w:noProof w:val="0"/>
          <w:color w:val="17365D"/>
        </w:rPr>
        <w:t>milj. </w:t>
      </w:r>
      <w:r w:rsidRPr="00B36A61">
        <w:rPr>
          <w:i/>
          <w:noProof w:val="0"/>
          <w:color w:val="17365D"/>
        </w:rPr>
        <w:t xml:space="preserve">euro </w:t>
      </w:r>
      <w:r w:rsidRPr="00B36A61">
        <w:rPr>
          <w:noProof w:val="0"/>
          <w:color w:val="17365D"/>
        </w:rPr>
        <w:t>vērtībā,</w:t>
      </w:r>
      <w:r w:rsidR="006447C6" w:rsidRPr="00B36A61">
        <w:rPr>
          <w:noProof w:val="0"/>
          <w:color w:val="17365D"/>
        </w:rPr>
        <w:t xml:space="preserve"> kuru</w:t>
      </w:r>
      <w:r w:rsidRPr="00B36A61">
        <w:rPr>
          <w:noProof w:val="0"/>
          <w:color w:val="17365D"/>
        </w:rPr>
        <w:t xml:space="preserve"> izmaiņas galvenokārt ietekmēja: </w:t>
      </w:r>
    </w:p>
    <w:p w14:paraId="36161283" w14:textId="187FE343" w:rsidR="00CA2439" w:rsidRPr="00B36A61" w:rsidRDefault="003E0883" w:rsidP="00B3080A">
      <w:pPr>
        <w:pStyle w:val="Pamatteksts"/>
        <w:numPr>
          <w:ilvl w:val="1"/>
          <w:numId w:val="9"/>
        </w:numPr>
        <w:ind w:left="1560" w:hanging="426"/>
        <w:rPr>
          <w:noProof w:val="0"/>
          <w:color w:val="17365D"/>
        </w:rPr>
      </w:pPr>
      <w:r w:rsidRPr="00B36A61">
        <w:rPr>
          <w:noProof w:val="0"/>
          <w:color w:val="17365D"/>
        </w:rPr>
        <w:t>valsts nodevas par valsts sniegto nodrošinājumu un juridiskajiem un citiem pakalpojumiem 88,4</w:t>
      </w:r>
      <w:r w:rsidRPr="00B36A61">
        <w:rPr>
          <w:color w:val="17365D"/>
        </w:rPr>
        <w:t> </w:t>
      </w:r>
      <w:r w:rsidRPr="00B36A61">
        <w:rPr>
          <w:noProof w:val="0"/>
          <w:color w:val="17365D"/>
        </w:rPr>
        <w:t>milj. </w:t>
      </w:r>
      <w:r w:rsidRPr="00B36A61">
        <w:rPr>
          <w:i/>
          <w:noProof w:val="0"/>
          <w:color w:val="17365D"/>
        </w:rPr>
        <w:t>euro</w:t>
      </w:r>
      <w:r w:rsidRPr="00B36A61">
        <w:rPr>
          <w:noProof w:val="0"/>
          <w:color w:val="17365D"/>
        </w:rPr>
        <w:t xml:space="preserve"> vērtībā, no kuriem būtiskākie nodevu maksājumi veikti: </w:t>
      </w:r>
      <w:r w:rsidR="00CA2439" w:rsidRPr="00B36A61">
        <w:rPr>
          <w:noProof w:val="0"/>
          <w:color w:val="17365D"/>
        </w:rPr>
        <w:t>nodeva</w:t>
      </w:r>
      <w:r w:rsidRPr="00B36A61">
        <w:rPr>
          <w:noProof w:val="0"/>
          <w:color w:val="17365D"/>
        </w:rPr>
        <w:t>i</w:t>
      </w:r>
      <w:r w:rsidR="00CA2439" w:rsidRPr="00B36A61">
        <w:rPr>
          <w:noProof w:val="0"/>
          <w:color w:val="17365D"/>
        </w:rPr>
        <w:t xml:space="preserve"> par darbību veikšanu tiesu iestādēs </w:t>
      </w:r>
      <w:r w:rsidR="0068560C" w:rsidRPr="00B36A61">
        <w:rPr>
          <w:noProof w:val="0"/>
          <w:color w:val="17365D"/>
        </w:rPr>
        <w:t>8</w:t>
      </w:r>
      <w:r w:rsidR="00CA2439" w:rsidRPr="00B36A61">
        <w:rPr>
          <w:noProof w:val="0"/>
          <w:color w:val="17365D"/>
        </w:rPr>
        <w:t>,</w:t>
      </w:r>
      <w:r w:rsidR="0068560C" w:rsidRPr="00B36A61">
        <w:rPr>
          <w:noProof w:val="0"/>
          <w:color w:val="17365D"/>
        </w:rPr>
        <w:t>7</w:t>
      </w:r>
      <w:r w:rsidR="00CA2439" w:rsidRPr="00B36A61">
        <w:rPr>
          <w:noProof w:val="0"/>
          <w:color w:val="17365D"/>
        </w:rPr>
        <w:t> milj. </w:t>
      </w:r>
      <w:r w:rsidR="00CA2439" w:rsidRPr="00B36A61">
        <w:rPr>
          <w:i/>
          <w:noProof w:val="0"/>
          <w:color w:val="17365D"/>
        </w:rPr>
        <w:t>euro</w:t>
      </w:r>
      <w:r w:rsidRPr="00B36A61">
        <w:rPr>
          <w:noProof w:val="0"/>
          <w:color w:val="17365D"/>
        </w:rPr>
        <w:t xml:space="preserve">, </w:t>
      </w:r>
      <w:r w:rsidR="0068560C" w:rsidRPr="00B36A61">
        <w:rPr>
          <w:noProof w:val="0"/>
          <w:color w:val="17365D"/>
        </w:rPr>
        <w:t xml:space="preserve">nodevai par vīzas, uzturēšanās atļaujas vai Eiropas Savienības pastāvīgā iedzīvotāja statusa Latvijas Republikā pieprasīšanai nepieciešamo dokumentu izskatīšanu un ar to saistītajiem pakalpojumiem </w:t>
      </w:r>
      <w:r w:rsidRPr="00B36A61">
        <w:rPr>
          <w:noProof w:val="0"/>
          <w:color w:val="17365D"/>
        </w:rPr>
        <w:t>7,4 milj. </w:t>
      </w:r>
      <w:r w:rsidRPr="00B36A61">
        <w:rPr>
          <w:i/>
          <w:noProof w:val="0"/>
          <w:color w:val="17365D"/>
        </w:rPr>
        <w:t>euro</w:t>
      </w:r>
      <w:r w:rsidRPr="00B36A61">
        <w:rPr>
          <w:noProof w:val="0"/>
          <w:color w:val="17365D"/>
        </w:rPr>
        <w:t xml:space="preserve">, nodevai par personas apliecību izsniegšanu </w:t>
      </w:r>
      <w:r w:rsidR="0068560C" w:rsidRPr="00B36A61">
        <w:rPr>
          <w:noProof w:val="0"/>
          <w:color w:val="17365D"/>
        </w:rPr>
        <w:t>7</w:t>
      </w:r>
      <w:r w:rsidRPr="00B36A61">
        <w:rPr>
          <w:noProof w:val="0"/>
          <w:color w:val="17365D"/>
        </w:rPr>
        <w:t>,0 milj. </w:t>
      </w:r>
      <w:r w:rsidRPr="00B36A61">
        <w:rPr>
          <w:i/>
          <w:noProof w:val="0"/>
          <w:color w:val="17365D"/>
        </w:rPr>
        <w:t>euro</w:t>
      </w:r>
      <w:r w:rsidRPr="00B36A61">
        <w:rPr>
          <w:noProof w:val="0"/>
          <w:color w:val="17365D"/>
        </w:rPr>
        <w:t>;</w:t>
      </w:r>
    </w:p>
    <w:p w14:paraId="089FE9AF" w14:textId="6335630C" w:rsidR="007D0EF7" w:rsidRPr="00B36A61" w:rsidRDefault="003E0883" w:rsidP="00B3080A">
      <w:pPr>
        <w:pStyle w:val="Pamatteksts"/>
        <w:numPr>
          <w:ilvl w:val="1"/>
          <w:numId w:val="9"/>
        </w:numPr>
        <w:ind w:left="1560" w:hanging="426"/>
        <w:rPr>
          <w:noProof w:val="0"/>
          <w:color w:val="17365D"/>
        </w:rPr>
      </w:pPr>
      <w:r w:rsidRPr="00B36A61">
        <w:rPr>
          <w:noProof w:val="0"/>
          <w:color w:val="17365D"/>
        </w:rPr>
        <w:t>speciāliem mērķiem paredzētās valsts nodevas 68,54 milj.</w:t>
      </w:r>
      <w:r w:rsidR="0068560C" w:rsidRPr="00B36A61">
        <w:rPr>
          <w:noProof w:val="0"/>
          <w:color w:val="17365D"/>
        </w:rPr>
        <w:t xml:space="preserve"> </w:t>
      </w:r>
      <w:r w:rsidRPr="00B36A61">
        <w:rPr>
          <w:i/>
          <w:noProof w:val="0"/>
          <w:color w:val="17365D"/>
        </w:rPr>
        <w:t>euro</w:t>
      </w:r>
      <w:r w:rsidRPr="00B36A61">
        <w:rPr>
          <w:noProof w:val="0"/>
          <w:color w:val="17365D"/>
        </w:rPr>
        <w:t xml:space="preserve"> vērtībā</w:t>
      </w:r>
      <w:r w:rsidRPr="00B36A61">
        <w:rPr>
          <w:color w:val="17365D"/>
        </w:rPr>
        <w:t xml:space="preserve"> </w:t>
      </w:r>
      <w:r w:rsidRPr="00B36A61">
        <w:rPr>
          <w:noProof w:val="0"/>
          <w:color w:val="17365D"/>
        </w:rPr>
        <w:t>no kuriem būtiskākie nodevu maksājumi veikti</w:t>
      </w:r>
      <w:r w:rsidR="00FD4F29" w:rsidRPr="00B36A61">
        <w:rPr>
          <w:noProof w:val="0"/>
          <w:color w:val="17365D"/>
        </w:rPr>
        <w:t>:</w:t>
      </w:r>
      <w:r w:rsidRPr="00B36A61">
        <w:rPr>
          <w:noProof w:val="0"/>
          <w:color w:val="17365D"/>
        </w:rPr>
        <w:t xml:space="preserve"> </w:t>
      </w:r>
      <w:r w:rsidR="00FD4F29" w:rsidRPr="00B36A61">
        <w:rPr>
          <w:noProof w:val="0"/>
          <w:color w:val="17365D"/>
        </w:rPr>
        <w:t>autoceļu lietošanas nodevai 30,9</w:t>
      </w:r>
      <w:r w:rsidR="00FD4F29" w:rsidRPr="00B36A61">
        <w:rPr>
          <w:color w:val="17365D"/>
        </w:rPr>
        <w:t> </w:t>
      </w:r>
      <w:r w:rsidR="00FD4F29" w:rsidRPr="00B36A61">
        <w:rPr>
          <w:noProof w:val="0"/>
          <w:color w:val="17365D"/>
        </w:rPr>
        <w:t>milj. </w:t>
      </w:r>
      <w:r w:rsidR="00FD4F29" w:rsidRPr="00B36A61">
        <w:rPr>
          <w:i/>
          <w:noProof w:val="0"/>
          <w:color w:val="17365D"/>
        </w:rPr>
        <w:t>euro</w:t>
      </w:r>
      <w:r w:rsidR="00FD4F29" w:rsidRPr="00B36A61">
        <w:rPr>
          <w:noProof w:val="0"/>
          <w:color w:val="17365D"/>
        </w:rPr>
        <w:t>, valsts nodeva</w:t>
      </w:r>
      <w:r w:rsidR="0068560C" w:rsidRPr="00B36A61">
        <w:rPr>
          <w:noProof w:val="0"/>
          <w:color w:val="17365D"/>
        </w:rPr>
        <w:t>i</w:t>
      </w:r>
      <w:r w:rsidR="00FD4F29" w:rsidRPr="00B36A61">
        <w:rPr>
          <w:noProof w:val="0"/>
          <w:color w:val="17365D"/>
        </w:rPr>
        <w:t xml:space="preserve"> par naftas produktu drošības rezervju uzturēšanai 24,3 milj. </w:t>
      </w:r>
      <w:r w:rsidR="00FD4F29" w:rsidRPr="00B36A61">
        <w:rPr>
          <w:i/>
          <w:noProof w:val="0"/>
          <w:color w:val="17365D"/>
        </w:rPr>
        <w:t>euro</w:t>
      </w:r>
      <w:r w:rsidR="007D0EF7" w:rsidRPr="00B36A61">
        <w:rPr>
          <w:noProof w:val="0"/>
          <w:color w:val="17365D"/>
        </w:rPr>
        <w:t>;</w:t>
      </w:r>
    </w:p>
    <w:p w14:paraId="44F1D137" w14:textId="5F566CB8" w:rsidR="007D0EF7" w:rsidRPr="00B36A61" w:rsidRDefault="00235478" w:rsidP="00EA03DC">
      <w:pPr>
        <w:pStyle w:val="Bullets"/>
        <w:numPr>
          <w:ilvl w:val="0"/>
          <w:numId w:val="9"/>
        </w:numPr>
        <w:ind w:left="993" w:hanging="426"/>
        <w:rPr>
          <w:noProof w:val="0"/>
          <w:color w:val="17365D"/>
        </w:rPr>
      </w:pPr>
      <w:r w:rsidRPr="00B36A61">
        <w:rPr>
          <w:noProof w:val="0"/>
          <w:color w:val="17365D"/>
        </w:rPr>
        <w:t>pārējie</w:t>
      </w:r>
      <w:r w:rsidR="00E57C6F" w:rsidRPr="00B36A61">
        <w:rPr>
          <w:noProof w:val="0"/>
          <w:color w:val="17365D"/>
        </w:rPr>
        <w:t>m</w:t>
      </w:r>
      <w:r w:rsidRPr="00B36A61">
        <w:rPr>
          <w:noProof w:val="0"/>
          <w:color w:val="17365D"/>
        </w:rPr>
        <w:t xml:space="preserve"> nenodokļu ieņēmumi – palielinājums </w:t>
      </w:r>
      <w:r w:rsidR="0068560C" w:rsidRPr="00B36A61">
        <w:rPr>
          <w:noProof w:val="0"/>
          <w:color w:val="17365D"/>
        </w:rPr>
        <w:t>12</w:t>
      </w:r>
      <w:r w:rsidRPr="00B36A61">
        <w:rPr>
          <w:noProof w:val="0"/>
          <w:color w:val="17365D"/>
        </w:rPr>
        <w:t>,</w:t>
      </w:r>
      <w:r w:rsidR="006E545B" w:rsidRPr="00B36A61">
        <w:rPr>
          <w:noProof w:val="0"/>
          <w:color w:val="17365D"/>
        </w:rPr>
        <w:t>1</w:t>
      </w:r>
      <w:r w:rsidR="00736531" w:rsidRPr="00B36A61">
        <w:rPr>
          <w:noProof w:val="0"/>
          <w:color w:val="17365D"/>
        </w:rPr>
        <w:t> </w:t>
      </w:r>
      <w:r w:rsidRPr="00B36A61">
        <w:rPr>
          <w:noProof w:val="0"/>
          <w:color w:val="17365D"/>
        </w:rPr>
        <w:t xml:space="preserve">milj. </w:t>
      </w:r>
      <w:r w:rsidRPr="00B36A61">
        <w:rPr>
          <w:i/>
          <w:noProof w:val="0"/>
          <w:color w:val="17365D"/>
        </w:rPr>
        <w:t>euro</w:t>
      </w:r>
      <w:r w:rsidRPr="00B36A61">
        <w:rPr>
          <w:noProof w:val="0"/>
          <w:color w:val="17365D"/>
        </w:rPr>
        <w:t xml:space="preserve"> vērtībā, </w:t>
      </w:r>
      <w:r w:rsidR="006447C6" w:rsidRPr="00B36A61">
        <w:rPr>
          <w:noProof w:val="0"/>
          <w:color w:val="17365D"/>
        </w:rPr>
        <w:t xml:space="preserve">kuru </w:t>
      </w:r>
      <w:r w:rsidRPr="00B36A61">
        <w:rPr>
          <w:noProof w:val="0"/>
          <w:color w:val="17365D"/>
        </w:rPr>
        <w:t>izmaiņas galvenokārt ietekmēja:</w:t>
      </w:r>
    </w:p>
    <w:p w14:paraId="5136BAE1" w14:textId="30BBC4D3" w:rsidR="00235478" w:rsidRPr="00B36A61" w:rsidRDefault="0068560C" w:rsidP="00B3080A">
      <w:pPr>
        <w:pStyle w:val="Pamatteksts"/>
        <w:numPr>
          <w:ilvl w:val="1"/>
          <w:numId w:val="9"/>
        </w:numPr>
        <w:ind w:left="1560" w:hanging="426"/>
        <w:rPr>
          <w:noProof w:val="0"/>
          <w:color w:val="17365D"/>
        </w:rPr>
      </w:pPr>
      <w:r w:rsidRPr="00B36A61">
        <w:rPr>
          <w:noProof w:val="0"/>
          <w:color w:val="17365D"/>
        </w:rPr>
        <w:t>ieņēmumi no konfiscēto noziedzīgi iegūto līdzekļu un papildsoda - mantas konfiskācija - realizācijas 5</w:t>
      </w:r>
      <w:r w:rsidR="009D297E" w:rsidRPr="00B36A61">
        <w:rPr>
          <w:noProof w:val="0"/>
          <w:color w:val="17365D"/>
        </w:rPr>
        <w:t>4,</w:t>
      </w:r>
      <w:r w:rsidRPr="00B36A61">
        <w:rPr>
          <w:noProof w:val="0"/>
          <w:color w:val="17365D"/>
        </w:rPr>
        <w:t>4</w:t>
      </w:r>
      <w:r w:rsidR="009D297E" w:rsidRPr="00B36A61">
        <w:rPr>
          <w:noProof w:val="0"/>
          <w:color w:val="17365D"/>
        </w:rPr>
        <w:t> milj. </w:t>
      </w:r>
      <w:r w:rsidR="009D297E" w:rsidRPr="00B36A61">
        <w:rPr>
          <w:i/>
          <w:noProof w:val="0"/>
          <w:color w:val="17365D"/>
        </w:rPr>
        <w:t>euro</w:t>
      </w:r>
      <w:r w:rsidR="009D297E" w:rsidRPr="00B36A61">
        <w:rPr>
          <w:noProof w:val="0"/>
          <w:color w:val="17365D"/>
        </w:rPr>
        <w:t>;</w:t>
      </w:r>
    </w:p>
    <w:p w14:paraId="2E7AA5C0" w14:textId="76F6199D" w:rsidR="0068560C" w:rsidRPr="00B36A61" w:rsidRDefault="0068560C" w:rsidP="00B3080A">
      <w:pPr>
        <w:pStyle w:val="Pamatteksts"/>
        <w:numPr>
          <w:ilvl w:val="1"/>
          <w:numId w:val="9"/>
        </w:numPr>
        <w:ind w:left="1560" w:hanging="426"/>
        <w:rPr>
          <w:noProof w:val="0"/>
          <w:color w:val="17365D"/>
        </w:rPr>
      </w:pPr>
      <w:r w:rsidRPr="00B36A61">
        <w:rPr>
          <w:noProof w:val="0"/>
          <w:color w:val="17365D"/>
        </w:rPr>
        <w:t>ieņēmumi no budžeta iestādēm atmaksātiem pārējiem debitoru parādiem 12,</w:t>
      </w:r>
      <w:r w:rsidR="006E545B" w:rsidRPr="00B36A61">
        <w:rPr>
          <w:noProof w:val="0"/>
          <w:color w:val="17365D"/>
        </w:rPr>
        <w:t>6</w:t>
      </w:r>
      <w:r w:rsidRPr="00B36A61">
        <w:rPr>
          <w:color w:val="17365D"/>
        </w:rPr>
        <w:t> </w:t>
      </w:r>
      <w:r w:rsidRPr="00B36A61">
        <w:rPr>
          <w:noProof w:val="0"/>
          <w:color w:val="17365D"/>
        </w:rPr>
        <w:t xml:space="preserve">milj. </w:t>
      </w:r>
      <w:r w:rsidRPr="00B36A61">
        <w:rPr>
          <w:i/>
          <w:noProof w:val="0"/>
          <w:color w:val="17365D"/>
        </w:rPr>
        <w:t>euro;</w:t>
      </w:r>
    </w:p>
    <w:p w14:paraId="3ED296B3" w14:textId="0F620570" w:rsidR="009D297E" w:rsidRPr="00B36A61" w:rsidRDefault="0068560C" w:rsidP="00B3080A">
      <w:pPr>
        <w:pStyle w:val="Pamatteksts"/>
        <w:numPr>
          <w:ilvl w:val="1"/>
          <w:numId w:val="9"/>
        </w:numPr>
        <w:ind w:left="1560" w:hanging="426"/>
        <w:rPr>
          <w:noProof w:val="0"/>
          <w:color w:val="17365D"/>
        </w:rPr>
      </w:pPr>
      <w:r w:rsidRPr="00B36A61">
        <w:rPr>
          <w:noProof w:val="0"/>
          <w:color w:val="17365D"/>
        </w:rPr>
        <w:t>ieņēmumi no ūdenstilpju un zvejas tiesību nomas un zvejas tiesību nerūpnieciskas izmantošanas (makšķerēšanas kartes ) 0</w:t>
      </w:r>
      <w:r w:rsidR="009D297E" w:rsidRPr="00B36A61">
        <w:rPr>
          <w:noProof w:val="0"/>
          <w:color w:val="17365D"/>
        </w:rPr>
        <w:t>,</w:t>
      </w:r>
      <w:r w:rsidRPr="00B36A61">
        <w:rPr>
          <w:noProof w:val="0"/>
          <w:color w:val="17365D"/>
        </w:rPr>
        <w:t>8</w:t>
      </w:r>
      <w:r w:rsidR="009D297E" w:rsidRPr="00B36A61">
        <w:rPr>
          <w:noProof w:val="0"/>
          <w:color w:val="17365D"/>
        </w:rPr>
        <w:t> milj. </w:t>
      </w:r>
      <w:r w:rsidR="009D297E" w:rsidRPr="00B36A61">
        <w:rPr>
          <w:i/>
          <w:noProof w:val="0"/>
          <w:color w:val="17365D"/>
        </w:rPr>
        <w:t>euro</w:t>
      </w:r>
      <w:r w:rsidRPr="00B36A61">
        <w:rPr>
          <w:noProof w:val="0"/>
          <w:color w:val="17365D"/>
        </w:rPr>
        <w:t>.</w:t>
      </w:r>
    </w:p>
    <w:p w14:paraId="51A8100F" w14:textId="5233F093" w:rsidR="0074579B" w:rsidRPr="00B36A61" w:rsidRDefault="0074579B" w:rsidP="0074579B">
      <w:pPr>
        <w:rPr>
          <w:color w:val="17365D"/>
        </w:rPr>
      </w:pPr>
      <w:r w:rsidRPr="00B36A61">
        <w:rPr>
          <w:color w:val="17365D"/>
        </w:rPr>
        <w:t>Valsts nodevu administrācijas saskaņā ar Ministru kabineta 2018. gada 7. augusta noteikumiem Nr.453 “Valsts nodevu uzskaites noteikumi” (turpmāk – MK noteikumi Nr.453) sagatavojušas un iesniegušas pārskatu par 202</w:t>
      </w:r>
      <w:r w:rsidR="00FF3C57" w:rsidRPr="00B36A61">
        <w:rPr>
          <w:color w:val="17365D"/>
        </w:rPr>
        <w:t>2</w:t>
      </w:r>
      <w:r w:rsidRPr="00B36A61">
        <w:rPr>
          <w:color w:val="17365D"/>
        </w:rPr>
        <w:t xml:space="preserve">. gadu. Valsts nodevas </w:t>
      </w:r>
      <w:r w:rsidR="007A6FCA" w:rsidRPr="00B36A61">
        <w:rPr>
          <w:color w:val="17365D"/>
        </w:rPr>
        <w:t>kopumā</w:t>
      </w:r>
      <w:r w:rsidR="00D4284C" w:rsidRPr="00B36A61">
        <w:rPr>
          <w:color w:val="17365D"/>
        </w:rPr>
        <w:t xml:space="preserve"> iekasē </w:t>
      </w:r>
      <w:r w:rsidR="006E3844" w:rsidRPr="00B36A61">
        <w:rPr>
          <w:color w:val="17365D"/>
        </w:rPr>
        <w:t xml:space="preserve">46 </w:t>
      </w:r>
      <w:r w:rsidR="00D4284C" w:rsidRPr="00B36A61">
        <w:rPr>
          <w:color w:val="17365D"/>
        </w:rPr>
        <w:t>valsts nodevas</w:t>
      </w:r>
      <w:r w:rsidR="007A6FCA" w:rsidRPr="00B36A61">
        <w:rPr>
          <w:color w:val="17365D"/>
        </w:rPr>
        <w:t xml:space="preserve"> </w:t>
      </w:r>
      <w:r w:rsidR="006E3844" w:rsidRPr="00B36A61">
        <w:rPr>
          <w:color w:val="17365D"/>
        </w:rPr>
        <w:t>administrācijas.</w:t>
      </w:r>
      <w:r w:rsidR="00A24D0E" w:rsidRPr="00B36A61">
        <w:rPr>
          <w:color w:val="17365D"/>
        </w:rPr>
        <w:t xml:space="preserve"> </w:t>
      </w:r>
      <w:r w:rsidR="006E3844" w:rsidRPr="00B36A61">
        <w:rPr>
          <w:color w:val="17365D"/>
        </w:rPr>
        <w:t>A</w:t>
      </w:r>
      <w:r w:rsidRPr="00B36A61">
        <w:rPr>
          <w:color w:val="17365D"/>
        </w:rPr>
        <w:t xml:space="preserve">tbilstoši </w:t>
      </w:r>
      <w:r w:rsidR="006E3844" w:rsidRPr="00B36A61">
        <w:rPr>
          <w:color w:val="17365D"/>
        </w:rPr>
        <w:t>MK noteikumi Nr.453</w:t>
      </w:r>
      <w:r w:rsidR="00A24D0E" w:rsidRPr="00B36A61">
        <w:rPr>
          <w:color w:val="17365D"/>
        </w:rPr>
        <w:t xml:space="preserve"> </w:t>
      </w:r>
      <w:r w:rsidRPr="00B36A61">
        <w:rPr>
          <w:color w:val="17365D"/>
        </w:rPr>
        <w:t xml:space="preserve">noteiktajam </w:t>
      </w:r>
      <w:r w:rsidR="006E3844" w:rsidRPr="00B36A61">
        <w:rPr>
          <w:color w:val="17365D"/>
        </w:rPr>
        <w:t xml:space="preserve">valsts nodevu administrācijas </w:t>
      </w:r>
      <w:r w:rsidRPr="00B36A61">
        <w:rPr>
          <w:color w:val="17365D"/>
        </w:rPr>
        <w:t xml:space="preserve">veic valsts nodevu uzskaiti par visām tās administrētajām valsts nodevām, nodrošinot informācijas uzrādīšanu valsts nodevu uzskaites pārskatā. </w:t>
      </w:r>
    </w:p>
    <w:p w14:paraId="377CEDB6" w14:textId="7B7F3771" w:rsidR="0074579B" w:rsidRPr="00B36A61" w:rsidRDefault="0074579B" w:rsidP="0074579B">
      <w:pPr>
        <w:rPr>
          <w:color w:val="17365D"/>
        </w:rPr>
      </w:pPr>
      <w:r w:rsidRPr="00B36A61">
        <w:rPr>
          <w:color w:val="17365D"/>
        </w:rPr>
        <w:t>Saskaņā ar nodevu administrāciju sniegto informāciju par 202</w:t>
      </w:r>
      <w:r w:rsidR="00CD3297" w:rsidRPr="00B36A61">
        <w:rPr>
          <w:color w:val="17365D"/>
        </w:rPr>
        <w:t>2</w:t>
      </w:r>
      <w:r w:rsidRPr="00B36A61">
        <w:rPr>
          <w:color w:val="17365D"/>
        </w:rPr>
        <w:t>. gadu samaksai aprēķinātā valsts nodevas summa ir 1</w:t>
      </w:r>
      <w:r w:rsidR="00CD3297" w:rsidRPr="00B36A61">
        <w:rPr>
          <w:color w:val="17365D"/>
        </w:rPr>
        <w:t>1</w:t>
      </w:r>
      <w:r w:rsidRPr="00B36A61">
        <w:rPr>
          <w:color w:val="17365D"/>
        </w:rPr>
        <w:t>8,</w:t>
      </w:r>
      <w:r w:rsidR="00CD3297" w:rsidRPr="00B36A61">
        <w:rPr>
          <w:color w:val="17365D"/>
        </w:rPr>
        <w:t>0</w:t>
      </w:r>
      <w:r w:rsidRPr="00B36A61">
        <w:rPr>
          <w:color w:val="17365D"/>
        </w:rPr>
        <w:t xml:space="preserve"> milj. </w:t>
      </w:r>
      <w:r w:rsidRPr="00B36A61">
        <w:rPr>
          <w:i/>
          <w:color w:val="17365D"/>
        </w:rPr>
        <w:t>euro</w:t>
      </w:r>
      <w:r w:rsidRPr="00B36A61">
        <w:rPr>
          <w:color w:val="17365D"/>
        </w:rPr>
        <w:t>, faktiski saņemtā summa ir 1</w:t>
      </w:r>
      <w:r w:rsidR="00CD3297" w:rsidRPr="00B36A61">
        <w:rPr>
          <w:color w:val="17365D"/>
        </w:rPr>
        <w:t>61</w:t>
      </w:r>
      <w:r w:rsidRPr="00B36A61">
        <w:rPr>
          <w:color w:val="17365D"/>
        </w:rPr>
        <w:t>,</w:t>
      </w:r>
      <w:r w:rsidR="0015469A" w:rsidRPr="00B36A61">
        <w:rPr>
          <w:color w:val="17365D"/>
        </w:rPr>
        <w:t>4</w:t>
      </w:r>
      <w:r w:rsidRPr="00B36A61">
        <w:rPr>
          <w:color w:val="17365D"/>
        </w:rPr>
        <w:t xml:space="preserve"> milj. </w:t>
      </w:r>
      <w:r w:rsidRPr="00B36A61">
        <w:rPr>
          <w:i/>
          <w:color w:val="17365D"/>
        </w:rPr>
        <w:t>euro</w:t>
      </w:r>
      <w:r w:rsidR="000A6CFF" w:rsidRPr="00B36A61">
        <w:rPr>
          <w:i/>
          <w:color w:val="17365D"/>
        </w:rPr>
        <w:t xml:space="preserve"> un</w:t>
      </w:r>
      <w:r w:rsidRPr="00B36A61">
        <w:rPr>
          <w:color w:val="17365D"/>
        </w:rPr>
        <w:t xml:space="preserve"> atmaksāt</w:t>
      </w:r>
      <w:r w:rsidR="000A6CFF" w:rsidRPr="00B36A61">
        <w:rPr>
          <w:color w:val="17365D"/>
        </w:rPr>
        <w:t>a</w:t>
      </w:r>
      <w:r w:rsidRPr="00B36A61">
        <w:rPr>
          <w:color w:val="17365D"/>
        </w:rPr>
        <w:t xml:space="preserve"> valsts nodevas summa </w:t>
      </w:r>
      <w:r w:rsidR="000A6CFF" w:rsidRPr="00B36A61">
        <w:rPr>
          <w:color w:val="17365D"/>
        </w:rPr>
        <w:t xml:space="preserve">3,8 milj. </w:t>
      </w:r>
      <w:r w:rsidR="000A6CFF" w:rsidRPr="00B36A61">
        <w:rPr>
          <w:i/>
          <w:color w:val="17365D"/>
        </w:rPr>
        <w:t>euro</w:t>
      </w:r>
      <w:r w:rsidR="000A6CFF" w:rsidRPr="00B36A61">
        <w:rPr>
          <w:color w:val="17365D"/>
        </w:rPr>
        <w:t xml:space="preserve"> no pārskata gada un iepriekšējos pārskata gados iekasētajiem valsts nodevu ieņēmumiem</w:t>
      </w:r>
      <w:r w:rsidR="00A60242" w:rsidRPr="00B36A61">
        <w:rPr>
          <w:color w:val="17365D"/>
        </w:rPr>
        <w:t>. Būtiskākās</w:t>
      </w:r>
      <w:r w:rsidR="00B36A61">
        <w:rPr>
          <w:color w:val="17365D"/>
        </w:rPr>
        <w:t xml:space="preserve"> faktiski saņe</w:t>
      </w:r>
      <w:r w:rsidR="00D4284C" w:rsidRPr="00B36A61">
        <w:rPr>
          <w:color w:val="17365D"/>
        </w:rPr>
        <w:t>mtās valsts nodevu summas valsts budžetā iekasējuš</w:t>
      </w:r>
      <w:r w:rsidR="006E3844" w:rsidRPr="00B36A61">
        <w:rPr>
          <w:color w:val="17365D"/>
        </w:rPr>
        <w:t>as –</w:t>
      </w:r>
      <w:r w:rsidR="00D4284C" w:rsidRPr="00B36A61">
        <w:rPr>
          <w:color w:val="17365D"/>
        </w:rPr>
        <w:t xml:space="preserve"> Tiesu administrācija 58,2 milj. </w:t>
      </w:r>
      <w:r w:rsidR="00D4284C" w:rsidRPr="00B36A61">
        <w:rPr>
          <w:i/>
          <w:color w:val="17365D"/>
        </w:rPr>
        <w:t>euro</w:t>
      </w:r>
      <w:r w:rsidR="00D4284C" w:rsidRPr="00B36A61">
        <w:rPr>
          <w:color w:val="17365D"/>
        </w:rPr>
        <w:t xml:space="preserve">, VSIA “Latvijas valsts ceļi” 31.5 milj. </w:t>
      </w:r>
      <w:r w:rsidR="00D4284C" w:rsidRPr="00B36A61">
        <w:rPr>
          <w:i/>
          <w:color w:val="17365D"/>
        </w:rPr>
        <w:t>euro</w:t>
      </w:r>
      <w:r w:rsidR="00D4284C" w:rsidRPr="00B36A61">
        <w:rPr>
          <w:color w:val="17365D"/>
        </w:rPr>
        <w:t xml:space="preserve">  un Būvniecības valsts kontroles birojam 28,2</w:t>
      </w:r>
      <w:r w:rsidR="00A60242" w:rsidRPr="00B36A61">
        <w:rPr>
          <w:color w:val="17365D"/>
        </w:rPr>
        <w:t xml:space="preserve"> </w:t>
      </w:r>
      <w:r w:rsidR="00D4284C" w:rsidRPr="00B36A61">
        <w:rPr>
          <w:color w:val="17365D"/>
        </w:rPr>
        <w:t xml:space="preserve">milj. </w:t>
      </w:r>
      <w:r w:rsidR="00D4284C" w:rsidRPr="00B36A61">
        <w:rPr>
          <w:i/>
          <w:color w:val="17365D"/>
        </w:rPr>
        <w:t>euro.</w:t>
      </w:r>
      <w:r w:rsidR="00D4284C" w:rsidRPr="00B36A61">
        <w:rPr>
          <w:color w:val="17365D"/>
        </w:rPr>
        <w:t xml:space="preserve"> B</w:t>
      </w:r>
      <w:r w:rsidRPr="00B36A61">
        <w:rPr>
          <w:color w:val="17365D"/>
        </w:rPr>
        <w:t xml:space="preserve">ūtiskākie valsts nodevas objekti </w:t>
      </w:r>
      <w:r w:rsidR="0083793D" w:rsidRPr="00B36A61">
        <w:rPr>
          <w:color w:val="17365D"/>
        </w:rPr>
        <w:t>ir</w:t>
      </w:r>
      <w:r w:rsidRPr="00B36A61">
        <w:rPr>
          <w:color w:val="17365D"/>
        </w:rPr>
        <w:t>:</w:t>
      </w:r>
    </w:p>
    <w:p w14:paraId="4EB825ED" w14:textId="5C9DB004" w:rsidR="0074579B" w:rsidRPr="00B36A61" w:rsidRDefault="0074579B" w:rsidP="0074579B">
      <w:pPr>
        <w:pStyle w:val="Bullets"/>
        <w:numPr>
          <w:ilvl w:val="0"/>
          <w:numId w:val="41"/>
        </w:numPr>
        <w:ind w:left="993" w:hanging="426"/>
        <w:rPr>
          <w:color w:val="17365D"/>
        </w:rPr>
      </w:pPr>
      <w:r w:rsidRPr="00B36A61">
        <w:rPr>
          <w:color w:val="17365D"/>
        </w:rPr>
        <w:t>īpašuma tiesību un ķīlas tiesību nostiprināšanu zemesgrāmatā (kods 9.1.7.4., 9.1.7.5., 9.1.7.6.) –</w:t>
      </w:r>
      <w:r w:rsidR="00DB52CE" w:rsidRPr="00B36A61">
        <w:rPr>
          <w:color w:val="17365D"/>
        </w:rPr>
        <w:t xml:space="preserve"> </w:t>
      </w:r>
      <w:r w:rsidRPr="00B36A61">
        <w:rPr>
          <w:color w:val="17365D"/>
        </w:rPr>
        <w:t xml:space="preserve">faktiski saņemtā summa </w:t>
      </w:r>
      <w:r w:rsidR="000A7473" w:rsidRPr="00B36A61">
        <w:rPr>
          <w:color w:val="17365D"/>
        </w:rPr>
        <w:t>47</w:t>
      </w:r>
      <w:r w:rsidRPr="00B36A61">
        <w:rPr>
          <w:color w:val="17365D"/>
        </w:rPr>
        <w:t>,</w:t>
      </w:r>
      <w:r w:rsidR="000A7473" w:rsidRPr="00B36A61">
        <w:rPr>
          <w:color w:val="17365D"/>
        </w:rPr>
        <w:t>2</w:t>
      </w:r>
      <w:r w:rsidRPr="00B36A61">
        <w:rPr>
          <w:color w:val="17365D"/>
        </w:rPr>
        <w:t> milj. </w:t>
      </w:r>
      <w:r w:rsidRPr="00B36A61">
        <w:rPr>
          <w:i/>
          <w:iCs/>
          <w:color w:val="17365D"/>
        </w:rPr>
        <w:t>euro</w:t>
      </w:r>
      <w:r w:rsidRPr="00B36A61">
        <w:rPr>
          <w:color w:val="17365D"/>
        </w:rPr>
        <w:t>, atmaksātā valsts nodevas summa 0,</w:t>
      </w:r>
      <w:r w:rsidR="000A7473" w:rsidRPr="00B36A61">
        <w:rPr>
          <w:color w:val="17365D"/>
        </w:rPr>
        <w:t>3</w:t>
      </w:r>
      <w:r w:rsidRPr="00B36A61">
        <w:rPr>
          <w:color w:val="17365D"/>
        </w:rPr>
        <w:t> milj. </w:t>
      </w:r>
      <w:r w:rsidRPr="00B36A61">
        <w:rPr>
          <w:i/>
          <w:iCs/>
          <w:color w:val="17365D"/>
        </w:rPr>
        <w:t>euro</w:t>
      </w:r>
      <w:r w:rsidR="0015469A" w:rsidRPr="00B36A61">
        <w:rPr>
          <w:i/>
          <w:iCs/>
          <w:color w:val="17365D"/>
        </w:rPr>
        <w:t xml:space="preserve">, </w:t>
      </w:r>
      <w:r w:rsidR="0015469A" w:rsidRPr="00B36A61">
        <w:rPr>
          <w:iCs/>
          <w:color w:val="17365D"/>
        </w:rPr>
        <w:t xml:space="preserve">saskaņā ar Tiesu administrācijas sniegto informāciju </w:t>
      </w:r>
      <w:r w:rsidR="0015469A" w:rsidRPr="00B36A61">
        <w:rPr>
          <w:color w:val="17365D"/>
        </w:rPr>
        <w:t>samaksai aprēķināta valsts nodevas summa ir tikai 3,4 milj. </w:t>
      </w:r>
      <w:r w:rsidR="0015469A" w:rsidRPr="00B36A61">
        <w:rPr>
          <w:i/>
          <w:iCs/>
          <w:color w:val="17365D"/>
        </w:rPr>
        <w:t>euro</w:t>
      </w:r>
      <w:r w:rsidR="0015469A" w:rsidRPr="00B36A61">
        <w:rPr>
          <w:iCs/>
          <w:color w:val="17365D"/>
        </w:rPr>
        <w:t xml:space="preserve"> vērībā, jo nav nodrošināta pilnīga aprēķinātās summas</w:t>
      </w:r>
      <w:r w:rsidR="000A6CFF" w:rsidRPr="00B36A61">
        <w:rPr>
          <w:iCs/>
          <w:color w:val="17365D"/>
        </w:rPr>
        <w:t xml:space="preserve"> un sniegto pakalpojumu skaita</w:t>
      </w:r>
      <w:r w:rsidR="0015469A" w:rsidRPr="00B36A61">
        <w:rPr>
          <w:iCs/>
          <w:color w:val="17365D"/>
        </w:rPr>
        <w:t xml:space="preserve"> uzskaite</w:t>
      </w:r>
      <w:r w:rsidRPr="00B36A61">
        <w:rPr>
          <w:color w:val="17365D"/>
        </w:rPr>
        <w:t>;</w:t>
      </w:r>
    </w:p>
    <w:p w14:paraId="0993C187" w14:textId="622FF3DB" w:rsidR="0074579B" w:rsidRPr="00B36A61" w:rsidRDefault="00CD41B9" w:rsidP="0074579B">
      <w:pPr>
        <w:pStyle w:val="Bullets"/>
        <w:numPr>
          <w:ilvl w:val="0"/>
          <w:numId w:val="41"/>
        </w:numPr>
        <w:ind w:left="993" w:hanging="426"/>
        <w:rPr>
          <w:color w:val="17365D"/>
        </w:rPr>
      </w:pPr>
      <w:r w:rsidRPr="00B36A61">
        <w:rPr>
          <w:color w:val="17365D"/>
        </w:rPr>
        <w:t xml:space="preserve">par </w:t>
      </w:r>
      <w:r w:rsidR="0074579B" w:rsidRPr="00B36A61">
        <w:rPr>
          <w:color w:val="17365D"/>
        </w:rPr>
        <w:t>autoce</w:t>
      </w:r>
      <w:r w:rsidR="00B538AD" w:rsidRPr="00B36A61">
        <w:rPr>
          <w:color w:val="17365D"/>
        </w:rPr>
        <w:t>ļu lietošan</w:t>
      </w:r>
      <w:r w:rsidR="00DB52CE" w:rsidRPr="00B36A61">
        <w:rPr>
          <w:color w:val="17365D"/>
        </w:rPr>
        <w:t>u</w:t>
      </w:r>
      <w:r w:rsidR="00B538AD" w:rsidRPr="00B36A61">
        <w:rPr>
          <w:color w:val="17365D"/>
        </w:rPr>
        <w:t xml:space="preserve"> (kods 9.3.9.2.) – </w:t>
      </w:r>
      <w:r w:rsidR="0074579B" w:rsidRPr="00B36A61">
        <w:rPr>
          <w:color w:val="17365D"/>
        </w:rPr>
        <w:t>uzrādīta samaksai aprēķinātā valsts nodevas summa 30,</w:t>
      </w:r>
      <w:r w:rsidR="009D72AE" w:rsidRPr="00B36A61">
        <w:rPr>
          <w:color w:val="17365D"/>
        </w:rPr>
        <w:t>9</w:t>
      </w:r>
      <w:r w:rsidR="0074579B" w:rsidRPr="00B36A61">
        <w:rPr>
          <w:color w:val="17365D"/>
        </w:rPr>
        <w:t> milj. </w:t>
      </w:r>
      <w:r w:rsidR="0074579B" w:rsidRPr="00B36A61">
        <w:rPr>
          <w:i/>
          <w:iCs/>
          <w:color w:val="17365D"/>
        </w:rPr>
        <w:t>euro</w:t>
      </w:r>
      <w:r w:rsidR="0074579B" w:rsidRPr="00B36A61">
        <w:rPr>
          <w:color w:val="17365D"/>
        </w:rPr>
        <w:t>, faktiski saņemtā summa 30,</w:t>
      </w:r>
      <w:r w:rsidR="009D72AE" w:rsidRPr="00B36A61">
        <w:rPr>
          <w:color w:val="17365D"/>
        </w:rPr>
        <w:t>9</w:t>
      </w:r>
      <w:r w:rsidR="0074579B" w:rsidRPr="00B36A61">
        <w:rPr>
          <w:color w:val="17365D"/>
        </w:rPr>
        <w:t> milj. </w:t>
      </w:r>
      <w:r w:rsidR="0074579B" w:rsidRPr="00B36A61">
        <w:rPr>
          <w:i/>
          <w:iCs/>
          <w:color w:val="17365D"/>
        </w:rPr>
        <w:t>euro</w:t>
      </w:r>
      <w:r w:rsidR="000A6CFF" w:rsidRPr="00B36A61">
        <w:rPr>
          <w:i/>
          <w:iCs/>
          <w:color w:val="17365D"/>
        </w:rPr>
        <w:t xml:space="preserve"> </w:t>
      </w:r>
      <w:r w:rsidR="000A6CFF" w:rsidRPr="00B36A61">
        <w:rPr>
          <w:iCs/>
          <w:color w:val="17365D"/>
        </w:rPr>
        <w:t>par</w:t>
      </w:r>
      <w:r w:rsidR="000A6CFF" w:rsidRPr="00B36A61">
        <w:rPr>
          <w:i/>
          <w:iCs/>
          <w:color w:val="17365D"/>
        </w:rPr>
        <w:t xml:space="preserve"> </w:t>
      </w:r>
      <w:r w:rsidR="000A6CFF" w:rsidRPr="00B36A61">
        <w:rPr>
          <w:iCs/>
          <w:color w:val="17365D"/>
        </w:rPr>
        <w:t>1</w:t>
      </w:r>
      <w:r w:rsidR="00A450DE" w:rsidRPr="00B36A61">
        <w:rPr>
          <w:iCs/>
          <w:color w:val="17365D"/>
        </w:rPr>
        <w:t> </w:t>
      </w:r>
      <w:r w:rsidR="0090202A" w:rsidRPr="00B36A61">
        <w:rPr>
          <w:iCs/>
          <w:color w:val="17365D"/>
        </w:rPr>
        <w:t>722</w:t>
      </w:r>
      <w:r w:rsidR="00A450DE" w:rsidRPr="00B36A61">
        <w:rPr>
          <w:iCs/>
          <w:color w:val="17365D"/>
        </w:rPr>
        <w:t> </w:t>
      </w:r>
      <w:r w:rsidR="0090202A" w:rsidRPr="00B36A61">
        <w:rPr>
          <w:iCs/>
          <w:color w:val="17365D"/>
        </w:rPr>
        <w:t>271</w:t>
      </w:r>
      <w:r w:rsidR="000A6CFF" w:rsidRPr="00B36A61">
        <w:rPr>
          <w:i/>
          <w:iCs/>
          <w:color w:val="17365D"/>
        </w:rPr>
        <w:t xml:space="preserve"> </w:t>
      </w:r>
      <w:r w:rsidR="000A6CFF" w:rsidRPr="00B36A61">
        <w:rPr>
          <w:iCs/>
          <w:color w:val="17365D"/>
        </w:rPr>
        <w:t>sniegatjiem pakalpojumiem</w:t>
      </w:r>
      <w:r w:rsidR="0074579B" w:rsidRPr="00B36A61">
        <w:rPr>
          <w:color w:val="17365D"/>
        </w:rPr>
        <w:t>, atmaksātā valsts nodevas summa 0,0</w:t>
      </w:r>
      <w:r w:rsidR="009D72AE" w:rsidRPr="00B36A61">
        <w:rPr>
          <w:color w:val="17365D"/>
        </w:rPr>
        <w:t>6</w:t>
      </w:r>
      <w:r w:rsidR="0074579B" w:rsidRPr="00B36A61">
        <w:rPr>
          <w:color w:val="17365D"/>
        </w:rPr>
        <w:t> milj. </w:t>
      </w:r>
      <w:r w:rsidR="0074579B" w:rsidRPr="00B36A61">
        <w:rPr>
          <w:i/>
          <w:color w:val="17365D"/>
        </w:rPr>
        <w:t>euro</w:t>
      </w:r>
      <w:r w:rsidR="0074579B" w:rsidRPr="00B36A61">
        <w:rPr>
          <w:color w:val="17365D"/>
        </w:rPr>
        <w:t>;</w:t>
      </w:r>
    </w:p>
    <w:p w14:paraId="04741603" w14:textId="741C172F" w:rsidR="0074579B" w:rsidRPr="00B36A61" w:rsidRDefault="0074579B" w:rsidP="0074579B">
      <w:pPr>
        <w:pStyle w:val="Bullets"/>
        <w:numPr>
          <w:ilvl w:val="0"/>
          <w:numId w:val="41"/>
        </w:numPr>
        <w:ind w:left="993" w:hanging="426"/>
        <w:rPr>
          <w:color w:val="17365D"/>
        </w:rPr>
      </w:pPr>
      <w:r w:rsidRPr="00B36A61">
        <w:rPr>
          <w:color w:val="17365D"/>
        </w:rPr>
        <w:t xml:space="preserve">Enerģētikas likumā noteikto drošības rezervju uzturēšanu (kods 9.3.8.0.) – uzrādīta samaksai aprēķinātā valsts nodevas summa </w:t>
      </w:r>
      <w:r w:rsidR="00683B86" w:rsidRPr="00B36A61">
        <w:rPr>
          <w:color w:val="17365D"/>
        </w:rPr>
        <w:t>24</w:t>
      </w:r>
      <w:r w:rsidRPr="00B36A61">
        <w:rPr>
          <w:color w:val="17365D"/>
        </w:rPr>
        <w:t>,</w:t>
      </w:r>
      <w:r w:rsidR="00683B86" w:rsidRPr="00B36A61">
        <w:rPr>
          <w:color w:val="17365D"/>
        </w:rPr>
        <w:t>7</w:t>
      </w:r>
      <w:r w:rsidRPr="00B36A61">
        <w:rPr>
          <w:color w:val="17365D"/>
        </w:rPr>
        <w:t> milj. </w:t>
      </w:r>
      <w:r w:rsidRPr="00B36A61">
        <w:rPr>
          <w:i/>
          <w:color w:val="17365D"/>
        </w:rPr>
        <w:t>euro</w:t>
      </w:r>
      <w:r w:rsidRPr="00B36A61">
        <w:rPr>
          <w:color w:val="17365D"/>
        </w:rPr>
        <w:t xml:space="preserve">, faktiski saņemtā summa </w:t>
      </w:r>
      <w:r w:rsidR="00683B86" w:rsidRPr="00B36A61">
        <w:rPr>
          <w:color w:val="17365D"/>
        </w:rPr>
        <w:t>24</w:t>
      </w:r>
      <w:r w:rsidRPr="00B36A61">
        <w:rPr>
          <w:color w:val="17365D"/>
        </w:rPr>
        <w:t>,</w:t>
      </w:r>
      <w:r w:rsidR="00683B86" w:rsidRPr="00B36A61">
        <w:rPr>
          <w:color w:val="17365D"/>
        </w:rPr>
        <w:t>3</w:t>
      </w:r>
      <w:r w:rsidRPr="00B36A61">
        <w:rPr>
          <w:color w:val="17365D"/>
        </w:rPr>
        <w:t> milj. </w:t>
      </w:r>
      <w:r w:rsidRPr="00B36A61">
        <w:rPr>
          <w:i/>
          <w:color w:val="17365D"/>
        </w:rPr>
        <w:t>euro</w:t>
      </w:r>
      <w:r w:rsidR="00117FDB" w:rsidRPr="00B36A61">
        <w:rPr>
          <w:i/>
          <w:color w:val="17365D"/>
        </w:rPr>
        <w:t xml:space="preserve"> </w:t>
      </w:r>
      <w:r w:rsidR="000A6CFF" w:rsidRPr="00B36A61">
        <w:rPr>
          <w:i/>
          <w:color w:val="17365D"/>
        </w:rPr>
        <w:t xml:space="preserve">par </w:t>
      </w:r>
      <w:r w:rsidR="0090202A" w:rsidRPr="00B36A61">
        <w:rPr>
          <w:color w:val="17365D"/>
        </w:rPr>
        <w:t>786</w:t>
      </w:r>
      <w:r w:rsidR="000A6CFF" w:rsidRPr="00B36A61">
        <w:rPr>
          <w:i/>
          <w:color w:val="17365D"/>
        </w:rPr>
        <w:t xml:space="preserve"> </w:t>
      </w:r>
      <w:r w:rsidR="000A6CFF" w:rsidRPr="00B36A61">
        <w:rPr>
          <w:color w:val="17365D"/>
        </w:rPr>
        <w:t>sniegtajiem pakalpojumiem</w:t>
      </w:r>
      <w:r w:rsidRPr="00B36A61">
        <w:rPr>
          <w:color w:val="17365D"/>
        </w:rPr>
        <w:t>, vals</w:t>
      </w:r>
      <w:r w:rsidR="0028467A" w:rsidRPr="00B36A61">
        <w:rPr>
          <w:color w:val="17365D"/>
        </w:rPr>
        <w:t>ts nodevas atmaksas nav veiktas;</w:t>
      </w:r>
    </w:p>
    <w:p w14:paraId="031B244F" w14:textId="3AE5F7EC" w:rsidR="0028467A" w:rsidRPr="00B36A61" w:rsidRDefault="0028467A" w:rsidP="0028467A">
      <w:pPr>
        <w:pStyle w:val="Bullets"/>
        <w:numPr>
          <w:ilvl w:val="0"/>
          <w:numId w:val="41"/>
        </w:numPr>
        <w:ind w:left="993" w:hanging="426"/>
        <w:rPr>
          <w:color w:val="17365D"/>
        </w:rPr>
      </w:pPr>
      <w:r w:rsidRPr="00B36A61">
        <w:rPr>
          <w:color w:val="17365D"/>
        </w:rPr>
        <w:t>par personas apliecību un pases izsniegšanu uzrādīta samaksai aprēķinātā valsts nodevas summa 1</w:t>
      </w:r>
      <w:r w:rsidR="00466FAD" w:rsidRPr="00B36A61">
        <w:rPr>
          <w:color w:val="17365D"/>
        </w:rPr>
        <w:t>3</w:t>
      </w:r>
      <w:r w:rsidRPr="00B36A61">
        <w:rPr>
          <w:color w:val="17365D"/>
        </w:rPr>
        <w:t>,</w:t>
      </w:r>
      <w:r w:rsidR="00466FAD" w:rsidRPr="00B36A61">
        <w:rPr>
          <w:color w:val="17365D"/>
        </w:rPr>
        <w:t>8</w:t>
      </w:r>
      <w:r w:rsidRPr="00B36A61">
        <w:rPr>
          <w:color w:val="17365D"/>
        </w:rPr>
        <w:t> milj. </w:t>
      </w:r>
      <w:r w:rsidRPr="00B36A61">
        <w:rPr>
          <w:i/>
          <w:iCs/>
          <w:color w:val="17365D"/>
        </w:rPr>
        <w:t>euro</w:t>
      </w:r>
      <w:r w:rsidRPr="00B36A61">
        <w:rPr>
          <w:color w:val="17365D"/>
        </w:rPr>
        <w:t>, faktiski saņemtā summa 1</w:t>
      </w:r>
      <w:r w:rsidR="00466FAD" w:rsidRPr="00B36A61">
        <w:rPr>
          <w:color w:val="17365D"/>
        </w:rPr>
        <w:t>4</w:t>
      </w:r>
      <w:r w:rsidRPr="00B36A61">
        <w:rPr>
          <w:color w:val="17365D"/>
        </w:rPr>
        <w:t>,</w:t>
      </w:r>
      <w:r w:rsidR="00466FAD" w:rsidRPr="00B36A61">
        <w:rPr>
          <w:color w:val="17365D"/>
        </w:rPr>
        <w:t>1</w:t>
      </w:r>
      <w:r w:rsidRPr="00B36A61">
        <w:rPr>
          <w:color w:val="17365D"/>
        </w:rPr>
        <w:t> milj. </w:t>
      </w:r>
      <w:r w:rsidRPr="00B36A61">
        <w:rPr>
          <w:i/>
          <w:iCs/>
          <w:color w:val="17365D"/>
        </w:rPr>
        <w:t xml:space="preserve">euro </w:t>
      </w:r>
      <w:r w:rsidRPr="00B36A61">
        <w:rPr>
          <w:iCs/>
          <w:color w:val="17365D"/>
        </w:rPr>
        <w:t>par</w:t>
      </w:r>
      <w:r w:rsidRPr="00B36A61">
        <w:rPr>
          <w:i/>
          <w:iCs/>
          <w:color w:val="17365D"/>
        </w:rPr>
        <w:t xml:space="preserve"> </w:t>
      </w:r>
      <w:r w:rsidR="00466FAD" w:rsidRPr="00B36A61">
        <w:rPr>
          <w:iCs/>
          <w:color w:val="17365D"/>
        </w:rPr>
        <w:t>850</w:t>
      </w:r>
      <w:r w:rsidRPr="00B36A61">
        <w:rPr>
          <w:iCs/>
          <w:color w:val="17365D"/>
        </w:rPr>
        <w:t xml:space="preserve"> </w:t>
      </w:r>
      <w:r w:rsidR="00466FAD" w:rsidRPr="00B36A61">
        <w:rPr>
          <w:iCs/>
          <w:color w:val="17365D"/>
        </w:rPr>
        <w:t>654</w:t>
      </w:r>
      <w:r w:rsidRPr="00B36A61">
        <w:rPr>
          <w:i/>
          <w:iCs/>
          <w:color w:val="17365D"/>
        </w:rPr>
        <w:t xml:space="preserve"> </w:t>
      </w:r>
      <w:r w:rsidRPr="00B36A61">
        <w:rPr>
          <w:iCs/>
          <w:color w:val="17365D"/>
        </w:rPr>
        <w:t>sniegtajiem pakalpojumiem</w:t>
      </w:r>
      <w:r w:rsidRPr="00B36A61">
        <w:rPr>
          <w:color w:val="17365D"/>
        </w:rPr>
        <w:t>.</w:t>
      </w:r>
    </w:p>
    <w:p w14:paraId="56A2627D" w14:textId="5FA9BCC9" w:rsidR="00140997" w:rsidRPr="00B36A61" w:rsidRDefault="007300B0" w:rsidP="00B61975">
      <w:pPr>
        <w:pStyle w:val="Pamatteksts"/>
        <w:rPr>
          <w:rFonts w:eastAsia="Arial Unicode MS"/>
          <w:i/>
          <w:color w:val="17365D"/>
          <w:sz w:val="20"/>
        </w:rPr>
      </w:pPr>
      <w:r w:rsidRPr="00B36A61">
        <w:rPr>
          <w:b/>
          <w:color w:val="17365D"/>
        </w:rPr>
        <w:t>Ārvalstu finanšu palīdzība</w:t>
      </w:r>
      <w:r w:rsidR="00B81BEB" w:rsidRPr="00B36A61">
        <w:rPr>
          <w:b/>
          <w:color w:val="17365D"/>
        </w:rPr>
        <w:t>s</w:t>
      </w:r>
      <w:r w:rsidRPr="00B36A61">
        <w:rPr>
          <w:noProof w:val="0"/>
          <w:color w:val="17365D"/>
        </w:rPr>
        <w:t xml:space="preserve"> budžeta ieņēmumi ir 1 </w:t>
      </w:r>
      <w:r w:rsidR="00C766BC" w:rsidRPr="00B36A61">
        <w:rPr>
          <w:noProof w:val="0"/>
          <w:color w:val="17365D"/>
        </w:rPr>
        <w:t>435</w:t>
      </w:r>
      <w:r w:rsidRPr="00B36A61">
        <w:rPr>
          <w:noProof w:val="0"/>
          <w:color w:val="17365D"/>
        </w:rPr>
        <w:t>,</w:t>
      </w:r>
      <w:r w:rsidR="00C766BC" w:rsidRPr="00B36A61">
        <w:rPr>
          <w:noProof w:val="0"/>
          <w:color w:val="17365D"/>
        </w:rPr>
        <w:t>6</w:t>
      </w:r>
      <w:r w:rsidRPr="00B36A61">
        <w:rPr>
          <w:noProof w:val="0"/>
          <w:color w:val="17365D"/>
        </w:rPr>
        <w:t xml:space="preserve"> milj. </w:t>
      </w:r>
      <w:r w:rsidRPr="00B36A61">
        <w:rPr>
          <w:i/>
          <w:noProof w:val="0"/>
          <w:color w:val="17365D"/>
        </w:rPr>
        <w:t>euro</w:t>
      </w:r>
      <w:r w:rsidRPr="00B36A61">
        <w:rPr>
          <w:noProof w:val="0"/>
          <w:color w:val="17365D"/>
        </w:rPr>
        <w:t xml:space="preserve"> vērtībā, kas salīdzinājumā ar 20</w:t>
      </w:r>
      <w:r w:rsidR="009D297E" w:rsidRPr="00B36A61">
        <w:rPr>
          <w:noProof w:val="0"/>
          <w:color w:val="17365D"/>
        </w:rPr>
        <w:t>2</w:t>
      </w:r>
      <w:r w:rsidR="00C766BC" w:rsidRPr="00B36A61">
        <w:rPr>
          <w:noProof w:val="0"/>
          <w:color w:val="17365D"/>
        </w:rPr>
        <w:t>1</w:t>
      </w:r>
      <w:r w:rsidRPr="00B36A61">
        <w:rPr>
          <w:noProof w:val="0"/>
          <w:color w:val="17365D"/>
        </w:rPr>
        <w:t xml:space="preserve">. gadu ir par </w:t>
      </w:r>
      <w:r w:rsidR="00C766BC" w:rsidRPr="00B36A61">
        <w:rPr>
          <w:noProof w:val="0"/>
          <w:color w:val="17365D"/>
        </w:rPr>
        <w:t>89</w:t>
      </w:r>
      <w:r w:rsidRPr="00B36A61">
        <w:rPr>
          <w:noProof w:val="0"/>
          <w:color w:val="17365D"/>
        </w:rPr>
        <w:t>,</w:t>
      </w:r>
      <w:r w:rsidR="009D297E" w:rsidRPr="00B36A61">
        <w:rPr>
          <w:noProof w:val="0"/>
          <w:color w:val="17365D"/>
        </w:rPr>
        <w:t>7</w:t>
      </w:r>
      <w:r w:rsidRPr="00B36A61">
        <w:rPr>
          <w:noProof w:val="0"/>
          <w:color w:val="17365D"/>
        </w:rPr>
        <w:t xml:space="preserve"> milj.</w:t>
      </w:r>
      <w:r w:rsidR="00D166E6" w:rsidRPr="00B36A61">
        <w:rPr>
          <w:noProof w:val="0"/>
          <w:color w:val="17365D"/>
        </w:rPr>
        <w:t> </w:t>
      </w:r>
      <w:r w:rsidRPr="00B36A61">
        <w:rPr>
          <w:i/>
          <w:noProof w:val="0"/>
          <w:color w:val="17365D"/>
        </w:rPr>
        <w:t>euro</w:t>
      </w:r>
      <w:r w:rsidRPr="00B36A61">
        <w:rPr>
          <w:noProof w:val="0"/>
          <w:color w:val="17365D"/>
        </w:rPr>
        <w:t xml:space="preserve"> jeb </w:t>
      </w:r>
      <w:r w:rsidR="00C766BC" w:rsidRPr="00B36A61">
        <w:rPr>
          <w:noProof w:val="0"/>
          <w:color w:val="17365D"/>
        </w:rPr>
        <w:t>6</w:t>
      </w:r>
      <w:r w:rsidRPr="00B36A61">
        <w:rPr>
          <w:noProof w:val="0"/>
          <w:color w:val="17365D"/>
        </w:rPr>
        <w:t>,</w:t>
      </w:r>
      <w:r w:rsidR="00C766BC" w:rsidRPr="00B36A61">
        <w:rPr>
          <w:noProof w:val="0"/>
          <w:color w:val="17365D"/>
        </w:rPr>
        <w:t>7</w:t>
      </w:r>
      <w:r w:rsidR="00D166E6" w:rsidRPr="00B36A61">
        <w:rPr>
          <w:noProof w:val="0"/>
          <w:color w:val="17365D"/>
        </w:rPr>
        <w:t> </w:t>
      </w:r>
      <w:r w:rsidRPr="00B36A61">
        <w:rPr>
          <w:noProof w:val="0"/>
          <w:color w:val="17365D"/>
        </w:rPr>
        <w:t xml:space="preserve">% </w:t>
      </w:r>
      <w:r w:rsidR="009D297E" w:rsidRPr="00B36A61">
        <w:rPr>
          <w:noProof w:val="0"/>
          <w:color w:val="17365D"/>
        </w:rPr>
        <w:t>vair</w:t>
      </w:r>
      <w:r w:rsidR="00AB3911" w:rsidRPr="00B36A61">
        <w:rPr>
          <w:noProof w:val="0"/>
          <w:color w:val="17365D"/>
        </w:rPr>
        <w:t>ā</w:t>
      </w:r>
      <w:r w:rsidRPr="00B36A61">
        <w:rPr>
          <w:noProof w:val="0"/>
          <w:color w:val="17365D"/>
        </w:rPr>
        <w:t>k. 202</w:t>
      </w:r>
      <w:r w:rsidR="002A0B3F" w:rsidRPr="00B36A61">
        <w:rPr>
          <w:noProof w:val="0"/>
          <w:color w:val="17365D"/>
        </w:rPr>
        <w:t>2</w:t>
      </w:r>
      <w:r w:rsidRPr="00B36A61">
        <w:rPr>
          <w:noProof w:val="0"/>
          <w:color w:val="17365D"/>
        </w:rPr>
        <w:t xml:space="preserve">. gadā valsts pamatbudžeta </w:t>
      </w:r>
      <w:r w:rsidR="00B81BEB" w:rsidRPr="00B36A61">
        <w:rPr>
          <w:noProof w:val="0"/>
          <w:color w:val="17365D"/>
        </w:rPr>
        <w:t>ārvalstu finanšu palīdzības budžeta</w:t>
      </w:r>
      <w:r w:rsidRPr="00B36A61">
        <w:rPr>
          <w:noProof w:val="0"/>
          <w:color w:val="17365D"/>
        </w:rPr>
        <w:t xml:space="preserve"> ieņēmum</w:t>
      </w:r>
      <w:r w:rsidR="00B81BEB" w:rsidRPr="00B36A61">
        <w:rPr>
          <w:noProof w:val="0"/>
          <w:color w:val="17365D"/>
        </w:rPr>
        <w:t>i</w:t>
      </w:r>
      <w:r w:rsidRPr="00B36A61">
        <w:rPr>
          <w:noProof w:val="0"/>
          <w:color w:val="17365D"/>
        </w:rPr>
        <w:t xml:space="preserve"> salīdzinājumā ar Likumā plānoto ir </w:t>
      </w:r>
      <w:r w:rsidR="002A0B3F" w:rsidRPr="00B36A61">
        <w:rPr>
          <w:noProof w:val="0"/>
          <w:color w:val="17365D"/>
        </w:rPr>
        <w:t>saņemti</w:t>
      </w:r>
      <w:r w:rsidRPr="00B36A61">
        <w:rPr>
          <w:noProof w:val="0"/>
          <w:color w:val="17365D"/>
        </w:rPr>
        <w:t xml:space="preserve"> </w:t>
      </w:r>
      <w:r w:rsidR="00C766BC" w:rsidRPr="00B36A61">
        <w:rPr>
          <w:noProof w:val="0"/>
          <w:color w:val="17365D"/>
        </w:rPr>
        <w:t>94</w:t>
      </w:r>
      <w:r w:rsidRPr="00B36A61">
        <w:rPr>
          <w:noProof w:val="0"/>
          <w:color w:val="17365D"/>
        </w:rPr>
        <w:t>,</w:t>
      </w:r>
      <w:r w:rsidR="00C766BC" w:rsidRPr="00B36A61">
        <w:rPr>
          <w:noProof w:val="0"/>
          <w:color w:val="17365D"/>
        </w:rPr>
        <w:t>5</w:t>
      </w:r>
      <w:r w:rsidR="00D166E6" w:rsidRPr="00B36A61">
        <w:rPr>
          <w:noProof w:val="0"/>
          <w:color w:val="17365D"/>
        </w:rPr>
        <w:t> </w:t>
      </w:r>
      <w:r w:rsidRPr="00B36A61">
        <w:rPr>
          <w:noProof w:val="0"/>
          <w:color w:val="17365D"/>
        </w:rPr>
        <w:t>% apmērā.</w:t>
      </w:r>
      <w:r w:rsidR="00030B4E" w:rsidRPr="00B36A61">
        <w:rPr>
          <w:noProof w:val="0"/>
          <w:color w:val="17365D"/>
        </w:rPr>
        <w:t xml:space="preserve"> 202</w:t>
      </w:r>
      <w:r w:rsidR="00C766BC" w:rsidRPr="00B36A61">
        <w:rPr>
          <w:noProof w:val="0"/>
          <w:color w:val="17365D"/>
        </w:rPr>
        <w:t>2</w:t>
      </w:r>
      <w:r w:rsidR="00030B4E" w:rsidRPr="00B36A61">
        <w:rPr>
          <w:noProof w:val="0"/>
          <w:color w:val="17365D"/>
        </w:rPr>
        <w:t>. gadā ārvalstu fi</w:t>
      </w:r>
      <w:r w:rsidR="009D2D81" w:rsidRPr="00B36A61">
        <w:rPr>
          <w:noProof w:val="0"/>
          <w:color w:val="17365D"/>
        </w:rPr>
        <w:t>nanšu palīdzīb</w:t>
      </w:r>
      <w:r w:rsidR="00B81BEB" w:rsidRPr="00B36A61">
        <w:rPr>
          <w:noProof w:val="0"/>
          <w:color w:val="17365D"/>
        </w:rPr>
        <w:t>as</w:t>
      </w:r>
      <w:r w:rsidR="009D2D81" w:rsidRPr="00B36A61">
        <w:rPr>
          <w:noProof w:val="0"/>
          <w:color w:val="17365D"/>
        </w:rPr>
        <w:t xml:space="preserve"> budžeta</w:t>
      </w:r>
      <w:r w:rsidR="00B538AD" w:rsidRPr="00B36A61">
        <w:rPr>
          <w:noProof w:val="0"/>
          <w:color w:val="17365D"/>
        </w:rPr>
        <w:t xml:space="preserve"> ieņē</w:t>
      </w:r>
      <w:r w:rsidR="00B81BEB" w:rsidRPr="00B36A61">
        <w:rPr>
          <w:noProof w:val="0"/>
          <w:color w:val="17365D"/>
        </w:rPr>
        <w:t>mumos</w:t>
      </w:r>
      <w:r w:rsidR="00030B4E" w:rsidRPr="00B36A61">
        <w:rPr>
          <w:noProof w:val="0"/>
          <w:color w:val="17365D"/>
        </w:rPr>
        <w:t xml:space="preserve"> </w:t>
      </w:r>
      <w:r w:rsidR="00147FC5" w:rsidRPr="00B36A61">
        <w:rPr>
          <w:noProof w:val="0"/>
          <w:color w:val="17365D"/>
        </w:rPr>
        <w:t>uzrādīti</w:t>
      </w:r>
      <w:r w:rsidR="00030B4E" w:rsidRPr="00B36A61">
        <w:rPr>
          <w:noProof w:val="0"/>
          <w:color w:val="17365D"/>
        </w:rPr>
        <w:t xml:space="preserve"> ieņēmumi no 2014. – 2020. gada plānošanas perioda un 2007. – 2013.</w:t>
      </w:r>
      <w:r w:rsidR="00555FAF" w:rsidRPr="00B36A61">
        <w:rPr>
          <w:noProof w:val="0"/>
          <w:color w:val="17365D"/>
        </w:rPr>
        <w:t> </w:t>
      </w:r>
      <w:r w:rsidR="00030B4E" w:rsidRPr="00B36A61">
        <w:rPr>
          <w:noProof w:val="0"/>
          <w:color w:val="17365D"/>
        </w:rPr>
        <w:t xml:space="preserve">gada plānošanas perioda Eiropas Savienības fondiem. Detalizēta informācija skatāma </w:t>
      </w:r>
      <w:r w:rsidR="00B61975" w:rsidRPr="00B36A61">
        <w:rPr>
          <w:noProof w:val="0"/>
          <w:color w:val="17365D"/>
        </w:rPr>
        <w:t>1</w:t>
      </w:r>
      <w:r w:rsidR="008D42FD" w:rsidRPr="00B36A61">
        <w:rPr>
          <w:noProof w:val="0"/>
          <w:color w:val="17365D"/>
        </w:rPr>
        <w:t>. </w:t>
      </w:r>
      <w:r w:rsidR="00030B4E" w:rsidRPr="00B36A61">
        <w:rPr>
          <w:noProof w:val="0"/>
          <w:color w:val="17365D"/>
        </w:rPr>
        <w:t>tabulā</w:t>
      </w:r>
      <w:r w:rsidR="00D166E6" w:rsidRPr="00B36A61">
        <w:rPr>
          <w:noProof w:val="0"/>
          <w:color w:val="17365D"/>
        </w:rPr>
        <w:t>.</w:t>
      </w:r>
    </w:p>
    <w:p w14:paraId="195BD00A" w14:textId="10199B82" w:rsidR="00030B4E" w:rsidRPr="00B36A61" w:rsidRDefault="00B61975" w:rsidP="00AB3911">
      <w:pPr>
        <w:spacing w:before="160" w:after="0"/>
        <w:ind w:firstLine="0"/>
        <w:jc w:val="right"/>
        <w:rPr>
          <w:rFonts w:eastAsia="Arial Unicode MS"/>
          <w:i/>
          <w:color w:val="17365D"/>
          <w:sz w:val="20"/>
        </w:rPr>
      </w:pPr>
      <w:r w:rsidRPr="00B36A61">
        <w:rPr>
          <w:rFonts w:eastAsia="Arial Unicode MS"/>
          <w:i/>
          <w:color w:val="17365D"/>
          <w:sz w:val="20"/>
        </w:rPr>
        <w:t>1</w:t>
      </w:r>
      <w:r w:rsidR="00030B4E" w:rsidRPr="00B36A61">
        <w:rPr>
          <w:rFonts w:eastAsia="Arial Unicode MS"/>
          <w:i/>
          <w:color w:val="17365D"/>
          <w:sz w:val="20"/>
        </w:rPr>
        <w:t>. tabula. Ārvalstu finanšu palīdzība budžetam</w:t>
      </w:r>
      <w:r w:rsidR="004B3A57" w:rsidRPr="00B36A61">
        <w:rPr>
          <w:rFonts w:eastAsia="Arial Unicode MS"/>
          <w:i/>
          <w:color w:val="17365D"/>
          <w:sz w:val="20"/>
        </w:rPr>
        <w:t xml:space="preserve"> </w:t>
      </w:r>
      <w:r w:rsidR="00030B4E" w:rsidRPr="00B36A61">
        <w:rPr>
          <w:bCs/>
          <w:i/>
          <w:color w:val="17365D"/>
          <w:sz w:val="20"/>
          <w:szCs w:val="20"/>
        </w:rPr>
        <w:t>ieņēmumu izmaiņas (</w:t>
      </w:r>
      <w:r w:rsidR="00030B4E" w:rsidRPr="00B36A61">
        <w:rPr>
          <w:i/>
          <w:color w:val="17365D"/>
          <w:sz w:val="20"/>
        </w:rPr>
        <w:t>euro)</w:t>
      </w:r>
    </w:p>
    <w:tbl>
      <w:tblPr>
        <w:tblStyle w:val="TableGrid"/>
        <w:tblW w:w="9378" w:type="dxa"/>
        <w:tblInd w:w="-5" w:type="dxa"/>
        <w:tblLayout w:type="fixed"/>
        <w:tblLook w:val="04A0" w:firstRow="1" w:lastRow="0" w:firstColumn="1" w:lastColumn="0" w:noHBand="0" w:noVBand="1"/>
      </w:tblPr>
      <w:tblGrid>
        <w:gridCol w:w="901"/>
        <w:gridCol w:w="2573"/>
        <w:gridCol w:w="1486"/>
        <w:gridCol w:w="1486"/>
        <w:gridCol w:w="1623"/>
        <w:gridCol w:w="1309"/>
      </w:tblGrid>
      <w:tr w:rsidR="00B36A61" w:rsidRPr="00B36A61" w14:paraId="5F572421" w14:textId="77777777" w:rsidTr="00003148">
        <w:trPr>
          <w:cantSplit/>
          <w:trHeight w:val="284"/>
          <w:tblHeader/>
        </w:trPr>
        <w:tc>
          <w:tcPr>
            <w:tcW w:w="901" w:type="dxa"/>
            <w:vMerge w:val="restart"/>
            <w:tcBorders>
              <w:top w:val="nil"/>
              <w:left w:val="nil"/>
              <w:bottom w:val="single" w:sz="4" w:space="0" w:color="17365D"/>
              <w:right w:val="nil"/>
            </w:tcBorders>
            <w:shd w:val="clear" w:color="auto" w:fill="B9CDE5"/>
            <w:vAlign w:val="center"/>
          </w:tcPr>
          <w:p w14:paraId="77D07B52" w14:textId="77777777" w:rsidR="00030B4E" w:rsidRPr="00B36A61" w:rsidRDefault="00030B4E" w:rsidP="00D166E6">
            <w:pPr>
              <w:pStyle w:val="Pamatteksts"/>
              <w:spacing w:before="60" w:afterLines="30" w:after="72"/>
              <w:ind w:firstLine="0"/>
              <w:jc w:val="center"/>
              <w:rPr>
                <w:b/>
                <w:color w:val="17365D"/>
                <w:sz w:val="20"/>
                <w:szCs w:val="20"/>
              </w:rPr>
            </w:pPr>
            <w:r w:rsidRPr="00B36A61">
              <w:rPr>
                <w:b/>
                <w:color w:val="17365D"/>
                <w:sz w:val="20"/>
                <w:szCs w:val="20"/>
              </w:rPr>
              <w:t>Klasifi-kācijas kods</w:t>
            </w:r>
          </w:p>
        </w:tc>
        <w:tc>
          <w:tcPr>
            <w:tcW w:w="2573" w:type="dxa"/>
            <w:vMerge w:val="restart"/>
            <w:tcBorders>
              <w:top w:val="nil"/>
              <w:left w:val="nil"/>
              <w:bottom w:val="single" w:sz="4" w:space="0" w:color="17365D"/>
              <w:right w:val="nil"/>
            </w:tcBorders>
            <w:shd w:val="clear" w:color="auto" w:fill="B9CDE5"/>
            <w:vAlign w:val="center"/>
          </w:tcPr>
          <w:p w14:paraId="1417FB51" w14:textId="77777777" w:rsidR="00030B4E" w:rsidRPr="00B36A61" w:rsidRDefault="00030B4E" w:rsidP="00D166E6">
            <w:pPr>
              <w:pStyle w:val="Pamatteksts"/>
              <w:spacing w:before="60" w:afterLines="30" w:after="72"/>
              <w:ind w:firstLine="0"/>
              <w:jc w:val="center"/>
              <w:rPr>
                <w:b/>
                <w:color w:val="17365D"/>
                <w:sz w:val="20"/>
                <w:szCs w:val="20"/>
              </w:rPr>
            </w:pPr>
            <w:r w:rsidRPr="00B36A61">
              <w:rPr>
                <w:b/>
                <w:color w:val="17365D"/>
                <w:sz w:val="20"/>
                <w:szCs w:val="20"/>
              </w:rPr>
              <w:t>Posteņa nosaukums</w:t>
            </w:r>
          </w:p>
        </w:tc>
        <w:tc>
          <w:tcPr>
            <w:tcW w:w="2972" w:type="dxa"/>
            <w:gridSpan w:val="2"/>
            <w:tcBorders>
              <w:top w:val="nil"/>
              <w:left w:val="nil"/>
              <w:bottom w:val="single" w:sz="4" w:space="0" w:color="17365D"/>
              <w:right w:val="nil"/>
            </w:tcBorders>
            <w:shd w:val="clear" w:color="auto" w:fill="B9CDE5"/>
            <w:vAlign w:val="center"/>
          </w:tcPr>
          <w:p w14:paraId="77111615" w14:textId="77777777" w:rsidR="00030B4E" w:rsidRPr="00B36A61" w:rsidRDefault="00030B4E" w:rsidP="00D166E6">
            <w:pPr>
              <w:pStyle w:val="Pamatteksts"/>
              <w:spacing w:before="60" w:afterLines="30" w:after="72"/>
              <w:ind w:firstLine="0"/>
              <w:jc w:val="center"/>
              <w:rPr>
                <w:b/>
                <w:color w:val="17365D"/>
                <w:sz w:val="20"/>
                <w:szCs w:val="20"/>
              </w:rPr>
            </w:pPr>
            <w:r w:rsidRPr="00B36A61">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658924A7" w14:textId="77777777" w:rsidR="00030B4E" w:rsidRPr="00B36A61" w:rsidRDefault="00030B4E" w:rsidP="00D166E6">
            <w:pPr>
              <w:pStyle w:val="Pamatteksts"/>
              <w:spacing w:before="60" w:after="60"/>
              <w:ind w:left="-104" w:right="-112" w:firstLine="0"/>
              <w:jc w:val="center"/>
              <w:rPr>
                <w:b/>
                <w:color w:val="17365D"/>
                <w:sz w:val="20"/>
                <w:szCs w:val="20"/>
              </w:rPr>
            </w:pPr>
            <w:r w:rsidRPr="00B36A61">
              <w:rPr>
                <w:b/>
                <w:color w:val="17365D"/>
                <w:sz w:val="20"/>
                <w:szCs w:val="20"/>
              </w:rPr>
              <w:t>Palielinājums (+), samazinājums (–)</w:t>
            </w:r>
          </w:p>
          <w:p w14:paraId="595012C7" w14:textId="77777777" w:rsidR="00030B4E" w:rsidRPr="00B36A61" w:rsidRDefault="00030B4E" w:rsidP="00D166E6">
            <w:pPr>
              <w:pStyle w:val="Pamatteksts"/>
              <w:spacing w:before="60" w:after="60"/>
              <w:ind w:left="-104" w:right="-112" w:firstLine="0"/>
              <w:jc w:val="center"/>
              <w:rPr>
                <w:b/>
                <w:color w:val="17365D"/>
                <w:sz w:val="20"/>
                <w:szCs w:val="20"/>
              </w:rPr>
            </w:pPr>
            <w:r w:rsidRPr="00B36A61">
              <w:rPr>
                <w:b/>
                <w:color w:val="17365D"/>
                <w:sz w:val="20"/>
                <w:szCs w:val="20"/>
              </w:rPr>
              <w:t>(1.– 2.)</w:t>
            </w:r>
          </w:p>
        </w:tc>
        <w:tc>
          <w:tcPr>
            <w:tcW w:w="1309" w:type="dxa"/>
            <w:vMerge w:val="restart"/>
            <w:tcBorders>
              <w:top w:val="nil"/>
              <w:left w:val="nil"/>
              <w:bottom w:val="single" w:sz="4" w:space="0" w:color="17365D"/>
              <w:right w:val="nil"/>
            </w:tcBorders>
            <w:shd w:val="clear" w:color="auto" w:fill="B9CDE5"/>
            <w:vAlign w:val="center"/>
          </w:tcPr>
          <w:p w14:paraId="6FED3CA6" w14:textId="77777777" w:rsidR="00030B4E" w:rsidRPr="00B36A61" w:rsidRDefault="00030B4E" w:rsidP="00D166E6">
            <w:pPr>
              <w:pStyle w:val="Pamatteksts"/>
              <w:spacing w:before="60" w:afterLines="30" w:after="72"/>
              <w:ind w:firstLine="0"/>
              <w:jc w:val="center"/>
              <w:rPr>
                <w:b/>
                <w:color w:val="17365D"/>
                <w:sz w:val="20"/>
                <w:szCs w:val="20"/>
              </w:rPr>
            </w:pPr>
            <w:r w:rsidRPr="00B36A61">
              <w:rPr>
                <w:b/>
                <w:color w:val="17365D"/>
                <w:sz w:val="20"/>
                <w:szCs w:val="20"/>
              </w:rPr>
              <w:t>Procentuālās izmaiņas</w:t>
            </w:r>
          </w:p>
          <w:p w14:paraId="7B3C9CC5" w14:textId="0BDA07CC" w:rsidR="00030B4E" w:rsidRPr="00B36A61" w:rsidRDefault="00030B4E" w:rsidP="00F000A6">
            <w:pPr>
              <w:pStyle w:val="Pamatteksts"/>
              <w:spacing w:before="60" w:afterLines="30" w:after="72"/>
              <w:ind w:firstLine="0"/>
              <w:jc w:val="center"/>
              <w:rPr>
                <w:b/>
                <w:color w:val="17365D"/>
                <w:sz w:val="20"/>
                <w:szCs w:val="20"/>
              </w:rPr>
            </w:pPr>
            <w:r w:rsidRPr="00B36A61">
              <w:rPr>
                <w:b/>
                <w:color w:val="17365D"/>
                <w:sz w:val="20"/>
                <w:szCs w:val="20"/>
              </w:rPr>
              <w:t>(</w:t>
            </w:r>
            <w:r w:rsidR="0028612D" w:rsidRPr="00B36A61">
              <w:rPr>
                <w:b/>
                <w:color w:val="17365D"/>
                <w:sz w:val="20"/>
                <w:szCs w:val="20"/>
              </w:rPr>
              <w:t>3</w:t>
            </w:r>
            <w:r w:rsidRPr="00B36A61">
              <w:rPr>
                <w:b/>
                <w:color w:val="17365D"/>
                <w:sz w:val="20"/>
                <w:szCs w:val="20"/>
              </w:rPr>
              <w:t>./2. x 100)</w:t>
            </w:r>
          </w:p>
        </w:tc>
      </w:tr>
      <w:tr w:rsidR="00B36A61" w:rsidRPr="00B36A61" w14:paraId="21E5BD97" w14:textId="77777777" w:rsidTr="005123EA">
        <w:trPr>
          <w:cantSplit/>
          <w:trHeight w:val="284"/>
        </w:trPr>
        <w:tc>
          <w:tcPr>
            <w:tcW w:w="901" w:type="dxa"/>
            <w:vMerge/>
            <w:tcBorders>
              <w:top w:val="single" w:sz="4" w:space="0" w:color="17365D"/>
              <w:left w:val="nil"/>
              <w:bottom w:val="nil"/>
              <w:right w:val="nil"/>
            </w:tcBorders>
            <w:shd w:val="clear" w:color="auto" w:fill="auto"/>
            <w:vAlign w:val="center"/>
          </w:tcPr>
          <w:p w14:paraId="2D11FBDA" w14:textId="77777777" w:rsidR="00030B4E" w:rsidRPr="00B36A61" w:rsidRDefault="00030B4E" w:rsidP="00D166E6">
            <w:pPr>
              <w:pStyle w:val="Pamatteksts"/>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25F7A952" w14:textId="77777777" w:rsidR="00030B4E" w:rsidRPr="00B36A61" w:rsidRDefault="00030B4E" w:rsidP="00D166E6">
            <w:pPr>
              <w:pStyle w:val="Pamatteksts"/>
              <w:spacing w:before="60" w:afterLines="30" w:after="72"/>
              <w:ind w:firstLine="0"/>
              <w:jc w:val="center"/>
              <w:rPr>
                <w:color w:val="17365D"/>
                <w:sz w:val="20"/>
                <w:szCs w:val="20"/>
              </w:rPr>
            </w:pPr>
          </w:p>
        </w:tc>
        <w:tc>
          <w:tcPr>
            <w:tcW w:w="1486" w:type="dxa"/>
            <w:tcBorders>
              <w:top w:val="single" w:sz="4" w:space="0" w:color="17365D"/>
              <w:left w:val="nil"/>
              <w:bottom w:val="nil"/>
              <w:right w:val="nil"/>
            </w:tcBorders>
            <w:shd w:val="clear" w:color="auto" w:fill="B9CDE5"/>
            <w:vAlign w:val="center"/>
          </w:tcPr>
          <w:p w14:paraId="29278170" w14:textId="77777777" w:rsidR="00030B4E" w:rsidRPr="00B36A61" w:rsidRDefault="00030B4E" w:rsidP="00D166E6">
            <w:pPr>
              <w:spacing w:before="60" w:afterLines="30" w:after="72"/>
              <w:ind w:firstLine="0"/>
              <w:jc w:val="center"/>
              <w:rPr>
                <w:b/>
                <w:noProof/>
                <w:color w:val="17365D"/>
                <w:sz w:val="20"/>
                <w:szCs w:val="20"/>
              </w:rPr>
            </w:pPr>
            <w:r w:rsidRPr="00B36A61">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6B9D6693" w14:textId="77777777" w:rsidR="00030B4E" w:rsidRPr="00B36A61" w:rsidRDefault="00030B4E" w:rsidP="00D166E6">
            <w:pPr>
              <w:spacing w:before="60" w:afterLines="30" w:after="72"/>
              <w:ind w:firstLine="0"/>
              <w:jc w:val="center"/>
              <w:rPr>
                <w:b/>
                <w:noProof/>
                <w:color w:val="17365D"/>
                <w:sz w:val="20"/>
                <w:szCs w:val="20"/>
              </w:rPr>
            </w:pPr>
            <w:r w:rsidRPr="00B36A61">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1074FAC9" w14:textId="77777777" w:rsidR="00030B4E" w:rsidRPr="00B36A61" w:rsidRDefault="00030B4E" w:rsidP="00D166E6">
            <w:pPr>
              <w:pStyle w:val="Pamatteksts"/>
              <w:spacing w:before="60" w:after="60"/>
              <w:ind w:left="-104" w:right="-112" w:firstLine="0"/>
              <w:jc w:val="center"/>
              <w:rPr>
                <w:b/>
                <w:color w:val="17365D"/>
                <w:sz w:val="20"/>
                <w:szCs w:val="20"/>
              </w:rPr>
            </w:pPr>
          </w:p>
        </w:tc>
        <w:tc>
          <w:tcPr>
            <w:tcW w:w="1309" w:type="dxa"/>
            <w:vMerge/>
            <w:tcBorders>
              <w:top w:val="single" w:sz="4" w:space="0" w:color="17365D"/>
              <w:left w:val="nil"/>
              <w:bottom w:val="nil"/>
              <w:right w:val="nil"/>
            </w:tcBorders>
            <w:shd w:val="clear" w:color="auto" w:fill="auto"/>
            <w:vAlign w:val="center"/>
          </w:tcPr>
          <w:p w14:paraId="72C59B5A" w14:textId="77777777" w:rsidR="00030B4E" w:rsidRPr="00B36A61" w:rsidRDefault="00030B4E" w:rsidP="00D166E6">
            <w:pPr>
              <w:spacing w:before="60" w:afterLines="30" w:after="72"/>
              <w:ind w:firstLine="0"/>
              <w:jc w:val="center"/>
              <w:rPr>
                <w:color w:val="17365D"/>
                <w:sz w:val="20"/>
                <w:szCs w:val="20"/>
              </w:rPr>
            </w:pPr>
          </w:p>
        </w:tc>
      </w:tr>
      <w:tr w:rsidR="00B36A61" w:rsidRPr="00B36A61" w14:paraId="57502D3D" w14:textId="77777777" w:rsidTr="00D766AE">
        <w:trPr>
          <w:cantSplit/>
        </w:trPr>
        <w:tc>
          <w:tcPr>
            <w:tcW w:w="901" w:type="dxa"/>
            <w:tcBorders>
              <w:top w:val="nil"/>
              <w:left w:val="nil"/>
              <w:bottom w:val="single" w:sz="4" w:space="0" w:color="17365D"/>
              <w:right w:val="nil"/>
            </w:tcBorders>
            <w:shd w:val="clear" w:color="auto" w:fill="auto"/>
            <w:vAlign w:val="center"/>
          </w:tcPr>
          <w:p w14:paraId="05A700EF" w14:textId="77777777" w:rsidR="00030B4E" w:rsidRPr="00B36A61" w:rsidRDefault="00030B4E" w:rsidP="00D166E6">
            <w:pPr>
              <w:pStyle w:val="Pamatteksts"/>
              <w:spacing w:before="40" w:after="40"/>
              <w:ind w:firstLine="0"/>
              <w:jc w:val="center"/>
              <w:rPr>
                <w:b/>
                <w:color w:val="17365D"/>
                <w:sz w:val="20"/>
                <w:szCs w:val="20"/>
              </w:rPr>
            </w:pPr>
            <w:r w:rsidRPr="00B36A61">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72DB7157" w14:textId="77777777" w:rsidR="00030B4E" w:rsidRPr="00B36A61" w:rsidRDefault="00030B4E" w:rsidP="00D166E6">
            <w:pPr>
              <w:pStyle w:val="Pamatteksts"/>
              <w:spacing w:before="40" w:after="40"/>
              <w:ind w:firstLine="0"/>
              <w:jc w:val="center"/>
              <w:rPr>
                <w:b/>
                <w:color w:val="17365D"/>
                <w:sz w:val="20"/>
                <w:szCs w:val="20"/>
              </w:rPr>
            </w:pPr>
            <w:r w:rsidRPr="00B36A61">
              <w:rPr>
                <w:b/>
                <w:color w:val="17365D"/>
                <w:sz w:val="20"/>
                <w:szCs w:val="20"/>
              </w:rPr>
              <w:t>B</w:t>
            </w:r>
          </w:p>
        </w:tc>
        <w:tc>
          <w:tcPr>
            <w:tcW w:w="1486" w:type="dxa"/>
            <w:tcBorders>
              <w:top w:val="nil"/>
              <w:left w:val="nil"/>
              <w:bottom w:val="single" w:sz="4" w:space="0" w:color="17365D"/>
              <w:right w:val="nil"/>
            </w:tcBorders>
            <w:shd w:val="clear" w:color="auto" w:fill="auto"/>
            <w:vAlign w:val="center"/>
          </w:tcPr>
          <w:p w14:paraId="6798105D" w14:textId="77777777" w:rsidR="00030B4E" w:rsidRPr="00B36A61" w:rsidRDefault="00030B4E" w:rsidP="00D166E6">
            <w:pPr>
              <w:pStyle w:val="Pamatteksts"/>
              <w:spacing w:before="40" w:after="40"/>
              <w:ind w:firstLine="0"/>
              <w:jc w:val="center"/>
              <w:rPr>
                <w:b/>
                <w:color w:val="17365D"/>
                <w:sz w:val="20"/>
                <w:szCs w:val="20"/>
              </w:rPr>
            </w:pPr>
            <w:r w:rsidRPr="00B36A61">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4FB8A011" w14:textId="77777777" w:rsidR="00030B4E" w:rsidRPr="00B36A61" w:rsidRDefault="00030B4E" w:rsidP="00D166E6">
            <w:pPr>
              <w:pStyle w:val="Pamatteksts"/>
              <w:spacing w:before="40" w:after="40"/>
              <w:ind w:firstLine="0"/>
              <w:jc w:val="center"/>
              <w:rPr>
                <w:b/>
                <w:color w:val="17365D"/>
                <w:sz w:val="20"/>
                <w:szCs w:val="20"/>
              </w:rPr>
            </w:pPr>
            <w:r w:rsidRPr="00B36A61">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78E195AC" w14:textId="77777777" w:rsidR="00030B4E" w:rsidRPr="00B36A61" w:rsidRDefault="00030B4E" w:rsidP="00D166E6">
            <w:pPr>
              <w:pStyle w:val="Pamatteksts"/>
              <w:spacing w:before="60" w:after="60"/>
              <w:ind w:left="-104" w:right="-112" w:firstLine="0"/>
              <w:jc w:val="center"/>
              <w:rPr>
                <w:b/>
                <w:color w:val="17365D"/>
                <w:sz w:val="20"/>
                <w:szCs w:val="20"/>
              </w:rPr>
            </w:pPr>
            <w:r w:rsidRPr="00B36A61">
              <w:rPr>
                <w:b/>
                <w:color w:val="17365D"/>
                <w:sz w:val="20"/>
                <w:szCs w:val="20"/>
              </w:rPr>
              <w:t>3</w:t>
            </w:r>
          </w:p>
        </w:tc>
        <w:tc>
          <w:tcPr>
            <w:tcW w:w="1309" w:type="dxa"/>
            <w:tcBorders>
              <w:top w:val="nil"/>
              <w:left w:val="nil"/>
              <w:bottom w:val="single" w:sz="4" w:space="0" w:color="17365D"/>
              <w:right w:val="nil"/>
            </w:tcBorders>
            <w:shd w:val="clear" w:color="auto" w:fill="auto"/>
            <w:vAlign w:val="center"/>
          </w:tcPr>
          <w:p w14:paraId="0137DE1A" w14:textId="77777777" w:rsidR="00030B4E" w:rsidRPr="00B36A61" w:rsidRDefault="00030B4E" w:rsidP="00D166E6">
            <w:pPr>
              <w:pStyle w:val="Pamatteksts"/>
              <w:spacing w:before="40" w:after="40"/>
              <w:ind w:firstLine="0"/>
              <w:jc w:val="center"/>
              <w:rPr>
                <w:b/>
                <w:color w:val="17365D"/>
                <w:sz w:val="20"/>
                <w:szCs w:val="20"/>
              </w:rPr>
            </w:pPr>
            <w:r w:rsidRPr="00B36A61">
              <w:rPr>
                <w:b/>
                <w:color w:val="17365D"/>
                <w:sz w:val="20"/>
                <w:szCs w:val="20"/>
              </w:rPr>
              <w:t>4</w:t>
            </w:r>
          </w:p>
        </w:tc>
      </w:tr>
      <w:tr w:rsidR="00B36A61" w:rsidRPr="00B36A61" w14:paraId="1B9D9D79" w14:textId="77777777" w:rsidTr="00003148">
        <w:trPr>
          <w:cantSplit/>
        </w:trPr>
        <w:tc>
          <w:tcPr>
            <w:tcW w:w="901" w:type="dxa"/>
            <w:tcBorders>
              <w:top w:val="single" w:sz="4" w:space="0" w:color="17365D"/>
              <w:left w:val="nil"/>
              <w:bottom w:val="single" w:sz="4" w:space="0" w:color="17365D"/>
              <w:right w:val="nil"/>
            </w:tcBorders>
            <w:shd w:val="clear" w:color="auto" w:fill="auto"/>
            <w:vAlign w:val="center"/>
          </w:tcPr>
          <w:p w14:paraId="39E453EE" w14:textId="17CF304C" w:rsidR="00AB3911" w:rsidRPr="00B36A61" w:rsidRDefault="00AB3911" w:rsidP="00F000A6">
            <w:pPr>
              <w:pStyle w:val="Pamatteksts"/>
              <w:spacing w:before="40" w:after="40"/>
              <w:ind w:firstLine="0"/>
              <w:jc w:val="left"/>
              <w:rPr>
                <w:color w:val="17365D"/>
                <w:sz w:val="20"/>
                <w:szCs w:val="20"/>
              </w:rPr>
            </w:pPr>
            <w:r w:rsidRPr="00B36A61">
              <w:rPr>
                <w:color w:val="17365D"/>
                <w:sz w:val="20"/>
                <w:szCs w:val="20"/>
              </w:rPr>
              <w:t>4.</w:t>
            </w:r>
            <w:r w:rsidR="00F000A6" w:rsidRPr="00B36A61">
              <w:rPr>
                <w:color w:val="17365D"/>
                <w:sz w:val="20"/>
                <w:szCs w:val="20"/>
              </w:rPr>
              <w:t>0</w:t>
            </w:r>
          </w:p>
        </w:tc>
        <w:tc>
          <w:tcPr>
            <w:tcW w:w="2573" w:type="dxa"/>
            <w:tcBorders>
              <w:top w:val="single" w:sz="4" w:space="0" w:color="17365D"/>
              <w:left w:val="nil"/>
              <w:bottom w:val="single" w:sz="4" w:space="0" w:color="17365D"/>
              <w:right w:val="nil"/>
            </w:tcBorders>
            <w:shd w:val="clear" w:color="auto" w:fill="auto"/>
            <w:vAlign w:val="center"/>
          </w:tcPr>
          <w:p w14:paraId="07749D71" w14:textId="4F90A1A2" w:rsidR="00AB3911" w:rsidRPr="00B36A61" w:rsidRDefault="00AB3911" w:rsidP="00AB3911">
            <w:pPr>
              <w:pStyle w:val="Pamatteksts"/>
              <w:spacing w:before="40" w:after="40"/>
              <w:ind w:firstLine="0"/>
              <w:jc w:val="left"/>
              <w:rPr>
                <w:color w:val="17365D"/>
                <w:sz w:val="20"/>
                <w:szCs w:val="20"/>
              </w:rPr>
            </w:pPr>
            <w:r w:rsidRPr="00B36A61">
              <w:rPr>
                <w:color w:val="17365D"/>
                <w:sz w:val="20"/>
                <w:szCs w:val="20"/>
              </w:rPr>
              <w:t>Ārvalstu finanšu palīdzība budžetam</w:t>
            </w:r>
          </w:p>
        </w:tc>
        <w:tc>
          <w:tcPr>
            <w:tcW w:w="1486" w:type="dxa"/>
            <w:tcBorders>
              <w:top w:val="single" w:sz="4" w:space="0" w:color="17365D"/>
              <w:left w:val="nil"/>
              <w:bottom w:val="single" w:sz="4" w:space="0" w:color="17365D"/>
              <w:right w:val="nil"/>
            </w:tcBorders>
            <w:shd w:val="clear" w:color="auto" w:fill="auto"/>
            <w:vAlign w:val="center"/>
          </w:tcPr>
          <w:p w14:paraId="1FC8B292" w14:textId="64FBE925" w:rsidR="00AB3911" w:rsidRPr="00B36A61" w:rsidRDefault="00C766BC" w:rsidP="00C766BC">
            <w:pPr>
              <w:spacing w:after="0"/>
              <w:ind w:firstLine="0"/>
              <w:jc w:val="right"/>
              <w:rPr>
                <w:noProof/>
                <w:color w:val="17365D"/>
                <w:sz w:val="20"/>
                <w:szCs w:val="20"/>
              </w:rPr>
            </w:pPr>
            <w:r w:rsidRPr="00B36A61">
              <w:rPr>
                <w:noProof/>
                <w:color w:val="17365D"/>
                <w:sz w:val="20"/>
                <w:szCs w:val="20"/>
              </w:rPr>
              <w:t>1 435 576 013</w:t>
            </w:r>
          </w:p>
        </w:tc>
        <w:tc>
          <w:tcPr>
            <w:tcW w:w="1486" w:type="dxa"/>
            <w:tcBorders>
              <w:top w:val="single" w:sz="4" w:space="0" w:color="17365D"/>
              <w:left w:val="nil"/>
              <w:bottom w:val="single" w:sz="4" w:space="0" w:color="17365D"/>
              <w:right w:val="nil"/>
            </w:tcBorders>
            <w:shd w:val="clear" w:color="auto" w:fill="auto"/>
            <w:vAlign w:val="center"/>
          </w:tcPr>
          <w:p w14:paraId="71775F8E" w14:textId="37D499E4" w:rsidR="00AB3911" w:rsidRPr="00B36A61" w:rsidRDefault="00C766BC" w:rsidP="00C766BC">
            <w:pPr>
              <w:spacing w:after="0"/>
              <w:ind w:firstLine="0"/>
              <w:jc w:val="right"/>
              <w:rPr>
                <w:noProof/>
                <w:color w:val="17365D"/>
                <w:sz w:val="20"/>
                <w:szCs w:val="20"/>
              </w:rPr>
            </w:pPr>
            <w:r w:rsidRPr="00B36A61">
              <w:rPr>
                <w:noProof/>
                <w:color w:val="17365D"/>
                <w:sz w:val="20"/>
                <w:szCs w:val="20"/>
              </w:rPr>
              <w:t>1 345 876 887</w:t>
            </w:r>
          </w:p>
        </w:tc>
        <w:tc>
          <w:tcPr>
            <w:tcW w:w="1623" w:type="dxa"/>
            <w:tcBorders>
              <w:top w:val="single" w:sz="4" w:space="0" w:color="17365D"/>
              <w:left w:val="nil"/>
              <w:bottom w:val="single" w:sz="4" w:space="0" w:color="17365D"/>
              <w:right w:val="nil"/>
            </w:tcBorders>
            <w:shd w:val="clear" w:color="auto" w:fill="auto"/>
            <w:vAlign w:val="center"/>
          </w:tcPr>
          <w:p w14:paraId="0B99C699" w14:textId="10843439" w:rsidR="00AB3911" w:rsidRPr="00B36A61" w:rsidRDefault="00C766BC" w:rsidP="00555FAF">
            <w:pPr>
              <w:spacing w:after="0"/>
              <w:ind w:firstLine="0"/>
              <w:jc w:val="right"/>
              <w:rPr>
                <w:noProof/>
                <w:color w:val="17365D"/>
                <w:sz w:val="20"/>
                <w:szCs w:val="20"/>
              </w:rPr>
            </w:pPr>
            <w:r w:rsidRPr="00B36A61">
              <w:rPr>
                <w:noProof/>
                <w:color w:val="17365D"/>
                <w:sz w:val="20"/>
                <w:szCs w:val="20"/>
              </w:rPr>
              <w:t>89 699 126</w:t>
            </w:r>
          </w:p>
        </w:tc>
        <w:tc>
          <w:tcPr>
            <w:tcW w:w="1309" w:type="dxa"/>
            <w:tcBorders>
              <w:top w:val="single" w:sz="4" w:space="0" w:color="17365D"/>
              <w:left w:val="nil"/>
              <w:bottom w:val="single" w:sz="4" w:space="0" w:color="17365D"/>
              <w:right w:val="nil"/>
            </w:tcBorders>
            <w:shd w:val="clear" w:color="auto" w:fill="auto"/>
            <w:vAlign w:val="center"/>
          </w:tcPr>
          <w:p w14:paraId="25648060" w14:textId="1EE8C6C9" w:rsidR="00AB3911" w:rsidRPr="00B36A61" w:rsidRDefault="00C766BC" w:rsidP="00A00614">
            <w:pPr>
              <w:spacing w:after="0"/>
              <w:ind w:firstLine="0"/>
              <w:jc w:val="right"/>
              <w:rPr>
                <w:noProof/>
                <w:color w:val="17365D"/>
                <w:sz w:val="20"/>
                <w:szCs w:val="20"/>
              </w:rPr>
            </w:pPr>
            <w:r w:rsidRPr="00B36A61">
              <w:rPr>
                <w:noProof/>
                <w:color w:val="17365D"/>
                <w:sz w:val="20"/>
                <w:szCs w:val="20"/>
              </w:rPr>
              <w:t>6.7</w:t>
            </w:r>
          </w:p>
        </w:tc>
      </w:tr>
      <w:tr w:rsidR="00B36A61" w:rsidRPr="00B36A61" w14:paraId="3117545B" w14:textId="77777777" w:rsidTr="00003148">
        <w:trPr>
          <w:cantSplit/>
        </w:trPr>
        <w:tc>
          <w:tcPr>
            <w:tcW w:w="901" w:type="dxa"/>
            <w:tcBorders>
              <w:top w:val="single" w:sz="4" w:space="0" w:color="17365D"/>
              <w:left w:val="nil"/>
              <w:bottom w:val="single" w:sz="4" w:space="0" w:color="17365D"/>
              <w:right w:val="nil"/>
            </w:tcBorders>
            <w:shd w:val="clear" w:color="auto" w:fill="auto"/>
            <w:vAlign w:val="center"/>
          </w:tcPr>
          <w:p w14:paraId="08AEE016" w14:textId="63B93A27" w:rsidR="00AB3911" w:rsidRPr="00B36A61" w:rsidRDefault="00AB3911" w:rsidP="00AB3911">
            <w:pPr>
              <w:pStyle w:val="Pamatteksts"/>
              <w:spacing w:before="40" w:after="40"/>
              <w:ind w:firstLine="0"/>
              <w:jc w:val="left"/>
              <w:rPr>
                <w:color w:val="17365D"/>
                <w:sz w:val="20"/>
                <w:szCs w:val="20"/>
              </w:rPr>
            </w:pPr>
            <w:r w:rsidRPr="00B36A61">
              <w:rPr>
                <w:color w:val="17365D"/>
                <w:sz w:val="20"/>
                <w:szCs w:val="20"/>
              </w:rPr>
              <w:t>20.3.0.0</w:t>
            </w:r>
          </w:p>
        </w:tc>
        <w:tc>
          <w:tcPr>
            <w:tcW w:w="2573" w:type="dxa"/>
            <w:tcBorders>
              <w:top w:val="single" w:sz="4" w:space="0" w:color="17365D"/>
              <w:left w:val="nil"/>
              <w:bottom w:val="single" w:sz="4" w:space="0" w:color="17365D"/>
              <w:right w:val="nil"/>
            </w:tcBorders>
            <w:shd w:val="clear" w:color="auto" w:fill="auto"/>
            <w:vAlign w:val="center"/>
          </w:tcPr>
          <w:p w14:paraId="37D75727" w14:textId="27B2B861" w:rsidR="00AB3911" w:rsidRPr="00B36A61" w:rsidRDefault="00A00614" w:rsidP="00AB3911">
            <w:pPr>
              <w:pStyle w:val="Pamatteksts"/>
              <w:spacing w:before="40" w:after="40"/>
              <w:ind w:firstLine="0"/>
              <w:jc w:val="left"/>
              <w:rPr>
                <w:color w:val="17365D"/>
                <w:sz w:val="20"/>
                <w:szCs w:val="20"/>
              </w:rPr>
            </w:pPr>
            <w:r w:rsidRPr="00B36A61">
              <w:rPr>
                <w:color w:val="17365D"/>
                <w:sz w:val="20"/>
                <w:szCs w:val="20"/>
              </w:rPr>
              <w:t>Ieņēmumi no Eiropas Savienības strukturālajiem un investīciju fondiem un Eiropas Savienības kopējās lauksaimniecības politikas īstenošanas instrumentiem</w:t>
            </w:r>
          </w:p>
        </w:tc>
        <w:tc>
          <w:tcPr>
            <w:tcW w:w="1486" w:type="dxa"/>
            <w:tcBorders>
              <w:top w:val="single" w:sz="4" w:space="0" w:color="17365D"/>
              <w:left w:val="nil"/>
              <w:bottom w:val="single" w:sz="4" w:space="0" w:color="17365D"/>
              <w:right w:val="nil"/>
            </w:tcBorders>
            <w:shd w:val="clear" w:color="auto" w:fill="auto"/>
            <w:vAlign w:val="center"/>
          </w:tcPr>
          <w:p w14:paraId="5B373E9F" w14:textId="7B39284E" w:rsidR="00AB3911" w:rsidRPr="00B36A61" w:rsidRDefault="00C766BC" w:rsidP="00555FAF">
            <w:pPr>
              <w:pStyle w:val="Pamatteksts"/>
              <w:spacing w:before="40" w:after="40"/>
              <w:ind w:firstLine="0"/>
              <w:jc w:val="right"/>
              <w:rPr>
                <w:color w:val="17365D"/>
                <w:sz w:val="20"/>
                <w:szCs w:val="20"/>
              </w:rPr>
            </w:pPr>
            <w:r w:rsidRPr="00B36A61">
              <w:rPr>
                <w:color w:val="17365D"/>
                <w:sz w:val="20"/>
                <w:szCs w:val="20"/>
              </w:rPr>
              <w:t>1 096 401 039</w:t>
            </w:r>
          </w:p>
        </w:tc>
        <w:tc>
          <w:tcPr>
            <w:tcW w:w="1486" w:type="dxa"/>
            <w:tcBorders>
              <w:top w:val="single" w:sz="4" w:space="0" w:color="17365D"/>
              <w:left w:val="nil"/>
              <w:bottom w:val="single" w:sz="4" w:space="0" w:color="17365D"/>
              <w:right w:val="nil"/>
            </w:tcBorders>
            <w:shd w:val="clear" w:color="auto" w:fill="auto"/>
            <w:vAlign w:val="center"/>
          </w:tcPr>
          <w:p w14:paraId="716A303A" w14:textId="6534F071" w:rsidR="00AB3911" w:rsidRPr="00B36A61" w:rsidRDefault="00C766BC" w:rsidP="00C766BC">
            <w:pPr>
              <w:pStyle w:val="Pamatteksts"/>
              <w:spacing w:before="40" w:after="40"/>
              <w:ind w:firstLine="0"/>
              <w:jc w:val="right"/>
              <w:rPr>
                <w:color w:val="17365D"/>
                <w:sz w:val="20"/>
                <w:szCs w:val="20"/>
              </w:rPr>
            </w:pPr>
            <w:r w:rsidRPr="00B36A61">
              <w:rPr>
                <w:color w:val="17365D"/>
                <w:sz w:val="20"/>
                <w:szCs w:val="20"/>
              </w:rPr>
              <w:t>986 775 590</w:t>
            </w:r>
          </w:p>
        </w:tc>
        <w:tc>
          <w:tcPr>
            <w:tcW w:w="1623" w:type="dxa"/>
            <w:tcBorders>
              <w:top w:val="single" w:sz="4" w:space="0" w:color="17365D"/>
              <w:left w:val="nil"/>
              <w:bottom w:val="single" w:sz="4" w:space="0" w:color="17365D"/>
              <w:right w:val="nil"/>
            </w:tcBorders>
            <w:shd w:val="clear" w:color="auto" w:fill="auto"/>
            <w:vAlign w:val="center"/>
          </w:tcPr>
          <w:p w14:paraId="11C91271" w14:textId="0E1B9327" w:rsidR="00AB3911" w:rsidRPr="00B36A61" w:rsidRDefault="00A604D6" w:rsidP="00555FAF">
            <w:pPr>
              <w:pStyle w:val="Pamatteksts"/>
              <w:spacing w:before="40" w:after="40"/>
              <w:ind w:firstLine="0"/>
              <w:jc w:val="right"/>
              <w:rPr>
                <w:color w:val="17365D"/>
                <w:sz w:val="20"/>
                <w:szCs w:val="20"/>
              </w:rPr>
            </w:pPr>
            <w:r w:rsidRPr="00B36A61">
              <w:rPr>
                <w:color w:val="17365D"/>
                <w:sz w:val="20"/>
                <w:szCs w:val="20"/>
              </w:rPr>
              <w:t>109 625 449</w:t>
            </w:r>
          </w:p>
        </w:tc>
        <w:tc>
          <w:tcPr>
            <w:tcW w:w="1309" w:type="dxa"/>
            <w:tcBorders>
              <w:top w:val="single" w:sz="4" w:space="0" w:color="17365D"/>
              <w:left w:val="nil"/>
              <w:bottom w:val="single" w:sz="4" w:space="0" w:color="17365D"/>
              <w:right w:val="nil"/>
            </w:tcBorders>
            <w:shd w:val="clear" w:color="auto" w:fill="auto"/>
            <w:vAlign w:val="center"/>
          </w:tcPr>
          <w:p w14:paraId="69D525C8" w14:textId="5CE9CA99" w:rsidR="00AB3911" w:rsidRPr="00B36A61" w:rsidRDefault="00A604D6" w:rsidP="00A00614">
            <w:pPr>
              <w:pStyle w:val="Pamatteksts"/>
              <w:spacing w:before="40" w:after="40"/>
              <w:ind w:firstLine="0"/>
              <w:jc w:val="right"/>
              <w:rPr>
                <w:color w:val="17365D"/>
                <w:sz w:val="20"/>
                <w:szCs w:val="20"/>
              </w:rPr>
            </w:pPr>
            <w:r w:rsidRPr="00B36A61">
              <w:rPr>
                <w:color w:val="17365D"/>
                <w:sz w:val="20"/>
                <w:szCs w:val="20"/>
              </w:rPr>
              <w:t>11.1</w:t>
            </w:r>
          </w:p>
        </w:tc>
      </w:tr>
      <w:tr w:rsidR="00B36A61" w:rsidRPr="00B36A61" w14:paraId="26D52BFF" w14:textId="77777777" w:rsidTr="00003148">
        <w:trPr>
          <w:cantSplit/>
        </w:trPr>
        <w:tc>
          <w:tcPr>
            <w:tcW w:w="901" w:type="dxa"/>
            <w:tcBorders>
              <w:top w:val="single" w:sz="4" w:space="0" w:color="17365D"/>
              <w:left w:val="nil"/>
              <w:bottom w:val="single" w:sz="4" w:space="0" w:color="17365D"/>
              <w:right w:val="nil"/>
            </w:tcBorders>
            <w:shd w:val="clear" w:color="auto" w:fill="auto"/>
            <w:vAlign w:val="center"/>
          </w:tcPr>
          <w:p w14:paraId="57EE1C02" w14:textId="79866CEB" w:rsidR="00A00614" w:rsidRPr="00B36A61" w:rsidRDefault="00A00614" w:rsidP="00A00614">
            <w:pPr>
              <w:pStyle w:val="Pamatteksts"/>
              <w:spacing w:before="40" w:after="40"/>
              <w:ind w:firstLine="0"/>
              <w:jc w:val="left"/>
              <w:rPr>
                <w:color w:val="17365D"/>
                <w:sz w:val="20"/>
                <w:szCs w:val="20"/>
              </w:rPr>
            </w:pPr>
            <w:r w:rsidRPr="00B36A61">
              <w:rPr>
                <w:color w:val="17365D"/>
                <w:sz w:val="20"/>
                <w:szCs w:val="20"/>
              </w:rPr>
              <w:t>20.6.0.0</w:t>
            </w:r>
          </w:p>
        </w:tc>
        <w:tc>
          <w:tcPr>
            <w:tcW w:w="2573" w:type="dxa"/>
            <w:tcBorders>
              <w:top w:val="single" w:sz="4" w:space="0" w:color="17365D"/>
              <w:left w:val="nil"/>
              <w:bottom w:val="single" w:sz="4" w:space="0" w:color="17365D"/>
              <w:right w:val="nil"/>
            </w:tcBorders>
            <w:shd w:val="clear" w:color="auto" w:fill="auto"/>
            <w:vAlign w:val="center"/>
          </w:tcPr>
          <w:p w14:paraId="64B56B97" w14:textId="79B8FD52" w:rsidR="00A00614" w:rsidRPr="00B36A61" w:rsidRDefault="00A00614" w:rsidP="00A00614">
            <w:pPr>
              <w:pStyle w:val="Pamatteksts"/>
              <w:spacing w:before="40" w:after="40"/>
              <w:ind w:firstLine="0"/>
              <w:jc w:val="left"/>
              <w:rPr>
                <w:color w:val="17365D"/>
                <w:sz w:val="20"/>
                <w:szCs w:val="20"/>
              </w:rPr>
            </w:pPr>
            <w:r w:rsidRPr="00B36A61">
              <w:rPr>
                <w:color w:val="17365D"/>
                <w:sz w:val="20"/>
                <w:szCs w:val="20"/>
              </w:rPr>
              <w:t>Pārējie ieņēmumi no Eiropas Savienības</w:t>
            </w:r>
          </w:p>
        </w:tc>
        <w:tc>
          <w:tcPr>
            <w:tcW w:w="1486" w:type="dxa"/>
            <w:tcBorders>
              <w:top w:val="single" w:sz="4" w:space="0" w:color="17365D"/>
              <w:left w:val="nil"/>
              <w:bottom w:val="single" w:sz="4" w:space="0" w:color="17365D"/>
              <w:right w:val="nil"/>
            </w:tcBorders>
            <w:shd w:val="clear" w:color="auto" w:fill="auto"/>
            <w:vAlign w:val="center"/>
          </w:tcPr>
          <w:p w14:paraId="1EED6B28" w14:textId="5029941F" w:rsidR="00A00614" w:rsidRPr="00B36A61" w:rsidRDefault="00C766BC" w:rsidP="00A00614">
            <w:pPr>
              <w:pStyle w:val="Pamatteksts"/>
              <w:spacing w:before="40" w:after="40"/>
              <w:ind w:firstLine="0"/>
              <w:jc w:val="right"/>
              <w:rPr>
                <w:color w:val="17365D"/>
                <w:sz w:val="20"/>
                <w:szCs w:val="20"/>
              </w:rPr>
            </w:pPr>
            <w:r w:rsidRPr="00B36A61">
              <w:rPr>
                <w:color w:val="17365D"/>
                <w:sz w:val="20"/>
                <w:szCs w:val="20"/>
              </w:rPr>
              <w:t>220 545 367</w:t>
            </w:r>
          </w:p>
        </w:tc>
        <w:tc>
          <w:tcPr>
            <w:tcW w:w="1486" w:type="dxa"/>
            <w:tcBorders>
              <w:top w:val="single" w:sz="4" w:space="0" w:color="17365D"/>
              <w:left w:val="nil"/>
              <w:bottom w:val="single" w:sz="4" w:space="0" w:color="17365D"/>
              <w:right w:val="nil"/>
            </w:tcBorders>
            <w:shd w:val="clear" w:color="auto" w:fill="auto"/>
            <w:vAlign w:val="center"/>
          </w:tcPr>
          <w:p w14:paraId="15349535" w14:textId="0B1D6A08" w:rsidR="00A00614" w:rsidRPr="00B36A61" w:rsidRDefault="00C766BC" w:rsidP="00A00614">
            <w:pPr>
              <w:pStyle w:val="Pamatteksts"/>
              <w:spacing w:before="40" w:after="40"/>
              <w:ind w:firstLine="0"/>
              <w:jc w:val="right"/>
              <w:rPr>
                <w:color w:val="17365D"/>
                <w:sz w:val="20"/>
                <w:szCs w:val="20"/>
              </w:rPr>
            </w:pPr>
            <w:r w:rsidRPr="00B36A61">
              <w:rPr>
                <w:color w:val="17365D"/>
                <w:sz w:val="20"/>
                <w:szCs w:val="20"/>
              </w:rPr>
              <w:t>249 598 488</w:t>
            </w:r>
          </w:p>
        </w:tc>
        <w:tc>
          <w:tcPr>
            <w:tcW w:w="1623" w:type="dxa"/>
            <w:tcBorders>
              <w:top w:val="single" w:sz="4" w:space="0" w:color="17365D"/>
              <w:left w:val="nil"/>
              <w:bottom w:val="single" w:sz="4" w:space="0" w:color="17365D"/>
              <w:right w:val="nil"/>
            </w:tcBorders>
            <w:shd w:val="clear" w:color="auto" w:fill="auto"/>
            <w:vAlign w:val="center"/>
          </w:tcPr>
          <w:p w14:paraId="1D4CC429" w14:textId="0F33A4D1" w:rsidR="00A00614" w:rsidRPr="00B36A61" w:rsidRDefault="00992432" w:rsidP="00A00614">
            <w:pPr>
              <w:pStyle w:val="Pamatteksts"/>
              <w:spacing w:before="40" w:after="40"/>
              <w:ind w:firstLine="0"/>
              <w:jc w:val="right"/>
              <w:rPr>
                <w:color w:val="17365D"/>
                <w:sz w:val="20"/>
                <w:szCs w:val="20"/>
              </w:rPr>
            </w:pPr>
            <w:r w:rsidRPr="00B36A61">
              <w:rPr>
                <w:color w:val="17365D"/>
                <w:sz w:val="20"/>
                <w:szCs w:val="20"/>
              </w:rPr>
              <w:t>-29 053 121</w:t>
            </w:r>
          </w:p>
        </w:tc>
        <w:tc>
          <w:tcPr>
            <w:tcW w:w="1309" w:type="dxa"/>
            <w:tcBorders>
              <w:top w:val="single" w:sz="4" w:space="0" w:color="17365D"/>
              <w:left w:val="nil"/>
              <w:bottom w:val="single" w:sz="4" w:space="0" w:color="17365D"/>
              <w:right w:val="nil"/>
            </w:tcBorders>
            <w:shd w:val="clear" w:color="auto" w:fill="auto"/>
            <w:vAlign w:val="center"/>
          </w:tcPr>
          <w:p w14:paraId="250E0B53" w14:textId="7804560A" w:rsidR="00A00614" w:rsidRPr="00B36A61" w:rsidRDefault="00992432" w:rsidP="00A00614">
            <w:pPr>
              <w:pStyle w:val="Pamatteksts"/>
              <w:spacing w:before="40" w:after="40"/>
              <w:ind w:firstLine="0"/>
              <w:jc w:val="right"/>
              <w:rPr>
                <w:color w:val="17365D"/>
                <w:sz w:val="20"/>
                <w:szCs w:val="20"/>
              </w:rPr>
            </w:pPr>
            <w:r w:rsidRPr="00B36A61">
              <w:rPr>
                <w:color w:val="17365D"/>
                <w:sz w:val="20"/>
                <w:szCs w:val="20"/>
              </w:rPr>
              <w:t>11.6</w:t>
            </w:r>
          </w:p>
        </w:tc>
      </w:tr>
      <w:tr w:rsidR="00B36A61" w:rsidRPr="00B36A61" w14:paraId="77586C45" w14:textId="77777777" w:rsidTr="00003148">
        <w:trPr>
          <w:cantSplit/>
        </w:trPr>
        <w:tc>
          <w:tcPr>
            <w:tcW w:w="901" w:type="dxa"/>
            <w:tcBorders>
              <w:top w:val="single" w:sz="4" w:space="0" w:color="17365D"/>
              <w:left w:val="nil"/>
              <w:bottom w:val="single" w:sz="4" w:space="0" w:color="17365D"/>
              <w:right w:val="nil"/>
            </w:tcBorders>
            <w:shd w:val="clear" w:color="auto" w:fill="auto"/>
            <w:vAlign w:val="center"/>
          </w:tcPr>
          <w:p w14:paraId="5B059BFE" w14:textId="6F6C2F68" w:rsidR="00A00614" w:rsidRPr="00B36A61" w:rsidRDefault="00A00614" w:rsidP="00A00614">
            <w:pPr>
              <w:pStyle w:val="Pamatteksts"/>
              <w:spacing w:before="40" w:after="40"/>
              <w:ind w:firstLine="0"/>
              <w:jc w:val="left"/>
              <w:rPr>
                <w:color w:val="17365D"/>
                <w:sz w:val="20"/>
                <w:szCs w:val="20"/>
              </w:rPr>
            </w:pPr>
            <w:r w:rsidRPr="00B36A61">
              <w:rPr>
                <w:color w:val="17365D"/>
                <w:sz w:val="20"/>
                <w:szCs w:val="20"/>
              </w:rPr>
              <w:t>20.7.0.0</w:t>
            </w:r>
          </w:p>
        </w:tc>
        <w:tc>
          <w:tcPr>
            <w:tcW w:w="2573" w:type="dxa"/>
            <w:tcBorders>
              <w:top w:val="single" w:sz="4" w:space="0" w:color="17365D"/>
              <w:left w:val="nil"/>
              <w:bottom w:val="single" w:sz="4" w:space="0" w:color="17365D"/>
              <w:right w:val="nil"/>
            </w:tcBorders>
            <w:shd w:val="clear" w:color="auto" w:fill="auto"/>
            <w:vAlign w:val="center"/>
          </w:tcPr>
          <w:p w14:paraId="013E4E9F" w14:textId="4595E970" w:rsidR="00A00614" w:rsidRPr="00B36A61" w:rsidRDefault="00A00614" w:rsidP="00A00614">
            <w:pPr>
              <w:pStyle w:val="Pamatteksts"/>
              <w:spacing w:before="40" w:after="40"/>
              <w:ind w:firstLine="0"/>
              <w:jc w:val="left"/>
              <w:rPr>
                <w:color w:val="17365D"/>
                <w:sz w:val="20"/>
                <w:szCs w:val="20"/>
              </w:rPr>
            </w:pPr>
            <w:r w:rsidRPr="00B36A61">
              <w:rPr>
                <w:color w:val="17365D"/>
                <w:sz w:val="20"/>
                <w:szCs w:val="20"/>
              </w:rPr>
              <w:t>Atmaksa valsts budžetā par neatbilstoši veiktajiem izdevumiem par Eiropas Savienības politiku instrumentu un pārējās ārvalstu finanšu palīdzības finansēto projektu (pasākumu) īstenošanu</w:t>
            </w:r>
          </w:p>
        </w:tc>
        <w:tc>
          <w:tcPr>
            <w:tcW w:w="1486" w:type="dxa"/>
            <w:tcBorders>
              <w:top w:val="single" w:sz="4" w:space="0" w:color="17365D"/>
              <w:left w:val="nil"/>
              <w:bottom w:val="single" w:sz="4" w:space="0" w:color="17365D"/>
              <w:right w:val="nil"/>
            </w:tcBorders>
            <w:shd w:val="clear" w:color="auto" w:fill="auto"/>
            <w:vAlign w:val="center"/>
          </w:tcPr>
          <w:p w14:paraId="4E5ADA17" w14:textId="0770CF7D" w:rsidR="00A00614" w:rsidRPr="00B36A61" w:rsidRDefault="00C766BC" w:rsidP="00A00614">
            <w:pPr>
              <w:pStyle w:val="Pamatteksts"/>
              <w:spacing w:before="40" w:after="40"/>
              <w:ind w:firstLine="0"/>
              <w:jc w:val="right"/>
              <w:rPr>
                <w:color w:val="17365D"/>
                <w:sz w:val="20"/>
                <w:szCs w:val="20"/>
              </w:rPr>
            </w:pPr>
            <w:r w:rsidRPr="00B36A61">
              <w:rPr>
                <w:color w:val="17365D"/>
                <w:sz w:val="20"/>
                <w:szCs w:val="20"/>
              </w:rPr>
              <w:t>10 745 858</w:t>
            </w:r>
          </w:p>
        </w:tc>
        <w:tc>
          <w:tcPr>
            <w:tcW w:w="1486" w:type="dxa"/>
            <w:tcBorders>
              <w:top w:val="single" w:sz="4" w:space="0" w:color="17365D"/>
              <w:left w:val="nil"/>
              <w:bottom w:val="single" w:sz="4" w:space="0" w:color="17365D"/>
              <w:right w:val="nil"/>
            </w:tcBorders>
            <w:shd w:val="clear" w:color="auto" w:fill="auto"/>
            <w:vAlign w:val="center"/>
          </w:tcPr>
          <w:p w14:paraId="0E6D8445" w14:textId="2683A029" w:rsidR="00A00614" w:rsidRPr="00B36A61" w:rsidRDefault="00C766BC" w:rsidP="00A00614">
            <w:pPr>
              <w:pStyle w:val="Pamatteksts"/>
              <w:spacing w:before="40" w:after="40"/>
              <w:ind w:firstLine="0"/>
              <w:jc w:val="right"/>
              <w:rPr>
                <w:color w:val="17365D"/>
                <w:sz w:val="20"/>
                <w:szCs w:val="20"/>
              </w:rPr>
            </w:pPr>
            <w:r w:rsidRPr="00B36A61">
              <w:rPr>
                <w:color w:val="17365D"/>
                <w:sz w:val="20"/>
                <w:szCs w:val="20"/>
              </w:rPr>
              <w:t>2 131 366</w:t>
            </w:r>
          </w:p>
        </w:tc>
        <w:tc>
          <w:tcPr>
            <w:tcW w:w="1623" w:type="dxa"/>
            <w:tcBorders>
              <w:top w:val="single" w:sz="4" w:space="0" w:color="17365D"/>
              <w:left w:val="nil"/>
              <w:bottom w:val="single" w:sz="4" w:space="0" w:color="17365D"/>
              <w:right w:val="nil"/>
            </w:tcBorders>
            <w:shd w:val="clear" w:color="auto" w:fill="auto"/>
            <w:vAlign w:val="center"/>
          </w:tcPr>
          <w:p w14:paraId="1A77F6D4" w14:textId="4C7A1C9B" w:rsidR="00A00614" w:rsidRPr="00B36A61" w:rsidRDefault="00992432" w:rsidP="00A00614">
            <w:pPr>
              <w:pStyle w:val="Pamatteksts"/>
              <w:spacing w:before="40" w:after="40"/>
              <w:ind w:firstLine="0"/>
              <w:jc w:val="right"/>
              <w:rPr>
                <w:color w:val="17365D"/>
                <w:sz w:val="20"/>
                <w:szCs w:val="20"/>
              </w:rPr>
            </w:pPr>
            <w:r w:rsidRPr="00B36A61">
              <w:rPr>
                <w:color w:val="17365D"/>
                <w:sz w:val="20"/>
                <w:szCs w:val="20"/>
              </w:rPr>
              <w:t>8 614 492</w:t>
            </w:r>
          </w:p>
        </w:tc>
        <w:tc>
          <w:tcPr>
            <w:tcW w:w="1309" w:type="dxa"/>
            <w:tcBorders>
              <w:top w:val="single" w:sz="4" w:space="0" w:color="17365D"/>
              <w:left w:val="nil"/>
              <w:bottom w:val="single" w:sz="4" w:space="0" w:color="17365D"/>
              <w:right w:val="nil"/>
            </w:tcBorders>
            <w:shd w:val="clear" w:color="auto" w:fill="auto"/>
            <w:vAlign w:val="center"/>
          </w:tcPr>
          <w:p w14:paraId="0744D97E" w14:textId="2140646C" w:rsidR="00A00614" w:rsidRPr="00B36A61" w:rsidRDefault="00992432" w:rsidP="00A00614">
            <w:pPr>
              <w:pStyle w:val="Pamatteksts"/>
              <w:spacing w:before="40" w:after="40"/>
              <w:ind w:firstLine="0"/>
              <w:jc w:val="right"/>
              <w:rPr>
                <w:color w:val="17365D"/>
                <w:sz w:val="20"/>
                <w:szCs w:val="20"/>
              </w:rPr>
            </w:pPr>
            <w:r w:rsidRPr="00B36A61">
              <w:rPr>
                <w:color w:val="17365D"/>
                <w:sz w:val="20"/>
                <w:szCs w:val="20"/>
              </w:rPr>
              <w:t>404.2</w:t>
            </w:r>
          </w:p>
        </w:tc>
      </w:tr>
      <w:tr w:rsidR="00B36A61" w:rsidRPr="00B36A61" w14:paraId="54EFACDF" w14:textId="77777777" w:rsidTr="00437740">
        <w:trPr>
          <w:cantSplit/>
        </w:trPr>
        <w:tc>
          <w:tcPr>
            <w:tcW w:w="901" w:type="dxa"/>
            <w:tcBorders>
              <w:top w:val="single" w:sz="4" w:space="0" w:color="17365D"/>
              <w:left w:val="nil"/>
              <w:bottom w:val="nil"/>
              <w:right w:val="nil"/>
            </w:tcBorders>
            <w:shd w:val="clear" w:color="auto" w:fill="auto"/>
            <w:vAlign w:val="center"/>
          </w:tcPr>
          <w:p w14:paraId="78EEF736" w14:textId="06FABC20" w:rsidR="00AB3911" w:rsidRPr="00B36A61" w:rsidRDefault="00AB3911" w:rsidP="00AB3911">
            <w:pPr>
              <w:pStyle w:val="Pamatteksts"/>
              <w:spacing w:before="40" w:after="40"/>
              <w:ind w:firstLine="0"/>
              <w:jc w:val="left"/>
              <w:rPr>
                <w:color w:val="17365D"/>
                <w:sz w:val="20"/>
                <w:szCs w:val="20"/>
              </w:rPr>
            </w:pPr>
            <w:r w:rsidRPr="00B36A61">
              <w:rPr>
                <w:color w:val="17365D"/>
                <w:sz w:val="20"/>
                <w:szCs w:val="20"/>
              </w:rPr>
              <w:t>20.8.0.0</w:t>
            </w:r>
          </w:p>
        </w:tc>
        <w:tc>
          <w:tcPr>
            <w:tcW w:w="2573" w:type="dxa"/>
            <w:tcBorders>
              <w:top w:val="single" w:sz="4" w:space="0" w:color="17365D"/>
              <w:left w:val="nil"/>
              <w:bottom w:val="nil"/>
              <w:right w:val="nil"/>
            </w:tcBorders>
            <w:shd w:val="clear" w:color="auto" w:fill="auto"/>
            <w:vAlign w:val="center"/>
          </w:tcPr>
          <w:p w14:paraId="028EDCB7" w14:textId="3895B80B" w:rsidR="00AB3911" w:rsidRPr="00B36A61" w:rsidRDefault="00AB3911" w:rsidP="00AB3911">
            <w:pPr>
              <w:pStyle w:val="Pamatteksts"/>
              <w:spacing w:before="40" w:after="40"/>
              <w:ind w:firstLine="0"/>
              <w:jc w:val="left"/>
              <w:rPr>
                <w:color w:val="17365D"/>
                <w:sz w:val="20"/>
                <w:szCs w:val="20"/>
              </w:rPr>
            </w:pPr>
            <w:r w:rsidRPr="00B36A61">
              <w:rPr>
                <w:color w:val="17365D"/>
                <w:sz w:val="20"/>
                <w:szCs w:val="20"/>
              </w:rPr>
              <w:t>Ieņēmumi no pārējām valstīm un institūcijām, kuras nav Eiropas Savienības dalībvalstis un Eiropas Savienības institūcijas</w:t>
            </w:r>
          </w:p>
        </w:tc>
        <w:tc>
          <w:tcPr>
            <w:tcW w:w="1486" w:type="dxa"/>
            <w:tcBorders>
              <w:top w:val="single" w:sz="4" w:space="0" w:color="17365D"/>
              <w:left w:val="nil"/>
              <w:bottom w:val="nil"/>
              <w:right w:val="nil"/>
            </w:tcBorders>
            <w:shd w:val="clear" w:color="auto" w:fill="auto"/>
            <w:vAlign w:val="center"/>
          </w:tcPr>
          <w:p w14:paraId="3DB602F7" w14:textId="08AB792F" w:rsidR="00AB3911" w:rsidRPr="00B36A61" w:rsidRDefault="00992432" w:rsidP="00AB3911">
            <w:pPr>
              <w:pStyle w:val="Pamatteksts"/>
              <w:spacing w:before="40" w:after="40"/>
              <w:ind w:firstLine="0"/>
              <w:jc w:val="right"/>
              <w:rPr>
                <w:color w:val="17365D"/>
                <w:sz w:val="20"/>
                <w:szCs w:val="20"/>
              </w:rPr>
            </w:pPr>
            <w:r w:rsidRPr="00B36A61">
              <w:rPr>
                <w:color w:val="17365D"/>
                <w:sz w:val="20"/>
                <w:szCs w:val="20"/>
              </w:rPr>
              <w:t>7 107 516</w:t>
            </w:r>
          </w:p>
        </w:tc>
        <w:tc>
          <w:tcPr>
            <w:tcW w:w="1486" w:type="dxa"/>
            <w:tcBorders>
              <w:top w:val="single" w:sz="4" w:space="0" w:color="17365D"/>
              <w:left w:val="nil"/>
              <w:bottom w:val="nil"/>
              <w:right w:val="nil"/>
            </w:tcBorders>
            <w:shd w:val="clear" w:color="auto" w:fill="auto"/>
            <w:vAlign w:val="center"/>
          </w:tcPr>
          <w:p w14:paraId="0A9C9733" w14:textId="5690846E" w:rsidR="00AB3911" w:rsidRPr="00B36A61" w:rsidRDefault="00C766BC" w:rsidP="00C274C9">
            <w:pPr>
              <w:pStyle w:val="Pamatteksts"/>
              <w:spacing w:before="40" w:after="40"/>
              <w:ind w:firstLine="0"/>
              <w:jc w:val="right"/>
              <w:rPr>
                <w:color w:val="17365D"/>
                <w:sz w:val="20"/>
                <w:szCs w:val="20"/>
              </w:rPr>
            </w:pPr>
            <w:r w:rsidRPr="00B36A61">
              <w:rPr>
                <w:color w:val="17365D"/>
                <w:sz w:val="20"/>
                <w:szCs w:val="20"/>
              </w:rPr>
              <w:t>6 532 451</w:t>
            </w:r>
          </w:p>
        </w:tc>
        <w:tc>
          <w:tcPr>
            <w:tcW w:w="1623" w:type="dxa"/>
            <w:tcBorders>
              <w:top w:val="single" w:sz="4" w:space="0" w:color="17365D"/>
              <w:left w:val="nil"/>
              <w:bottom w:val="nil"/>
              <w:right w:val="nil"/>
            </w:tcBorders>
            <w:shd w:val="clear" w:color="auto" w:fill="auto"/>
            <w:vAlign w:val="center"/>
          </w:tcPr>
          <w:p w14:paraId="3461455D" w14:textId="5A89DCB0" w:rsidR="00AB3911" w:rsidRPr="00B36A61" w:rsidRDefault="00992432" w:rsidP="008B07ED">
            <w:pPr>
              <w:pStyle w:val="Pamatteksts"/>
              <w:spacing w:before="40" w:after="40"/>
              <w:ind w:firstLine="0"/>
              <w:jc w:val="right"/>
              <w:rPr>
                <w:color w:val="17365D"/>
                <w:sz w:val="20"/>
                <w:szCs w:val="20"/>
              </w:rPr>
            </w:pPr>
            <w:r w:rsidRPr="00B36A61">
              <w:rPr>
                <w:color w:val="17365D"/>
                <w:sz w:val="20"/>
                <w:szCs w:val="20"/>
              </w:rPr>
              <w:t>575 065</w:t>
            </w:r>
          </w:p>
        </w:tc>
        <w:tc>
          <w:tcPr>
            <w:tcW w:w="1309" w:type="dxa"/>
            <w:tcBorders>
              <w:top w:val="single" w:sz="4" w:space="0" w:color="17365D"/>
              <w:left w:val="nil"/>
              <w:bottom w:val="nil"/>
              <w:right w:val="nil"/>
            </w:tcBorders>
            <w:shd w:val="clear" w:color="auto" w:fill="auto"/>
            <w:vAlign w:val="center"/>
          </w:tcPr>
          <w:p w14:paraId="12AEBF5A" w14:textId="4BFF2C0B" w:rsidR="00AB3911" w:rsidRPr="00B36A61" w:rsidRDefault="00992432" w:rsidP="00AB3911">
            <w:pPr>
              <w:pStyle w:val="Pamatteksts"/>
              <w:spacing w:before="40" w:after="40"/>
              <w:ind w:firstLine="0"/>
              <w:jc w:val="right"/>
              <w:rPr>
                <w:color w:val="17365D"/>
                <w:sz w:val="20"/>
                <w:szCs w:val="20"/>
              </w:rPr>
            </w:pPr>
            <w:r w:rsidRPr="00B36A61">
              <w:rPr>
                <w:color w:val="17365D"/>
                <w:sz w:val="20"/>
                <w:szCs w:val="20"/>
              </w:rPr>
              <w:t>8.8</w:t>
            </w:r>
          </w:p>
        </w:tc>
      </w:tr>
      <w:tr w:rsidR="00B36A61" w:rsidRPr="00B36A61" w14:paraId="11EB848F" w14:textId="77777777" w:rsidTr="00437740">
        <w:trPr>
          <w:cantSplit/>
        </w:trPr>
        <w:tc>
          <w:tcPr>
            <w:tcW w:w="901" w:type="dxa"/>
            <w:tcBorders>
              <w:top w:val="nil"/>
              <w:left w:val="nil"/>
              <w:bottom w:val="nil"/>
              <w:right w:val="nil"/>
            </w:tcBorders>
            <w:shd w:val="clear" w:color="auto" w:fill="B9CDE5"/>
            <w:vAlign w:val="center"/>
          </w:tcPr>
          <w:p w14:paraId="2D4103D2" w14:textId="77777777" w:rsidR="007D4D91" w:rsidRPr="00B36A61" w:rsidRDefault="007D4D91" w:rsidP="00AB3911">
            <w:pPr>
              <w:pStyle w:val="Pamatteksts"/>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323C6921" w14:textId="77777777" w:rsidR="007D4D91" w:rsidRPr="00B36A61" w:rsidRDefault="007D4D91" w:rsidP="00AB3911">
            <w:pPr>
              <w:pStyle w:val="Pamatteksts"/>
              <w:spacing w:before="40" w:after="40"/>
              <w:ind w:firstLine="0"/>
              <w:jc w:val="left"/>
              <w:rPr>
                <w:color w:val="17365D"/>
                <w:sz w:val="20"/>
                <w:szCs w:val="20"/>
              </w:rPr>
            </w:pPr>
          </w:p>
        </w:tc>
        <w:tc>
          <w:tcPr>
            <w:tcW w:w="1486" w:type="dxa"/>
            <w:tcBorders>
              <w:top w:val="nil"/>
              <w:left w:val="nil"/>
              <w:bottom w:val="nil"/>
              <w:right w:val="nil"/>
            </w:tcBorders>
            <w:shd w:val="clear" w:color="auto" w:fill="B9CDE5"/>
            <w:vAlign w:val="center"/>
          </w:tcPr>
          <w:p w14:paraId="5299E8A9" w14:textId="77777777" w:rsidR="007D4D91" w:rsidRPr="00B36A61" w:rsidRDefault="007D4D91" w:rsidP="00AB3911">
            <w:pPr>
              <w:pStyle w:val="Pamatteksts"/>
              <w:spacing w:before="40" w:after="40"/>
              <w:ind w:firstLine="0"/>
              <w:jc w:val="right"/>
              <w:rPr>
                <w:color w:val="17365D"/>
                <w:sz w:val="20"/>
                <w:szCs w:val="20"/>
              </w:rPr>
            </w:pPr>
          </w:p>
        </w:tc>
        <w:tc>
          <w:tcPr>
            <w:tcW w:w="1486" w:type="dxa"/>
            <w:tcBorders>
              <w:top w:val="nil"/>
              <w:left w:val="nil"/>
              <w:bottom w:val="nil"/>
              <w:right w:val="nil"/>
            </w:tcBorders>
            <w:shd w:val="clear" w:color="auto" w:fill="B9CDE5"/>
            <w:vAlign w:val="center"/>
          </w:tcPr>
          <w:p w14:paraId="757F74C8" w14:textId="77777777" w:rsidR="007D4D91" w:rsidRPr="00B36A61" w:rsidRDefault="007D4D91" w:rsidP="00AB3911">
            <w:pPr>
              <w:pStyle w:val="Pamatteksts"/>
              <w:spacing w:before="40" w:after="40"/>
              <w:ind w:firstLine="0"/>
              <w:jc w:val="right"/>
              <w:rPr>
                <w:color w:val="17365D"/>
                <w:sz w:val="20"/>
                <w:szCs w:val="20"/>
              </w:rPr>
            </w:pPr>
          </w:p>
        </w:tc>
        <w:tc>
          <w:tcPr>
            <w:tcW w:w="1623" w:type="dxa"/>
            <w:tcBorders>
              <w:top w:val="nil"/>
              <w:left w:val="nil"/>
              <w:bottom w:val="nil"/>
              <w:right w:val="nil"/>
            </w:tcBorders>
            <w:shd w:val="clear" w:color="auto" w:fill="B9CDE5"/>
            <w:vAlign w:val="center"/>
          </w:tcPr>
          <w:p w14:paraId="35B0113F" w14:textId="77777777" w:rsidR="007D4D91" w:rsidRPr="00B36A61" w:rsidRDefault="007D4D91" w:rsidP="008B07ED">
            <w:pPr>
              <w:pStyle w:val="Pamatteksts"/>
              <w:spacing w:before="40" w:after="40"/>
              <w:ind w:firstLine="0"/>
              <w:jc w:val="right"/>
              <w:rPr>
                <w:color w:val="17365D"/>
                <w:sz w:val="20"/>
                <w:szCs w:val="20"/>
              </w:rPr>
            </w:pPr>
          </w:p>
        </w:tc>
        <w:tc>
          <w:tcPr>
            <w:tcW w:w="1309" w:type="dxa"/>
            <w:tcBorders>
              <w:top w:val="nil"/>
              <w:left w:val="nil"/>
              <w:bottom w:val="nil"/>
              <w:right w:val="nil"/>
            </w:tcBorders>
            <w:shd w:val="clear" w:color="auto" w:fill="B9CDE5"/>
            <w:vAlign w:val="center"/>
          </w:tcPr>
          <w:p w14:paraId="3E9269A4" w14:textId="77777777" w:rsidR="007D4D91" w:rsidRPr="00B36A61" w:rsidRDefault="007D4D91" w:rsidP="00AB3911">
            <w:pPr>
              <w:pStyle w:val="Pamatteksts"/>
              <w:spacing w:before="40" w:after="40"/>
              <w:ind w:firstLine="0"/>
              <w:jc w:val="right"/>
              <w:rPr>
                <w:color w:val="17365D"/>
                <w:sz w:val="20"/>
                <w:szCs w:val="20"/>
              </w:rPr>
            </w:pPr>
          </w:p>
        </w:tc>
      </w:tr>
    </w:tbl>
    <w:p w14:paraId="015D5E4C" w14:textId="68DED08F" w:rsidR="00D7615D" w:rsidRPr="00B36A61" w:rsidRDefault="00D7615D" w:rsidP="00D7615D">
      <w:pPr>
        <w:pStyle w:val="Heading1"/>
        <w:rPr>
          <w:rFonts w:cs="Times New Roman"/>
          <w:noProof w:val="0"/>
          <w:color w:val="17365D"/>
        </w:rPr>
      </w:pPr>
      <w:r w:rsidRPr="00B36A61">
        <w:rPr>
          <w:rFonts w:cs="Times New Roman"/>
          <w:noProof w:val="0"/>
          <w:color w:val="17365D"/>
        </w:rPr>
        <w:t xml:space="preserve">Valsts pamatbudžeta </w:t>
      </w:r>
      <w:r w:rsidR="00F11365" w:rsidRPr="00B36A61">
        <w:rPr>
          <w:rFonts w:cs="Times New Roman"/>
          <w:noProof w:val="0"/>
          <w:color w:val="17365D"/>
        </w:rPr>
        <w:t>programmu un apakšprogram</w:t>
      </w:r>
      <w:r w:rsidR="00B36A61">
        <w:rPr>
          <w:rFonts w:cs="Times New Roman"/>
          <w:noProof w:val="0"/>
          <w:color w:val="17365D"/>
        </w:rPr>
        <w:t>m</w:t>
      </w:r>
      <w:r w:rsidR="00F11365" w:rsidRPr="00B36A61">
        <w:rPr>
          <w:rFonts w:cs="Times New Roman"/>
          <w:noProof w:val="0"/>
          <w:color w:val="17365D"/>
        </w:rPr>
        <w:t xml:space="preserve">u </w:t>
      </w:r>
      <w:r w:rsidRPr="00B36A61">
        <w:rPr>
          <w:rFonts w:cs="Times New Roman"/>
          <w:noProof w:val="0"/>
          <w:color w:val="17365D"/>
        </w:rPr>
        <w:t>izpilde 20</w:t>
      </w:r>
      <w:r w:rsidR="00B90A85" w:rsidRPr="00B36A61">
        <w:rPr>
          <w:rFonts w:cs="Times New Roman"/>
          <w:noProof w:val="0"/>
          <w:color w:val="17365D"/>
        </w:rPr>
        <w:t>2</w:t>
      </w:r>
      <w:r w:rsidR="005F0F7D" w:rsidRPr="00B36A61">
        <w:rPr>
          <w:rFonts w:cs="Times New Roman"/>
          <w:noProof w:val="0"/>
          <w:color w:val="17365D"/>
        </w:rPr>
        <w:t>2</w:t>
      </w:r>
      <w:r w:rsidRPr="00B36A61">
        <w:rPr>
          <w:rFonts w:cs="Times New Roman"/>
          <w:noProof w:val="0"/>
          <w:color w:val="17365D"/>
        </w:rPr>
        <w:t>. gadā</w:t>
      </w:r>
    </w:p>
    <w:p w14:paraId="75F7445A" w14:textId="0B6BBFA2" w:rsidR="00D7615D" w:rsidRPr="00B36A61" w:rsidRDefault="00D7615D" w:rsidP="00D7615D">
      <w:pPr>
        <w:pStyle w:val="Pamatteksts"/>
        <w:rPr>
          <w:noProof w:val="0"/>
          <w:color w:val="17365D"/>
        </w:rPr>
      </w:pPr>
      <w:r w:rsidRPr="00B36A61">
        <w:rPr>
          <w:noProof w:val="0"/>
          <w:color w:val="17365D"/>
        </w:rPr>
        <w:t xml:space="preserve">Ministrijas un citas centrālās valsts iestādes noteiktās apropriācijas ietvaros nodrošina valsts pamatbudžeta līdzekļu efektīvu un </w:t>
      </w:r>
      <w:r w:rsidR="00412051" w:rsidRPr="00B36A61">
        <w:rPr>
          <w:noProof w:val="0"/>
          <w:color w:val="17365D"/>
        </w:rPr>
        <w:t>r</w:t>
      </w:r>
      <w:r w:rsidRPr="00B36A61">
        <w:rPr>
          <w:noProof w:val="0"/>
          <w:color w:val="17365D"/>
        </w:rPr>
        <w:t>acionālu izlietojumu atbilstoši Likumam, lai nodrošinātu attiecīgo valsts funkciju izpildi. Detalizēta informācija skatāma 20</w:t>
      </w:r>
      <w:r w:rsidR="008C056E" w:rsidRPr="00B36A61">
        <w:rPr>
          <w:noProof w:val="0"/>
          <w:color w:val="17365D"/>
        </w:rPr>
        <w:t>2</w:t>
      </w:r>
      <w:r w:rsidR="005F0F7D" w:rsidRPr="00B36A61">
        <w:rPr>
          <w:noProof w:val="0"/>
          <w:color w:val="17365D"/>
        </w:rPr>
        <w:t>2</w:t>
      </w:r>
      <w:r w:rsidRPr="00B36A61">
        <w:rPr>
          <w:noProof w:val="0"/>
          <w:color w:val="17365D"/>
        </w:rPr>
        <w:t>. gada pārskata 3.1.4. pielikumā “Likuma par valsts budžetu 4.pielikuma “Valsts pamatbudžeta ieņēmumi un izdevumi pa programmām un apakšprogrammām” izpilde”.</w:t>
      </w:r>
    </w:p>
    <w:p w14:paraId="3ADC7387" w14:textId="03C43E2E" w:rsidR="008505DD" w:rsidRDefault="00D7615D" w:rsidP="0028612D">
      <w:pPr>
        <w:pStyle w:val="Pamatteksts"/>
        <w:rPr>
          <w:noProof w:val="0"/>
          <w:color w:val="17365D"/>
        </w:rPr>
      </w:pPr>
      <w:r w:rsidRPr="00B36A61">
        <w:rPr>
          <w:noProof w:val="0"/>
          <w:color w:val="17365D"/>
        </w:rPr>
        <w:t xml:space="preserve">Valsts pamatbudžeta </w:t>
      </w:r>
      <w:r w:rsidR="00F11365" w:rsidRPr="00B36A61">
        <w:rPr>
          <w:noProof w:val="0"/>
          <w:color w:val="17365D"/>
        </w:rPr>
        <w:t>programmu un apakšprogram</w:t>
      </w:r>
      <w:r w:rsidR="00B36A61">
        <w:rPr>
          <w:noProof w:val="0"/>
          <w:color w:val="17365D"/>
        </w:rPr>
        <w:t>m</w:t>
      </w:r>
      <w:r w:rsidR="00F11365" w:rsidRPr="00B36A61">
        <w:rPr>
          <w:noProof w:val="0"/>
          <w:color w:val="17365D"/>
        </w:rPr>
        <w:t xml:space="preserve">u </w:t>
      </w:r>
      <w:r w:rsidRPr="00B36A61">
        <w:rPr>
          <w:noProof w:val="0"/>
          <w:color w:val="17365D"/>
        </w:rPr>
        <w:t>ieņēmumi 20</w:t>
      </w:r>
      <w:r w:rsidR="008C056E" w:rsidRPr="00B36A61">
        <w:rPr>
          <w:noProof w:val="0"/>
          <w:color w:val="17365D"/>
        </w:rPr>
        <w:t>2</w:t>
      </w:r>
      <w:r w:rsidR="00DA1AF9" w:rsidRPr="00B36A61">
        <w:rPr>
          <w:noProof w:val="0"/>
          <w:color w:val="17365D"/>
        </w:rPr>
        <w:t>2</w:t>
      </w:r>
      <w:r w:rsidRPr="00B36A61">
        <w:rPr>
          <w:noProof w:val="0"/>
          <w:color w:val="17365D"/>
        </w:rPr>
        <w:t xml:space="preserve">. gadā ir </w:t>
      </w:r>
      <w:r w:rsidR="00DA1AF9" w:rsidRPr="00B36A61">
        <w:rPr>
          <w:noProof w:val="0"/>
          <w:color w:val="17365D"/>
        </w:rPr>
        <w:t>8312,5</w:t>
      </w:r>
      <w:r w:rsidRPr="00B36A61">
        <w:rPr>
          <w:noProof w:val="0"/>
          <w:color w:val="17365D"/>
        </w:rPr>
        <w:t> milj. </w:t>
      </w:r>
      <w:r w:rsidRPr="00B36A61">
        <w:rPr>
          <w:i/>
          <w:noProof w:val="0"/>
          <w:color w:val="17365D"/>
        </w:rPr>
        <w:t>euro</w:t>
      </w:r>
      <w:r w:rsidR="00657B1D" w:rsidRPr="00B36A61">
        <w:rPr>
          <w:i/>
          <w:noProof w:val="0"/>
          <w:color w:val="17365D"/>
        </w:rPr>
        <w:t xml:space="preserve"> </w:t>
      </w:r>
      <w:r w:rsidRPr="00B36A61">
        <w:rPr>
          <w:noProof w:val="0"/>
          <w:color w:val="17365D"/>
        </w:rPr>
        <w:t>vērtībā, kas salīdzinājumā ar 20</w:t>
      </w:r>
      <w:r w:rsidR="00151D04" w:rsidRPr="00B36A61">
        <w:rPr>
          <w:noProof w:val="0"/>
          <w:color w:val="17365D"/>
        </w:rPr>
        <w:t>2</w:t>
      </w:r>
      <w:r w:rsidR="00DA1AF9" w:rsidRPr="00B36A61">
        <w:rPr>
          <w:noProof w:val="0"/>
          <w:color w:val="17365D"/>
        </w:rPr>
        <w:t>1</w:t>
      </w:r>
      <w:r w:rsidRPr="00B36A61">
        <w:rPr>
          <w:noProof w:val="0"/>
          <w:color w:val="17365D"/>
        </w:rPr>
        <w:t xml:space="preserve">. gadu ir par </w:t>
      </w:r>
      <w:r w:rsidR="00DA1AF9" w:rsidRPr="00B36A61">
        <w:rPr>
          <w:noProof w:val="0"/>
          <w:color w:val="17365D"/>
        </w:rPr>
        <w:t>89</w:t>
      </w:r>
      <w:r w:rsidR="00F65740" w:rsidRPr="00B36A61">
        <w:rPr>
          <w:noProof w:val="0"/>
          <w:color w:val="17365D"/>
        </w:rPr>
        <w:t>3</w:t>
      </w:r>
      <w:r w:rsidRPr="00B36A61">
        <w:rPr>
          <w:noProof w:val="0"/>
          <w:color w:val="17365D"/>
        </w:rPr>
        <w:t>,</w:t>
      </w:r>
      <w:r w:rsidR="00F65740" w:rsidRPr="00B36A61">
        <w:rPr>
          <w:noProof w:val="0"/>
          <w:color w:val="17365D"/>
        </w:rPr>
        <w:t>9</w:t>
      </w:r>
      <w:r w:rsidRPr="00B36A61">
        <w:rPr>
          <w:noProof w:val="0"/>
          <w:color w:val="17365D"/>
        </w:rPr>
        <w:t> milj. </w:t>
      </w:r>
      <w:r w:rsidRPr="00B36A61">
        <w:rPr>
          <w:i/>
          <w:noProof w:val="0"/>
          <w:color w:val="17365D"/>
        </w:rPr>
        <w:t>euro</w:t>
      </w:r>
      <w:r w:rsidRPr="00B36A61">
        <w:rPr>
          <w:noProof w:val="0"/>
          <w:color w:val="17365D"/>
        </w:rPr>
        <w:t xml:space="preserve"> jeb </w:t>
      </w:r>
      <w:r w:rsidR="00DA1AF9" w:rsidRPr="00B36A61">
        <w:rPr>
          <w:noProof w:val="0"/>
          <w:color w:val="17365D"/>
        </w:rPr>
        <w:t>12,0</w:t>
      </w:r>
      <w:r w:rsidRPr="00B36A61">
        <w:rPr>
          <w:noProof w:val="0"/>
          <w:color w:val="17365D"/>
        </w:rPr>
        <w:t> % vairāk. 20</w:t>
      </w:r>
      <w:r w:rsidR="00C00BEB" w:rsidRPr="00B36A61">
        <w:rPr>
          <w:noProof w:val="0"/>
          <w:color w:val="17365D"/>
        </w:rPr>
        <w:t>2</w:t>
      </w:r>
      <w:r w:rsidR="00835396" w:rsidRPr="00B36A61">
        <w:rPr>
          <w:noProof w:val="0"/>
          <w:color w:val="17365D"/>
        </w:rPr>
        <w:t>2</w:t>
      </w:r>
      <w:r w:rsidRPr="00B36A61">
        <w:rPr>
          <w:noProof w:val="0"/>
          <w:color w:val="17365D"/>
        </w:rPr>
        <w:t xml:space="preserve">. gadā valsts pamatbudžetā saņemti </w:t>
      </w:r>
      <w:r w:rsidR="000F3004" w:rsidRPr="00B36A61">
        <w:rPr>
          <w:noProof w:val="0"/>
          <w:color w:val="17365D"/>
        </w:rPr>
        <w:t>1</w:t>
      </w:r>
      <w:r w:rsidR="00835396" w:rsidRPr="00B36A61">
        <w:rPr>
          <w:noProof w:val="0"/>
          <w:color w:val="17365D"/>
        </w:rPr>
        <w:t>10</w:t>
      </w:r>
      <w:r w:rsidRPr="00B36A61">
        <w:rPr>
          <w:noProof w:val="0"/>
          <w:color w:val="17365D"/>
        </w:rPr>
        <w:t>,</w:t>
      </w:r>
      <w:r w:rsidR="00964DAF" w:rsidRPr="00B36A61">
        <w:rPr>
          <w:noProof w:val="0"/>
          <w:color w:val="17365D"/>
        </w:rPr>
        <w:t>0</w:t>
      </w:r>
      <w:r w:rsidR="00B97E6C" w:rsidRPr="00B36A61">
        <w:rPr>
          <w:noProof w:val="0"/>
          <w:color w:val="17365D"/>
        </w:rPr>
        <w:t> </w:t>
      </w:r>
      <w:r w:rsidRPr="00B36A61">
        <w:rPr>
          <w:noProof w:val="0"/>
          <w:color w:val="17365D"/>
        </w:rPr>
        <w:t xml:space="preserve">% </w:t>
      </w:r>
      <w:r w:rsidR="00B97E6C" w:rsidRPr="00B36A61">
        <w:rPr>
          <w:noProof w:val="0"/>
          <w:color w:val="17365D"/>
        </w:rPr>
        <w:t xml:space="preserve">apmērā </w:t>
      </w:r>
      <w:r w:rsidRPr="00B36A61">
        <w:rPr>
          <w:noProof w:val="0"/>
          <w:color w:val="17365D"/>
        </w:rPr>
        <w:t>no Likumā plānotās gada ieņēmumu kopsummas</w:t>
      </w:r>
      <w:r w:rsidR="00B61975" w:rsidRPr="00B36A61">
        <w:rPr>
          <w:noProof w:val="0"/>
          <w:color w:val="17365D"/>
        </w:rPr>
        <w:t xml:space="preserve"> (skatīt 2</w:t>
      </w:r>
      <w:r w:rsidR="009C3AC7" w:rsidRPr="00B36A61">
        <w:rPr>
          <w:noProof w:val="0"/>
          <w:color w:val="17365D"/>
        </w:rPr>
        <w:t>. tabulu)</w:t>
      </w:r>
      <w:r w:rsidRPr="00B36A61">
        <w:rPr>
          <w:noProof w:val="0"/>
          <w:color w:val="17365D"/>
        </w:rPr>
        <w:t>.</w:t>
      </w:r>
    </w:p>
    <w:p w14:paraId="1AE22A56" w14:textId="77777777" w:rsidR="005123EA" w:rsidRPr="00B36A61" w:rsidRDefault="005123EA" w:rsidP="005123EA">
      <w:pPr>
        <w:pStyle w:val="Pamatteksts"/>
        <w:rPr>
          <w:color w:val="17365D"/>
        </w:rPr>
      </w:pPr>
      <w:r w:rsidRPr="00B36A61">
        <w:rPr>
          <w:color w:val="17365D"/>
        </w:rPr>
        <w:t xml:space="preserve">Ieņēmumu pieaugums valsts pamatbudžetā galvenokārt saistīts ar dotācijas piešķiršanu naftas produktu rezervju uzturēšanai un energoefektivitātes politikas ieviešanā, kā arī ar aktivitāšu palielināšanos Eiropas Reģionālās attīstības fonda projektos un Eiropas </w:t>
      </w:r>
      <w:r w:rsidRPr="00B36A61">
        <w:rPr>
          <w:iCs/>
          <w:color w:val="17365D"/>
        </w:rPr>
        <w:t>Lauksaimniecības</w:t>
      </w:r>
      <w:r w:rsidRPr="00B36A61">
        <w:rPr>
          <w:color w:val="17365D"/>
        </w:rPr>
        <w:t xml:space="preserve"> garantiju fonda (ELGF) projektu un pasākumu īstenošanai (2014-2020) un valsts atbalsts lauksaimniecības un lauku attīstības pasākumu īstenošanai, kā arī</w:t>
      </w:r>
      <w:r w:rsidRPr="00B36A61">
        <w:rPr>
          <w:rFonts w:ascii="Tahoma" w:hAnsi="Tahoma" w:cs="Tahoma"/>
          <w:noProof w:val="0"/>
          <w:color w:val="17365D"/>
          <w:sz w:val="20"/>
          <w:szCs w:val="20"/>
          <w:shd w:val="clear" w:color="auto" w:fill="FFFFFF"/>
        </w:rPr>
        <w:t xml:space="preserve"> </w:t>
      </w:r>
      <w:r w:rsidRPr="00B36A61">
        <w:rPr>
          <w:color w:val="17365D"/>
        </w:rPr>
        <w:t>atbalsta pasākumi pašvaldībām, par apkures izdevumu kompensēšanu mājsaimniecībām un izdevumu segšanai Ukrainas civiliedzīvotājiem.</w:t>
      </w:r>
    </w:p>
    <w:p w14:paraId="08D482E9" w14:textId="4DAD9AA3" w:rsidR="00D7615D" w:rsidRPr="00B36A61" w:rsidRDefault="00B61975" w:rsidP="00D7615D">
      <w:pPr>
        <w:spacing w:before="160" w:after="0"/>
        <w:ind w:firstLine="0"/>
        <w:jc w:val="right"/>
        <w:rPr>
          <w:rFonts w:eastAsia="Arial Unicode MS"/>
          <w:i/>
          <w:color w:val="17365D"/>
          <w:sz w:val="20"/>
        </w:rPr>
      </w:pPr>
      <w:r w:rsidRPr="00B36A61">
        <w:rPr>
          <w:rFonts w:eastAsia="Arial Unicode MS"/>
          <w:i/>
          <w:color w:val="17365D"/>
          <w:sz w:val="20"/>
        </w:rPr>
        <w:t>2</w:t>
      </w:r>
      <w:r w:rsidR="00D7615D" w:rsidRPr="00B36A61">
        <w:rPr>
          <w:rFonts w:eastAsia="Arial Unicode MS"/>
          <w:i/>
          <w:color w:val="17365D"/>
          <w:sz w:val="20"/>
        </w:rPr>
        <w:t xml:space="preserve">. tabula. </w:t>
      </w:r>
      <w:r w:rsidR="004F1E91" w:rsidRPr="00B36A61">
        <w:rPr>
          <w:rFonts w:eastAsia="Arial Unicode MS"/>
          <w:i/>
          <w:color w:val="17365D"/>
          <w:sz w:val="20"/>
        </w:rPr>
        <w:t xml:space="preserve">Valsts </w:t>
      </w:r>
      <w:r w:rsidR="00D7615D" w:rsidRPr="00B36A61">
        <w:rPr>
          <w:bCs/>
          <w:i/>
          <w:color w:val="17365D"/>
          <w:sz w:val="20"/>
          <w:szCs w:val="20"/>
        </w:rPr>
        <w:t>pamatbudžeta</w:t>
      </w:r>
      <w:r w:rsidR="004F1E91" w:rsidRPr="00B36A61">
        <w:rPr>
          <w:bCs/>
          <w:i/>
          <w:color w:val="17365D"/>
          <w:sz w:val="20"/>
          <w:szCs w:val="20"/>
        </w:rPr>
        <w:t xml:space="preserve"> ieņēmum</w:t>
      </w:r>
      <w:r w:rsidR="00833DED" w:rsidRPr="00B36A61">
        <w:rPr>
          <w:bCs/>
          <w:i/>
          <w:color w:val="17365D"/>
          <w:sz w:val="20"/>
          <w:szCs w:val="20"/>
        </w:rPr>
        <w:t>u izmaiņas</w:t>
      </w:r>
      <w:r w:rsidR="0083385F" w:rsidRPr="00B36A61">
        <w:rPr>
          <w:bCs/>
          <w:i/>
          <w:color w:val="17365D"/>
          <w:sz w:val="20"/>
          <w:szCs w:val="20"/>
        </w:rPr>
        <w:t> </w:t>
      </w:r>
      <w:r w:rsidR="00D7615D" w:rsidRPr="00B36A61">
        <w:rPr>
          <w:bCs/>
          <w:i/>
          <w:color w:val="17365D"/>
          <w:sz w:val="20"/>
          <w:szCs w:val="20"/>
        </w:rPr>
        <w:t>(</w:t>
      </w:r>
      <w:r w:rsidR="00D7615D" w:rsidRPr="00B36A61">
        <w:rPr>
          <w:i/>
          <w:color w:val="17365D"/>
          <w:sz w:val="20"/>
        </w:rPr>
        <w:t>euro)</w:t>
      </w:r>
    </w:p>
    <w:tbl>
      <w:tblPr>
        <w:tblStyle w:val="TableGrid"/>
        <w:tblW w:w="9378" w:type="dxa"/>
        <w:tblInd w:w="-5" w:type="dxa"/>
        <w:tblLayout w:type="fixed"/>
        <w:tblLook w:val="04A0" w:firstRow="1" w:lastRow="0" w:firstColumn="1" w:lastColumn="0" w:noHBand="0" w:noVBand="1"/>
      </w:tblPr>
      <w:tblGrid>
        <w:gridCol w:w="901"/>
        <w:gridCol w:w="2573"/>
        <w:gridCol w:w="1486"/>
        <w:gridCol w:w="1486"/>
        <w:gridCol w:w="1623"/>
        <w:gridCol w:w="1309"/>
      </w:tblGrid>
      <w:tr w:rsidR="00B36A61" w:rsidRPr="00B36A61" w14:paraId="09960FDB" w14:textId="741745C0" w:rsidTr="00964DAF">
        <w:trPr>
          <w:trHeight w:val="284"/>
        </w:trPr>
        <w:tc>
          <w:tcPr>
            <w:tcW w:w="901" w:type="dxa"/>
            <w:vMerge w:val="restart"/>
            <w:tcBorders>
              <w:top w:val="nil"/>
              <w:left w:val="nil"/>
              <w:bottom w:val="single" w:sz="4" w:space="0" w:color="17365D"/>
              <w:right w:val="nil"/>
            </w:tcBorders>
            <w:shd w:val="clear" w:color="auto" w:fill="B9CDE5"/>
            <w:vAlign w:val="center"/>
          </w:tcPr>
          <w:p w14:paraId="052F983E" w14:textId="63BCCA70" w:rsidR="0083385F" w:rsidRPr="00B36A61" w:rsidRDefault="0083385F" w:rsidP="00DD63DD">
            <w:pPr>
              <w:pStyle w:val="Pamatteksts"/>
              <w:spacing w:before="60" w:afterLines="30" w:after="72"/>
              <w:ind w:firstLine="0"/>
              <w:jc w:val="center"/>
              <w:rPr>
                <w:b/>
                <w:color w:val="17365D"/>
                <w:sz w:val="20"/>
                <w:szCs w:val="20"/>
              </w:rPr>
            </w:pPr>
            <w:r w:rsidRPr="00B36A61">
              <w:rPr>
                <w:b/>
                <w:color w:val="17365D"/>
                <w:sz w:val="20"/>
                <w:szCs w:val="20"/>
              </w:rPr>
              <w:t>Klasifi</w:t>
            </w:r>
            <w:r w:rsidR="00A01198" w:rsidRPr="00B36A61">
              <w:rPr>
                <w:b/>
                <w:color w:val="17365D"/>
                <w:sz w:val="20"/>
                <w:szCs w:val="20"/>
              </w:rPr>
              <w:t>-</w:t>
            </w:r>
            <w:r w:rsidRPr="00B36A61">
              <w:rPr>
                <w:b/>
                <w:color w:val="17365D"/>
                <w:sz w:val="20"/>
                <w:szCs w:val="20"/>
              </w:rPr>
              <w:t>kācijas kods</w:t>
            </w:r>
          </w:p>
        </w:tc>
        <w:tc>
          <w:tcPr>
            <w:tcW w:w="2573" w:type="dxa"/>
            <w:vMerge w:val="restart"/>
            <w:tcBorders>
              <w:top w:val="nil"/>
              <w:left w:val="nil"/>
              <w:bottom w:val="single" w:sz="4" w:space="0" w:color="17365D"/>
              <w:right w:val="nil"/>
            </w:tcBorders>
            <w:shd w:val="clear" w:color="auto" w:fill="B9CDE5"/>
            <w:vAlign w:val="center"/>
          </w:tcPr>
          <w:p w14:paraId="0DF03939" w14:textId="4C093F95" w:rsidR="0083385F" w:rsidRPr="00B36A61" w:rsidRDefault="0083385F" w:rsidP="00DD63DD">
            <w:pPr>
              <w:pStyle w:val="Pamatteksts"/>
              <w:spacing w:before="60" w:afterLines="30" w:after="72"/>
              <w:ind w:firstLine="0"/>
              <w:jc w:val="center"/>
              <w:rPr>
                <w:b/>
                <w:color w:val="17365D"/>
                <w:sz w:val="20"/>
                <w:szCs w:val="20"/>
              </w:rPr>
            </w:pPr>
            <w:r w:rsidRPr="00B36A61">
              <w:rPr>
                <w:b/>
                <w:color w:val="17365D"/>
                <w:sz w:val="20"/>
                <w:szCs w:val="20"/>
              </w:rPr>
              <w:t>Posteņa nosaukums</w:t>
            </w:r>
          </w:p>
        </w:tc>
        <w:tc>
          <w:tcPr>
            <w:tcW w:w="2972" w:type="dxa"/>
            <w:gridSpan w:val="2"/>
            <w:tcBorders>
              <w:top w:val="nil"/>
              <w:left w:val="nil"/>
              <w:bottom w:val="single" w:sz="4" w:space="0" w:color="17365D"/>
              <w:right w:val="nil"/>
            </w:tcBorders>
            <w:shd w:val="clear" w:color="auto" w:fill="B9CDE5"/>
            <w:vAlign w:val="center"/>
          </w:tcPr>
          <w:p w14:paraId="18E10F5B" w14:textId="7A6D547C" w:rsidR="0083385F" w:rsidRPr="00B36A61" w:rsidRDefault="0083385F" w:rsidP="00DD63DD">
            <w:pPr>
              <w:pStyle w:val="Pamatteksts"/>
              <w:spacing w:before="60" w:afterLines="30" w:after="72"/>
              <w:ind w:firstLine="0"/>
              <w:jc w:val="center"/>
              <w:rPr>
                <w:b/>
                <w:color w:val="17365D"/>
                <w:sz w:val="20"/>
                <w:szCs w:val="20"/>
              </w:rPr>
            </w:pPr>
            <w:r w:rsidRPr="00B36A61">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0829FC43" w14:textId="57672547" w:rsidR="00697F22" w:rsidRPr="00B36A61" w:rsidRDefault="0083385F" w:rsidP="00A36FCF">
            <w:pPr>
              <w:pStyle w:val="Pamatteksts"/>
              <w:spacing w:before="60" w:after="60"/>
              <w:ind w:left="-104" w:right="-112" w:firstLine="0"/>
              <w:jc w:val="center"/>
              <w:rPr>
                <w:b/>
                <w:color w:val="17365D"/>
                <w:sz w:val="20"/>
                <w:szCs w:val="20"/>
              </w:rPr>
            </w:pPr>
            <w:r w:rsidRPr="00B36A61">
              <w:rPr>
                <w:b/>
                <w:color w:val="17365D"/>
                <w:sz w:val="20"/>
                <w:szCs w:val="20"/>
              </w:rPr>
              <w:t>Palielinājums (+), samazinājums (–)</w:t>
            </w:r>
          </w:p>
          <w:p w14:paraId="7B208E1E" w14:textId="560C48F2" w:rsidR="0083385F" w:rsidRPr="00B36A61" w:rsidRDefault="0083385F" w:rsidP="00A36FCF">
            <w:pPr>
              <w:pStyle w:val="Pamatteksts"/>
              <w:spacing w:before="60" w:after="60"/>
              <w:ind w:left="-104" w:right="-112" w:firstLine="0"/>
              <w:jc w:val="center"/>
              <w:rPr>
                <w:b/>
                <w:color w:val="17365D"/>
                <w:sz w:val="20"/>
                <w:szCs w:val="20"/>
              </w:rPr>
            </w:pPr>
            <w:r w:rsidRPr="00B36A61">
              <w:rPr>
                <w:b/>
                <w:color w:val="17365D"/>
                <w:sz w:val="20"/>
                <w:szCs w:val="20"/>
              </w:rPr>
              <w:t>(</w:t>
            </w:r>
            <w:r w:rsidR="000278EF" w:rsidRPr="00B36A61">
              <w:rPr>
                <w:b/>
                <w:color w:val="17365D"/>
                <w:sz w:val="20"/>
                <w:szCs w:val="20"/>
              </w:rPr>
              <w:t>1</w:t>
            </w:r>
            <w:r w:rsidR="00E65C60" w:rsidRPr="00B36A61">
              <w:rPr>
                <w:b/>
                <w:color w:val="17365D"/>
                <w:sz w:val="20"/>
                <w:szCs w:val="20"/>
              </w:rPr>
              <w:t>.</w:t>
            </w:r>
            <w:r w:rsidRPr="00B36A61">
              <w:rPr>
                <w:b/>
                <w:color w:val="17365D"/>
                <w:sz w:val="20"/>
                <w:szCs w:val="20"/>
              </w:rPr>
              <w:t xml:space="preserve">– </w:t>
            </w:r>
            <w:r w:rsidR="000278EF" w:rsidRPr="00B36A61">
              <w:rPr>
                <w:b/>
                <w:color w:val="17365D"/>
                <w:sz w:val="20"/>
                <w:szCs w:val="20"/>
              </w:rPr>
              <w:t>2</w:t>
            </w:r>
            <w:r w:rsidR="00E65C60" w:rsidRPr="00B36A61">
              <w:rPr>
                <w:b/>
                <w:color w:val="17365D"/>
                <w:sz w:val="20"/>
                <w:szCs w:val="20"/>
              </w:rPr>
              <w:t>.</w:t>
            </w:r>
            <w:r w:rsidRPr="00B36A61">
              <w:rPr>
                <w:b/>
                <w:color w:val="17365D"/>
                <w:sz w:val="20"/>
                <w:szCs w:val="20"/>
              </w:rPr>
              <w:t>)</w:t>
            </w:r>
          </w:p>
        </w:tc>
        <w:tc>
          <w:tcPr>
            <w:tcW w:w="1309" w:type="dxa"/>
            <w:vMerge w:val="restart"/>
            <w:tcBorders>
              <w:top w:val="nil"/>
              <w:left w:val="nil"/>
              <w:bottom w:val="single" w:sz="4" w:space="0" w:color="17365D"/>
              <w:right w:val="nil"/>
            </w:tcBorders>
            <w:shd w:val="clear" w:color="auto" w:fill="B9CDE5"/>
            <w:vAlign w:val="center"/>
          </w:tcPr>
          <w:p w14:paraId="6714A798" w14:textId="2CB2F43B" w:rsidR="0083385F" w:rsidRPr="00B36A61" w:rsidRDefault="0083385F" w:rsidP="00DD63DD">
            <w:pPr>
              <w:pStyle w:val="Pamatteksts"/>
              <w:spacing w:before="60" w:afterLines="30" w:after="72"/>
              <w:ind w:firstLine="0"/>
              <w:jc w:val="center"/>
              <w:rPr>
                <w:b/>
                <w:color w:val="17365D"/>
                <w:sz w:val="20"/>
                <w:szCs w:val="20"/>
              </w:rPr>
            </w:pPr>
            <w:r w:rsidRPr="00B36A61">
              <w:rPr>
                <w:b/>
                <w:color w:val="17365D"/>
                <w:sz w:val="20"/>
                <w:szCs w:val="20"/>
              </w:rPr>
              <w:t>Procentuālās izmaiņas</w:t>
            </w:r>
          </w:p>
          <w:p w14:paraId="3BDBDF45" w14:textId="09832E36" w:rsidR="0083385F" w:rsidRPr="00B36A61" w:rsidRDefault="0083385F" w:rsidP="00F000A6">
            <w:pPr>
              <w:pStyle w:val="Pamatteksts"/>
              <w:spacing w:before="60" w:afterLines="30" w:after="72"/>
              <w:ind w:firstLine="0"/>
              <w:jc w:val="center"/>
              <w:rPr>
                <w:b/>
                <w:color w:val="17365D"/>
                <w:sz w:val="20"/>
                <w:szCs w:val="20"/>
              </w:rPr>
            </w:pPr>
            <w:r w:rsidRPr="00B36A61">
              <w:rPr>
                <w:b/>
                <w:color w:val="17365D"/>
                <w:sz w:val="20"/>
                <w:szCs w:val="20"/>
              </w:rPr>
              <w:t>(</w:t>
            </w:r>
            <w:r w:rsidR="00F000A6" w:rsidRPr="00B36A61">
              <w:rPr>
                <w:b/>
                <w:color w:val="17365D"/>
                <w:sz w:val="20"/>
                <w:szCs w:val="20"/>
              </w:rPr>
              <w:t>3</w:t>
            </w:r>
            <w:r w:rsidR="00E65C60" w:rsidRPr="00B36A61">
              <w:rPr>
                <w:b/>
                <w:color w:val="17365D"/>
                <w:sz w:val="20"/>
                <w:szCs w:val="20"/>
              </w:rPr>
              <w:t>.</w:t>
            </w:r>
            <w:r w:rsidRPr="00B36A61">
              <w:rPr>
                <w:b/>
                <w:color w:val="17365D"/>
                <w:sz w:val="20"/>
                <w:szCs w:val="20"/>
              </w:rPr>
              <w:t>/</w:t>
            </w:r>
            <w:r w:rsidR="000278EF" w:rsidRPr="00B36A61">
              <w:rPr>
                <w:b/>
                <w:color w:val="17365D"/>
                <w:sz w:val="20"/>
                <w:szCs w:val="20"/>
              </w:rPr>
              <w:t>2</w:t>
            </w:r>
            <w:r w:rsidR="00E65C60" w:rsidRPr="00B36A61">
              <w:rPr>
                <w:b/>
                <w:color w:val="17365D"/>
                <w:sz w:val="20"/>
                <w:szCs w:val="20"/>
              </w:rPr>
              <w:t>.</w:t>
            </w:r>
            <w:r w:rsidRPr="00B36A61">
              <w:rPr>
                <w:b/>
                <w:color w:val="17365D"/>
                <w:sz w:val="20"/>
                <w:szCs w:val="20"/>
              </w:rPr>
              <w:t xml:space="preserve"> x 100)</w:t>
            </w:r>
          </w:p>
        </w:tc>
      </w:tr>
      <w:tr w:rsidR="00B36A61" w:rsidRPr="00B36A61" w14:paraId="76451F06" w14:textId="6AC41E7D" w:rsidTr="005123EA">
        <w:trPr>
          <w:trHeight w:val="284"/>
        </w:trPr>
        <w:tc>
          <w:tcPr>
            <w:tcW w:w="901" w:type="dxa"/>
            <w:vMerge/>
            <w:tcBorders>
              <w:top w:val="single" w:sz="4" w:space="0" w:color="17365D"/>
              <w:left w:val="nil"/>
              <w:bottom w:val="nil"/>
              <w:right w:val="nil"/>
            </w:tcBorders>
            <w:shd w:val="clear" w:color="auto" w:fill="auto"/>
            <w:vAlign w:val="center"/>
          </w:tcPr>
          <w:p w14:paraId="5CEAFEC7" w14:textId="77777777" w:rsidR="0083385F" w:rsidRPr="00B36A61" w:rsidRDefault="0083385F" w:rsidP="00DD63DD">
            <w:pPr>
              <w:pStyle w:val="Pamatteksts"/>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3E3CF74D" w14:textId="77777777" w:rsidR="0083385F" w:rsidRPr="00B36A61" w:rsidRDefault="0083385F" w:rsidP="00DD63DD">
            <w:pPr>
              <w:pStyle w:val="Pamatteksts"/>
              <w:spacing w:before="60" w:afterLines="30" w:after="72"/>
              <w:ind w:firstLine="0"/>
              <w:jc w:val="center"/>
              <w:rPr>
                <w:color w:val="17365D"/>
                <w:sz w:val="20"/>
                <w:szCs w:val="20"/>
              </w:rPr>
            </w:pPr>
          </w:p>
        </w:tc>
        <w:tc>
          <w:tcPr>
            <w:tcW w:w="1486" w:type="dxa"/>
            <w:tcBorders>
              <w:top w:val="single" w:sz="4" w:space="0" w:color="17365D"/>
              <w:left w:val="nil"/>
              <w:bottom w:val="nil"/>
              <w:right w:val="nil"/>
            </w:tcBorders>
            <w:shd w:val="clear" w:color="auto" w:fill="B9CDE5"/>
            <w:vAlign w:val="center"/>
          </w:tcPr>
          <w:p w14:paraId="04BC62C0" w14:textId="29ABCA08" w:rsidR="0083385F" w:rsidRPr="00B36A61" w:rsidRDefault="0083385F" w:rsidP="00DD63DD">
            <w:pPr>
              <w:spacing w:before="60" w:afterLines="30" w:after="72"/>
              <w:ind w:firstLine="0"/>
              <w:jc w:val="center"/>
              <w:rPr>
                <w:b/>
                <w:noProof/>
                <w:color w:val="17365D"/>
                <w:sz w:val="20"/>
                <w:szCs w:val="20"/>
              </w:rPr>
            </w:pPr>
            <w:r w:rsidRPr="00B36A61">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42744DF2" w14:textId="2ECA3386" w:rsidR="0083385F" w:rsidRPr="00B36A61" w:rsidRDefault="0083385F" w:rsidP="00DD63DD">
            <w:pPr>
              <w:spacing w:before="60" w:afterLines="30" w:after="72"/>
              <w:ind w:firstLine="0"/>
              <w:jc w:val="center"/>
              <w:rPr>
                <w:b/>
                <w:noProof/>
                <w:color w:val="17365D"/>
                <w:sz w:val="20"/>
                <w:szCs w:val="20"/>
              </w:rPr>
            </w:pPr>
            <w:r w:rsidRPr="00B36A61">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2DBA3A14" w14:textId="77777777" w:rsidR="0083385F" w:rsidRPr="00B36A61" w:rsidRDefault="0083385F" w:rsidP="00A36FCF">
            <w:pPr>
              <w:pStyle w:val="Pamatteksts"/>
              <w:spacing w:before="60" w:after="60"/>
              <w:ind w:left="-104" w:right="-112" w:firstLine="0"/>
              <w:jc w:val="center"/>
              <w:rPr>
                <w:b/>
                <w:color w:val="17365D"/>
                <w:sz w:val="20"/>
                <w:szCs w:val="20"/>
              </w:rPr>
            </w:pPr>
          </w:p>
        </w:tc>
        <w:tc>
          <w:tcPr>
            <w:tcW w:w="1309" w:type="dxa"/>
            <w:vMerge/>
            <w:tcBorders>
              <w:top w:val="single" w:sz="4" w:space="0" w:color="17365D"/>
              <w:left w:val="nil"/>
              <w:bottom w:val="nil"/>
              <w:right w:val="nil"/>
            </w:tcBorders>
            <w:shd w:val="clear" w:color="auto" w:fill="auto"/>
            <w:vAlign w:val="center"/>
          </w:tcPr>
          <w:p w14:paraId="00D29B66" w14:textId="77777777" w:rsidR="0083385F" w:rsidRPr="00B36A61" w:rsidRDefault="0083385F" w:rsidP="00DD63DD">
            <w:pPr>
              <w:spacing w:before="60" w:afterLines="30" w:after="72"/>
              <w:ind w:firstLine="0"/>
              <w:jc w:val="center"/>
              <w:rPr>
                <w:color w:val="17365D"/>
                <w:sz w:val="20"/>
                <w:szCs w:val="20"/>
              </w:rPr>
            </w:pPr>
          </w:p>
        </w:tc>
      </w:tr>
      <w:tr w:rsidR="00B36A61" w:rsidRPr="00B36A61" w14:paraId="223251B2" w14:textId="124F63EA" w:rsidTr="00DA1AF9">
        <w:tc>
          <w:tcPr>
            <w:tcW w:w="901" w:type="dxa"/>
            <w:tcBorders>
              <w:top w:val="nil"/>
              <w:left w:val="nil"/>
              <w:bottom w:val="single" w:sz="4" w:space="0" w:color="17365D"/>
              <w:right w:val="nil"/>
            </w:tcBorders>
            <w:shd w:val="clear" w:color="auto" w:fill="auto"/>
            <w:vAlign w:val="center"/>
          </w:tcPr>
          <w:p w14:paraId="54C41839" w14:textId="0317242F" w:rsidR="0083385F" w:rsidRPr="00B36A61" w:rsidRDefault="0083385F" w:rsidP="00E61476">
            <w:pPr>
              <w:pStyle w:val="Pamatteksts"/>
              <w:spacing w:before="40" w:after="40"/>
              <w:ind w:firstLine="0"/>
              <w:jc w:val="center"/>
              <w:rPr>
                <w:b/>
                <w:color w:val="17365D"/>
                <w:sz w:val="20"/>
                <w:szCs w:val="20"/>
              </w:rPr>
            </w:pPr>
            <w:r w:rsidRPr="00B36A61">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01E2240B" w14:textId="6B4389C1" w:rsidR="0083385F" w:rsidRPr="00B36A61" w:rsidRDefault="0083385F" w:rsidP="00E61476">
            <w:pPr>
              <w:pStyle w:val="Pamatteksts"/>
              <w:spacing w:before="40" w:after="40"/>
              <w:ind w:firstLine="0"/>
              <w:jc w:val="center"/>
              <w:rPr>
                <w:b/>
                <w:color w:val="17365D"/>
                <w:sz w:val="20"/>
                <w:szCs w:val="20"/>
              </w:rPr>
            </w:pPr>
            <w:r w:rsidRPr="00B36A61">
              <w:rPr>
                <w:b/>
                <w:color w:val="17365D"/>
                <w:sz w:val="20"/>
                <w:szCs w:val="20"/>
              </w:rPr>
              <w:t>B</w:t>
            </w:r>
          </w:p>
        </w:tc>
        <w:tc>
          <w:tcPr>
            <w:tcW w:w="1486" w:type="dxa"/>
            <w:tcBorders>
              <w:top w:val="nil"/>
              <w:left w:val="nil"/>
              <w:bottom w:val="single" w:sz="4" w:space="0" w:color="17365D"/>
              <w:right w:val="nil"/>
            </w:tcBorders>
            <w:shd w:val="clear" w:color="auto" w:fill="auto"/>
            <w:vAlign w:val="center"/>
          </w:tcPr>
          <w:p w14:paraId="0DEBEC63" w14:textId="30018179" w:rsidR="0083385F" w:rsidRPr="00B36A61" w:rsidRDefault="0083385F" w:rsidP="00E61476">
            <w:pPr>
              <w:pStyle w:val="Pamatteksts"/>
              <w:spacing w:before="40" w:after="40"/>
              <w:ind w:firstLine="0"/>
              <w:jc w:val="center"/>
              <w:rPr>
                <w:b/>
                <w:color w:val="17365D"/>
                <w:sz w:val="20"/>
                <w:szCs w:val="20"/>
              </w:rPr>
            </w:pPr>
            <w:r w:rsidRPr="00B36A61">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41C6AF50" w14:textId="02DEC3D2" w:rsidR="0083385F" w:rsidRPr="00B36A61" w:rsidRDefault="0083385F" w:rsidP="00E61476">
            <w:pPr>
              <w:pStyle w:val="Pamatteksts"/>
              <w:spacing w:before="40" w:after="40"/>
              <w:ind w:firstLine="0"/>
              <w:jc w:val="center"/>
              <w:rPr>
                <w:b/>
                <w:color w:val="17365D"/>
                <w:sz w:val="20"/>
                <w:szCs w:val="20"/>
              </w:rPr>
            </w:pPr>
            <w:r w:rsidRPr="00B36A61">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702149DF" w14:textId="6DF6B8EF" w:rsidR="0083385F" w:rsidRPr="00B36A61" w:rsidRDefault="0083385F" w:rsidP="00A36FCF">
            <w:pPr>
              <w:pStyle w:val="Pamatteksts"/>
              <w:spacing w:before="60" w:after="60"/>
              <w:ind w:left="-104" w:right="-112" w:firstLine="0"/>
              <w:jc w:val="center"/>
              <w:rPr>
                <w:b/>
                <w:color w:val="17365D"/>
                <w:sz w:val="20"/>
                <w:szCs w:val="20"/>
              </w:rPr>
            </w:pPr>
            <w:r w:rsidRPr="00B36A61">
              <w:rPr>
                <w:b/>
                <w:color w:val="17365D"/>
                <w:sz w:val="20"/>
                <w:szCs w:val="20"/>
              </w:rPr>
              <w:t>3</w:t>
            </w:r>
          </w:p>
        </w:tc>
        <w:tc>
          <w:tcPr>
            <w:tcW w:w="1309" w:type="dxa"/>
            <w:tcBorders>
              <w:top w:val="nil"/>
              <w:left w:val="nil"/>
              <w:bottom w:val="single" w:sz="4" w:space="0" w:color="17365D"/>
              <w:right w:val="nil"/>
            </w:tcBorders>
            <w:shd w:val="clear" w:color="auto" w:fill="auto"/>
            <w:vAlign w:val="center"/>
          </w:tcPr>
          <w:p w14:paraId="0AB8B964" w14:textId="28A75C18" w:rsidR="0083385F" w:rsidRPr="00B36A61" w:rsidRDefault="0083385F" w:rsidP="00E61476">
            <w:pPr>
              <w:pStyle w:val="Pamatteksts"/>
              <w:spacing w:before="40" w:after="40"/>
              <w:ind w:firstLine="0"/>
              <w:jc w:val="center"/>
              <w:rPr>
                <w:b/>
                <w:color w:val="17365D"/>
                <w:sz w:val="20"/>
                <w:szCs w:val="20"/>
              </w:rPr>
            </w:pPr>
            <w:r w:rsidRPr="00B36A61">
              <w:rPr>
                <w:b/>
                <w:color w:val="17365D"/>
                <w:sz w:val="20"/>
                <w:szCs w:val="20"/>
              </w:rPr>
              <w:t>4</w:t>
            </w:r>
          </w:p>
        </w:tc>
      </w:tr>
      <w:tr w:rsidR="00B36A61" w:rsidRPr="00B36A61" w14:paraId="2CE9ED3B" w14:textId="7001E310" w:rsidTr="005123EA">
        <w:tc>
          <w:tcPr>
            <w:tcW w:w="901" w:type="dxa"/>
            <w:tcBorders>
              <w:top w:val="single" w:sz="4" w:space="0" w:color="17365D"/>
              <w:left w:val="nil"/>
              <w:bottom w:val="single" w:sz="4" w:space="0" w:color="17365D"/>
              <w:right w:val="nil"/>
            </w:tcBorders>
            <w:shd w:val="clear" w:color="auto" w:fill="auto"/>
            <w:vAlign w:val="center"/>
          </w:tcPr>
          <w:p w14:paraId="7F74CF9C" w14:textId="77777777" w:rsidR="00DA1AF9" w:rsidRPr="00B36A61" w:rsidRDefault="00DA1AF9" w:rsidP="00DA1AF9">
            <w:pPr>
              <w:pStyle w:val="Pamatteksts"/>
              <w:spacing w:before="40" w:after="40"/>
              <w:ind w:firstLine="0"/>
              <w:jc w:val="left"/>
              <w:rPr>
                <w:color w:val="17365D"/>
                <w:sz w:val="20"/>
                <w:szCs w:val="20"/>
              </w:rPr>
            </w:pPr>
          </w:p>
        </w:tc>
        <w:tc>
          <w:tcPr>
            <w:tcW w:w="2573" w:type="dxa"/>
            <w:tcBorders>
              <w:top w:val="single" w:sz="4" w:space="0" w:color="17365D"/>
              <w:left w:val="nil"/>
              <w:bottom w:val="single" w:sz="4" w:space="0" w:color="17365D"/>
              <w:right w:val="nil"/>
            </w:tcBorders>
            <w:shd w:val="clear" w:color="auto" w:fill="auto"/>
            <w:vAlign w:val="center"/>
          </w:tcPr>
          <w:p w14:paraId="3F4D8B7C" w14:textId="26A674EE" w:rsidR="00DA1AF9" w:rsidRPr="00B36A61" w:rsidRDefault="00DA1AF9" w:rsidP="00DA1AF9">
            <w:pPr>
              <w:pStyle w:val="Pamatteksts"/>
              <w:spacing w:before="40" w:after="40"/>
              <w:ind w:firstLine="0"/>
              <w:rPr>
                <w:b/>
                <w:color w:val="17365D"/>
                <w:sz w:val="20"/>
                <w:szCs w:val="20"/>
              </w:rPr>
            </w:pPr>
            <w:r w:rsidRPr="00B36A61">
              <w:rPr>
                <w:b/>
                <w:bCs/>
                <w:color w:val="17365D"/>
                <w:sz w:val="20"/>
                <w:szCs w:val="20"/>
              </w:rPr>
              <w:t>IEŅĒMUMI KOPĀ</w:t>
            </w:r>
          </w:p>
        </w:tc>
        <w:tc>
          <w:tcPr>
            <w:tcW w:w="1486" w:type="dxa"/>
            <w:tcBorders>
              <w:top w:val="single" w:sz="4" w:space="0" w:color="17365D"/>
              <w:left w:val="nil"/>
              <w:bottom w:val="single" w:sz="4" w:space="0" w:color="17365D"/>
              <w:right w:val="nil"/>
            </w:tcBorders>
            <w:shd w:val="clear" w:color="000000" w:fill="FFFFFF"/>
            <w:vAlign w:val="center"/>
          </w:tcPr>
          <w:p w14:paraId="3D6509C3" w14:textId="204A8ACB" w:rsidR="00DA1AF9" w:rsidRPr="00B36A61" w:rsidRDefault="00DA1AF9" w:rsidP="00DA1AF9">
            <w:pPr>
              <w:pStyle w:val="Pamatteksts"/>
              <w:spacing w:before="40" w:after="40"/>
              <w:ind w:firstLine="0"/>
              <w:jc w:val="right"/>
              <w:rPr>
                <w:bCs/>
                <w:color w:val="17365D"/>
                <w:sz w:val="20"/>
                <w:szCs w:val="20"/>
              </w:rPr>
            </w:pPr>
            <w:r w:rsidRPr="00B36A61">
              <w:rPr>
                <w:bCs/>
                <w:color w:val="17365D"/>
                <w:sz w:val="20"/>
                <w:szCs w:val="20"/>
              </w:rPr>
              <w:t>8 312 531 866</w:t>
            </w:r>
          </w:p>
        </w:tc>
        <w:tc>
          <w:tcPr>
            <w:tcW w:w="1486" w:type="dxa"/>
            <w:tcBorders>
              <w:top w:val="single" w:sz="4" w:space="0" w:color="17365D"/>
              <w:left w:val="nil"/>
              <w:bottom w:val="single" w:sz="4" w:space="0" w:color="17365D"/>
              <w:right w:val="nil"/>
            </w:tcBorders>
            <w:shd w:val="clear" w:color="FFFFFF" w:fill="FFFFFF"/>
            <w:vAlign w:val="center"/>
          </w:tcPr>
          <w:p w14:paraId="095F3DC2" w14:textId="391555A1" w:rsidR="00DA1AF9" w:rsidRPr="00B36A61" w:rsidRDefault="00DA1AF9" w:rsidP="00DA1AF9">
            <w:pPr>
              <w:pStyle w:val="Pamatteksts"/>
              <w:spacing w:before="40" w:after="40"/>
              <w:ind w:firstLine="0"/>
              <w:jc w:val="right"/>
              <w:rPr>
                <w:bCs/>
                <w:color w:val="17365D"/>
                <w:sz w:val="20"/>
                <w:szCs w:val="20"/>
              </w:rPr>
            </w:pPr>
            <w:r w:rsidRPr="00B36A61">
              <w:rPr>
                <w:bCs/>
                <w:color w:val="17365D"/>
                <w:sz w:val="20"/>
                <w:szCs w:val="20"/>
              </w:rPr>
              <w:t>7 418 639 075</w:t>
            </w:r>
          </w:p>
        </w:tc>
        <w:tc>
          <w:tcPr>
            <w:tcW w:w="1623" w:type="dxa"/>
            <w:tcBorders>
              <w:top w:val="single" w:sz="4" w:space="0" w:color="17365D"/>
              <w:left w:val="nil"/>
              <w:bottom w:val="single" w:sz="4" w:space="0" w:color="17365D"/>
              <w:right w:val="nil"/>
            </w:tcBorders>
            <w:shd w:val="clear" w:color="auto" w:fill="auto"/>
            <w:vAlign w:val="center"/>
          </w:tcPr>
          <w:p w14:paraId="7117F41B" w14:textId="706A1F97" w:rsidR="00DA1AF9" w:rsidRPr="00B36A61" w:rsidRDefault="00DA1AF9" w:rsidP="00DA1AF9">
            <w:pPr>
              <w:pStyle w:val="Pamatteksts"/>
              <w:spacing w:before="60" w:after="60"/>
              <w:ind w:left="-104" w:right="12" w:firstLine="0"/>
              <w:jc w:val="right"/>
              <w:rPr>
                <w:bCs/>
                <w:color w:val="17365D"/>
                <w:sz w:val="20"/>
                <w:szCs w:val="20"/>
              </w:rPr>
            </w:pPr>
            <w:r w:rsidRPr="00B36A61">
              <w:rPr>
                <w:color w:val="17365D"/>
                <w:sz w:val="20"/>
                <w:szCs w:val="20"/>
              </w:rPr>
              <w:t>893 892 791</w:t>
            </w:r>
          </w:p>
        </w:tc>
        <w:tc>
          <w:tcPr>
            <w:tcW w:w="1309" w:type="dxa"/>
            <w:tcBorders>
              <w:top w:val="single" w:sz="4" w:space="0" w:color="17365D"/>
              <w:left w:val="nil"/>
              <w:bottom w:val="single" w:sz="4" w:space="0" w:color="17365D"/>
              <w:right w:val="nil"/>
            </w:tcBorders>
            <w:shd w:val="clear" w:color="auto" w:fill="auto"/>
            <w:vAlign w:val="center"/>
          </w:tcPr>
          <w:p w14:paraId="1370D573" w14:textId="7DF0DE23"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12.0</w:t>
            </w:r>
          </w:p>
        </w:tc>
      </w:tr>
      <w:tr w:rsidR="00B36A61" w:rsidRPr="00B36A61" w14:paraId="23F2A2C2" w14:textId="77777777" w:rsidTr="005123EA">
        <w:tc>
          <w:tcPr>
            <w:tcW w:w="901" w:type="dxa"/>
            <w:tcBorders>
              <w:top w:val="single" w:sz="4" w:space="0" w:color="17365D"/>
              <w:left w:val="nil"/>
              <w:bottom w:val="single" w:sz="4" w:space="0" w:color="17365D"/>
              <w:right w:val="nil"/>
            </w:tcBorders>
            <w:shd w:val="clear" w:color="auto" w:fill="auto"/>
            <w:vAlign w:val="center"/>
          </w:tcPr>
          <w:p w14:paraId="76F800D9" w14:textId="77737B1A" w:rsidR="00DA1AF9" w:rsidRPr="00B36A61" w:rsidRDefault="00DA1AF9" w:rsidP="00DA1AF9">
            <w:pPr>
              <w:spacing w:before="40" w:after="40"/>
              <w:ind w:firstLine="0"/>
              <w:jc w:val="left"/>
              <w:rPr>
                <w:bCs/>
                <w:color w:val="17365D"/>
                <w:sz w:val="20"/>
                <w:szCs w:val="20"/>
              </w:rPr>
            </w:pPr>
            <w:r w:rsidRPr="00B36A61">
              <w:rPr>
                <w:bCs/>
                <w:color w:val="17365D"/>
                <w:sz w:val="20"/>
                <w:szCs w:val="20"/>
              </w:rPr>
              <w:t>I.</w:t>
            </w:r>
          </w:p>
        </w:tc>
        <w:tc>
          <w:tcPr>
            <w:tcW w:w="2573" w:type="dxa"/>
            <w:tcBorders>
              <w:top w:val="single" w:sz="4" w:space="0" w:color="17365D"/>
              <w:left w:val="nil"/>
              <w:bottom w:val="single" w:sz="4" w:space="0" w:color="17365D"/>
              <w:right w:val="nil"/>
            </w:tcBorders>
            <w:shd w:val="clear" w:color="auto" w:fill="auto"/>
            <w:vAlign w:val="center"/>
          </w:tcPr>
          <w:p w14:paraId="23457BF8" w14:textId="5AE08AED" w:rsidR="00DA1AF9" w:rsidRPr="00B36A61" w:rsidRDefault="00DA1AF9" w:rsidP="00DA1AF9">
            <w:pPr>
              <w:pStyle w:val="Pamatteksts"/>
              <w:spacing w:before="40" w:after="40"/>
              <w:ind w:firstLine="0"/>
              <w:jc w:val="left"/>
              <w:rPr>
                <w:color w:val="17365D"/>
                <w:sz w:val="20"/>
                <w:szCs w:val="20"/>
              </w:rPr>
            </w:pPr>
            <w:r w:rsidRPr="00B36A61">
              <w:rPr>
                <w:bCs/>
                <w:color w:val="17365D"/>
                <w:sz w:val="20"/>
                <w:szCs w:val="20"/>
              </w:rPr>
              <w:t>Resursi izdevumu segšanai</w:t>
            </w:r>
          </w:p>
        </w:tc>
        <w:tc>
          <w:tcPr>
            <w:tcW w:w="1486" w:type="dxa"/>
            <w:tcBorders>
              <w:top w:val="single" w:sz="4" w:space="0" w:color="17365D"/>
              <w:left w:val="nil"/>
              <w:bottom w:val="single" w:sz="4" w:space="0" w:color="17365D"/>
              <w:right w:val="nil"/>
            </w:tcBorders>
            <w:shd w:val="clear" w:color="FFFFFF" w:fill="FFFFFF"/>
            <w:vAlign w:val="center"/>
          </w:tcPr>
          <w:p w14:paraId="365DC806" w14:textId="7B6B1B53"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10 335 928 429</w:t>
            </w:r>
          </w:p>
        </w:tc>
        <w:tc>
          <w:tcPr>
            <w:tcW w:w="1486" w:type="dxa"/>
            <w:tcBorders>
              <w:top w:val="single" w:sz="4" w:space="0" w:color="17365D"/>
              <w:left w:val="nil"/>
              <w:bottom w:val="single" w:sz="4" w:space="0" w:color="17365D"/>
              <w:right w:val="nil"/>
            </w:tcBorders>
            <w:shd w:val="clear" w:color="FFFFFF" w:fill="FFFFFF"/>
            <w:vAlign w:val="center"/>
          </w:tcPr>
          <w:p w14:paraId="46CF5ECD" w14:textId="557020E0"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9 752 769 200</w:t>
            </w:r>
          </w:p>
        </w:tc>
        <w:tc>
          <w:tcPr>
            <w:tcW w:w="1623" w:type="dxa"/>
            <w:tcBorders>
              <w:top w:val="single" w:sz="4" w:space="0" w:color="17365D"/>
              <w:left w:val="nil"/>
              <w:bottom w:val="single" w:sz="4" w:space="0" w:color="17365D"/>
              <w:right w:val="nil"/>
            </w:tcBorders>
            <w:shd w:val="clear" w:color="auto" w:fill="auto"/>
            <w:vAlign w:val="center"/>
          </w:tcPr>
          <w:p w14:paraId="1C74C966" w14:textId="1DD013E2"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583 159 229</w:t>
            </w:r>
          </w:p>
        </w:tc>
        <w:tc>
          <w:tcPr>
            <w:tcW w:w="1309" w:type="dxa"/>
            <w:tcBorders>
              <w:top w:val="single" w:sz="4" w:space="0" w:color="17365D"/>
              <w:left w:val="nil"/>
              <w:bottom w:val="single" w:sz="4" w:space="0" w:color="17365D"/>
              <w:right w:val="nil"/>
            </w:tcBorders>
            <w:shd w:val="clear" w:color="auto" w:fill="auto"/>
            <w:vAlign w:val="center"/>
          </w:tcPr>
          <w:p w14:paraId="475F093F" w14:textId="1C4C45A6"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6.0</w:t>
            </w:r>
          </w:p>
        </w:tc>
      </w:tr>
      <w:tr w:rsidR="00B36A61" w:rsidRPr="00B36A61" w14:paraId="10F67C41" w14:textId="77777777" w:rsidTr="005123EA">
        <w:tc>
          <w:tcPr>
            <w:tcW w:w="901" w:type="dxa"/>
            <w:tcBorders>
              <w:top w:val="single" w:sz="4" w:space="0" w:color="17365D"/>
              <w:left w:val="nil"/>
              <w:bottom w:val="single" w:sz="4" w:space="0" w:color="17365D"/>
              <w:right w:val="nil"/>
            </w:tcBorders>
            <w:shd w:val="clear" w:color="auto" w:fill="auto"/>
            <w:vAlign w:val="center"/>
          </w:tcPr>
          <w:p w14:paraId="7FDD9795" w14:textId="12D7162D" w:rsidR="00DA1AF9" w:rsidRPr="00B36A61" w:rsidRDefault="00DA1AF9" w:rsidP="00DA1AF9">
            <w:pPr>
              <w:pStyle w:val="Pamatteksts"/>
              <w:spacing w:before="40" w:after="40"/>
              <w:ind w:firstLine="0"/>
              <w:jc w:val="left"/>
              <w:rPr>
                <w:color w:val="17365D"/>
                <w:sz w:val="20"/>
                <w:szCs w:val="20"/>
              </w:rPr>
            </w:pPr>
            <w:r w:rsidRPr="00B36A61">
              <w:rPr>
                <w:color w:val="17365D"/>
                <w:sz w:val="20"/>
                <w:szCs w:val="20"/>
              </w:rPr>
              <w:t>3.0.</w:t>
            </w:r>
          </w:p>
        </w:tc>
        <w:tc>
          <w:tcPr>
            <w:tcW w:w="2573" w:type="dxa"/>
            <w:tcBorders>
              <w:top w:val="single" w:sz="4" w:space="0" w:color="17365D"/>
              <w:left w:val="nil"/>
              <w:bottom w:val="single" w:sz="4" w:space="0" w:color="17365D"/>
              <w:right w:val="nil"/>
            </w:tcBorders>
            <w:shd w:val="clear" w:color="auto" w:fill="auto"/>
            <w:vAlign w:val="center"/>
          </w:tcPr>
          <w:p w14:paraId="730D2A88" w14:textId="733E9656" w:rsidR="00DA1AF9" w:rsidRPr="00B36A61" w:rsidRDefault="00DA1AF9" w:rsidP="00DA1AF9">
            <w:pPr>
              <w:pStyle w:val="Pamatteksts"/>
              <w:spacing w:before="40" w:after="40"/>
              <w:ind w:firstLine="0"/>
              <w:jc w:val="left"/>
              <w:rPr>
                <w:color w:val="17365D"/>
                <w:sz w:val="20"/>
                <w:szCs w:val="20"/>
              </w:rPr>
            </w:pPr>
            <w:r w:rsidRPr="00B36A61">
              <w:rPr>
                <w:bCs/>
                <w:color w:val="17365D"/>
                <w:sz w:val="20"/>
                <w:szCs w:val="20"/>
              </w:rPr>
              <w:t>Maksas pakalpojumi un citi pašu ieņēmumi</w:t>
            </w:r>
          </w:p>
        </w:tc>
        <w:tc>
          <w:tcPr>
            <w:tcW w:w="1486" w:type="dxa"/>
            <w:tcBorders>
              <w:top w:val="single" w:sz="4" w:space="0" w:color="17365D"/>
              <w:left w:val="nil"/>
              <w:bottom w:val="single" w:sz="4" w:space="0" w:color="17365D"/>
              <w:right w:val="nil"/>
            </w:tcBorders>
            <w:shd w:val="clear" w:color="000000" w:fill="FFFFFF"/>
            <w:vAlign w:val="center"/>
          </w:tcPr>
          <w:p w14:paraId="7CADCD0B" w14:textId="19E4CFAF"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123 639 450</w:t>
            </w:r>
          </w:p>
        </w:tc>
        <w:tc>
          <w:tcPr>
            <w:tcW w:w="1486" w:type="dxa"/>
            <w:tcBorders>
              <w:top w:val="single" w:sz="4" w:space="0" w:color="17365D"/>
              <w:left w:val="nil"/>
              <w:bottom w:val="single" w:sz="4" w:space="0" w:color="17365D"/>
              <w:right w:val="nil"/>
            </w:tcBorders>
            <w:shd w:val="clear" w:color="000000" w:fill="FFFFFF"/>
            <w:vAlign w:val="center"/>
          </w:tcPr>
          <w:p w14:paraId="32A00892" w14:textId="766F2FA0"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115 861 671</w:t>
            </w:r>
          </w:p>
        </w:tc>
        <w:tc>
          <w:tcPr>
            <w:tcW w:w="1623" w:type="dxa"/>
            <w:tcBorders>
              <w:top w:val="single" w:sz="4" w:space="0" w:color="17365D"/>
              <w:left w:val="nil"/>
              <w:bottom w:val="single" w:sz="4" w:space="0" w:color="17365D"/>
              <w:right w:val="nil"/>
            </w:tcBorders>
            <w:shd w:val="clear" w:color="auto" w:fill="auto"/>
            <w:vAlign w:val="center"/>
          </w:tcPr>
          <w:p w14:paraId="4075A055" w14:textId="19949667"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7 777 779</w:t>
            </w:r>
          </w:p>
        </w:tc>
        <w:tc>
          <w:tcPr>
            <w:tcW w:w="1309" w:type="dxa"/>
            <w:tcBorders>
              <w:top w:val="single" w:sz="4" w:space="0" w:color="17365D"/>
              <w:left w:val="nil"/>
              <w:bottom w:val="single" w:sz="4" w:space="0" w:color="17365D"/>
              <w:right w:val="nil"/>
            </w:tcBorders>
            <w:shd w:val="clear" w:color="auto" w:fill="auto"/>
            <w:vAlign w:val="center"/>
          </w:tcPr>
          <w:p w14:paraId="7B94A7CE" w14:textId="54B2D92A"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6.7</w:t>
            </w:r>
          </w:p>
        </w:tc>
      </w:tr>
      <w:tr w:rsidR="00B36A61" w:rsidRPr="00B36A61" w14:paraId="3D65CD76" w14:textId="77777777" w:rsidTr="005123EA">
        <w:tc>
          <w:tcPr>
            <w:tcW w:w="901" w:type="dxa"/>
            <w:tcBorders>
              <w:top w:val="single" w:sz="4" w:space="0" w:color="17365D"/>
              <w:left w:val="nil"/>
              <w:bottom w:val="single" w:sz="4" w:space="0" w:color="17365D"/>
              <w:right w:val="nil"/>
            </w:tcBorders>
            <w:shd w:val="clear" w:color="auto" w:fill="auto"/>
            <w:vAlign w:val="center"/>
          </w:tcPr>
          <w:p w14:paraId="4A7630F8" w14:textId="217373CF" w:rsidR="00DA1AF9" w:rsidRPr="00B36A61" w:rsidRDefault="00DA1AF9" w:rsidP="00DA1AF9">
            <w:pPr>
              <w:pStyle w:val="Pamatteksts"/>
              <w:spacing w:before="40" w:after="40"/>
              <w:ind w:firstLine="0"/>
              <w:jc w:val="left"/>
              <w:rPr>
                <w:color w:val="17365D"/>
                <w:sz w:val="20"/>
                <w:szCs w:val="20"/>
              </w:rPr>
            </w:pPr>
            <w:r w:rsidRPr="00B36A61">
              <w:rPr>
                <w:color w:val="17365D"/>
                <w:sz w:val="20"/>
                <w:szCs w:val="20"/>
              </w:rPr>
              <w:t>4.0.</w:t>
            </w:r>
          </w:p>
        </w:tc>
        <w:tc>
          <w:tcPr>
            <w:tcW w:w="2573" w:type="dxa"/>
            <w:tcBorders>
              <w:top w:val="single" w:sz="4" w:space="0" w:color="17365D"/>
              <w:left w:val="nil"/>
              <w:bottom w:val="single" w:sz="4" w:space="0" w:color="17365D"/>
              <w:right w:val="nil"/>
            </w:tcBorders>
            <w:shd w:val="clear" w:color="auto" w:fill="auto"/>
            <w:vAlign w:val="center"/>
          </w:tcPr>
          <w:p w14:paraId="33418684" w14:textId="741AEC68" w:rsidR="00DA1AF9" w:rsidRPr="00B36A61" w:rsidRDefault="00DA1AF9" w:rsidP="00DA1AF9">
            <w:pPr>
              <w:pStyle w:val="Pamatteksts"/>
              <w:spacing w:before="40" w:after="40"/>
              <w:ind w:firstLine="0"/>
              <w:jc w:val="left"/>
              <w:rPr>
                <w:bCs/>
                <w:color w:val="17365D"/>
                <w:sz w:val="20"/>
                <w:szCs w:val="20"/>
              </w:rPr>
            </w:pPr>
            <w:r w:rsidRPr="00B36A61">
              <w:rPr>
                <w:bCs/>
                <w:color w:val="17365D"/>
                <w:sz w:val="20"/>
                <w:szCs w:val="20"/>
              </w:rPr>
              <w:t>Ārvalstu finanšu palīdzība</w:t>
            </w:r>
          </w:p>
        </w:tc>
        <w:tc>
          <w:tcPr>
            <w:tcW w:w="1486" w:type="dxa"/>
            <w:tcBorders>
              <w:top w:val="single" w:sz="4" w:space="0" w:color="17365D"/>
              <w:left w:val="nil"/>
              <w:bottom w:val="single" w:sz="4" w:space="0" w:color="17365D"/>
              <w:right w:val="nil"/>
            </w:tcBorders>
            <w:shd w:val="clear" w:color="000000" w:fill="FFFFFF"/>
            <w:vAlign w:val="center"/>
          </w:tcPr>
          <w:p w14:paraId="6CF1E9A0" w14:textId="39C2A727"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100 776 233</w:t>
            </w:r>
          </w:p>
        </w:tc>
        <w:tc>
          <w:tcPr>
            <w:tcW w:w="1486" w:type="dxa"/>
            <w:tcBorders>
              <w:top w:val="single" w:sz="4" w:space="0" w:color="17365D"/>
              <w:left w:val="nil"/>
              <w:bottom w:val="single" w:sz="4" w:space="0" w:color="17365D"/>
              <w:right w:val="nil"/>
            </w:tcBorders>
            <w:shd w:val="clear" w:color="000000" w:fill="FFFFFF"/>
            <w:vAlign w:val="center"/>
          </w:tcPr>
          <w:p w14:paraId="179CA134" w14:textId="5D52FF31"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100 839 743</w:t>
            </w:r>
          </w:p>
        </w:tc>
        <w:tc>
          <w:tcPr>
            <w:tcW w:w="1623" w:type="dxa"/>
            <w:tcBorders>
              <w:top w:val="single" w:sz="4" w:space="0" w:color="17365D"/>
              <w:left w:val="nil"/>
              <w:bottom w:val="single" w:sz="4" w:space="0" w:color="17365D"/>
              <w:right w:val="nil"/>
            </w:tcBorders>
            <w:shd w:val="clear" w:color="auto" w:fill="auto"/>
            <w:vAlign w:val="center"/>
          </w:tcPr>
          <w:p w14:paraId="6EE107F4" w14:textId="4289B712"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-63 510</w:t>
            </w:r>
          </w:p>
        </w:tc>
        <w:tc>
          <w:tcPr>
            <w:tcW w:w="1309" w:type="dxa"/>
            <w:tcBorders>
              <w:top w:val="single" w:sz="4" w:space="0" w:color="17365D"/>
              <w:left w:val="nil"/>
              <w:bottom w:val="single" w:sz="4" w:space="0" w:color="17365D"/>
              <w:right w:val="nil"/>
            </w:tcBorders>
            <w:shd w:val="clear" w:color="auto" w:fill="auto"/>
            <w:vAlign w:val="center"/>
          </w:tcPr>
          <w:p w14:paraId="49FB0118" w14:textId="338B117A"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-0.1</w:t>
            </w:r>
          </w:p>
        </w:tc>
      </w:tr>
      <w:tr w:rsidR="00B36A61" w:rsidRPr="00B36A61" w14:paraId="761CBEDA" w14:textId="77777777" w:rsidTr="005123EA">
        <w:tc>
          <w:tcPr>
            <w:tcW w:w="901" w:type="dxa"/>
            <w:tcBorders>
              <w:top w:val="single" w:sz="4" w:space="0" w:color="17365D"/>
              <w:left w:val="nil"/>
              <w:bottom w:val="single" w:sz="4" w:space="0" w:color="17365D"/>
              <w:right w:val="nil"/>
            </w:tcBorders>
            <w:shd w:val="clear" w:color="auto" w:fill="auto"/>
            <w:vAlign w:val="center"/>
          </w:tcPr>
          <w:p w14:paraId="2220F3E8" w14:textId="6BC82A96" w:rsidR="00DA1AF9" w:rsidRPr="00B36A61" w:rsidRDefault="00DA1AF9" w:rsidP="00DA1AF9">
            <w:pPr>
              <w:pStyle w:val="Pamatteksts"/>
              <w:spacing w:before="40" w:after="40"/>
              <w:ind w:firstLine="0"/>
              <w:jc w:val="left"/>
              <w:rPr>
                <w:color w:val="17365D"/>
                <w:sz w:val="20"/>
                <w:szCs w:val="20"/>
              </w:rPr>
            </w:pPr>
            <w:r w:rsidRPr="00B36A61">
              <w:rPr>
                <w:color w:val="17365D"/>
                <w:sz w:val="20"/>
                <w:szCs w:val="20"/>
              </w:rPr>
              <w:t>5.0.</w:t>
            </w:r>
          </w:p>
        </w:tc>
        <w:tc>
          <w:tcPr>
            <w:tcW w:w="2573" w:type="dxa"/>
            <w:tcBorders>
              <w:top w:val="single" w:sz="4" w:space="0" w:color="17365D"/>
              <w:left w:val="nil"/>
              <w:bottom w:val="single" w:sz="4" w:space="0" w:color="17365D"/>
              <w:right w:val="nil"/>
            </w:tcBorders>
            <w:shd w:val="clear" w:color="auto" w:fill="auto"/>
            <w:vAlign w:val="center"/>
          </w:tcPr>
          <w:p w14:paraId="6539DFB9" w14:textId="0F378C8C" w:rsidR="00DA1AF9" w:rsidRPr="00B36A61" w:rsidRDefault="00DA1AF9" w:rsidP="00DA1AF9">
            <w:pPr>
              <w:pStyle w:val="Pamatteksts"/>
              <w:spacing w:before="40" w:after="40"/>
              <w:ind w:firstLine="0"/>
              <w:jc w:val="left"/>
              <w:rPr>
                <w:color w:val="17365D"/>
                <w:sz w:val="20"/>
                <w:szCs w:val="20"/>
              </w:rPr>
            </w:pPr>
            <w:r w:rsidRPr="00B36A61">
              <w:rPr>
                <w:bCs/>
                <w:color w:val="17365D"/>
                <w:sz w:val="20"/>
                <w:szCs w:val="20"/>
              </w:rPr>
              <w:t>Transferti</w:t>
            </w:r>
          </w:p>
        </w:tc>
        <w:tc>
          <w:tcPr>
            <w:tcW w:w="1486" w:type="dxa"/>
            <w:tcBorders>
              <w:top w:val="single" w:sz="4" w:space="0" w:color="17365D"/>
              <w:left w:val="nil"/>
              <w:bottom w:val="single" w:sz="4" w:space="0" w:color="17365D"/>
              <w:right w:val="nil"/>
            </w:tcBorders>
            <w:shd w:val="clear" w:color="000000" w:fill="FFFFFF"/>
            <w:vAlign w:val="center"/>
          </w:tcPr>
          <w:p w14:paraId="6A655EAE" w14:textId="6742A888"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6 248 747</w:t>
            </w:r>
          </w:p>
        </w:tc>
        <w:tc>
          <w:tcPr>
            <w:tcW w:w="1486" w:type="dxa"/>
            <w:tcBorders>
              <w:top w:val="single" w:sz="4" w:space="0" w:color="17365D"/>
              <w:left w:val="nil"/>
              <w:bottom w:val="single" w:sz="4" w:space="0" w:color="17365D"/>
              <w:right w:val="nil"/>
            </w:tcBorders>
            <w:shd w:val="clear" w:color="000000" w:fill="FFFFFF"/>
            <w:vAlign w:val="center"/>
          </w:tcPr>
          <w:p w14:paraId="4DEE234F" w14:textId="070C10C5"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7 319 730</w:t>
            </w:r>
          </w:p>
        </w:tc>
        <w:tc>
          <w:tcPr>
            <w:tcW w:w="1623" w:type="dxa"/>
            <w:tcBorders>
              <w:top w:val="single" w:sz="4" w:space="0" w:color="17365D"/>
              <w:left w:val="nil"/>
              <w:bottom w:val="single" w:sz="4" w:space="0" w:color="17365D"/>
              <w:right w:val="nil"/>
            </w:tcBorders>
            <w:shd w:val="clear" w:color="auto" w:fill="auto"/>
            <w:vAlign w:val="center"/>
          </w:tcPr>
          <w:p w14:paraId="43CD6F55" w14:textId="1C52289D"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-1 070 983</w:t>
            </w:r>
          </w:p>
        </w:tc>
        <w:tc>
          <w:tcPr>
            <w:tcW w:w="1309" w:type="dxa"/>
            <w:tcBorders>
              <w:top w:val="single" w:sz="4" w:space="0" w:color="17365D"/>
              <w:left w:val="nil"/>
              <w:bottom w:val="single" w:sz="4" w:space="0" w:color="17365D"/>
              <w:right w:val="nil"/>
            </w:tcBorders>
            <w:shd w:val="clear" w:color="auto" w:fill="auto"/>
            <w:vAlign w:val="center"/>
          </w:tcPr>
          <w:p w14:paraId="3B34DD5B" w14:textId="184A3B16"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-14.6</w:t>
            </w:r>
          </w:p>
        </w:tc>
      </w:tr>
      <w:tr w:rsidR="00B36A61" w:rsidRPr="00B36A61" w14:paraId="663790E5" w14:textId="77777777" w:rsidTr="005123EA">
        <w:tc>
          <w:tcPr>
            <w:tcW w:w="901" w:type="dxa"/>
            <w:tcBorders>
              <w:top w:val="single" w:sz="4" w:space="0" w:color="17365D"/>
              <w:left w:val="nil"/>
              <w:bottom w:val="nil"/>
              <w:right w:val="nil"/>
            </w:tcBorders>
            <w:shd w:val="clear" w:color="auto" w:fill="auto"/>
            <w:vAlign w:val="center"/>
          </w:tcPr>
          <w:p w14:paraId="6D005961" w14:textId="476ADFB7" w:rsidR="00DA1AF9" w:rsidRPr="00B36A61" w:rsidRDefault="00DA1AF9" w:rsidP="00DA1AF9">
            <w:pPr>
              <w:pStyle w:val="Pamatteksts"/>
              <w:spacing w:before="40" w:after="40"/>
              <w:ind w:firstLine="0"/>
              <w:jc w:val="left"/>
              <w:rPr>
                <w:color w:val="17365D"/>
                <w:sz w:val="20"/>
                <w:szCs w:val="20"/>
              </w:rPr>
            </w:pPr>
            <w:r w:rsidRPr="00B36A61">
              <w:rPr>
                <w:color w:val="17365D"/>
                <w:sz w:val="20"/>
                <w:szCs w:val="20"/>
              </w:rPr>
              <w:t>7.0.</w:t>
            </w:r>
          </w:p>
        </w:tc>
        <w:tc>
          <w:tcPr>
            <w:tcW w:w="2573" w:type="dxa"/>
            <w:tcBorders>
              <w:top w:val="single" w:sz="4" w:space="0" w:color="17365D"/>
              <w:left w:val="nil"/>
              <w:bottom w:val="nil"/>
              <w:right w:val="nil"/>
            </w:tcBorders>
            <w:shd w:val="clear" w:color="auto" w:fill="auto"/>
            <w:vAlign w:val="center"/>
          </w:tcPr>
          <w:p w14:paraId="4171D1DA" w14:textId="258308EE" w:rsidR="00DA1AF9" w:rsidRPr="00B36A61" w:rsidRDefault="00DA1AF9" w:rsidP="00DA1AF9">
            <w:pPr>
              <w:pStyle w:val="Pamatteksts"/>
              <w:spacing w:before="40" w:after="40"/>
              <w:ind w:firstLine="0"/>
              <w:jc w:val="left"/>
              <w:rPr>
                <w:color w:val="17365D"/>
                <w:sz w:val="20"/>
                <w:szCs w:val="20"/>
              </w:rPr>
            </w:pPr>
            <w:r w:rsidRPr="00B36A61">
              <w:rPr>
                <w:color w:val="17365D"/>
                <w:sz w:val="20"/>
                <w:szCs w:val="20"/>
              </w:rPr>
              <w:t>Dotācija no vispārējiem ieņēmumiem</w:t>
            </w:r>
          </w:p>
        </w:tc>
        <w:tc>
          <w:tcPr>
            <w:tcW w:w="1486" w:type="dxa"/>
            <w:tcBorders>
              <w:top w:val="single" w:sz="4" w:space="0" w:color="17365D"/>
              <w:left w:val="nil"/>
              <w:bottom w:val="nil"/>
              <w:right w:val="nil"/>
            </w:tcBorders>
            <w:shd w:val="clear" w:color="000000" w:fill="FFFFFF"/>
            <w:vAlign w:val="center"/>
          </w:tcPr>
          <w:p w14:paraId="7A83A3A1" w14:textId="3665EED5"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10 105 263 999</w:t>
            </w:r>
          </w:p>
        </w:tc>
        <w:tc>
          <w:tcPr>
            <w:tcW w:w="1486" w:type="dxa"/>
            <w:tcBorders>
              <w:top w:val="single" w:sz="4" w:space="0" w:color="17365D"/>
              <w:left w:val="nil"/>
              <w:bottom w:val="nil"/>
              <w:right w:val="nil"/>
            </w:tcBorders>
            <w:shd w:val="clear" w:color="000000" w:fill="FFFFFF"/>
            <w:vAlign w:val="center"/>
          </w:tcPr>
          <w:p w14:paraId="27295A2A" w14:textId="286BA3FC"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9 528 748 056</w:t>
            </w:r>
          </w:p>
        </w:tc>
        <w:tc>
          <w:tcPr>
            <w:tcW w:w="1623" w:type="dxa"/>
            <w:tcBorders>
              <w:top w:val="single" w:sz="4" w:space="0" w:color="17365D"/>
              <w:left w:val="nil"/>
              <w:bottom w:val="nil"/>
              <w:right w:val="nil"/>
            </w:tcBorders>
            <w:shd w:val="clear" w:color="auto" w:fill="auto"/>
            <w:vAlign w:val="center"/>
          </w:tcPr>
          <w:p w14:paraId="7874CEB4" w14:textId="4BAA650F"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576 515 943</w:t>
            </w:r>
          </w:p>
        </w:tc>
        <w:tc>
          <w:tcPr>
            <w:tcW w:w="1309" w:type="dxa"/>
            <w:tcBorders>
              <w:top w:val="single" w:sz="4" w:space="0" w:color="17365D"/>
              <w:left w:val="nil"/>
              <w:bottom w:val="nil"/>
              <w:right w:val="nil"/>
            </w:tcBorders>
            <w:shd w:val="clear" w:color="auto" w:fill="auto"/>
            <w:vAlign w:val="center"/>
          </w:tcPr>
          <w:p w14:paraId="342ABA3D" w14:textId="3BD29F82" w:rsidR="00DA1AF9" w:rsidRPr="00B36A61" w:rsidRDefault="00DA1AF9" w:rsidP="00DA1AF9">
            <w:pPr>
              <w:pStyle w:val="Pamatteksts"/>
              <w:spacing w:before="40" w:after="40"/>
              <w:ind w:firstLine="0"/>
              <w:jc w:val="right"/>
              <w:rPr>
                <w:bCs/>
                <w:color w:val="17365D"/>
                <w:sz w:val="20"/>
                <w:szCs w:val="20"/>
              </w:rPr>
            </w:pPr>
            <w:r w:rsidRPr="00B36A61">
              <w:rPr>
                <w:color w:val="17365D"/>
                <w:sz w:val="20"/>
                <w:szCs w:val="20"/>
              </w:rPr>
              <w:t>6.1</w:t>
            </w:r>
          </w:p>
        </w:tc>
      </w:tr>
      <w:tr w:rsidR="00B36A61" w:rsidRPr="00B36A61" w14:paraId="5F1B5672" w14:textId="77777777" w:rsidTr="005123EA">
        <w:tc>
          <w:tcPr>
            <w:tcW w:w="901" w:type="dxa"/>
            <w:tcBorders>
              <w:top w:val="nil"/>
              <w:left w:val="nil"/>
              <w:bottom w:val="nil"/>
              <w:right w:val="nil"/>
            </w:tcBorders>
            <w:shd w:val="clear" w:color="auto" w:fill="B9CDE5"/>
            <w:vAlign w:val="center"/>
          </w:tcPr>
          <w:p w14:paraId="0D5C29A0" w14:textId="77777777" w:rsidR="00365401" w:rsidRPr="00B36A61" w:rsidRDefault="00365401" w:rsidP="00365401">
            <w:pPr>
              <w:pStyle w:val="Pamatteksts"/>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23B59F6A" w14:textId="77777777" w:rsidR="00365401" w:rsidRPr="00B36A61" w:rsidRDefault="00365401" w:rsidP="00365401">
            <w:pPr>
              <w:pStyle w:val="Pamatteksts"/>
              <w:spacing w:before="40" w:after="40"/>
              <w:ind w:firstLine="0"/>
              <w:jc w:val="left"/>
              <w:rPr>
                <w:color w:val="17365D"/>
                <w:sz w:val="20"/>
                <w:szCs w:val="20"/>
              </w:rPr>
            </w:pPr>
          </w:p>
        </w:tc>
        <w:tc>
          <w:tcPr>
            <w:tcW w:w="1486" w:type="dxa"/>
            <w:tcBorders>
              <w:top w:val="nil"/>
              <w:left w:val="nil"/>
              <w:bottom w:val="nil"/>
              <w:right w:val="nil"/>
            </w:tcBorders>
            <w:shd w:val="clear" w:color="auto" w:fill="B9CDE5"/>
            <w:vAlign w:val="center"/>
          </w:tcPr>
          <w:p w14:paraId="09B17982" w14:textId="77777777" w:rsidR="00365401" w:rsidRPr="00B36A61" w:rsidRDefault="00365401" w:rsidP="00365401">
            <w:pPr>
              <w:pStyle w:val="Pamatteksts"/>
              <w:spacing w:before="40" w:after="40"/>
              <w:ind w:firstLine="0"/>
              <w:jc w:val="right"/>
              <w:rPr>
                <w:bCs/>
                <w:color w:val="17365D"/>
                <w:sz w:val="20"/>
                <w:szCs w:val="20"/>
              </w:rPr>
            </w:pPr>
          </w:p>
        </w:tc>
        <w:tc>
          <w:tcPr>
            <w:tcW w:w="1486" w:type="dxa"/>
            <w:tcBorders>
              <w:top w:val="nil"/>
              <w:left w:val="nil"/>
              <w:bottom w:val="nil"/>
              <w:right w:val="nil"/>
            </w:tcBorders>
            <w:shd w:val="clear" w:color="auto" w:fill="B9CDE5"/>
            <w:vAlign w:val="center"/>
          </w:tcPr>
          <w:p w14:paraId="788F1517" w14:textId="77777777" w:rsidR="00365401" w:rsidRPr="00B36A61" w:rsidRDefault="00365401" w:rsidP="00365401">
            <w:pPr>
              <w:pStyle w:val="Pamatteksts"/>
              <w:spacing w:before="40" w:after="40"/>
              <w:ind w:firstLine="0"/>
              <w:jc w:val="right"/>
              <w:rPr>
                <w:bCs/>
                <w:color w:val="17365D"/>
                <w:sz w:val="20"/>
                <w:szCs w:val="20"/>
              </w:rPr>
            </w:pPr>
          </w:p>
        </w:tc>
        <w:tc>
          <w:tcPr>
            <w:tcW w:w="1623" w:type="dxa"/>
            <w:tcBorders>
              <w:top w:val="nil"/>
              <w:left w:val="nil"/>
              <w:bottom w:val="nil"/>
              <w:right w:val="nil"/>
            </w:tcBorders>
            <w:shd w:val="clear" w:color="auto" w:fill="B9CDE5"/>
            <w:vAlign w:val="center"/>
          </w:tcPr>
          <w:p w14:paraId="2428FB48" w14:textId="77777777" w:rsidR="00365401" w:rsidRPr="00B36A61" w:rsidRDefault="00365401" w:rsidP="00365401">
            <w:pPr>
              <w:pStyle w:val="Pamatteksts"/>
              <w:spacing w:before="60" w:after="60"/>
              <w:ind w:left="-104" w:right="-112" w:firstLine="0"/>
              <w:jc w:val="right"/>
              <w:rPr>
                <w:bCs/>
                <w:color w:val="17365D"/>
                <w:sz w:val="20"/>
                <w:szCs w:val="20"/>
              </w:rPr>
            </w:pPr>
          </w:p>
        </w:tc>
        <w:tc>
          <w:tcPr>
            <w:tcW w:w="1309" w:type="dxa"/>
            <w:tcBorders>
              <w:top w:val="nil"/>
              <w:left w:val="nil"/>
              <w:bottom w:val="nil"/>
              <w:right w:val="nil"/>
            </w:tcBorders>
            <w:shd w:val="clear" w:color="auto" w:fill="B9CDE5"/>
            <w:vAlign w:val="center"/>
          </w:tcPr>
          <w:p w14:paraId="533CD099" w14:textId="77777777" w:rsidR="00365401" w:rsidRPr="00B36A61" w:rsidRDefault="00365401" w:rsidP="00365401">
            <w:pPr>
              <w:pStyle w:val="Pamatteksts"/>
              <w:spacing w:before="40" w:after="40"/>
              <w:ind w:firstLine="0"/>
              <w:jc w:val="right"/>
              <w:rPr>
                <w:bCs/>
                <w:color w:val="17365D"/>
                <w:sz w:val="20"/>
                <w:szCs w:val="20"/>
              </w:rPr>
            </w:pPr>
          </w:p>
        </w:tc>
      </w:tr>
    </w:tbl>
    <w:p w14:paraId="38B4451D" w14:textId="77777777" w:rsidR="005123EA" w:rsidRDefault="005123EA" w:rsidP="00A9204F">
      <w:pPr>
        <w:pStyle w:val="Pamatteksts"/>
        <w:rPr>
          <w:noProof w:val="0"/>
          <w:color w:val="17365D"/>
        </w:rPr>
      </w:pPr>
    </w:p>
    <w:p w14:paraId="1B8D61D0" w14:textId="2DD753BD" w:rsidR="00A9204F" w:rsidRPr="00B36A61" w:rsidRDefault="00D7615D" w:rsidP="00A9204F">
      <w:pPr>
        <w:pStyle w:val="Pamatteksts"/>
        <w:rPr>
          <w:noProof w:val="0"/>
          <w:vanish/>
          <w:color w:val="17365D"/>
          <w:specVanish/>
        </w:rPr>
      </w:pPr>
      <w:r w:rsidRPr="00B36A61">
        <w:rPr>
          <w:noProof w:val="0"/>
          <w:color w:val="17365D"/>
        </w:rPr>
        <w:t xml:space="preserve">Valsts pamatbudžeta izdevumi ir </w:t>
      </w:r>
      <w:r w:rsidR="00F7544A" w:rsidRPr="00B36A61">
        <w:rPr>
          <w:noProof w:val="0"/>
          <w:color w:val="17365D"/>
        </w:rPr>
        <w:t>10 179,4 </w:t>
      </w:r>
      <w:r w:rsidRPr="00B36A61">
        <w:rPr>
          <w:noProof w:val="0"/>
          <w:color w:val="17365D"/>
        </w:rPr>
        <w:t>milj. </w:t>
      </w:r>
      <w:r w:rsidRPr="00B36A61">
        <w:rPr>
          <w:i/>
          <w:noProof w:val="0"/>
          <w:color w:val="17365D"/>
        </w:rPr>
        <w:t>euro</w:t>
      </w:r>
      <w:r w:rsidRPr="00B36A61">
        <w:rPr>
          <w:noProof w:val="0"/>
          <w:color w:val="17365D"/>
        </w:rPr>
        <w:t xml:space="preserve"> vērtībā, kas salīdzinājumā ar 20</w:t>
      </w:r>
      <w:r w:rsidR="00662A56" w:rsidRPr="00B36A61">
        <w:rPr>
          <w:noProof w:val="0"/>
          <w:color w:val="17365D"/>
        </w:rPr>
        <w:t>2</w:t>
      </w:r>
      <w:r w:rsidR="00F7544A" w:rsidRPr="00B36A61">
        <w:rPr>
          <w:noProof w:val="0"/>
          <w:color w:val="17365D"/>
        </w:rPr>
        <w:t>1</w:t>
      </w:r>
      <w:r w:rsidRPr="00B36A61">
        <w:rPr>
          <w:noProof w:val="0"/>
          <w:color w:val="17365D"/>
        </w:rPr>
        <w:t xml:space="preserve">. gadu ir par </w:t>
      </w:r>
      <w:r w:rsidR="00F7544A" w:rsidRPr="00B36A61">
        <w:rPr>
          <w:noProof w:val="0"/>
          <w:color w:val="17365D"/>
        </w:rPr>
        <w:t>770</w:t>
      </w:r>
      <w:r w:rsidRPr="00B36A61">
        <w:rPr>
          <w:noProof w:val="0"/>
          <w:color w:val="17365D"/>
        </w:rPr>
        <w:t>,</w:t>
      </w:r>
      <w:r w:rsidR="00F7544A" w:rsidRPr="00B36A61">
        <w:rPr>
          <w:noProof w:val="0"/>
          <w:color w:val="17365D"/>
        </w:rPr>
        <w:t>6</w:t>
      </w:r>
      <w:r w:rsidRPr="00B36A61">
        <w:rPr>
          <w:noProof w:val="0"/>
          <w:color w:val="17365D"/>
        </w:rPr>
        <w:t> milj. </w:t>
      </w:r>
      <w:r w:rsidRPr="00B36A61">
        <w:rPr>
          <w:i/>
          <w:noProof w:val="0"/>
          <w:color w:val="17365D"/>
        </w:rPr>
        <w:t>euro</w:t>
      </w:r>
      <w:r w:rsidRPr="00B36A61">
        <w:rPr>
          <w:noProof w:val="0"/>
          <w:color w:val="17365D"/>
        </w:rPr>
        <w:t xml:space="preserve"> jeb </w:t>
      </w:r>
      <w:r w:rsidR="00F7544A" w:rsidRPr="00B36A61">
        <w:rPr>
          <w:noProof w:val="0"/>
          <w:color w:val="17365D"/>
        </w:rPr>
        <w:t>8</w:t>
      </w:r>
      <w:r w:rsidRPr="00B36A61">
        <w:rPr>
          <w:noProof w:val="0"/>
          <w:color w:val="17365D"/>
        </w:rPr>
        <w:t>,</w:t>
      </w:r>
      <w:r w:rsidR="00F7544A" w:rsidRPr="00B36A61">
        <w:rPr>
          <w:noProof w:val="0"/>
          <w:color w:val="17365D"/>
        </w:rPr>
        <w:t>2</w:t>
      </w:r>
      <w:r w:rsidRPr="00B36A61">
        <w:rPr>
          <w:noProof w:val="0"/>
          <w:color w:val="17365D"/>
        </w:rPr>
        <w:t xml:space="preserve"> % </w:t>
      </w:r>
      <w:r w:rsidR="006641F5" w:rsidRPr="00B36A61">
        <w:rPr>
          <w:noProof w:val="0"/>
          <w:color w:val="17365D"/>
        </w:rPr>
        <w:t>vairāk</w:t>
      </w:r>
      <w:r w:rsidRPr="00B36A61">
        <w:rPr>
          <w:noProof w:val="0"/>
          <w:color w:val="17365D"/>
        </w:rPr>
        <w:t xml:space="preserve">. </w:t>
      </w:r>
      <w:r w:rsidR="00C00BEB" w:rsidRPr="00B36A61">
        <w:rPr>
          <w:noProof w:val="0"/>
          <w:color w:val="17365D"/>
        </w:rPr>
        <w:t>202</w:t>
      </w:r>
      <w:r w:rsidR="00F7544A" w:rsidRPr="00B36A61">
        <w:rPr>
          <w:noProof w:val="0"/>
          <w:color w:val="17365D"/>
        </w:rPr>
        <w:t>2</w:t>
      </w:r>
      <w:r w:rsidR="00C00BEB" w:rsidRPr="00B36A61">
        <w:rPr>
          <w:noProof w:val="0"/>
          <w:color w:val="17365D"/>
        </w:rPr>
        <w:t xml:space="preserve">. gadā valsts pamatbudžetā veikti </w:t>
      </w:r>
      <w:r w:rsidR="00F7544A" w:rsidRPr="00B36A61">
        <w:rPr>
          <w:noProof w:val="0"/>
          <w:color w:val="17365D"/>
        </w:rPr>
        <w:t>89</w:t>
      </w:r>
      <w:r w:rsidR="00C00BEB" w:rsidRPr="00B36A61">
        <w:rPr>
          <w:noProof w:val="0"/>
          <w:color w:val="17365D"/>
        </w:rPr>
        <w:t>,</w:t>
      </w:r>
      <w:r w:rsidR="00F7544A" w:rsidRPr="00B36A61">
        <w:rPr>
          <w:noProof w:val="0"/>
          <w:color w:val="17365D"/>
        </w:rPr>
        <w:t>9</w:t>
      </w:r>
      <w:r w:rsidR="009957FA" w:rsidRPr="00B36A61">
        <w:rPr>
          <w:noProof w:val="0"/>
          <w:color w:val="17365D"/>
        </w:rPr>
        <w:t> </w:t>
      </w:r>
      <w:r w:rsidR="00C00BEB" w:rsidRPr="00B36A61">
        <w:rPr>
          <w:noProof w:val="0"/>
          <w:color w:val="17365D"/>
        </w:rPr>
        <w:t>% no Likumā plānotās gada izdevumu kopsummas</w:t>
      </w:r>
      <w:r w:rsidR="0028612D" w:rsidRPr="00B36A61">
        <w:rPr>
          <w:noProof w:val="0"/>
          <w:color w:val="17365D"/>
        </w:rPr>
        <w:t xml:space="preserve"> (skatīt 3</w:t>
      </w:r>
      <w:r w:rsidR="009C3AC7" w:rsidRPr="00B36A61">
        <w:rPr>
          <w:noProof w:val="0"/>
          <w:color w:val="17365D"/>
        </w:rPr>
        <w:t>. tabulu)</w:t>
      </w:r>
      <w:r w:rsidR="00C00BEB" w:rsidRPr="00B36A61">
        <w:rPr>
          <w:noProof w:val="0"/>
          <w:color w:val="17365D"/>
        </w:rPr>
        <w:t xml:space="preserve">. </w:t>
      </w:r>
      <w:r w:rsidR="00A9204F" w:rsidRPr="00B36A61">
        <w:rPr>
          <w:noProof w:val="0"/>
          <w:color w:val="17365D"/>
        </w:rPr>
        <w:t xml:space="preserve">Valsts pamatbudžeta programmas izdevumu izpildi pilnā apmērā </w:t>
      </w:r>
      <w:r w:rsidR="006641F5" w:rsidRPr="00B36A61">
        <w:rPr>
          <w:noProof w:val="0"/>
          <w:color w:val="17365D"/>
        </w:rPr>
        <w:t>apguv</w:t>
      </w:r>
      <w:r w:rsidR="00466A60" w:rsidRPr="00B36A61">
        <w:rPr>
          <w:noProof w:val="0"/>
          <w:color w:val="17365D"/>
        </w:rPr>
        <w:t>i</w:t>
      </w:r>
      <w:r w:rsidR="006641F5" w:rsidRPr="00B36A61">
        <w:rPr>
          <w:noProof w:val="0"/>
          <w:color w:val="17365D"/>
        </w:rPr>
        <w:t xml:space="preserve">s </w:t>
      </w:r>
      <w:r w:rsidR="00662A56" w:rsidRPr="00B36A61">
        <w:rPr>
          <w:noProof w:val="0"/>
          <w:color w:val="17365D"/>
        </w:rPr>
        <w:t>“64. Dotācija pašvaldībām” (100 %),</w:t>
      </w:r>
      <w:r w:rsidR="006641F5" w:rsidRPr="00B36A61">
        <w:rPr>
          <w:noProof w:val="0"/>
          <w:color w:val="17365D"/>
        </w:rPr>
        <w:t xml:space="preserve"> 62. </w:t>
      </w:r>
      <w:r w:rsidR="00A9204F" w:rsidRPr="00B36A61">
        <w:rPr>
          <w:noProof w:val="0"/>
          <w:color w:val="17365D"/>
        </w:rPr>
        <w:t>budžeta resors “Mērķdotācijas pašvaldībām” (</w:t>
      </w:r>
      <w:r w:rsidR="00C11CCF" w:rsidRPr="00B36A61">
        <w:rPr>
          <w:noProof w:val="0"/>
          <w:color w:val="17365D"/>
        </w:rPr>
        <w:t>100</w:t>
      </w:r>
      <w:r w:rsidR="006641F5" w:rsidRPr="00B36A61">
        <w:rPr>
          <w:noProof w:val="0"/>
          <w:color w:val="17365D"/>
        </w:rPr>
        <w:t> </w:t>
      </w:r>
      <w:r w:rsidR="00A9204F" w:rsidRPr="00B36A61">
        <w:rPr>
          <w:noProof w:val="0"/>
          <w:color w:val="17365D"/>
        </w:rPr>
        <w:t>%)</w:t>
      </w:r>
      <w:r w:rsidR="004478E1" w:rsidRPr="00B36A61">
        <w:rPr>
          <w:noProof w:val="0"/>
          <w:color w:val="17365D"/>
        </w:rPr>
        <w:t>.</w:t>
      </w:r>
      <w:r w:rsidR="00A9204F" w:rsidRPr="00B36A61">
        <w:rPr>
          <w:noProof w:val="0"/>
          <w:color w:val="17365D"/>
        </w:rPr>
        <w:t xml:space="preserve"> Augsta valsts pamatbudžeta izdevumu izpilde bija </w:t>
      </w:r>
      <w:r w:rsidR="004478E1" w:rsidRPr="00B36A61">
        <w:rPr>
          <w:noProof w:val="0"/>
          <w:color w:val="17365D"/>
        </w:rPr>
        <w:t>Tiesībsarga birojs (99,7 %)</w:t>
      </w:r>
      <w:r w:rsidR="004478E1" w:rsidRPr="00B36A61">
        <w:rPr>
          <w:color w:val="17365D"/>
        </w:rPr>
        <w:t>,</w:t>
      </w:r>
      <w:r w:rsidR="004478E1" w:rsidRPr="00B36A61">
        <w:rPr>
          <w:noProof w:val="0"/>
          <w:color w:val="17365D"/>
        </w:rPr>
        <w:t xml:space="preserve"> </w:t>
      </w:r>
      <w:r w:rsidR="001D34DA" w:rsidRPr="00B36A61">
        <w:rPr>
          <w:noProof w:val="0"/>
          <w:color w:val="17365D"/>
        </w:rPr>
        <w:t>Aizsardzības ministrijai (99,</w:t>
      </w:r>
      <w:r w:rsidR="000073BA" w:rsidRPr="00B36A61">
        <w:rPr>
          <w:noProof w:val="0"/>
          <w:color w:val="17365D"/>
        </w:rPr>
        <w:t>2</w:t>
      </w:r>
      <w:r w:rsidR="004478E1" w:rsidRPr="00B36A61">
        <w:rPr>
          <w:noProof w:val="0"/>
          <w:color w:val="17365D"/>
        </w:rPr>
        <w:t xml:space="preserve"> %, </w:t>
      </w:r>
      <w:r w:rsidR="00C00BEB" w:rsidRPr="00B36A61">
        <w:rPr>
          <w:noProof w:val="0"/>
          <w:color w:val="17365D"/>
        </w:rPr>
        <w:t>Veselības ministrijai (99,</w:t>
      </w:r>
      <w:r w:rsidR="004478E1" w:rsidRPr="00B36A61">
        <w:rPr>
          <w:noProof w:val="0"/>
          <w:color w:val="17365D"/>
        </w:rPr>
        <w:t>3</w:t>
      </w:r>
      <w:r w:rsidR="004B35F9" w:rsidRPr="00B36A61">
        <w:rPr>
          <w:noProof w:val="0"/>
          <w:color w:val="17365D"/>
        </w:rPr>
        <w:t> </w:t>
      </w:r>
      <w:r w:rsidR="00C00BEB" w:rsidRPr="00B36A61">
        <w:rPr>
          <w:noProof w:val="0"/>
          <w:color w:val="17365D"/>
        </w:rPr>
        <w:t>%)</w:t>
      </w:r>
      <w:r w:rsidR="001D34DA" w:rsidRPr="00B36A61">
        <w:rPr>
          <w:noProof w:val="0"/>
          <w:color w:val="17365D"/>
        </w:rPr>
        <w:t xml:space="preserve"> un </w:t>
      </w:r>
      <w:r w:rsidR="004478E1" w:rsidRPr="00B36A61">
        <w:rPr>
          <w:noProof w:val="0"/>
          <w:color w:val="17365D"/>
        </w:rPr>
        <w:t xml:space="preserve">Labklājības ministrijai </w:t>
      </w:r>
      <w:r w:rsidR="00C00BEB" w:rsidRPr="00B36A61">
        <w:rPr>
          <w:noProof w:val="0"/>
          <w:color w:val="17365D"/>
        </w:rPr>
        <w:t>(9</w:t>
      </w:r>
      <w:r w:rsidR="004478E1" w:rsidRPr="00B36A61">
        <w:rPr>
          <w:noProof w:val="0"/>
          <w:color w:val="17365D"/>
        </w:rPr>
        <w:t>8</w:t>
      </w:r>
      <w:r w:rsidR="00C00BEB" w:rsidRPr="00B36A61">
        <w:rPr>
          <w:noProof w:val="0"/>
          <w:color w:val="17365D"/>
        </w:rPr>
        <w:t>,</w:t>
      </w:r>
      <w:r w:rsidR="004478E1" w:rsidRPr="00B36A61">
        <w:rPr>
          <w:noProof w:val="0"/>
          <w:color w:val="17365D"/>
        </w:rPr>
        <w:t>9</w:t>
      </w:r>
      <w:r w:rsidR="009957FA" w:rsidRPr="00B36A61">
        <w:rPr>
          <w:noProof w:val="0"/>
          <w:color w:val="17365D"/>
        </w:rPr>
        <w:t> </w:t>
      </w:r>
      <w:r w:rsidR="00C00BEB" w:rsidRPr="00B36A61">
        <w:rPr>
          <w:noProof w:val="0"/>
          <w:color w:val="17365D"/>
        </w:rPr>
        <w:t xml:space="preserve">%) </w:t>
      </w:r>
    </w:p>
    <w:p w14:paraId="19EE287B" w14:textId="25EC6F9D" w:rsidR="00A9204F" w:rsidRPr="00B36A61" w:rsidRDefault="00A9204F" w:rsidP="00A9204F">
      <w:pPr>
        <w:pStyle w:val="Pamatteksts"/>
        <w:rPr>
          <w:noProof w:val="0"/>
          <w:color w:val="17365D"/>
        </w:rPr>
      </w:pPr>
      <w:r w:rsidRPr="00B36A61">
        <w:rPr>
          <w:noProof w:val="0"/>
          <w:color w:val="17365D"/>
        </w:rPr>
        <w:t xml:space="preserve">Savukārt zemākā valsts pamatbudžeta izdevumu izpilde bija </w:t>
      </w:r>
      <w:r w:rsidR="004478E1" w:rsidRPr="00B36A61">
        <w:rPr>
          <w:noProof w:val="0"/>
          <w:color w:val="17365D"/>
        </w:rPr>
        <w:t>Satiksmes ministrijai</w:t>
      </w:r>
      <w:r w:rsidR="00626425" w:rsidRPr="00B36A61">
        <w:rPr>
          <w:noProof w:val="0"/>
          <w:color w:val="17365D"/>
        </w:rPr>
        <w:t xml:space="preserve"> </w:t>
      </w:r>
      <w:r w:rsidRPr="00B36A61">
        <w:rPr>
          <w:noProof w:val="0"/>
          <w:color w:val="17365D"/>
        </w:rPr>
        <w:t>(</w:t>
      </w:r>
      <w:r w:rsidR="004478E1" w:rsidRPr="00B36A61">
        <w:rPr>
          <w:noProof w:val="0"/>
          <w:color w:val="17365D"/>
        </w:rPr>
        <w:t>77</w:t>
      </w:r>
      <w:r w:rsidRPr="00B36A61">
        <w:rPr>
          <w:noProof w:val="0"/>
          <w:color w:val="17365D"/>
        </w:rPr>
        <w:t>,</w:t>
      </w:r>
      <w:r w:rsidR="004478E1" w:rsidRPr="00B36A61">
        <w:rPr>
          <w:noProof w:val="0"/>
          <w:color w:val="17365D"/>
        </w:rPr>
        <w:t>6</w:t>
      </w:r>
      <w:r w:rsidR="009957FA" w:rsidRPr="00B36A61">
        <w:rPr>
          <w:noProof w:val="0"/>
          <w:color w:val="17365D"/>
        </w:rPr>
        <w:t> </w:t>
      </w:r>
      <w:r w:rsidRPr="00B36A61">
        <w:rPr>
          <w:noProof w:val="0"/>
          <w:color w:val="17365D"/>
        </w:rPr>
        <w:t xml:space="preserve">%) no precizētā valsts pamatbudžeta izdevumu plāna, kas galvenokārt saistīts ar </w:t>
      </w:r>
      <w:r w:rsidR="004478E1" w:rsidRPr="00B36A61">
        <w:rPr>
          <w:i/>
          <w:iCs/>
          <w:noProof w:val="0"/>
          <w:color w:val="17365D"/>
        </w:rPr>
        <w:t>Rail Baltica</w:t>
      </w:r>
      <w:r w:rsidR="004478E1" w:rsidRPr="00B36A61">
        <w:rPr>
          <w:noProof w:val="0"/>
          <w:color w:val="17365D"/>
        </w:rPr>
        <w:t xml:space="preserve"> projekta un jauno elektrovilcienu projekta īstenošanas aizkavēšanos</w:t>
      </w:r>
      <w:r w:rsidR="005C1B52" w:rsidRPr="00B36A61">
        <w:rPr>
          <w:noProof w:val="0"/>
          <w:color w:val="17365D"/>
        </w:rPr>
        <w:t xml:space="preserve">. </w:t>
      </w:r>
    </w:p>
    <w:p w14:paraId="78C724C0" w14:textId="5E16CFF4" w:rsidR="00771B05" w:rsidRPr="00B36A61" w:rsidRDefault="004478E1" w:rsidP="00A9204F">
      <w:pPr>
        <w:pStyle w:val="Pamatteksts"/>
        <w:rPr>
          <w:noProof w:val="0"/>
          <w:color w:val="17365D"/>
        </w:rPr>
      </w:pPr>
      <w:r w:rsidRPr="00B36A61">
        <w:rPr>
          <w:noProof w:val="0"/>
          <w:color w:val="17365D"/>
        </w:rPr>
        <w:t xml:space="preserve">Satversmes tiesa </w:t>
      </w:r>
      <w:r w:rsidR="00771B05" w:rsidRPr="00B36A61">
        <w:rPr>
          <w:noProof w:val="0"/>
          <w:color w:val="17365D"/>
        </w:rPr>
        <w:t>veica izdevumus (8</w:t>
      </w:r>
      <w:r w:rsidRPr="00B36A61">
        <w:rPr>
          <w:noProof w:val="0"/>
          <w:color w:val="17365D"/>
        </w:rPr>
        <w:t>5</w:t>
      </w:r>
      <w:r w:rsidR="00771B05" w:rsidRPr="00B36A61">
        <w:rPr>
          <w:noProof w:val="0"/>
          <w:color w:val="17365D"/>
        </w:rPr>
        <w:t>,</w:t>
      </w:r>
      <w:r w:rsidRPr="00B36A61">
        <w:rPr>
          <w:noProof w:val="0"/>
          <w:color w:val="17365D"/>
        </w:rPr>
        <w:t>5</w:t>
      </w:r>
      <w:r w:rsidR="009957FA" w:rsidRPr="00B36A61">
        <w:rPr>
          <w:noProof w:val="0"/>
          <w:color w:val="17365D"/>
        </w:rPr>
        <w:t> </w:t>
      </w:r>
      <w:r w:rsidR="00771B05" w:rsidRPr="00B36A61">
        <w:rPr>
          <w:noProof w:val="0"/>
          <w:color w:val="17365D"/>
        </w:rPr>
        <w:t xml:space="preserve">%) no precizētā valsts pamatbudžeta izdevumu plāna, kas galvenokārt saistīts </w:t>
      </w:r>
      <w:r w:rsidR="00147FC5" w:rsidRPr="00B36A61">
        <w:rPr>
          <w:iCs/>
          <w:noProof w:val="0"/>
          <w:color w:val="17365D"/>
        </w:rPr>
        <w:t>ar Covid-19 izplatību</w:t>
      </w:r>
      <w:r w:rsidR="00147FC5" w:rsidRPr="00B36A61">
        <w:rPr>
          <w:noProof w:val="0"/>
          <w:color w:val="17365D"/>
        </w:rPr>
        <w:t xml:space="preserve"> </w:t>
      </w:r>
      <w:r w:rsidRPr="00B36A61">
        <w:rPr>
          <w:iCs/>
          <w:noProof w:val="0"/>
          <w:color w:val="17365D"/>
        </w:rPr>
        <w:t>noteiktajiem ierobežojumiem, kā rezultātā bija atcelti vai ierobežoti iepriekš plānotie starptautiskie un vietējie pasākumi, kā arī izmaiņām iepirkumu organizēšanas plānos</w:t>
      </w:r>
      <w:r w:rsidR="00D06CAA" w:rsidRPr="00B36A61">
        <w:rPr>
          <w:noProof w:val="0"/>
          <w:color w:val="17365D"/>
        </w:rPr>
        <w:t>.</w:t>
      </w:r>
    </w:p>
    <w:p w14:paraId="39C2EDDA" w14:textId="2081B339" w:rsidR="00BB464B" w:rsidRPr="00B36A61" w:rsidRDefault="002E762A" w:rsidP="000F1BA9">
      <w:pPr>
        <w:pStyle w:val="Pamatteksts"/>
        <w:spacing w:after="0"/>
        <w:rPr>
          <w:noProof w:val="0"/>
          <w:color w:val="17365D"/>
        </w:rPr>
      </w:pPr>
      <w:r w:rsidRPr="00B36A61">
        <w:rPr>
          <w:noProof w:val="0"/>
          <w:color w:val="17365D"/>
        </w:rPr>
        <w:t xml:space="preserve">Radio un televīzija </w:t>
      </w:r>
      <w:r w:rsidR="00771B05" w:rsidRPr="00B36A61">
        <w:rPr>
          <w:noProof w:val="0"/>
          <w:color w:val="17365D"/>
        </w:rPr>
        <w:t xml:space="preserve">izdevumi bija </w:t>
      </w:r>
      <w:r w:rsidR="00E147D8" w:rsidRPr="00B36A61">
        <w:rPr>
          <w:noProof w:val="0"/>
          <w:color w:val="17365D"/>
        </w:rPr>
        <w:t>(</w:t>
      </w:r>
      <w:r w:rsidR="00C34568" w:rsidRPr="00B36A61">
        <w:rPr>
          <w:noProof w:val="0"/>
          <w:color w:val="17365D"/>
        </w:rPr>
        <w:t>8</w:t>
      </w:r>
      <w:r w:rsidRPr="00B36A61">
        <w:rPr>
          <w:noProof w:val="0"/>
          <w:color w:val="17365D"/>
        </w:rPr>
        <w:t>6</w:t>
      </w:r>
      <w:r w:rsidR="00771B05" w:rsidRPr="00B36A61">
        <w:rPr>
          <w:noProof w:val="0"/>
          <w:color w:val="17365D"/>
        </w:rPr>
        <w:t>,</w:t>
      </w:r>
      <w:r w:rsidRPr="00B36A61">
        <w:rPr>
          <w:noProof w:val="0"/>
          <w:color w:val="17365D"/>
        </w:rPr>
        <w:t>4</w:t>
      </w:r>
      <w:r w:rsidR="009957FA" w:rsidRPr="00B36A61">
        <w:rPr>
          <w:noProof w:val="0"/>
          <w:color w:val="17365D"/>
        </w:rPr>
        <w:t> </w:t>
      </w:r>
      <w:r w:rsidR="00771B05" w:rsidRPr="00B36A61">
        <w:rPr>
          <w:noProof w:val="0"/>
          <w:color w:val="17365D"/>
        </w:rPr>
        <w:t>%</w:t>
      </w:r>
      <w:r w:rsidR="00E147D8" w:rsidRPr="00B36A61">
        <w:rPr>
          <w:noProof w:val="0"/>
          <w:color w:val="17365D"/>
        </w:rPr>
        <w:t>)</w:t>
      </w:r>
      <w:r w:rsidR="00771B05" w:rsidRPr="00B36A61">
        <w:rPr>
          <w:noProof w:val="0"/>
          <w:color w:val="17365D"/>
        </w:rPr>
        <w:t xml:space="preserve"> no precizētā valsts pamatbudžeta izdevumu plāna, kas saistīts ar </w:t>
      </w:r>
      <w:r w:rsidRPr="00B36A61">
        <w:rPr>
          <w:noProof w:val="0"/>
          <w:color w:val="17365D"/>
        </w:rPr>
        <w:t>neapgūto finansējumu kapacitātes stiprināšanai Latvijā reģistrētajām un raidošajām TV un radio, jo netika saņemts Eiropas Komisijas atbalstošs lēmums</w:t>
      </w:r>
      <w:r w:rsidR="00EF14A7" w:rsidRPr="00B36A61">
        <w:rPr>
          <w:noProof w:val="0"/>
          <w:color w:val="17365D"/>
        </w:rPr>
        <w:t xml:space="preserve"> par valsts atbalsta pasākumiem</w:t>
      </w:r>
      <w:r w:rsidRPr="00B36A61">
        <w:rPr>
          <w:noProof w:val="0"/>
          <w:color w:val="17365D"/>
        </w:rPr>
        <w:t>.</w:t>
      </w:r>
    </w:p>
    <w:p w14:paraId="7CFC7AED" w14:textId="09A5DA4E" w:rsidR="00147FC5" w:rsidRPr="00B36A61" w:rsidRDefault="00147FC5" w:rsidP="007A1242">
      <w:pPr>
        <w:pStyle w:val="Pamatteksts"/>
        <w:spacing w:after="0"/>
        <w:ind w:firstLine="0"/>
        <w:rPr>
          <w:noProof w:val="0"/>
          <w:color w:val="17365D"/>
        </w:rPr>
      </w:pPr>
    </w:p>
    <w:p w14:paraId="61D6A9D6" w14:textId="6B46DC26" w:rsidR="00B46A07" w:rsidRPr="00B36A61" w:rsidRDefault="0028612D" w:rsidP="000F1BA9">
      <w:pPr>
        <w:spacing w:after="0"/>
        <w:ind w:firstLine="0"/>
        <w:jc w:val="right"/>
        <w:rPr>
          <w:rFonts w:eastAsia="Arial Unicode MS"/>
          <w:i/>
          <w:color w:val="17365D"/>
          <w:sz w:val="20"/>
        </w:rPr>
      </w:pPr>
      <w:r w:rsidRPr="00B36A61">
        <w:rPr>
          <w:rFonts w:eastAsia="Arial Unicode MS"/>
          <w:i/>
          <w:color w:val="17365D"/>
          <w:sz w:val="20"/>
        </w:rPr>
        <w:t>3</w:t>
      </w:r>
      <w:r w:rsidR="00B46A07" w:rsidRPr="00B36A61">
        <w:rPr>
          <w:rFonts w:eastAsia="Arial Unicode MS"/>
          <w:i/>
          <w:color w:val="17365D"/>
          <w:sz w:val="20"/>
        </w:rPr>
        <w:t xml:space="preserve">. tabula. </w:t>
      </w:r>
      <w:r w:rsidR="00833DED" w:rsidRPr="00B36A61">
        <w:rPr>
          <w:rFonts w:eastAsia="Arial Unicode MS"/>
          <w:i/>
          <w:color w:val="17365D"/>
          <w:sz w:val="20"/>
        </w:rPr>
        <w:t>P</w:t>
      </w:r>
      <w:r w:rsidR="00B46A07" w:rsidRPr="00B36A61">
        <w:rPr>
          <w:bCs/>
          <w:i/>
          <w:color w:val="17365D"/>
          <w:sz w:val="20"/>
          <w:szCs w:val="20"/>
        </w:rPr>
        <w:t>amatbudžeta</w:t>
      </w:r>
      <w:r w:rsidR="00833DED" w:rsidRPr="00B36A61">
        <w:rPr>
          <w:bCs/>
          <w:i/>
          <w:color w:val="17365D"/>
          <w:sz w:val="20"/>
          <w:szCs w:val="20"/>
        </w:rPr>
        <w:t xml:space="preserve"> izdevumu izmaiņas</w:t>
      </w:r>
      <w:r w:rsidR="00B46A07" w:rsidRPr="00B36A61">
        <w:rPr>
          <w:bCs/>
          <w:i/>
          <w:color w:val="17365D"/>
          <w:sz w:val="20"/>
          <w:szCs w:val="20"/>
        </w:rPr>
        <w:t xml:space="preserve"> (</w:t>
      </w:r>
      <w:r w:rsidR="00B46A07" w:rsidRPr="00B36A61">
        <w:rPr>
          <w:i/>
          <w:color w:val="17365D"/>
          <w:sz w:val="20"/>
        </w:rPr>
        <w:t>euro)</w:t>
      </w:r>
    </w:p>
    <w:tbl>
      <w:tblPr>
        <w:tblStyle w:val="TableGrid"/>
        <w:tblW w:w="9385" w:type="dxa"/>
        <w:tblInd w:w="-5" w:type="dxa"/>
        <w:tblBorders>
          <w:top w:val="none" w:sz="0" w:space="0" w:color="auto"/>
          <w:left w:val="none" w:sz="0" w:space="0" w:color="auto"/>
          <w:bottom w:val="none" w:sz="0" w:space="0" w:color="auto"/>
          <w:right w:val="none" w:sz="0" w:space="0" w:color="auto"/>
          <w:insideH w:val="single" w:sz="4" w:space="0" w:color="17365D"/>
          <w:insideV w:val="none" w:sz="0" w:space="0" w:color="auto"/>
        </w:tblBorders>
        <w:tblLayout w:type="fixed"/>
        <w:tblLook w:val="04A0" w:firstRow="1" w:lastRow="0" w:firstColumn="1" w:lastColumn="0" w:noHBand="0" w:noVBand="1"/>
      </w:tblPr>
      <w:tblGrid>
        <w:gridCol w:w="896"/>
        <w:gridCol w:w="2565"/>
        <w:gridCol w:w="1482"/>
        <w:gridCol w:w="1482"/>
        <w:gridCol w:w="1632"/>
        <w:gridCol w:w="1328"/>
      </w:tblGrid>
      <w:tr w:rsidR="00B36A61" w:rsidRPr="00B36A61" w14:paraId="3966DFB2" w14:textId="77777777" w:rsidTr="000A0514">
        <w:trPr>
          <w:trHeight w:val="285"/>
          <w:tblHeader/>
        </w:trPr>
        <w:tc>
          <w:tcPr>
            <w:tcW w:w="896" w:type="dxa"/>
            <w:vMerge w:val="restart"/>
            <w:tcBorders>
              <w:top w:val="nil"/>
              <w:bottom w:val="single" w:sz="4" w:space="0" w:color="17365D"/>
            </w:tcBorders>
            <w:shd w:val="clear" w:color="auto" w:fill="B9CDE5"/>
            <w:vAlign w:val="center"/>
          </w:tcPr>
          <w:p w14:paraId="033E6591" w14:textId="3A31E968" w:rsidR="00B1217F" w:rsidRPr="00B36A61" w:rsidRDefault="00B1217F" w:rsidP="000F7E81">
            <w:pPr>
              <w:pStyle w:val="Pamatteksts"/>
              <w:spacing w:before="60" w:after="60"/>
              <w:ind w:firstLine="0"/>
              <w:jc w:val="center"/>
              <w:rPr>
                <w:b/>
                <w:color w:val="17365D"/>
                <w:sz w:val="20"/>
                <w:szCs w:val="20"/>
              </w:rPr>
            </w:pPr>
            <w:r w:rsidRPr="00B36A61">
              <w:rPr>
                <w:b/>
                <w:color w:val="17365D"/>
                <w:sz w:val="20"/>
                <w:szCs w:val="20"/>
              </w:rPr>
              <w:t>Klasifi-kācijas kods</w:t>
            </w:r>
          </w:p>
        </w:tc>
        <w:tc>
          <w:tcPr>
            <w:tcW w:w="2565" w:type="dxa"/>
            <w:vMerge w:val="restart"/>
            <w:tcBorders>
              <w:top w:val="nil"/>
              <w:bottom w:val="single" w:sz="4" w:space="0" w:color="17365D"/>
            </w:tcBorders>
            <w:shd w:val="clear" w:color="auto" w:fill="B9CDE5"/>
            <w:vAlign w:val="center"/>
          </w:tcPr>
          <w:p w14:paraId="0BCB1198" w14:textId="77777777" w:rsidR="00B1217F" w:rsidRPr="00B36A61" w:rsidRDefault="00B1217F" w:rsidP="000F7E81">
            <w:pPr>
              <w:pStyle w:val="Pamatteksts"/>
              <w:spacing w:before="60" w:after="60"/>
              <w:ind w:firstLine="0"/>
              <w:jc w:val="center"/>
              <w:rPr>
                <w:b/>
                <w:color w:val="17365D"/>
                <w:sz w:val="20"/>
                <w:szCs w:val="20"/>
              </w:rPr>
            </w:pPr>
            <w:r w:rsidRPr="00B36A61">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17A00648" w14:textId="77777777" w:rsidR="00B1217F" w:rsidRPr="00B36A61" w:rsidRDefault="00B1217F" w:rsidP="000F7E81">
            <w:pPr>
              <w:pStyle w:val="Pamatteksts"/>
              <w:spacing w:before="60" w:after="60"/>
              <w:ind w:firstLine="0"/>
              <w:jc w:val="center"/>
              <w:rPr>
                <w:b/>
                <w:color w:val="17365D"/>
                <w:sz w:val="20"/>
                <w:szCs w:val="20"/>
              </w:rPr>
            </w:pPr>
            <w:r w:rsidRPr="00B36A61">
              <w:rPr>
                <w:b/>
                <w:color w:val="17365D"/>
                <w:sz w:val="20"/>
                <w:szCs w:val="20"/>
              </w:rPr>
              <w:t>Budžeta izpilde</w:t>
            </w:r>
          </w:p>
        </w:tc>
        <w:tc>
          <w:tcPr>
            <w:tcW w:w="1632" w:type="dxa"/>
            <w:vMerge w:val="restart"/>
            <w:tcBorders>
              <w:top w:val="nil"/>
              <w:bottom w:val="single" w:sz="4" w:space="0" w:color="17365D"/>
            </w:tcBorders>
            <w:shd w:val="clear" w:color="auto" w:fill="B9CDE5"/>
            <w:vAlign w:val="center"/>
          </w:tcPr>
          <w:p w14:paraId="0817CA35" w14:textId="58BAD6F2" w:rsidR="00B1217F" w:rsidRPr="00B36A61" w:rsidRDefault="00B1217F" w:rsidP="000F7E81">
            <w:pPr>
              <w:pStyle w:val="Pamatteksts"/>
              <w:spacing w:before="60" w:after="60"/>
              <w:ind w:left="-104" w:right="-112" w:firstLine="0"/>
              <w:jc w:val="center"/>
              <w:rPr>
                <w:b/>
                <w:color w:val="17365D"/>
                <w:sz w:val="20"/>
                <w:szCs w:val="20"/>
              </w:rPr>
            </w:pPr>
            <w:r w:rsidRPr="00B36A61">
              <w:rPr>
                <w:b/>
                <w:color w:val="17365D"/>
                <w:sz w:val="20"/>
                <w:szCs w:val="20"/>
              </w:rPr>
              <w:t>Palielinājums (+), samazinājums (–)</w:t>
            </w:r>
          </w:p>
          <w:p w14:paraId="711DB6F9" w14:textId="4788050E" w:rsidR="00B1217F" w:rsidRPr="00B36A61" w:rsidRDefault="00B1217F" w:rsidP="00E65C60">
            <w:pPr>
              <w:pStyle w:val="Pamatteksts"/>
              <w:spacing w:before="60" w:after="60"/>
              <w:ind w:firstLine="0"/>
              <w:jc w:val="center"/>
              <w:rPr>
                <w:b/>
                <w:color w:val="17365D"/>
                <w:sz w:val="20"/>
                <w:szCs w:val="20"/>
              </w:rPr>
            </w:pPr>
            <w:r w:rsidRPr="00B36A61">
              <w:rPr>
                <w:b/>
                <w:color w:val="17365D"/>
                <w:sz w:val="20"/>
                <w:szCs w:val="20"/>
              </w:rPr>
              <w:t>(1</w:t>
            </w:r>
            <w:r w:rsidR="00E65C60" w:rsidRPr="00B36A61">
              <w:rPr>
                <w:b/>
                <w:color w:val="17365D"/>
                <w:sz w:val="20"/>
                <w:szCs w:val="20"/>
              </w:rPr>
              <w:t>.</w:t>
            </w:r>
            <w:r w:rsidRPr="00B36A61">
              <w:rPr>
                <w:b/>
                <w:color w:val="17365D"/>
                <w:sz w:val="20"/>
                <w:szCs w:val="20"/>
              </w:rPr>
              <w:t>– 2</w:t>
            </w:r>
            <w:r w:rsidR="00E65C60" w:rsidRPr="00B36A61">
              <w:rPr>
                <w:b/>
                <w:color w:val="17365D"/>
                <w:sz w:val="20"/>
                <w:szCs w:val="20"/>
              </w:rPr>
              <w:t>.</w:t>
            </w:r>
            <w:r w:rsidRPr="00B36A61">
              <w:rPr>
                <w:b/>
                <w:color w:val="17365D"/>
                <w:sz w:val="20"/>
                <w:szCs w:val="20"/>
              </w:rPr>
              <w:t>)</w:t>
            </w:r>
          </w:p>
        </w:tc>
        <w:tc>
          <w:tcPr>
            <w:tcW w:w="1328" w:type="dxa"/>
            <w:vMerge w:val="restart"/>
            <w:tcBorders>
              <w:top w:val="nil"/>
              <w:bottom w:val="single" w:sz="4" w:space="0" w:color="17365D"/>
            </w:tcBorders>
            <w:shd w:val="clear" w:color="auto" w:fill="B9CDE5"/>
            <w:vAlign w:val="center"/>
          </w:tcPr>
          <w:p w14:paraId="1C0157F5" w14:textId="77777777" w:rsidR="00B1217F" w:rsidRPr="00B36A61" w:rsidRDefault="00B1217F" w:rsidP="000F7E81">
            <w:pPr>
              <w:pStyle w:val="Pamatteksts"/>
              <w:spacing w:before="60" w:after="60"/>
              <w:ind w:firstLine="0"/>
              <w:jc w:val="center"/>
              <w:rPr>
                <w:b/>
                <w:color w:val="17365D"/>
                <w:sz w:val="20"/>
                <w:szCs w:val="20"/>
              </w:rPr>
            </w:pPr>
            <w:r w:rsidRPr="00B36A61">
              <w:rPr>
                <w:b/>
                <w:color w:val="17365D"/>
                <w:sz w:val="20"/>
                <w:szCs w:val="20"/>
              </w:rPr>
              <w:t>Procentuālās izmaiņas</w:t>
            </w:r>
          </w:p>
          <w:p w14:paraId="7A982240" w14:textId="01A00D45" w:rsidR="00B1217F" w:rsidRPr="00B36A61" w:rsidRDefault="00B1217F" w:rsidP="000911ED">
            <w:pPr>
              <w:pStyle w:val="Pamatteksts"/>
              <w:spacing w:before="60" w:after="60"/>
              <w:ind w:firstLine="0"/>
              <w:jc w:val="center"/>
              <w:rPr>
                <w:b/>
                <w:color w:val="17365D"/>
                <w:sz w:val="20"/>
                <w:szCs w:val="20"/>
              </w:rPr>
            </w:pPr>
            <w:r w:rsidRPr="00B36A61">
              <w:rPr>
                <w:b/>
                <w:color w:val="17365D"/>
                <w:sz w:val="20"/>
                <w:szCs w:val="20"/>
              </w:rPr>
              <w:t>(</w:t>
            </w:r>
            <w:r w:rsidR="000911ED" w:rsidRPr="00B36A61">
              <w:rPr>
                <w:b/>
                <w:color w:val="17365D"/>
                <w:sz w:val="20"/>
                <w:szCs w:val="20"/>
              </w:rPr>
              <w:t>3</w:t>
            </w:r>
            <w:r w:rsidR="00E65C60" w:rsidRPr="00B36A61">
              <w:rPr>
                <w:b/>
                <w:color w:val="17365D"/>
                <w:sz w:val="20"/>
                <w:szCs w:val="20"/>
              </w:rPr>
              <w:t>.</w:t>
            </w:r>
            <w:r w:rsidRPr="00B36A61">
              <w:rPr>
                <w:b/>
                <w:color w:val="17365D"/>
                <w:sz w:val="20"/>
                <w:szCs w:val="20"/>
              </w:rPr>
              <w:t>/2</w:t>
            </w:r>
            <w:r w:rsidR="00E65C60" w:rsidRPr="00B36A61">
              <w:rPr>
                <w:b/>
                <w:color w:val="17365D"/>
                <w:sz w:val="20"/>
                <w:szCs w:val="20"/>
              </w:rPr>
              <w:t>.</w:t>
            </w:r>
            <w:r w:rsidRPr="00B36A61">
              <w:rPr>
                <w:b/>
                <w:color w:val="17365D"/>
                <w:sz w:val="20"/>
                <w:szCs w:val="20"/>
              </w:rPr>
              <w:t xml:space="preserve"> x 100)</w:t>
            </w:r>
          </w:p>
        </w:tc>
      </w:tr>
      <w:tr w:rsidR="00B36A61" w:rsidRPr="00B36A61" w14:paraId="1DFB791D" w14:textId="77777777" w:rsidTr="005123EA">
        <w:trPr>
          <w:trHeight w:val="709"/>
          <w:tblHeader/>
        </w:trPr>
        <w:tc>
          <w:tcPr>
            <w:tcW w:w="896" w:type="dxa"/>
            <w:vMerge/>
            <w:tcBorders>
              <w:top w:val="single" w:sz="4" w:space="0" w:color="17365D"/>
              <w:bottom w:val="nil"/>
            </w:tcBorders>
            <w:shd w:val="clear" w:color="auto" w:fill="auto"/>
            <w:vAlign w:val="center"/>
          </w:tcPr>
          <w:p w14:paraId="3AA07F9D" w14:textId="77777777" w:rsidR="00B1217F" w:rsidRPr="00B36A61" w:rsidRDefault="00B1217F" w:rsidP="00833DED">
            <w:pPr>
              <w:pStyle w:val="Pamatteksts"/>
              <w:spacing w:after="0"/>
              <w:ind w:firstLine="0"/>
              <w:jc w:val="center"/>
              <w:rPr>
                <w:color w:val="17365D"/>
                <w:sz w:val="20"/>
                <w:szCs w:val="20"/>
              </w:rPr>
            </w:pPr>
          </w:p>
        </w:tc>
        <w:tc>
          <w:tcPr>
            <w:tcW w:w="2565" w:type="dxa"/>
            <w:vMerge/>
            <w:tcBorders>
              <w:top w:val="single" w:sz="4" w:space="0" w:color="17365D"/>
              <w:bottom w:val="nil"/>
            </w:tcBorders>
            <w:shd w:val="clear" w:color="auto" w:fill="auto"/>
            <w:vAlign w:val="center"/>
          </w:tcPr>
          <w:p w14:paraId="3A4C7C9B" w14:textId="77777777" w:rsidR="00B1217F" w:rsidRPr="00B36A61" w:rsidRDefault="00B1217F" w:rsidP="00833DED">
            <w:pPr>
              <w:pStyle w:val="Pamatteksts"/>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32686B4F" w14:textId="77777777" w:rsidR="00B1217F" w:rsidRPr="00B36A61" w:rsidRDefault="00B1217F" w:rsidP="00833DED">
            <w:pPr>
              <w:spacing w:after="0"/>
              <w:ind w:firstLine="0"/>
              <w:jc w:val="center"/>
              <w:rPr>
                <w:b/>
                <w:noProof/>
                <w:color w:val="17365D"/>
                <w:sz w:val="20"/>
                <w:szCs w:val="20"/>
              </w:rPr>
            </w:pPr>
            <w:r w:rsidRPr="00B36A61">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6AE97DC7" w14:textId="77777777" w:rsidR="00B1217F" w:rsidRPr="00B36A61" w:rsidRDefault="00B1217F" w:rsidP="00833DED">
            <w:pPr>
              <w:spacing w:after="0"/>
              <w:ind w:firstLine="0"/>
              <w:jc w:val="center"/>
              <w:rPr>
                <w:b/>
                <w:noProof/>
                <w:color w:val="17365D"/>
                <w:sz w:val="20"/>
                <w:szCs w:val="20"/>
              </w:rPr>
            </w:pPr>
            <w:r w:rsidRPr="00B36A61">
              <w:rPr>
                <w:b/>
                <w:color w:val="17365D"/>
                <w:sz w:val="20"/>
                <w:szCs w:val="20"/>
              </w:rPr>
              <w:t>iepriekšējā pārskata periodā</w:t>
            </w:r>
          </w:p>
        </w:tc>
        <w:tc>
          <w:tcPr>
            <w:tcW w:w="1632" w:type="dxa"/>
            <w:vMerge/>
            <w:tcBorders>
              <w:top w:val="single" w:sz="4" w:space="0" w:color="17365D"/>
              <w:bottom w:val="nil"/>
            </w:tcBorders>
            <w:shd w:val="clear" w:color="auto" w:fill="auto"/>
            <w:vAlign w:val="center"/>
          </w:tcPr>
          <w:p w14:paraId="1A8B3175" w14:textId="77777777" w:rsidR="00B1217F" w:rsidRPr="00B36A61" w:rsidRDefault="00B1217F" w:rsidP="00833DED">
            <w:pPr>
              <w:spacing w:after="0"/>
              <w:ind w:firstLine="0"/>
              <w:jc w:val="center"/>
              <w:rPr>
                <w:color w:val="17365D"/>
                <w:sz w:val="20"/>
                <w:szCs w:val="20"/>
              </w:rPr>
            </w:pPr>
          </w:p>
        </w:tc>
        <w:tc>
          <w:tcPr>
            <w:tcW w:w="1328" w:type="dxa"/>
            <w:vMerge/>
            <w:tcBorders>
              <w:top w:val="single" w:sz="4" w:space="0" w:color="17365D"/>
              <w:bottom w:val="nil"/>
            </w:tcBorders>
            <w:shd w:val="clear" w:color="auto" w:fill="auto"/>
            <w:vAlign w:val="center"/>
          </w:tcPr>
          <w:p w14:paraId="68F51A36" w14:textId="77777777" w:rsidR="00B1217F" w:rsidRPr="00B36A61" w:rsidRDefault="00B1217F" w:rsidP="00833DED">
            <w:pPr>
              <w:spacing w:after="0"/>
              <w:ind w:firstLine="0"/>
              <w:jc w:val="center"/>
              <w:rPr>
                <w:color w:val="17365D"/>
                <w:sz w:val="20"/>
                <w:szCs w:val="20"/>
              </w:rPr>
            </w:pPr>
          </w:p>
        </w:tc>
      </w:tr>
      <w:tr w:rsidR="00B36A61" w:rsidRPr="00B36A61" w14:paraId="3C769C09" w14:textId="77777777" w:rsidTr="002D20BC">
        <w:trPr>
          <w:trHeight w:val="285"/>
          <w:tblHeader/>
        </w:trPr>
        <w:tc>
          <w:tcPr>
            <w:tcW w:w="896" w:type="dxa"/>
            <w:tcBorders>
              <w:top w:val="nil"/>
              <w:bottom w:val="single" w:sz="4" w:space="0" w:color="17365D"/>
            </w:tcBorders>
            <w:shd w:val="clear" w:color="auto" w:fill="auto"/>
            <w:vAlign w:val="center"/>
          </w:tcPr>
          <w:p w14:paraId="53620BCD" w14:textId="77777777" w:rsidR="00B1217F" w:rsidRPr="00B36A61" w:rsidRDefault="00B1217F" w:rsidP="00E61476">
            <w:pPr>
              <w:pStyle w:val="Pamatteksts"/>
              <w:spacing w:before="40" w:after="40"/>
              <w:ind w:firstLine="0"/>
              <w:jc w:val="center"/>
              <w:rPr>
                <w:b/>
                <w:color w:val="17365D"/>
                <w:sz w:val="20"/>
                <w:szCs w:val="20"/>
              </w:rPr>
            </w:pPr>
            <w:r w:rsidRPr="00B36A61">
              <w:rPr>
                <w:b/>
                <w:color w:val="17365D"/>
                <w:sz w:val="20"/>
                <w:szCs w:val="20"/>
              </w:rPr>
              <w:t>A</w:t>
            </w:r>
          </w:p>
        </w:tc>
        <w:tc>
          <w:tcPr>
            <w:tcW w:w="2565" w:type="dxa"/>
            <w:tcBorders>
              <w:top w:val="nil"/>
              <w:bottom w:val="single" w:sz="4" w:space="0" w:color="17365D"/>
            </w:tcBorders>
            <w:shd w:val="clear" w:color="auto" w:fill="auto"/>
            <w:vAlign w:val="center"/>
          </w:tcPr>
          <w:p w14:paraId="736B8F23" w14:textId="77777777" w:rsidR="00B1217F" w:rsidRPr="00B36A61" w:rsidRDefault="00B1217F" w:rsidP="00E61476">
            <w:pPr>
              <w:pStyle w:val="Pamatteksts"/>
              <w:spacing w:before="40" w:after="40"/>
              <w:ind w:firstLine="0"/>
              <w:jc w:val="center"/>
              <w:rPr>
                <w:b/>
                <w:color w:val="17365D"/>
                <w:sz w:val="20"/>
                <w:szCs w:val="20"/>
              </w:rPr>
            </w:pPr>
            <w:r w:rsidRPr="00B36A61">
              <w:rPr>
                <w:b/>
                <w:color w:val="17365D"/>
                <w:sz w:val="20"/>
                <w:szCs w:val="20"/>
              </w:rPr>
              <w:t>B</w:t>
            </w:r>
          </w:p>
        </w:tc>
        <w:tc>
          <w:tcPr>
            <w:tcW w:w="1482" w:type="dxa"/>
            <w:tcBorders>
              <w:top w:val="nil"/>
              <w:bottom w:val="single" w:sz="4" w:space="0" w:color="17365D"/>
            </w:tcBorders>
            <w:shd w:val="clear" w:color="auto" w:fill="auto"/>
            <w:vAlign w:val="center"/>
          </w:tcPr>
          <w:p w14:paraId="461B5C28" w14:textId="4F5B42B7" w:rsidR="00B1217F" w:rsidRPr="00B36A61" w:rsidRDefault="00B1217F" w:rsidP="00E61476">
            <w:pPr>
              <w:pStyle w:val="Pamatteksts"/>
              <w:spacing w:before="40" w:after="40"/>
              <w:ind w:firstLine="0"/>
              <w:jc w:val="center"/>
              <w:rPr>
                <w:b/>
                <w:color w:val="17365D"/>
                <w:sz w:val="20"/>
                <w:szCs w:val="20"/>
              </w:rPr>
            </w:pPr>
            <w:r w:rsidRPr="00B36A61">
              <w:rPr>
                <w:b/>
                <w:color w:val="17365D"/>
                <w:sz w:val="20"/>
                <w:szCs w:val="20"/>
              </w:rPr>
              <w:t>1</w:t>
            </w:r>
          </w:p>
        </w:tc>
        <w:tc>
          <w:tcPr>
            <w:tcW w:w="1482" w:type="dxa"/>
            <w:tcBorders>
              <w:top w:val="nil"/>
              <w:bottom w:val="single" w:sz="4" w:space="0" w:color="17365D"/>
            </w:tcBorders>
            <w:shd w:val="clear" w:color="auto" w:fill="auto"/>
            <w:vAlign w:val="center"/>
          </w:tcPr>
          <w:p w14:paraId="22AB3397" w14:textId="419D7C7F" w:rsidR="00B1217F" w:rsidRPr="00B36A61" w:rsidRDefault="00B1217F" w:rsidP="00E61476">
            <w:pPr>
              <w:pStyle w:val="Pamatteksts"/>
              <w:spacing w:before="40" w:after="40"/>
              <w:ind w:firstLine="0"/>
              <w:jc w:val="center"/>
              <w:rPr>
                <w:b/>
                <w:color w:val="17365D"/>
                <w:sz w:val="20"/>
                <w:szCs w:val="20"/>
              </w:rPr>
            </w:pPr>
            <w:r w:rsidRPr="00B36A61">
              <w:rPr>
                <w:b/>
                <w:color w:val="17365D"/>
                <w:sz w:val="20"/>
                <w:szCs w:val="20"/>
              </w:rPr>
              <w:t>2</w:t>
            </w:r>
          </w:p>
        </w:tc>
        <w:tc>
          <w:tcPr>
            <w:tcW w:w="1632" w:type="dxa"/>
            <w:tcBorders>
              <w:top w:val="nil"/>
              <w:bottom w:val="single" w:sz="4" w:space="0" w:color="17365D"/>
            </w:tcBorders>
            <w:shd w:val="clear" w:color="auto" w:fill="auto"/>
            <w:vAlign w:val="center"/>
          </w:tcPr>
          <w:p w14:paraId="1CE6DF28" w14:textId="4A5C8EB5" w:rsidR="00B1217F" w:rsidRPr="00B36A61" w:rsidRDefault="00B1217F" w:rsidP="00E61476">
            <w:pPr>
              <w:pStyle w:val="Pamatteksts"/>
              <w:spacing w:before="40" w:after="40"/>
              <w:ind w:firstLine="0"/>
              <w:jc w:val="center"/>
              <w:rPr>
                <w:b/>
                <w:color w:val="17365D"/>
                <w:sz w:val="20"/>
                <w:szCs w:val="20"/>
              </w:rPr>
            </w:pPr>
            <w:r w:rsidRPr="00B36A61">
              <w:rPr>
                <w:b/>
                <w:color w:val="17365D"/>
                <w:sz w:val="20"/>
                <w:szCs w:val="20"/>
              </w:rPr>
              <w:t>3</w:t>
            </w:r>
          </w:p>
        </w:tc>
        <w:tc>
          <w:tcPr>
            <w:tcW w:w="1328" w:type="dxa"/>
            <w:tcBorders>
              <w:top w:val="nil"/>
              <w:bottom w:val="single" w:sz="4" w:space="0" w:color="17365D"/>
            </w:tcBorders>
            <w:shd w:val="clear" w:color="auto" w:fill="auto"/>
            <w:vAlign w:val="center"/>
          </w:tcPr>
          <w:p w14:paraId="600BB6F4" w14:textId="0C70B32F" w:rsidR="00B1217F" w:rsidRPr="00B36A61" w:rsidRDefault="00B1217F" w:rsidP="00E61476">
            <w:pPr>
              <w:pStyle w:val="Pamatteksts"/>
              <w:spacing w:before="40" w:after="40"/>
              <w:ind w:firstLine="0"/>
              <w:jc w:val="center"/>
              <w:rPr>
                <w:b/>
                <w:color w:val="17365D"/>
                <w:sz w:val="20"/>
                <w:szCs w:val="20"/>
              </w:rPr>
            </w:pPr>
            <w:r w:rsidRPr="00B36A61">
              <w:rPr>
                <w:b/>
                <w:color w:val="17365D"/>
                <w:sz w:val="20"/>
                <w:szCs w:val="20"/>
              </w:rPr>
              <w:t>4</w:t>
            </w:r>
          </w:p>
        </w:tc>
      </w:tr>
      <w:tr w:rsidR="00B36A61" w:rsidRPr="00B36A61" w14:paraId="090EBBBA" w14:textId="77777777" w:rsidTr="005123EA">
        <w:trPr>
          <w:trHeight w:val="285"/>
        </w:trPr>
        <w:tc>
          <w:tcPr>
            <w:tcW w:w="896" w:type="dxa"/>
            <w:tcBorders>
              <w:top w:val="single" w:sz="4" w:space="0" w:color="17365D"/>
              <w:bottom w:val="single" w:sz="4" w:space="0" w:color="17365D"/>
            </w:tcBorders>
            <w:shd w:val="clear" w:color="auto" w:fill="auto"/>
            <w:vAlign w:val="center"/>
          </w:tcPr>
          <w:p w14:paraId="2D4CE69A" w14:textId="75954A93" w:rsidR="002D20BC" w:rsidRPr="00B36A61" w:rsidRDefault="002D20BC" w:rsidP="002D20BC">
            <w:pPr>
              <w:pStyle w:val="Pamatteksts"/>
              <w:spacing w:before="40" w:after="40"/>
              <w:ind w:firstLine="0"/>
              <w:jc w:val="left"/>
              <w:rPr>
                <w:color w:val="17365D"/>
                <w:sz w:val="20"/>
                <w:szCs w:val="20"/>
              </w:rPr>
            </w:pPr>
            <w:r w:rsidRPr="00B36A61">
              <w:rPr>
                <w:b/>
                <w:color w:val="17365D"/>
                <w:sz w:val="20"/>
                <w:szCs w:val="20"/>
              </w:rPr>
              <w:t>II</w:t>
            </w:r>
            <w:r w:rsidRPr="00B36A61">
              <w:rPr>
                <w:color w:val="17365D"/>
                <w:sz w:val="20"/>
                <w:szCs w:val="20"/>
              </w:rPr>
              <w:t>.</w:t>
            </w:r>
          </w:p>
        </w:tc>
        <w:tc>
          <w:tcPr>
            <w:tcW w:w="2565" w:type="dxa"/>
            <w:tcBorders>
              <w:top w:val="single" w:sz="4" w:space="0" w:color="17365D"/>
              <w:bottom w:val="single" w:sz="4" w:space="0" w:color="17365D"/>
            </w:tcBorders>
            <w:shd w:val="clear" w:color="auto" w:fill="auto"/>
            <w:vAlign w:val="center"/>
          </w:tcPr>
          <w:p w14:paraId="7A3779E8" w14:textId="4D5C2CCD" w:rsidR="002D20BC" w:rsidRPr="00B36A61" w:rsidRDefault="002D20BC" w:rsidP="002D20BC">
            <w:pPr>
              <w:pStyle w:val="Pamatteksts"/>
              <w:spacing w:before="40" w:after="40"/>
              <w:ind w:firstLine="0"/>
              <w:jc w:val="left"/>
              <w:rPr>
                <w:b/>
                <w:color w:val="17365D"/>
                <w:sz w:val="20"/>
                <w:szCs w:val="20"/>
              </w:rPr>
            </w:pPr>
            <w:r w:rsidRPr="00B36A61">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3231B954" w14:textId="52E3B631" w:rsidR="002D20BC" w:rsidRPr="00B36A61" w:rsidRDefault="002D20BC" w:rsidP="002D20BC">
            <w:pPr>
              <w:pStyle w:val="Pamatteksts"/>
              <w:spacing w:before="40" w:after="40"/>
              <w:ind w:firstLine="0"/>
              <w:jc w:val="right"/>
              <w:rPr>
                <w:b/>
                <w:bCs/>
                <w:color w:val="17365D"/>
                <w:sz w:val="20"/>
                <w:szCs w:val="20"/>
              </w:rPr>
            </w:pPr>
            <w:r w:rsidRPr="00B36A61">
              <w:rPr>
                <w:b/>
                <w:bCs/>
                <w:color w:val="17365D"/>
                <w:sz w:val="20"/>
                <w:szCs w:val="20"/>
              </w:rPr>
              <w:t>10 179 402 710</w:t>
            </w:r>
          </w:p>
        </w:tc>
        <w:tc>
          <w:tcPr>
            <w:tcW w:w="1482" w:type="dxa"/>
            <w:tcBorders>
              <w:top w:val="single" w:sz="4" w:space="0" w:color="17365D"/>
              <w:left w:val="nil"/>
              <w:bottom w:val="single" w:sz="4" w:space="0" w:color="17365D"/>
              <w:right w:val="nil"/>
            </w:tcBorders>
            <w:shd w:val="clear" w:color="000000" w:fill="FFFFFF"/>
            <w:vAlign w:val="center"/>
          </w:tcPr>
          <w:p w14:paraId="389F9E76" w14:textId="6CAF9AD6" w:rsidR="002D20BC" w:rsidRPr="00B36A61" w:rsidRDefault="002D20BC" w:rsidP="002D20BC">
            <w:pPr>
              <w:pStyle w:val="Pamatteksts"/>
              <w:spacing w:before="40" w:after="40"/>
              <w:ind w:firstLine="0"/>
              <w:jc w:val="right"/>
              <w:rPr>
                <w:b/>
                <w:bCs/>
                <w:color w:val="17365D"/>
                <w:sz w:val="20"/>
                <w:szCs w:val="20"/>
              </w:rPr>
            </w:pPr>
            <w:r w:rsidRPr="00B36A61">
              <w:rPr>
                <w:b/>
                <w:bCs/>
                <w:color w:val="17365D"/>
                <w:sz w:val="20"/>
                <w:szCs w:val="20"/>
              </w:rPr>
              <w:t>9 408 779 293</w:t>
            </w:r>
          </w:p>
        </w:tc>
        <w:tc>
          <w:tcPr>
            <w:tcW w:w="1632" w:type="dxa"/>
            <w:tcBorders>
              <w:top w:val="single" w:sz="4" w:space="0" w:color="17365D"/>
              <w:left w:val="nil"/>
              <w:bottom w:val="single" w:sz="4" w:space="0" w:color="17365D"/>
              <w:right w:val="nil"/>
            </w:tcBorders>
            <w:shd w:val="clear" w:color="auto" w:fill="auto"/>
            <w:vAlign w:val="center"/>
          </w:tcPr>
          <w:p w14:paraId="5E8EF1A0" w14:textId="06B1A5D4" w:rsidR="002D20BC" w:rsidRPr="00B36A61" w:rsidRDefault="002D20BC" w:rsidP="002D20BC">
            <w:pPr>
              <w:pStyle w:val="Pamatteksts"/>
              <w:spacing w:before="40" w:after="40"/>
              <w:ind w:firstLine="0"/>
              <w:jc w:val="right"/>
              <w:rPr>
                <w:b/>
                <w:bCs/>
                <w:color w:val="17365D"/>
                <w:sz w:val="20"/>
                <w:szCs w:val="20"/>
              </w:rPr>
            </w:pPr>
            <w:r w:rsidRPr="00B36A61">
              <w:rPr>
                <w:b/>
                <w:color w:val="17365D"/>
                <w:sz w:val="20"/>
                <w:szCs w:val="20"/>
              </w:rPr>
              <w:t>770 623 417</w:t>
            </w:r>
          </w:p>
        </w:tc>
        <w:tc>
          <w:tcPr>
            <w:tcW w:w="1328" w:type="dxa"/>
            <w:tcBorders>
              <w:top w:val="single" w:sz="4" w:space="0" w:color="17365D"/>
              <w:left w:val="nil"/>
              <w:bottom w:val="single" w:sz="4" w:space="0" w:color="17365D"/>
              <w:right w:val="nil"/>
            </w:tcBorders>
            <w:shd w:val="clear" w:color="auto" w:fill="auto"/>
            <w:vAlign w:val="center"/>
          </w:tcPr>
          <w:p w14:paraId="2CD88262" w14:textId="15604F99" w:rsidR="002D20BC" w:rsidRPr="00B36A61" w:rsidRDefault="002D20BC" w:rsidP="002D20BC">
            <w:pPr>
              <w:pStyle w:val="Pamatteksts"/>
              <w:spacing w:before="40" w:after="40"/>
              <w:ind w:firstLine="0"/>
              <w:jc w:val="right"/>
              <w:rPr>
                <w:b/>
                <w:bCs/>
                <w:color w:val="17365D"/>
                <w:sz w:val="20"/>
                <w:szCs w:val="20"/>
              </w:rPr>
            </w:pPr>
            <w:r w:rsidRPr="00B36A61">
              <w:rPr>
                <w:b/>
                <w:color w:val="17365D"/>
                <w:sz w:val="20"/>
                <w:szCs w:val="20"/>
              </w:rPr>
              <w:t>8.2</w:t>
            </w:r>
          </w:p>
        </w:tc>
      </w:tr>
      <w:tr w:rsidR="00B36A61" w:rsidRPr="00B36A61" w14:paraId="4E9C2DCB" w14:textId="77777777" w:rsidTr="005123EA">
        <w:trPr>
          <w:trHeight w:val="285"/>
        </w:trPr>
        <w:tc>
          <w:tcPr>
            <w:tcW w:w="896" w:type="dxa"/>
            <w:tcBorders>
              <w:top w:val="single" w:sz="4" w:space="0" w:color="17365D"/>
              <w:bottom w:val="single" w:sz="4" w:space="0" w:color="17365D"/>
            </w:tcBorders>
            <w:shd w:val="clear" w:color="auto" w:fill="auto"/>
            <w:vAlign w:val="center"/>
          </w:tcPr>
          <w:p w14:paraId="00B0D2DD" w14:textId="5344D40E" w:rsidR="002D20BC" w:rsidRPr="00B36A61" w:rsidRDefault="002D20BC" w:rsidP="002D20BC">
            <w:pPr>
              <w:spacing w:before="40" w:after="40"/>
              <w:ind w:firstLine="0"/>
              <w:jc w:val="left"/>
              <w:rPr>
                <w:b/>
                <w:bCs/>
                <w:color w:val="17365D"/>
                <w:sz w:val="20"/>
                <w:szCs w:val="20"/>
              </w:rPr>
            </w:pPr>
            <w:r w:rsidRPr="00B36A61">
              <w:rPr>
                <w:b/>
                <w:bCs/>
                <w:color w:val="17365D"/>
                <w:sz w:val="20"/>
                <w:szCs w:val="20"/>
              </w:rPr>
              <w:t>1.0.</w:t>
            </w:r>
          </w:p>
        </w:tc>
        <w:tc>
          <w:tcPr>
            <w:tcW w:w="2565" w:type="dxa"/>
            <w:tcBorders>
              <w:top w:val="single" w:sz="4" w:space="0" w:color="17365D"/>
              <w:bottom w:val="single" w:sz="4" w:space="0" w:color="17365D"/>
            </w:tcBorders>
            <w:shd w:val="clear" w:color="auto" w:fill="auto"/>
            <w:vAlign w:val="center"/>
          </w:tcPr>
          <w:p w14:paraId="1A960FED" w14:textId="0EDDEB76" w:rsidR="002D20BC" w:rsidRPr="00B36A61" w:rsidRDefault="002D20BC" w:rsidP="002D20BC">
            <w:pPr>
              <w:pStyle w:val="Pamatteksts"/>
              <w:spacing w:before="40" w:after="40"/>
              <w:ind w:firstLine="0"/>
              <w:jc w:val="left"/>
              <w:rPr>
                <w:b/>
                <w:color w:val="17365D"/>
                <w:sz w:val="20"/>
                <w:szCs w:val="20"/>
              </w:rPr>
            </w:pPr>
            <w:r w:rsidRPr="00B36A61">
              <w:rPr>
                <w:b/>
                <w:bCs/>
                <w:color w:val="17365D"/>
                <w:sz w:val="20"/>
                <w:szCs w:val="20"/>
              </w:rPr>
              <w:t>Uzturēšanas izdevumi</w:t>
            </w:r>
          </w:p>
        </w:tc>
        <w:tc>
          <w:tcPr>
            <w:tcW w:w="1482" w:type="dxa"/>
            <w:tcBorders>
              <w:top w:val="single" w:sz="4" w:space="0" w:color="17365D"/>
              <w:left w:val="nil"/>
              <w:bottom w:val="single" w:sz="4" w:space="0" w:color="17365D"/>
              <w:right w:val="nil"/>
            </w:tcBorders>
            <w:shd w:val="clear" w:color="auto" w:fill="auto"/>
            <w:vAlign w:val="center"/>
          </w:tcPr>
          <w:p w14:paraId="1F24DA86" w14:textId="1616A6C5"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9 320 603 187</w:t>
            </w:r>
          </w:p>
        </w:tc>
        <w:tc>
          <w:tcPr>
            <w:tcW w:w="1482" w:type="dxa"/>
            <w:tcBorders>
              <w:top w:val="single" w:sz="4" w:space="0" w:color="17365D"/>
              <w:left w:val="nil"/>
              <w:bottom w:val="single" w:sz="4" w:space="0" w:color="17365D"/>
              <w:right w:val="nil"/>
            </w:tcBorders>
            <w:shd w:val="clear" w:color="auto" w:fill="auto"/>
            <w:vAlign w:val="center"/>
          </w:tcPr>
          <w:p w14:paraId="63DFFFD9" w14:textId="28905E67"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8 601 051 731</w:t>
            </w:r>
          </w:p>
        </w:tc>
        <w:tc>
          <w:tcPr>
            <w:tcW w:w="1632" w:type="dxa"/>
            <w:tcBorders>
              <w:top w:val="single" w:sz="4" w:space="0" w:color="17365D"/>
              <w:left w:val="nil"/>
              <w:bottom w:val="single" w:sz="4" w:space="0" w:color="17365D"/>
              <w:right w:val="nil"/>
            </w:tcBorders>
            <w:shd w:val="clear" w:color="auto" w:fill="auto"/>
            <w:vAlign w:val="center"/>
          </w:tcPr>
          <w:p w14:paraId="23671860" w14:textId="34C2AD61"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719 551 456</w:t>
            </w:r>
          </w:p>
        </w:tc>
        <w:tc>
          <w:tcPr>
            <w:tcW w:w="1328" w:type="dxa"/>
            <w:tcBorders>
              <w:top w:val="single" w:sz="4" w:space="0" w:color="17365D"/>
              <w:left w:val="nil"/>
              <w:bottom w:val="single" w:sz="4" w:space="0" w:color="17365D"/>
              <w:right w:val="nil"/>
            </w:tcBorders>
            <w:shd w:val="clear" w:color="auto" w:fill="auto"/>
            <w:vAlign w:val="center"/>
          </w:tcPr>
          <w:p w14:paraId="451EEDF8" w14:textId="3B61FE4E"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8.4</w:t>
            </w:r>
          </w:p>
        </w:tc>
      </w:tr>
      <w:tr w:rsidR="00B36A61" w:rsidRPr="00B36A61" w14:paraId="36A05740" w14:textId="77777777" w:rsidTr="005123EA">
        <w:trPr>
          <w:trHeight w:val="285"/>
        </w:trPr>
        <w:tc>
          <w:tcPr>
            <w:tcW w:w="896" w:type="dxa"/>
            <w:tcBorders>
              <w:top w:val="single" w:sz="4" w:space="0" w:color="17365D"/>
              <w:bottom w:val="single" w:sz="4" w:space="0" w:color="17365D"/>
            </w:tcBorders>
            <w:shd w:val="clear" w:color="auto" w:fill="auto"/>
            <w:vAlign w:val="center"/>
          </w:tcPr>
          <w:p w14:paraId="58959166" w14:textId="3DC46658" w:rsidR="002D20BC" w:rsidRPr="00B36A61" w:rsidRDefault="002D20BC" w:rsidP="002D20BC">
            <w:pPr>
              <w:pStyle w:val="Pamatteksts"/>
              <w:spacing w:before="40" w:after="40"/>
              <w:ind w:firstLine="0"/>
              <w:jc w:val="left"/>
              <w:rPr>
                <w:color w:val="17365D"/>
                <w:sz w:val="20"/>
                <w:szCs w:val="20"/>
              </w:rPr>
            </w:pPr>
            <w:r w:rsidRPr="00B36A61">
              <w:rPr>
                <w:color w:val="17365D"/>
                <w:sz w:val="20"/>
                <w:szCs w:val="20"/>
              </w:rPr>
              <w:t>1.1.</w:t>
            </w:r>
          </w:p>
        </w:tc>
        <w:tc>
          <w:tcPr>
            <w:tcW w:w="2565" w:type="dxa"/>
            <w:tcBorders>
              <w:top w:val="single" w:sz="4" w:space="0" w:color="17365D"/>
              <w:bottom w:val="single" w:sz="4" w:space="0" w:color="17365D"/>
            </w:tcBorders>
            <w:shd w:val="clear" w:color="auto" w:fill="auto"/>
            <w:vAlign w:val="center"/>
          </w:tcPr>
          <w:p w14:paraId="7CF7C8EC" w14:textId="52B9389E" w:rsidR="002D20BC" w:rsidRPr="00B36A61" w:rsidRDefault="002D20BC" w:rsidP="002D20BC">
            <w:pPr>
              <w:pStyle w:val="Pamatteksts"/>
              <w:spacing w:before="40" w:after="40"/>
              <w:ind w:firstLine="0"/>
              <w:jc w:val="left"/>
              <w:rPr>
                <w:color w:val="17365D"/>
                <w:sz w:val="20"/>
                <w:szCs w:val="20"/>
              </w:rPr>
            </w:pPr>
            <w:r w:rsidRPr="00B36A61">
              <w:rPr>
                <w:bCs/>
                <w:color w:val="17365D"/>
                <w:sz w:val="20"/>
                <w:szCs w:val="20"/>
              </w:rPr>
              <w:t>Kārtējie izdevumi</w:t>
            </w:r>
          </w:p>
        </w:tc>
        <w:tc>
          <w:tcPr>
            <w:tcW w:w="1482" w:type="dxa"/>
            <w:tcBorders>
              <w:top w:val="single" w:sz="4" w:space="0" w:color="17365D"/>
              <w:left w:val="nil"/>
              <w:bottom w:val="single" w:sz="4" w:space="0" w:color="17365D"/>
              <w:right w:val="nil"/>
            </w:tcBorders>
            <w:shd w:val="clear" w:color="auto" w:fill="auto"/>
            <w:vAlign w:val="center"/>
          </w:tcPr>
          <w:p w14:paraId="4477F016" w14:textId="103B33AE"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2 842 237 929</w:t>
            </w:r>
          </w:p>
        </w:tc>
        <w:tc>
          <w:tcPr>
            <w:tcW w:w="1482" w:type="dxa"/>
            <w:tcBorders>
              <w:top w:val="single" w:sz="4" w:space="0" w:color="17365D"/>
              <w:left w:val="nil"/>
              <w:bottom w:val="single" w:sz="4" w:space="0" w:color="17365D"/>
              <w:right w:val="nil"/>
            </w:tcBorders>
            <w:shd w:val="clear" w:color="auto" w:fill="auto"/>
            <w:vAlign w:val="center"/>
          </w:tcPr>
          <w:p w14:paraId="4842583B" w14:textId="3B94D5A9"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2 159 088 159</w:t>
            </w:r>
          </w:p>
        </w:tc>
        <w:tc>
          <w:tcPr>
            <w:tcW w:w="1632" w:type="dxa"/>
            <w:tcBorders>
              <w:top w:val="single" w:sz="4" w:space="0" w:color="17365D"/>
              <w:left w:val="nil"/>
              <w:bottom w:val="single" w:sz="4" w:space="0" w:color="17365D"/>
              <w:right w:val="nil"/>
            </w:tcBorders>
            <w:shd w:val="clear" w:color="auto" w:fill="auto"/>
            <w:vAlign w:val="center"/>
          </w:tcPr>
          <w:p w14:paraId="343F99EA" w14:textId="345D00E3"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683 149 770</w:t>
            </w:r>
          </w:p>
        </w:tc>
        <w:tc>
          <w:tcPr>
            <w:tcW w:w="1328" w:type="dxa"/>
            <w:tcBorders>
              <w:top w:val="single" w:sz="4" w:space="0" w:color="17365D"/>
              <w:left w:val="nil"/>
              <w:bottom w:val="single" w:sz="4" w:space="0" w:color="17365D"/>
              <w:right w:val="nil"/>
            </w:tcBorders>
            <w:shd w:val="clear" w:color="auto" w:fill="auto"/>
            <w:vAlign w:val="center"/>
          </w:tcPr>
          <w:p w14:paraId="07006E9E" w14:textId="34B977C9"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31.6</w:t>
            </w:r>
          </w:p>
        </w:tc>
      </w:tr>
      <w:tr w:rsidR="00B36A61" w:rsidRPr="00B36A61" w14:paraId="4D4F0155" w14:textId="77777777" w:rsidTr="005123EA">
        <w:trPr>
          <w:trHeight w:val="285"/>
        </w:trPr>
        <w:tc>
          <w:tcPr>
            <w:tcW w:w="896" w:type="dxa"/>
            <w:tcBorders>
              <w:top w:val="single" w:sz="4" w:space="0" w:color="17365D"/>
              <w:bottom w:val="single" w:sz="4" w:space="0" w:color="17365D"/>
            </w:tcBorders>
            <w:shd w:val="clear" w:color="auto" w:fill="auto"/>
            <w:vAlign w:val="center"/>
          </w:tcPr>
          <w:p w14:paraId="40400067" w14:textId="7D78E2D8" w:rsidR="002D20BC" w:rsidRPr="00B36A61" w:rsidRDefault="002D20BC" w:rsidP="002D20BC">
            <w:pPr>
              <w:pStyle w:val="Pamatteksts"/>
              <w:spacing w:before="40" w:after="40"/>
              <w:ind w:firstLine="0"/>
              <w:jc w:val="left"/>
              <w:rPr>
                <w:color w:val="17365D"/>
                <w:sz w:val="20"/>
                <w:szCs w:val="20"/>
              </w:rPr>
            </w:pPr>
            <w:r w:rsidRPr="00B36A61">
              <w:rPr>
                <w:color w:val="17365D"/>
                <w:sz w:val="20"/>
                <w:szCs w:val="20"/>
              </w:rPr>
              <w:t>1.2.</w:t>
            </w:r>
          </w:p>
        </w:tc>
        <w:tc>
          <w:tcPr>
            <w:tcW w:w="2565" w:type="dxa"/>
            <w:tcBorders>
              <w:top w:val="single" w:sz="4" w:space="0" w:color="17365D"/>
              <w:bottom w:val="single" w:sz="4" w:space="0" w:color="17365D"/>
            </w:tcBorders>
            <w:shd w:val="clear" w:color="auto" w:fill="auto"/>
            <w:vAlign w:val="center"/>
          </w:tcPr>
          <w:p w14:paraId="725C3433" w14:textId="5F7FDDEE" w:rsidR="002D20BC" w:rsidRPr="00B36A61" w:rsidRDefault="002D20BC" w:rsidP="002D20BC">
            <w:pPr>
              <w:pStyle w:val="Pamatteksts"/>
              <w:spacing w:before="40" w:after="40"/>
              <w:ind w:firstLine="0"/>
              <w:jc w:val="left"/>
              <w:rPr>
                <w:bCs/>
                <w:color w:val="17365D"/>
                <w:sz w:val="20"/>
                <w:szCs w:val="20"/>
              </w:rPr>
            </w:pPr>
            <w:r w:rsidRPr="00B36A61">
              <w:rPr>
                <w:bCs/>
                <w:color w:val="17365D"/>
                <w:sz w:val="20"/>
                <w:szCs w:val="20"/>
              </w:rPr>
              <w:t>Procentu izdevumi</w:t>
            </w:r>
          </w:p>
        </w:tc>
        <w:tc>
          <w:tcPr>
            <w:tcW w:w="1482" w:type="dxa"/>
            <w:tcBorders>
              <w:top w:val="single" w:sz="4" w:space="0" w:color="17365D"/>
              <w:left w:val="nil"/>
              <w:bottom w:val="single" w:sz="4" w:space="0" w:color="17365D"/>
              <w:right w:val="nil"/>
            </w:tcBorders>
            <w:shd w:val="clear" w:color="auto" w:fill="auto"/>
            <w:vAlign w:val="center"/>
          </w:tcPr>
          <w:p w14:paraId="05DB10C9" w14:textId="769D4A62"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164 827 789</w:t>
            </w:r>
          </w:p>
        </w:tc>
        <w:tc>
          <w:tcPr>
            <w:tcW w:w="1482" w:type="dxa"/>
            <w:tcBorders>
              <w:top w:val="single" w:sz="4" w:space="0" w:color="17365D"/>
              <w:left w:val="nil"/>
              <w:bottom w:val="single" w:sz="4" w:space="0" w:color="17365D"/>
              <w:right w:val="nil"/>
            </w:tcBorders>
            <w:shd w:val="clear" w:color="auto" w:fill="auto"/>
            <w:vAlign w:val="center"/>
          </w:tcPr>
          <w:p w14:paraId="401FAEC9" w14:textId="065E28B5"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220 913 326</w:t>
            </w:r>
          </w:p>
        </w:tc>
        <w:tc>
          <w:tcPr>
            <w:tcW w:w="1632" w:type="dxa"/>
            <w:tcBorders>
              <w:top w:val="single" w:sz="4" w:space="0" w:color="17365D"/>
              <w:left w:val="nil"/>
              <w:bottom w:val="single" w:sz="4" w:space="0" w:color="17365D"/>
              <w:right w:val="nil"/>
            </w:tcBorders>
            <w:shd w:val="clear" w:color="auto" w:fill="auto"/>
            <w:vAlign w:val="center"/>
          </w:tcPr>
          <w:p w14:paraId="1A811E9A" w14:textId="3FAD7D14"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-56 085 537</w:t>
            </w:r>
          </w:p>
        </w:tc>
        <w:tc>
          <w:tcPr>
            <w:tcW w:w="1328" w:type="dxa"/>
            <w:tcBorders>
              <w:top w:val="single" w:sz="4" w:space="0" w:color="17365D"/>
              <w:left w:val="nil"/>
              <w:bottom w:val="single" w:sz="4" w:space="0" w:color="17365D"/>
              <w:right w:val="nil"/>
            </w:tcBorders>
            <w:shd w:val="clear" w:color="auto" w:fill="auto"/>
            <w:vAlign w:val="center"/>
          </w:tcPr>
          <w:p w14:paraId="667FBBA8" w14:textId="1EDF9622"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-25.4</w:t>
            </w:r>
          </w:p>
        </w:tc>
      </w:tr>
      <w:tr w:rsidR="00B36A61" w:rsidRPr="00B36A61" w14:paraId="53047F9C" w14:textId="77777777" w:rsidTr="005123EA">
        <w:trPr>
          <w:trHeight w:val="285"/>
        </w:trPr>
        <w:tc>
          <w:tcPr>
            <w:tcW w:w="896" w:type="dxa"/>
            <w:tcBorders>
              <w:top w:val="single" w:sz="4" w:space="0" w:color="17365D"/>
              <w:bottom w:val="single" w:sz="4" w:space="0" w:color="17365D"/>
            </w:tcBorders>
            <w:shd w:val="clear" w:color="auto" w:fill="auto"/>
            <w:vAlign w:val="center"/>
          </w:tcPr>
          <w:p w14:paraId="6AF309E5" w14:textId="775C4122" w:rsidR="002D20BC" w:rsidRPr="00B36A61" w:rsidRDefault="002D20BC" w:rsidP="002D20BC">
            <w:pPr>
              <w:pStyle w:val="Pamatteksts"/>
              <w:spacing w:before="40" w:after="40"/>
              <w:ind w:firstLine="0"/>
              <w:jc w:val="left"/>
              <w:rPr>
                <w:color w:val="17365D"/>
                <w:sz w:val="20"/>
                <w:szCs w:val="20"/>
              </w:rPr>
            </w:pPr>
            <w:r w:rsidRPr="00B36A61">
              <w:rPr>
                <w:color w:val="17365D"/>
                <w:sz w:val="20"/>
                <w:szCs w:val="20"/>
              </w:rPr>
              <w:t>1.3.</w:t>
            </w:r>
          </w:p>
        </w:tc>
        <w:tc>
          <w:tcPr>
            <w:tcW w:w="2565" w:type="dxa"/>
            <w:tcBorders>
              <w:top w:val="single" w:sz="4" w:space="0" w:color="17365D"/>
              <w:bottom w:val="single" w:sz="4" w:space="0" w:color="17365D"/>
            </w:tcBorders>
            <w:shd w:val="clear" w:color="auto" w:fill="auto"/>
            <w:vAlign w:val="center"/>
          </w:tcPr>
          <w:p w14:paraId="08CF853D" w14:textId="779269F7" w:rsidR="002D20BC" w:rsidRPr="00B36A61" w:rsidRDefault="002D20BC" w:rsidP="002D20BC">
            <w:pPr>
              <w:pStyle w:val="Pamatteksts"/>
              <w:spacing w:before="40" w:after="40"/>
              <w:ind w:firstLine="0"/>
              <w:jc w:val="left"/>
              <w:rPr>
                <w:color w:val="17365D"/>
                <w:sz w:val="20"/>
                <w:szCs w:val="20"/>
              </w:rPr>
            </w:pPr>
            <w:r w:rsidRPr="00B36A61">
              <w:rPr>
                <w:bCs/>
                <w:color w:val="17365D"/>
                <w:sz w:val="20"/>
                <w:szCs w:val="20"/>
              </w:rPr>
              <w:t>Subsīdijas, dotācijas un sociālie pabalsti</w:t>
            </w:r>
          </w:p>
        </w:tc>
        <w:tc>
          <w:tcPr>
            <w:tcW w:w="1482" w:type="dxa"/>
            <w:tcBorders>
              <w:top w:val="single" w:sz="4" w:space="0" w:color="17365D"/>
              <w:left w:val="nil"/>
              <w:bottom w:val="single" w:sz="4" w:space="0" w:color="17365D"/>
              <w:right w:val="nil"/>
            </w:tcBorders>
            <w:shd w:val="clear" w:color="auto" w:fill="auto"/>
            <w:vAlign w:val="center"/>
          </w:tcPr>
          <w:p w14:paraId="4A4228EC" w14:textId="50A53DF1"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4 341 910 937</w:t>
            </w:r>
          </w:p>
        </w:tc>
        <w:tc>
          <w:tcPr>
            <w:tcW w:w="1482" w:type="dxa"/>
            <w:tcBorders>
              <w:top w:val="single" w:sz="4" w:space="0" w:color="17365D"/>
              <w:left w:val="nil"/>
              <w:bottom w:val="single" w:sz="4" w:space="0" w:color="17365D"/>
              <w:right w:val="nil"/>
            </w:tcBorders>
            <w:shd w:val="clear" w:color="auto" w:fill="auto"/>
            <w:vAlign w:val="center"/>
          </w:tcPr>
          <w:p w14:paraId="6728B30F" w14:textId="14F37262"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4 368 874 539</w:t>
            </w:r>
          </w:p>
        </w:tc>
        <w:tc>
          <w:tcPr>
            <w:tcW w:w="1632" w:type="dxa"/>
            <w:tcBorders>
              <w:top w:val="single" w:sz="4" w:space="0" w:color="17365D"/>
              <w:left w:val="nil"/>
              <w:bottom w:val="single" w:sz="4" w:space="0" w:color="17365D"/>
              <w:right w:val="nil"/>
            </w:tcBorders>
            <w:shd w:val="clear" w:color="auto" w:fill="auto"/>
            <w:vAlign w:val="center"/>
          </w:tcPr>
          <w:p w14:paraId="1F6A31AD" w14:textId="42A6F70E"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-26 963 602</w:t>
            </w:r>
          </w:p>
        </w:tc>
        <w:tc>
          <w:tcPr>
            <w:tcW w:w="1328" w:type="dxa"/>
            <w:tcBorders>
              <w:top w:val="single" w:sz="4" w:space="0" w:color="17365D"/>
              <w:left w:val="nil"/>
              <w:bottom w:val="single" w:sz="4" w:space="0" w:color="17365D"/>
              <w:right w:val="nil"/>
            </w:tcBorders>
            <w:shd w:val="clear" w:color="auto" w:fill="auto"/>
            <w:vAlign w:val="center"/>
          </w:tcPr>
          <w:p w14:paraId="48006A8D" w14:textId="0BBD9A99"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-0.6</w:t>
            </w:r>
          </w:p>
        </w:tc>
      </w:tr>
      <w:tr w:rsidR="00B36A61" w:rsidRPr="00B36A61" w14:paraId="5B86E4CF" w14:textId="77777777" w:rsidTr="005123EA">
        <w:trPr>
          <w:trHeight w:val="285"/>
        </w:trPr>
        <w:tc>
          <w:tcPr>
            <w:tcW w:w="896" w:type="dxa"/>
            <w:tcBorders>
              <w:top w:val="single" w:sz="4" w:space="0" w:color="17365D"/>
              <w:bottom w:val="single" w:sz="4" w:space="0" w:color="17365D"/>
            </w:tcBorders>
            <w:shd w:val="clear" w:color="auto" w:fill="auto"/>
            <w:vAlign w:val="center"/>
          </w:tcPr>
          <w:p w14:paraId="6EA05C16" w14:textId="51C476F1" w:rsidR="002D20BC" w:rsidRPr="00B36A61" w:rsidRDefault="002D20BC" w:rsidP="002D20BC">
            <w:pPr>
              <w:pStyle w:val="Pamatteksts"/>
              <w:spacing w:before="40" w:after="40"/>
              <w:ind w:firstLine="0"/>
              <w:jc w:val="left"/>
              <w:rPr>
                <w:color w:val="17365D"/>
                <w:sz w:val="20"/>
                <w:szCs w:val="20"/>
              </w:rPr>
            </w:pPr>
            <w:r w:rsidRPr="00B36A61">
              <w:rPr>
                <w:color w:val="17365D"/>
                <w:sz w:val="20"/>
                <w:szCs w:val="20"/>
              </w:rPr>
              <w:t>7000</w:t>
            </w:r>
          </w:p>
        </w:tc>
        <w:tc>
          <w:tcPr>
            <w:tcW w:w="2565" w:type="dxa"/>
            <w:tcBorders>
              <w:top w:val="single" w:sz="4" w:space="0" w:color="17365D"/>
              <w:bottom w:val="single" w:sz="4" w:space="0" w:color="17365D"/>
            </w:tcBorders>
            <w:shd w:val="clear" w:color="auto" w:fill="auto"/>
            <w:vAlign w:val="center"/>
          </w:tcPr>
          <w:p w14:paraId="18F99EB9" w14:textId="4CB8C780" w:rsidR="002D20BC" w:rsidRPr="00B36A61" w:rsidRDefault="002D20BC" w:rsidP="002D20BC">
            <w:pPr>
              <w:pStyle w:val="Pamatteksts"/>
              <w:spacing w:before="40" w:after="40"/>
              <w:ind w:firstLine="0"/>
              <w:jc w:val="left"/>
              <w:rPr>
                <w:color w:val="17365D"/>
                <w:sz w:val="20"/>
                <w:szCs w:val="20"/>
              </w:rPr>
            </w:pPr>
            <w:r w:rsidRPr="00B36A61">
              <w:rPr>
                <w:color w:val="17365D"/>
                <w:sz w:val="20"/>
                <w:szCs w:val="20"/>
              </w:rPr>
              <w:t>Transferti, uzturēšanas izdevumu transferti, pašu resursu maksājumi, starptautiskā sadarbība</w:t>
            </w:r>
          </w:p>
        </w:tc>
        <w:tc>
          <w:tcPr>
            <w:tcW w:w="1482" w:type="dxa"/>
            <w:tcBorders>
              <w:top w:val="single" w:sz="4" w:space="0" w:color="17365D"/>
              <w:left w:val="nil"/>
              <w:bottom w:val="single" w:sz="4" w:space="0" w:color="17365D"/>
              <w:right w:val="nil"/>
            </w:tcBorders>
            <w:shd w:val="clear" w:color="auto" w:fill="auto"/>
            <w:vAlign w:val="center"/>
          </w:tcPr>
          <w:p w14:paraId="2116C987" w14:textId="5AC9A8DC"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1 971 626 532</w:t>
            </w:r>
          </w:p>
        </w:tc>
        <w:tc>
          <w:tcPr>
            <w:tcW w:w="1482" w:type="dxa"/>
            <w:tcBorders>
              <w:top w:val="single" w:sz="4" w:space="0" w:color="17365D"/>
              <w:left w:val="nil"/>
              <w:bottom w:val="single" w:sz="4" w:space="0" w:color="17365D"/>
              <w:right w:val="nil"/>
            </w:tcBorders>
            <w:shd w:val="clear" w:color="auto" w:fill="auto"/>
            <w:vAlign w:val="center"/>
          </w:tcPr>
          <w:p w14:paraId="023E1444" w14:textId="4AFDCAD2"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1 852 175 707</w:t>
            </w:r>
          </w:p>
        </w:tc>
        <w:tc>
          <w:tcPr>
            <w:tcW w:w="1632" w:type="dxa"/>
            <w:tcBorders>
              <w:top w:val="single" w:sz="4" w:space="0" w:color="17365D"/>
              <w:left w:val="nil"/>
              <w:bottom w:val="single" w:sz="4" w:space="0" w:color="17365D"/>
              <w:right w:val="nil"/>
            </w:tcBorders>
            <w:shd w:val="clear" w:color="auto" w:fill="auto"/>
            <w:vAlign w:val="center"/>
          </w:tcPr>
          <w:p w14:paraId="229C2E7A" w14:textId="0297F4DB"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119 450 825</w:t>
            </w:r>
          </w:p>
        </w:tc>
        <w:tc>
          <w:tcPr>
            <w:tcW w:w="1328" w:type="dxa"/>
            <w:tcBorders>
              <w:top w:val="single" w:sz="4" w:space="0" w:color="17365D"/>
              <w:left w:val="nil"/>
              <w:bottom w:val="single" w:sz="4" w:space="0" w:color="17365D"/>
              <w:right w:val="nil"/>
            </w:tcBorders>
            <w:shd w:val="clear" w:color="auto" w:fill="auto"/>
            <w:vAlign w:val="center"/>
          </w:tcPr>
          <w:p w14:paraId="5CAFB385" w14:textId="00779392"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6.4</w:t>
            </w:r>
          </w:p>
        </w:tc>
      </w:tr>
      <w:tr w:rsidR="00B36A61" w:rsidRPr="00B36A61" w14:paraId="11CB109B" w14:textId="77777777" w:rsidTr="005123EA">
        <w:trPr>
          <w:trHeight w:val="285"/>
        </w:trPr>
        <w:tc>
          <w:tcPr>
            <w:tcW w:w="896" w:type="dxa"/>
            <w:tcBorders>
              <w:top w:val="single" w:sz="4" w:space="0" w:color="17365D"/>
              <w:bottom w:val="single" w:sz="4" w:space="0" w:color="17365D"/>
            </w:tcBorders>
            <w:shd w:val="clear" w:color="auto" w:fill="auto"/>
            <w:vAlign w:val="center"/>
          </w:tcPr>
          <w:p w14:paraId="6104BDD4" w14:textId="3B54831E" w:rsidR="002D20BC" w:rsidRPr="00B36A61" w:rsidRDefault="002D20BC" w:rsidP="002D20BC">
            <w:pPr>
              <w:pStyle w:val="Pamatteksts"/>
              <w:spacing w:before="40" w:after="40"/>
              <w:ind w:firstLine="0"/>
              <w:jc w:val="left"/>
              <w:rPr>
                <w:color w:val="17365D"/>
                <w:sz w:val="20"/>
                <w:szCs w:val="20"/>
              </w:rPr>
            </w:pPr>
            <w:r w:rsidRPr="00B36A61">
              <w:rPr>
                <w:color w:val="17365D"/>
                <w:sz w:val="20"/>
                <w:szCs w:val="20"/>
              </w:rPr>
              <w:t>1.4.</w:t>
            </w:r>
          </w:p>
        </w:tc>
        <w:tc>
          <w:tcPr>
            <w:tcW w:w="2565" w:type="dxa"/>
            <w:tcBorders>
              <w:top w:val="single" w:sz="4" w:space="0" w:color="17365D"/>
              <w:bottom w:val="single" w:sz="4" w:space="0" w:color="17365D"/>
            </w:tcBorders>
            <w:shd w:val="clear" w:color="auto" w:fill="auto"/>
            <w:vAlign w:val="center"/>
          </w:tcPr>
          <w:p w14:paraId="0DF345AF" w14:textId="6DEA3A4E" w:rsidR="002D20BC" w:rsidRPr="00B36A61" w:rsidRDefault="002D20BC" w:rsidP="002D20BC">
            <w:pPr>
              <w:pStyle w:val="Pamatteksts"/>
              <w:spacing w:before="40" w:after="40"/>
              <w:ind w:firstLine="0"/>
              <w:jc w:val="left"/>
              <w:rPr>
                <w:color w:val="17365D"/>
                <w:sz w:val="20"/>
                <w:szCs w:val="20"/>
              </w:rPr>
            </w:pPr>
            <w:r w:rsidRPr="00B36A61">
              <w:rPr>
                <w:bCs/>
                <w:color w:val="17365D"/>
                <w:sz w:val="20"/>
                <w:szCs w:val="20"/>
              </w:rPr>
              <w:t>Kārtējie maksājumi Eiropas Savienības budžetā un starptautiskā sadarbība</w:t>
            </w:r>
          </w:p>
        </w:tc>
        <w:tc>
          <w:tcPr>
            <w:tcW w:w="1482" w:type="dxa"/>
            <w:tcBorders>
              <w:top w:val="single" w:sz="4" w:space="0" w:color="17365D"/>
              <w:left w:val="nil"/>
              <w:bottom w:val="single" w:sz="4" w:space="0" w:color="17365D"/>
              <w:right w:val="nil"/>
            </w:tcBorders>
            <w:shd w:val="clear" w:color="auto" w:fill="auto"/>
            <w:vAlign w:val="center"/>
          </w:tcPr>
          <w:p w14:paraId="49ECA4FF" w14:textId="68BEC365"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441 247 714</w:t>
            </w:r>
          </w:p>
        </w:tc>
        <w:tc>
          <w:tcPr>
            <w:tcW w:w="1482" w:type="dxa"/>
            <w:tcBorders>
              <w:top w:val="single" w:sz="4" w:space="0" w:color="17365D"/>
              <w:left w:val="nil"/>
              <w:bottom w:val="single" w:sz="4" w:space="0" w:color="17365D"/>
              <w:right w:val="nil"/>
            </w:tcBorders>
            <w:shd w:val="clear" w:color="auto" w:fill="auto"/>
            <w:vAlign w:val="center"/>
          </w:tcPr>
          <w:p w14:paraId="1682AFCB" w14:textId="2F757963"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446 387 452</w:t>
            </w:r>
          </w:p>
        </w:tc>
        <w:tc>
          <w:tcPr>
            <w:tcW w:w="1632" w:type="dxa"/>
            <w:tcBorders>
              <w:top w:val="single" w:sz="4" w:space="0" w:color="17365D"/>
              <w:left w:val="nil"/>
              <w:bottom w:val="single" w:sz="4" w:space="0" w:color="17365D"/>
              <w:right w:val="nil"/>
            </w:tcBorders>
            <w:shd w:val="clear" w:color="auto" w:fill="auto"/>
            <w:vAlign w:val="center"/>
          </w:tcPr>
          <w:p w14:paraId="2E9EBA77" w14:textId="531BD7A6"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-5 139 738</w:t>
            </w:r>
          </w:p>
        </w:tc>
        <w:tc>
          <w:tcPr>
            <w:tcW w:w="1328" w:type="dxa"/>
            <w:tcBorders>
              <w:top w:val="single" w:sz="4" w:space="0" w:color="17365D"/>
              <w:left w:val="nil"/>
              <w:bottom w:val="single" w:sz="4" w:space="0" w:color="17365D"/>
              <w:right w:val="nil"/>
            </w:tcBorders>
            <w:shd w:val="clear" w:color="auto" w:fill="auto"/>
            <w:vAlign w:val="center"/>
          </w:tcPr>
          <w:p w14:paraId="1A643828" w14:textId="4853059D"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-1.2</w:t>
            </w:r>
          </w:p>
        </w:tc>
      </w:tr>
      <w:tr w:rsidR="00B36A61" w:rsidRPr="00B36A61" w14:paraId="2157B17E" w14:textId="77777777" w:rsidTr="005123EA">
        <w:trPr>
          <w:trHeight w:val="285"/>
        </w:trPr>
        <w:tc>
          <w:tcPr>
            <w:tcW w:w="896" w:type="dxa"/>
            <w:tcBorders>
              <w:top w:val="single" w:sz="4" w:space="0" w:color="17365D"/>
              <w:bottom w:val="single" w:sz="4" w:space="0" w:color="17365D"/>
            </w:tcBorders>
            <w:shd w:val="clear" w:color="auto" w:fill="auto"/>
            <w:vAlign w:val="center"/>
          </w:tcPr>
          <w:p w14:paraId="3648B505" w14:textId="76F9D740" w:rsidR="002D20BC" w:rsidRPr="00B36A61" w:rsidRDefault="002D20BC" w:rsidP="002D20BC">
            <w:pPr>
              <w:pStyle w:val="Pamatteksts"/>
              <w:spacing w:before="40" w:after="40"/>
              <w:ind w:firstLine="0"/>
              <w:jc w:val="left"/>
              <w:rPr>
                <w:color w:val="17365D"/>
                <w:sz w:val="20"/>
                <w:szCs w:val="20"/>
              </w:rPr>
            </w:pPr>
            <w:r w:rsidRPr="00B36A61">
              <w:rPr>
                <w:color w:val="17365D"/>
                <w:sz w:val="20"/>
                <w:szCs w:val="20"/>
              </w:rPr>
              <w:t>1.5.</w:t>
            </w:r>
          </w:p>
        </w:tc>
        <w:tc>
          <w:tcPr>
            <w:tcW w:w="2565" w:type="dxa"/>
            <w:tcBorders>
              <w:top w:val="single" w:sz="4" w:space="0" w:color="17365D"/>
              <w:bottom w:val="single" w:sz="4" w:space="0" w:color="17365D"/>
            </w:tcBorders>
            <w:shd w:val="clear" w:color="auto" w:fill="auto"/>
            <w:vAlign w:val="center"/>
          </w:tcPr>
          <w:p w14:paraId="1E5548D3" w14:textId="09DA19FB" w:rsidR="002D20BC" w:rsidRPr="00B36A61" w:rsidRDefault="002D20BC" w:rsidP="002D20BC">
            <w:pPr>
              <w:pStyle w:val="Pamatteksts"/>
              <w:spacing w:before="40" w:after="40"/>
              <w:ind w:firstLine="0"/>
              <w:jc w:val="left"/>
              <w:rPr>
                <w:color w:val="17365D"/>
                <w:sz w:val="20"/>
                <w:szCs w:val="20"/>
              </w:rPr>
            </w:pPr>
            <w:r w:rsidRPr="00B36A61">
              <w:rPr>
                <w:bCs/>
                <w:color w:val="17365D"/>
                <w:sz w:val="20"/>
                <w:szCs w:val="20"/>
              </w:rPr>
              <w:t>Transferti viena budžeta veida ietvaros un uzturēšanas izdevumu transferti starp budžeta veidiem</w:t>
            </w:r>
          </w:p>
        </w:tc>
        <w:tc>
          <w:tcPr>
            <w:tcW w:w="1482" w:type="dxa"/>
            <w:tcBorders>
              <w:top w:val="single" w:sz="4" w:space="0" w:color="17365D"/>
              <w:left w:val="nil"/>
              <w:bottom w:val="single" w:sz="4" w:space="0" w:color="17365D"/>
              <w:right w:val="nil"/>
            </w:tcBorders>
            <w:shd w:val="clear" w:color="auto" w:fill="auto"/>
            <w:vAlign w:val="center"/>
          </w:tcPr>
          <w:p w14:paraId="2430B0A0" w14:textId="2DC72190"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1 530 378 818</w:t>
            </w:r>
          </w:p>
        </w:tc>
        <w:tc>
          <w:tcPr>
            <w:tcW w:w="1482" w:type="dxa"/>
            <w:tcBorders>
              <w:top w:val="single" w:sz="4" w:space="0" w:color="17365D"/>
              <w:left w:val="nil"/>
              <w:bottom w:val="single" w:sz="4" w:space="0" w:color="17365D"/>
              <w:right w:val="nil"/>
            </w:tcBorders>
            <w:shd w:val="clear" w:color="auto" w:fill="auto"/>
            <w:vAlign w:val="center"/>
          </w:tcPr>
          <w:p w14:paraId="7AF4B008" w14:textId="265F4BB0"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1 405 788 255</w:t>
            </w:r>
          </w:p>
        </w:tc>
        <w:tc>
          <w:tcPr>
            <w:tcW w:w="1632" w:type="dxa"/>
            <w:tcBorders>
              <w:top w:val="single" w:sz="4" w:space="0" w:color="17365D"/>
              <w:left w:val="nil"/>
              <w:bottom w:val="single" w:sz="4" w:space="0" w:color="17365D"/>
              <w:right w:val="nil"/>
            </w:tcBorders>
            <w:shd w:val="clear" w:color="auto" w:fill="auto"/>
            <w:vAlign w:val="center"/>
          </w:tcPr>
          <w:p w14:paraId="18120ECE" w14:textId="3756E6E7"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124 590 563</w:t>
            </w:r>
          </w:p>
        </w:tc>
        <w:tc>
          <w:tcPr>
            <w:tcW w:w="1328" w:type="dxa"/>
            <w:tcBorders>
              <w:top w:val="single" w:sz="4" w:space="0" w:color="17365D"/>
              <w:left w:val="nil"/>
              <w:bottom w:val="single" w:sz="4" w:space="0" w:color="17365D"/>
              <w:right w:val="nil"/>
            </w:tcBorders>
            <w:shd w:val="clear" w:color="auto" w:fill="auto"/>
            <w:vAlign w:val="center"/>
          </w:tcPr>
          <w:p w14:paraId="07CEBDE5" w14:textId="3A1B0C2B"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8.9</w:t>
            </w:r>
          </w:p>
        </w:tc>
      </w:tr>
      <w:tr w:rsidR="00B36A61" w:rsidRPr="00B36A61" w14:paraId="64DED327" w14:textId="77777777" w:rsidTr="005123EA">
        <w:trPr>
          <w:trHeight w:val="285"/>
        </w:trPr>
        <w:tc>
          <w:tcPr>
            <w:tcW w:w="896" w:type="dxa"/>
            <w:tcBorders>
              <w:top w:val="single" w:sz="4" w:space="0" w:color="17365D"/>
              <w:bottom w:val="single" w:sz="4" w:space="0" w:color="17365D"/>
            </w:tcBorders>
            <w:shd w:val="clear" w:color="auto" w:fill="auto"/>
            <w:vAlign w:val="center"/>
          </w:tcPr>
          <w:p w14:paraId="0CB4BF75" w14:textId="61D68CD3" w:rsidR="002D20BC" w:rsidRPr="00B36A61" w:rsidRDefault="002D20BC" w:rsidP="002D20BC">
            <w:pPr>
              <w:pStyle w:val="Pamatteksts"/>
              <w:spacing w:before="40" w:after="40"/>
              <w:ind w:firstLine="0"/>
              <w:jc w:val="left"/>
              <w:rPr>
                <w:b/>
                <w:color w:val="17365D"/>
                <w:sz w:val="20"/>
                <w:szCs w:val="20"/>
              </w:rPr>
            </w:pPr>
            <w:r w:rsidRPr="00B36A61">
              <w:rPr>
                <w:b/>
                <w:color w:val="17365D"/>
                <w:sz w:val="20"/>
                <w:szCs w:val="20"/>
              </w:rPr>
              <w:t>2.0.</w:t>
            </w:r>
          </w:p>
        </w:tc>
        <w:tc>
          <w:tcPr>
            <w:tcW w:w="2565" w:type="dxa"/>
            <w:tcBorders>
              <w:top w:val="single" w:sz="4" w:space="0" w:color="17365D"/>
              <w:bottom w:val="single" w:sz="4" w:space="0" w:color="17365D"/>
            </w:tcBorders>
            <w:shd w:val="clear" w:color="auto" w:fill="auto"/>
            <w:vAlign w:val="center"/>
          </w:tcPr>
          <w:p w14:paraId="0D21AE6B" w14:textId="08BDC9A2" w:rsidR="002D20BC" w:rsidRPr="00B36A61" w:rsidRDefault="002D20BC" w:rsidP="002D20BC">
            <w:pPr>
              <w:pStyle w:val="Pamatteksts"/>
              <w:spacing w:before="40" w:after="40"/>
              <w:ind w:firstLine="0"/>
              <w:jc w:val="left"/>
              <w:rPr>
                <w:b/>
                <w:bCs/>
                <w:color w:val="17365D"/>
                <w:sz w:val="20"/>
                <w:szCs w:val="20"/>
              </w:rPr>
            </w:pPr>
            <w:r w:rsidRPr="00B36A61">
              <w:rPr>
                <w:b/>
                <w:bCs/>
                <w:color w:val="17365D"/>
                <w:sz w:val="20"/>
                <w:szCs w:val="20"/>
              </w:rPr>
              <w:t>Kapitālie izdevumi</w:t>
            </w:r>
          </w:p>
        </w:tc>
        <w:tc>
          <w:tcPr>
            <w:tcW w:w="1482" w:type="dxa"/>
            <w:tcBorders>
              <w:top w:val="single" w:sz="4" w:space="0" w:color="17365D"/>
              <w:left w:val="nil"/>
              <w:bottom w:val="single" w:sz="4" w:space="0" w:color="17365D"/>
              <w:right w:val="nil"/>
            </w:tcBorders>
            <w:shd w:val="clear" w:color="auto" w:fill="auto"/>
            <w:vAlign w:val="center"/>
          </w:tcPr>
          <w:p w14:paraId="5052F846" w14:textId="59FC244C"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858 799 523</w:t>
            </w:r>
          </w:p>
        </w:tc>
        <w:tc>
          <w:tcPr>
            <w:tcW w:w="1482" w:type="dxa"/>
            <w:tcBorders>
              <w:top w:val="single" w:sz="4" w:space="0" w:color="17365D"/>
              <w:left w:val="nil"/>
              <w:bottom w:val="single" w:sz="4" w:space="0" w:color="17365D"/>
              <w:right w:val="nil"/>
            </w:tcBorders>
            <w:shd w:val="clear" w:color="auto" w:fill="auto"/>
            <w:vAlign w:val="center"/>
          </w:tcPr>
          <w:p w14:paraId="1A0B64A2" w14:textId="355E3C43"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807 727 562</w:t>
            </w:r>
          </w:p>
        </w:tc>
        <w:tc>
          <w:tcPr>
            <w:tcW w:w="1632" w:type="dxa"/>
            <w:tcBorders>
              <w:top w:val="single" w:sz="4" w:space="0" w:color="17365D"/>
              <w:left w:val="nil"/>
              <w:bottom w:val="single" w:sz="4" w:space="0" w:color="17365D"/>
              <w:right w:val="nil"/>
            </w:tcBorders>
            <w:shd w:val="clear" w:color="auto" w:fill="auto"/>
            <w:vAlign w:val="center"/>
          </w:tcPr>
          <w:p w14:paraId="42204E1A" w14:textId="129A4803"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51 071 961</w:t>
            </w:r>
          </w:p>
        </w:tc>
        <w:tc>
          <w:tcPr>
            <w:tcW w:w="1328" w:type="dxa"/>
            <w:tcBorders>
              <w:top w:val="single" w:sz="4" w:space="0" w:color="17365D"/>
              <w:left w:val="nil"/>
              <w:bottom w:val="single" w:sz="4" w:space="0" w:color="17365D"/>
              <w:right w:val="nil"/>
            </w:tcBorders>
            <w:shd w:val="clear" w:color="auto" w:fill="auto"/>
            <w:vAlign w:val="center"/>
          </w:tcPr>
          <w:p w14:paraId="6C611E93" w14:textId="1C64E786"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6.3</w:t>
            </w:r>
          </w:p>
        </w:tc>
      </w:tr>
      <w:tr w:rsidR="00B36A61" w:rsidRPr="00B36A61" w14:paraId="7527A187" w14:textId="77777777" w:rsidTr="005123EA">
        <w:trPr>
          <w:trHeight w:val="285"/>
        </w:trPr>
        <w:tc>
          <w:tcPr>
            <w:tcW w:w="896" w:type="dxa"/>
            <w:tcBorders>
              <w:top w:val="single" w:sz="4" w:space="0" w:color="17365D"/>
              <w:bottom w:val="single" w:sz="4" w:space="0" w:color="17365D"/>
            </w:tcBorders>
            <w:shd w:val="clear" w:color="auto" w:fill="auto"/>
            <w:vAlign w:val="center"/>
          </w:tcPr>
          <w:p w14:paraId="3C40E433" w14:textId="7C3889BE" w:rsidR="002D20BC" w:rsidRPr="00B36A61" w:rsidRDefault="002D20BC" w:rsidP="002D20BC">
            <w:pPr>
              <w:pStyle w:val="Pamatteksts"/>
              <w:spacing w:before="40" w:after="40"/>
              <w:ind w:firstLine="0"/>
              <w:jc w:val="left"/>
              <w:rPr>
                <w:color w:val="17365D"/>
                <w:sz w:val="20"/>
                <w:szCs w:val="20"/>
              </w:rPr>
            </w:pPr>
            <w:r w:rsidRPr="00B36A61">
              <w:rPr>
                <w:color w:val="17365D"/>
                <w:sz w:val="20"/>
                <w:szCs w:val="20"/>
              </w:rPr>
              <w:t>2.1.</w:t>
            </w:r>
          </w:p>
        </w:tc>
        <w:tc>
          <w:tcPr>
            <w:tcW w:w="2565" w:type="dxa"/>
            <w:tcBorders>
              <w:top w:val="single" w:sz="4" w:space="0" w:color="17365D"/>
              <w:bottom w:val="single" w:sz="4" w:space="0" w:color="17365D"/>
            </w:tcBorders>
            <w:shd w:val="clear" w:color="auto" w:fill="auto"/>
            <w:vAlign w:val="center"/>
          </w:tcPr>
          <w:p w14:paraId="207F3F90" w14:textId="5E9023F2" w:rsidR="002D20BC" w:rsidRPr="00B36A61" w:rsidRDefault="002D20BC" w:rsidP="002D20BC">
            <w:pPr>
              <w:pStyle w:val="Pamatteksts"/>
              <w:spacing w:before="40" w:after="40"/>
              <w:ind w:firstLine="0"/>
              <w:jc w:val="left"/>
              <w:rPr>
                <w:color w:val="17365D"/>
                <w:sz w:val="20"/>
                <w:szCs w:val="20"/>
              </w:rPr>
            </w:pPr>
            <w:r w:rsidRPr="00B36A61">
              <w:rPr>
                <w:bCs/>
                <w:color w:val="17365D"/>
                <w:sz w:val="20"/>
                <w:szCs w:val="20"/>
              </w:rPr>
              <w:t>Pamatkapitāla veidošana</w:t>
            </w:r>
          </w:p>
        </w:tc>
        <w:tc>
          <w:tcPr>
            <w:tcW w:w="1482" w:type="dxa"/>
            <w:tcBorders>
              <w:top w:val="single" w:sz="4" w:space="0" w:color="17365D"/>
              <w:left w:val="nil"/>
              <w:bottom w:val="single" w:sz="4" w:space="0" w:color="17365D"/>
              <w:right w:val="nil"/>
            </w:tcBorders>
            <w:shd w:val="clear" w:color="auto" w:fill="auto"/>
            <w:vAlign w:val="center"/>
          </w:tcPr>
          <w:p w14:paraId="00AAA48C" w14:textId="78138452"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661 810 092</w:t>
            </w:r>
          </w:p>
        </w:tc>
        <w:tc>
          <w:tcPr>
            <w:tcW w:w="1482" w:type="dxa"/>
            <w:tcBorders>
              <w:top w:val="single" w:sz="4" w:space="0" w:color="17365D"/>
              <w:left w:val="nil"/>
              <w:bottom w:val="single" w:sz="4" w:space="0" w:color="17365D"/>
              <w:right w:val="nil"/>
            </w:tcBorders>
            <w:shd w:val="clear" w:color="auto" w:fill="auto"/>
            <w:vAlign w:val="center"/>
          </w:tcPr>
          <w:p w14:paraId="2D7735D3" w14:textId="5BFFB90F"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577 992 047</w:t>
            </w:r>
          </w:p>
        </w:tc>
        <w:tc>
          <w:tcPr>
            <w:tcW w:w="1632" w:type="dxa"/>
            <w:tcBorders>
              <w:top w:val="single" w:sz="4" w:space="0" w:color="17365D"/>
              <w:left w:val="nil"/>
              <w:bottom w:val="single" w:sz="4" w:space="0" w:color="17365D"/>
              <w:right w:val="nil"/>
            </w:tcBorders>
            <w:shd w:val="clear" w:color="auto" w:fill="auto"/>
            <w:vAlign w:val="center"/>
          </w:tcPr>
          <w:p w14:paraId="5158A483" w14:textId="3E05C344"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83 818 045</w:t>
            </w:r>
          </w:p>
        </w:tc>
        <w:tc>
          <w:tcPr>
            <w:tcW w:w="1328" w:type="dxa"/>
            <w:tcBorders>
              <w:top w:val="single" w:sz="4" w:space="0" w:color="17365D"/>
              <w:left w:val="nil"/>
              <w:bottom w:val="single" w:sz="4" w:space="0" w:color="17365D"/>
              <w:right w:val="nil"/>
            </w:tcBorders>
            <w:shd w:val="clear" w:color="auto" w:fill="auto"/>
            <w:vAlign w:val="center"/>
          </w:tcPr>
          <w:p w14:paraId="50AC1828" w14:textId="50568DB3"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14.5</w:t>
            </w:r>
          </w:p>
        </w:tc>
      </w:tr>
      <w:tr w:rsidR="00B36A61" w:rsidRPr="00B36A61" w14:paraId="67DC69B2" w14:textId="77777777" w:rsidTr="005123EA">
        <w:trPr>
          <w:trHeight w:val="285"/>
        </w:trPr>
        <w:tc>
          <w:tcPr>
            <w:tcW w:w="896" w:type="dxa"/>
            <w:tcBorders>
              <w:top w:val="single" w:sz="4" w:space="0" w:color="17365D"/>
              <w:bottom w:val="nil"/>
            </w:tcBorders>
            <w:shd w:val="clear" w:color="auto" w:fill="auto"/>
            <w:vAlign w:val="center"/>
          </w:tcPr>
          <w:p w14:paraId="75B01F09" w14:textId="527C5AE7" w:rsidR="002D20BC" w:rsidRPr="00B36A61" w:rsidRDefault="002D20BC" w:rsidP="002D20BC">
            <w:pPr>
              <w:pStyle w:val="Pamatteksts"/>
              <w:spacing w:before="40" w:after="40"/>
              <w:ind w:firstLine="0"/>
              <w:jc w:val="left"/>
              <w:rPr>
                <w:color w:val="17365D"/>
                <w:sz w:val="20"/>
                <w:szCs w:val="20"/>
              </w:rPr>
            </w:pPr>
            <w:r w:rsidRPr="00B36A61">
              <w:rPr>
                <w:color w:val="17365D"/>
                <w:sz w:val="20"/>
                <w:szCs w:val="20"/>
              </w:rPr>
              <w:t>2.2.</w:t>
            </w:r>
          </w:p>
        </w:tc>
        <w:tc>
          <w:tcPr>
            <w:tcW w:w="2565" w:type="dxa"/>
            <w:tcBorders>
              <w:top w:val="single" w:sz="4" w:space="0" w:color="17365D"/>
              <w:bottom w:val="nil"/>
            </w:tcBorders>
            <w:shd w:val="clear" w:color="auto" w:fill="auto"/>
            <w:vAlign w:val="center"/>
          </w:tcPr>
          <w:p w14:paraId="00A39CC7" w14:textId="0CE45B31" w:rsidR="002D20BC" w:rsidRPr="00B36A61" w:rsidRDefault="002D20BC" w:rsidP="002D20BC">
            <w:pPr>
              <w:pStyle w:val="Pamatteksts"/>
              <w:spacing w:before="40" w:after="40"/>
              <w:ind w:firstLine="0"/>
              <w:jc w:val="left"/>
              <w:rPr>
                <w:color w:val="17365D"/>
                <w:sz w:val="20"/>
                <w:szCs w:val="20"/>
              </w:rPr>
            </w:pPr>
            <w:r w:rsidRPr="00B36A61">
              <w:rPr>
                <w:bCs/>
                <w:color w:val="17365D"/>
                <w:sz w:val="20"/>
                <w:szCs w:val="20"/>
              </w:rPr>
              <w:t>Kapitālo izdevumu transferti</w:t>
            </w:r>
          </w:p>
        </w:tc>
        <w:tc>
          <w:tcPr>
            <w:tcW w:w="1482" w:type="dxa"/>
            <w:tcBorders>
              <w:top w:val="single" w:sz="4" w:space="0" w:color="17365D"/>
              <w:left w:val="nil"/>
              <w:bottom w:val="nil"/>
              <w:right w:val="nil"/>
            </w:tcBorders>
            <w:shd w:val="clear" w:color="auto" w:fill="auto"/>
            <w:vAlign w:val="center"/>
          </w:tcPr>
          <w:p w14:paraId="4AD0882B" w14:textId="0A133CFA"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196 989 431</w:t>
            </w:r>
          </w:p>
        </w:tc>
        <w:tc>
          <w:tcPr>
            <w:tcW w:w="1482" w:type="dxa"/>
            <w:tcBorders>
              <w:top w:val="single" w:sz="4" w:space="0" w:color="17365D"/>
              <w:left w:val="nil"/>
              <w:bottom w:val="nil"/>
              <w:right w:val="nil"/>
            </w:tcBorders>
            <w:shd w:val="clear" w:color="auto" w:fill="auto"/>
            <w:vAlign w:val="center"/>
          </w:tcPr>
          <w:p w14:paraId="3D04A66C" w14:textId="51383928"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229 735 515</w:t>
            </w:r>
          </w:p>
        </w:tc>
        <w:tc>
          <w:tcPr>
            <w:tcW w:w="1632" w:type="dxa"/>
            <w:tcBorders>
              <w:top w:val="single" w:sz="4" w:space="0" w:color="17365D"/>
              <w:left w:val="nil"/>
              <w:bottom w:val="nil"/>
              <w:right w:val="nil"/>
            </w:tcBorders>
            <w:shd w:val="clear" w:color="auto" w:fill="auto"/>
            <w:vAlign w:val="center"/>
          </w:tcPr>
          <w:p w14:paraId="76715E0A" w14:textId="0CE6B40C"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-32 746 084</w:t>
            </w:r>
          </w:p>
        </w:tc>
        <w:tc>
          <w:tcPr>
            <w:tcW w:w="1328" w:type="dxa"/>
            <w:tcBorders>
              <w:top w:val="single" w:sz="4" w:space="0" w:color="17365D"/>
              <w:left w:val="nil"/>
              <w:bottom w:val="nil"/>
              <w:right w:val="nil"/>
            </w:tcBorders>
            <w:shd w:val="clear" w:color="auto" w:fill="auto"/>
            <w:vAlign w:val="center"/>
          </w:tcPr>
          <w:p w14:paraId="7631998B" w14:textId="56DC5435" w:rsidR="002D20BC" w:rsidRPr="00B36A61" w:rsidRDefault="002D20BC" w:rsidP="002D20BC">
            <w:pPr>
              <w:pStyle w:val="Pamatteksts"/>
              <w:spacing w:before="40" w:after="40"/>
              <w:ind w:firstLine="0"/>
              <w:jc w:val="right"/>
              <w:rPr>
                <w:b/>
                <w:bCs/>
                <w:color w:val="17365D"/>
                <w:sz w:val="20"/>
                <w:szCs w:val="20"/>
              </w:rPr>
            </w:pPr>
            <w:r w:rsidRPr="00B36A61">
              <w:rPr>
                <w:color w:val="17365D"/>
                <w:sz w:val="20"/>
                <w:szCs w:val="20"/>
              </w:rPr>
              <w:t>-14.3</w:t>
            </w:r>
          </w:p>
        </w:tc>
      </w:tr>
      <w:tr w:rsidR="00B36A61" w:rsidRPr="00B36A61" w14:paraId="3AB6E834" w14:textId="77777777" w:rsidTr="00437740">
        <w:trPr>
          <w:trHeight w:val="285"/>
        </w:trPr>
        <w:tc>
          <w:tcPr>
            <w:tcW w:w="896" w:type="dxa"/>
            <w:tcBorders>
              <w:top w:val="nil"/>
              <w:bottom w:val="nil"/>
            </w:tcBorders>
            <w:shd w:val="clear" w:color="auto" w:fill="B9CDE5"/>
            <w:vAlign w:val="center"/>
          </w:tcPr>
          <w:p w14:paraId="12E24A0F" w14:textId="77777777" w:rsidR="00675988" w:rsidRPr="00B36A61" w:rsidRDefault="00675988" w:rsidP="00675988">
            <w:pPr>
              <w:pStyle w:val="Pamatteksts"/>
              <w:spacing w:before="40" w:after="40"/>
              <w:ind w:firstLine="0"/>
              <w:jc w:val="left"/>
              <w:rPr>
                <w:color w:val="17365D"/>
                <w:sz w:val="20"/>
                <w:szCs w:val="20"/>
              </w:rPr>
            </w:pPr>
          </w:p>
        </w:tc>
        <w:tc>
          <w:tcPr>
            <w:tcW w:w="2565" w:type="dxa"/>
            <w:tcBorders>
              <w:top w:val="nil"/>
              <w:bottom w:val="nil"/>
            </w:tcBorders>
            <w:shd w:val="clear" w:color="auto" w:fill="B9CDE5"/>
            <w:vAlign w:val="center"/>
          </w:tcPr>
          <w:p w14:paraId="0E3FEF87" w14:textId="77777777" w:rsidR="00675988" w:rsidRPr="00B36A61" w:rsidRDefault="00675988" w:rsidP="00675988">
            <w:pPr>
              <w:pStyle w:val="Pamatteksts"/>
              <w:spacing w:before="40" w:after="40"/>
              <w:ind w:firstLine="0"/>
              <w:jc w:val="left"/>
              <w:rPr>
                <w:bCs/>
                <w:color w:val="17365D"/>
                <w:sz w:val="20"/>
                <w:szCs w:val="20"/>
              </w:rPr>
            </w:pPr>
          </w:p>
        </w:tc>
        <w:tc>
          <w:tcPr>
            <w:tcW w:w="1482" w:type="dxa"/>
            <w:tcBorders>
              <w:top w:val="nil"/>
              <w:bottom w:val="nil"/>
            </w:tcBorders>
            <w:shd w:val="clear" w:color="auto" w:fill="B9CDE5"/>
          </w:tcPr>
          <w:p w14:paraId="45D4CBDC" w14:textId="77777777" w:rsidR="00675988" w:rsidRPr="00B36A61" w:rsidRDefault="00675988" w:rsidP="00675988">
            <w:pPr>
              <w:pStyle w:val="Pamatteksts"/>
              <w:spacing w:before="40" w:after="40"/>
              <w:ind w:firstLine="0"/>
              <w:jc w:val="right"/>
              <w:rPr>
                <w:bCs/>
                <w:color w:val="17365D"/>
                <w:sz w:val="20"/>
                <w:szCs w:val="20"/>
              </w:rPr>
            </w:pPr>
          </w:p>
        </w:tc>
        <w:tc>
          <w:tcPr>
            <w:tcW w:w="1482" w:type="dxa"/>
            <w:tcBorders>
              <w:top w:val="nil"/>
              <w:bottom w:val="nil"/>
            </w:tcBorders>
            <w:shd w:val="clear" w:color="auto" w:fill="B9CDE5"/>
          </w:tcPr>
          <w:p w14:paraId="0F9D8B25" w14:textId="77777777" w:rsidR="00675988" w:rsidRPr="00B36A61" w:rsidRDefault="00675988" w:rsidP="00675988">
            <w:pPr>
              <w:pStyle w:val="Pamatteksts"/>
              <w:spacing w:before="40" w:after="40"/>
              <w:ind w:firstLine="0"/>
              <w:jc w:val="right"/>
              <w:rPr>
                <w:bCs/>
                <w:color w:val="17365D"/>
                <w:sz w:val="20"/>
                <w:szCs w:val="20"/>
              </w:rPr>
            </w:pPr>
          </w:p>
        </w:tc>
        <w:tc>
          <w:tcPr>
            <w:tcW w:w="1632" w:type="dxa"/>
            <w:tcBorders>
              <w:top w:val="nil"/>
              <w:bottom w:val="nil"/>
            </w:tcBorders>
            <w:shd w:val="clear" w:color="auto" w:fill="B9CDE5"/>
          </w:tcPr>
          <w:p w14:paraId="29EFC436" w14:textId="77777777" w:rsidR="00675988" w:rsidRPr="00B36A61" w:rsidRDefault="00675988" w:rsidP="00675988">
            <w:pPr>
              <w:pStyle w:val="Pamatteksts"/>
              <w:spacing w:before="40" w:after="40"/>
              <w:ind w:firstLine="0"/>
              <w:jc w:val="right"/>
              <w:rPr>
                <w:bCs/>
                <w:color w:val="17365D"/>
                <w:sz w:val="20"/>
                <w:szCs w:val="20"/>
              </w:rPr>
            </w:pPr>
          </w:p>
        </w:tc>
        <w:tc>
          <w:tcPr>
            <w:tcW w:w="1328" w:type="dxa"/>
            <w:tcBorders>
              <w:top w:val="nil"/>
              <w:bottom w:val="nil"/>
            </w:tcBorders>
            <w:shd w:val="clear" w:color="auto" w:fill="B9CDE5"/>
          </w:tcPr>
          <w:p w14:paraId="6E47272D" w14:textId="77777777" w:rsidR="00675988" w:rsidRPr="00B36A61" w:rsidRDefault="00675988" w:rsidP="00675988">
            <w:pPr>
              <w:pStyle w:val="Pamatteksts"/>
              <w:spacing w:before="40" w:after="40"/>
              <w:ind w:firstLine="0"/>
              <w:jc w:val="right"/>
              <w:rPr>
                <w:bCs/>
                <w:color w:val="17365D"/>
                <w:sz w:val="20"/>
                <w:szCs w:val="20"/>
              </w:rPr>
            </w:pPr>
          </w:p>
        </w:tc>
      </w:tr>
    </w:tbl>
    <w:p w14:paraId="11C0983E" w14:textId="77777777" w:rsidR="00AE783D" w:rsidRPr="00B36A61" w:rsidRDefault="00AE783D" w:rsidP="009C6221">
      <w:pPr>
        <w:pStyle w:val="Pamatteksts"/>
        <w:spacing w:after="0"/>
        <w:rPr>
          <w:color w:val="17365D"/>
        </w:rPr>
      </w:pPr>
    </w:p>
    <w:p w14:paraId="6FD09084" w14:textId="582EFAF1" w:rsidR="00BD51CF" w:rsidRPr="00B36A61" w:rsidRDefault="00BD51CF" w:rsidP="00AE783D">
      <w:pPr>
        <w:pStyle w:val="Pamatteksts"/>
        <w:rPr>
          <w:color w:val="17365D"/>
        </w:rPr>
      </w:pPr>
      <w:r w:rsidRPr="00B36A61">
        <w:rPr>
          <w:color w:val="17365D"/>
        </w:rPr>
        <w:t xml:space="preserve">Būtiskas izmaiņas </w:t>
      </w:r>
      <w:r w:rsidR="007A1242" w:rsidRPr="00B36A61">
        <w:rPr>
          <w:color w:val="17365D"/>
        </w:rPr>
        <w:t xml:space="preserve">izdevumu pozīcijās </w:t>
      </w:r>
      <w:r w:rsidRPr="00B36A61">
        <w:rPr>
          <w:color w:val="17365D"/>
        </w:rPr>
        <w:t>galvenokārt veidojas:</w:t>
      </w:r>
    </w:p>
    <w:p w14:paraId="296918CD" w14:textId="0861E7C5" w:rsidR="00ED4AC6" w:rsidRPr="00B36A61" w:rsidRDefault="00BD51CF" w:rsidP="00ED4AC6">
      <w:pPr>
        <w:spacing w:before="120" w:after="60"/>
        <w:rPr>
          <w:color w:val="17365D"/>
        </w:rPr>
      </w:pPr>
      <w:r w:rsidRPr="00B36A61">
        <w:rPr>
          <w:color w:val="17365D"/>
          <w:u w:val="single"/>
        </w:rPr>
        <w:t>postenim “</w:t>
      </w:r>
      <w:r w:rsidR="004F351A" w:rsidRPr="00B36A61">
        <w:rPr>
          <w:color w:val="17365D"/>
          <w:u w:val="single"/>
        </w:rPr>
        <w:t>kārtējiem izdevumi</w:t>
      </w:r>
      <w:r w:rsidRPr="00B36A61">
        <w:rPr>
          <w:color w:val="17365D"/>
          <w:u w:val="single"/>
        </w:rPr>
        <w:t>”</w:t>
      </w:r>
      <w:r w:rsidR="00AE1BE5" w:rsidRPr="00B36A61">
        <w:rPr>
          <w:color w:val="17365D"/>
        </w:rPr>
        <w:t xml:space="preserve"> </w:t>
      </w:r>
      <w:r w:rsidR="006641F5" w:rsidRPr="00B36A61">
        <w:rPr>
          <w:color w:val="17365D"/>
        </w:rPr>
        <w:t xml:space="preserve">– </w:t>
      </w:r>
      <w:r w:rsidRPr="00B36A61">
        <w:rPr>
          <w:color w:val="17365D"/>
        </w:rPr>
        <w:t xml:space="preserve">pārskata perioda izdevumi </w:t>
      </w:r>
      <w:r w:rsidR="00BC17D0" w:rsidRPr="00B36A61">
        <w:rPr>
          <w:color w:val="17365D"/>
        </w:rPr>
        <w:t xml:space="preserve">ir </w:t>
      </w:r>
      <w:r w:rsidR="004F351A" w:rsidRPr="00B36A61">
        <w:rPr>
          <w:color w:val="17365D"/>
        </w:rPr>
        <w:t>2</w:t>
      </w:r>
      <w:r w:rsidR="000A0514" w:rsidRPr="00B36A61">
        <w:rPr>
          <w:color w:val="17365D"/>
        </w:rPr>
        <w:t> </w:t>
      </w:r>
      <w:r w:rsidR="004F351A" w:rsidRPr="00B36A61">
        <w:rPr>
          <w:color w:val="17365D"/>
        </w:rPr>
        <w:t>8</w:t>
      </w:r>
      <w:r w:rsidR="00841565" w:rsidRPr="00B36A61">
        <w:rPr>
          <w:color w:val="17365D"/>
        </w:rPr>
        <w:t>4</w:t>
      </w:r>
      <w:r w:rsidR="004F351A" w:rsidRPr="00B36A61">
        <w:rPr>
          <w:color w:val="17365D"/>
        </w:rPr>
        <w:t>2</w:t>
      </w:r>
      <w:r w:rsidRPr="00B36A61">
        <w:rPr>
          <w:color w:val="17365D"/>
        </w:rPr>
        <w:t>,</w:t>
      </w:r>
      <w:r w:rsidR="004F351A" w:rsidRPr="00B36A61">
        <w:rPr>
          <w:color w:val="17365D"/>
        </w:rPr>
        <w:t>2</w:t>
      </w:r>
      <w:r w:rsidRPr="00B36A61">
        <w:rPr>
          <w:color w:val="17365D"/>
        </w:rPr>
        <w:t xml:space="preserve"> milj. </w:t>
      </w:r>
      <w:r w:rsidRPr="00B36A61">
        <w:rPr>
          <w:i/>
          <w:color w:val="17365D"/>
        </w:rPr>
        <w:t>euro</w:t>
      </w:r>
      <w:r w:rsidR="00DA1F5F" w:rsidRPr="00B36A61">
        <w:rPr>
          <w:i/>
          <w:color w:val="17365D"/>
        </w:rPr>
        <w:t> </w:t>
      </w:r>
      <w:r w:rsidR="003B3908" w:rsidRPr="00B36A61">
        <w:rPr>
          <w:color w:val="17365D"/>
        </w:rPr>
        <w:t>vērtībā</w:t>
      </w:r>
      <w:r w:rsidRPr="00B36A61">
        <w:rPr>
          <w:color w:val="17365D"/>
        </w:rPr>
        <w:t>, kas</w:t>
      </w:r>
      <w:r w:rsidR="006E0F73" w:rsidRPr="00B36A61">
        <w:rPr>
          <w:color w:val="17365D"/>
        </w:rPr>
        <w:t>,</w:t>
      </w:r>
      <w:r w:rsidRPr="00B36A61">
        <w:rPr>
          <w:color w:val="17365D"/>
        </w:rPr>
        <w:t xml:space="preserve"> salīdzinot ar 2</w:t>
      </w:r>
      <w:r w:rsidR="0013255B" w:rsidRPr="00B36A61">
        <w:rPr>
          <w:color w:val="17365D"/>
        </w:rPr>
        <w:t>0</w:t>
      </w:r>
      <w:r w:rsidR="00D8253A" w:rsidRPr="00B36A61">
        <w:rPr>
          <w:color w:val="17365D"/>
        </w:rPr>
        <w:t>2</w:t>
      </w:r>
      <w:r w:rsidR="00841565" w:rsidRPr="00B36A61">
        <w:rPr>
          <w:color w:val="17365D"/>
        </w:rPr>
        <w:t>1</w:t>
      </w:r>
      <w:r w:rsidR="0013255B" w:rsidRPr="00B36A61">
        <w:rPr>
          <w:color w:val="17365D"/>
        </w:rPr>
        <w:t>.</w:t>
      </w:r>
      <w:r w:rsidR="004B35F9" w:rsidRPr="00B36A61">
        <w:rPr>
          <w:color w:val="17365D"/>
        </w:rPr>
        <w:t> </w:t>
      </w:r>
      <w:r w:rsidR="0013255B" w:rsidRPr="00B36A61">
        <w:rPr>
          <w:color w:val="17365D"/>
        </w:rPr>
        <w:t>gadu</w:t>
      </w:r>
      <w:r w:rsidR="006E0F73" w:rsidRPr="00B36A61">
        <w:rPr>
          <w:color w:val="17365D"/>
        </w:rPr>
        <w:t>,</w:t>
      </w:r>
      <w:r w:rsidR="0013255B" w:rsidRPr="00B36A61">
        <w:rPr>
          <w:color w:val="17365D"/>
        </w:rPr>
        <w:t xml:space="preserve"> palielinājās par </w:t>
      </w:r>
      <w:r w:rsidR="004F351A" w:rsidRPr="00B36A61">
        <w:rPr>
          <w:color w:val="17365D"/>
        </w:rPr>
        <w:t>683</w:t>
      </w:r>
      <w:r w:rsidR="0013255B" w:rsidRPr="00B36A61">
        <w:rPr>
          <w:color w:val="17365D"/>
        </w:rPr>
        <w:t>,</w:t>
      </w:r>
      <w:r w:rsidR="004F351A" w:rsidRPr="00B36A61">
        <w:rPr>
          <w:color w:val="17365D"/>
        </w:rPr>
        <w:t>1</w:t>
      </w:r>
      <w:r w:rsidRPr="00B36A61">
        <w:rPr>
          <w:color w:val="17365D"/>
        </w:rPr>
        <w:t xml:space="preserve"> milj.</w:t>
      </w:r>
      <w:r w:rsidR="00D267F1" w:rsidRPr="00B36A61">
        <w:rPr>
          <w:color w:val="17365D"/>
        </w:rPr>
        <w:t> </w:t>
      </w:r>
      <w:r w:rsidRPr="00B36A61">
        <w:rPr>
          <w:i/>
          <w:color w:val="17365D"/>
        </w:rPr>
        <w:t>euro</w:t>
      </w:r>
      <w:r w:rsidRPr="00B36A61">
        <w:rPr>
          <w:color w:val="17365D"/>
        </w:rPr>
        <w:t xml:space="preserve"> jeb </w:t>
      </w:r>
      <w:r w:rsidR="004F351A" w:rsidRPr="00B36A61">
        <w:rPr>
          <w:color w:val="17365D"/>
        </w:rPr>
        <w:t>31</w:t>
      </w:r>
      <w:r w:rsidRPr="00B36A61">
        <w:rPr>
          <w:color w:val="17365D"/>
        </w:rPr>
        <w:t>,</w:t>
      </w:r>
      <w:r w:rsidR="004F351A" w:rsidRPr="00B36A61">
        <w:rPr>
          <w:color w:val="17365D"/>
        </w:rPr>
        <w:t>6</w:t>
      </w:r>
      <w:r w:rsidR="00CB3CED" w:rsidRPr="00B36A61">
        <w:rPr>
          <w:color w:val="17365D"/>
        </w:rPr>
        <w:t> </w:t>
      </w:r>
      <w:r w:rsidR="0013255B" w:rsidRPr="00B36A61">
        <w:rPr>
          <w:color w:val="17365D"/>
        </w:rPr>
        <w:t>%. Būtiskāk</w:t>
      </w:r>
      <w:r w:rsidR="00672E14" w:rsidRPr="00B36A61">
        <w:rPr>
          <w:color w:val="17365D"/>
        </w:rPr>
        <w:t>ā</w:t>
      </w:r>
      <w:r w:rsidR="0013255B" w:rsidRPr="00B36A61">
        <w:rPr>
          <w:color w:val="17365D"/>
        </w:rPr>
        <w:t>s šī</w:t>
      </w:r>
      <w:r w:rsidRPr="00B36A61">
        <w:rPr>
          <w:color w:val="17365D"/>
        </w:rPr>
        <w:t xml:space="preserve"> posteņa </w:t>
      </w:r>
      <w:r w:rsidR="00672E14" w:rsidRPr="00B36A61">
        <w:rPr>
          <w:color w:val="17365D"/>
        </w:rPr>
        <w:t>izmaiņas</w:t>
      </w:r>
      <w:r w:rsidRPr="00B36A61">
        <w:rPr>
          <w:color w:val="17365D"/>
        </w:rPr>
        <w:t xml:space="preserve"> ir </w:t>
      </w:r>
      <w:r w:rsidR="00FC063D" w:rsidRPr="00B36A61">
        <w:rPr>
          <w:color w:val="17365D"/>
        </w:rPr>
        <w:t>Ekonomikas</w:t>
      </w:r>
      <w:r w:rsidR="00BF23C6" w:rsidRPr="00B36A61">
        <w:rPr>
          <w:color w:val="17365D"/>
        </w:rPr>
        <w:t xml:space="preserve"> ministrija</w:t>
      </w:r>
      <w:r w:rsidR="00D01677" w:rsidRPr="00B36A61">
        <w:rPr>
          <w:color w:val="17365D"/>
        </w:rPr>
        <w:t>i</w:t>
      </w:r>
      <w:r w:rsidR="00BF23C6" w:rsidRPr="00B36A61">
        <w:rPr>
          <w:color w:val="17365D"/>
        </w:rPr>
        <w:t xml:space="preserve"> </w:t>
      </w:r>
      <w:r w:rsidR="00FC063D" w:rsidRPr="00B36A61">
        <w:rPr>
          <w:color w:val="17365D"/>
        </w:rPr>
        <w:t>443</w:t>
      </w:r>
      <w:r w:rsidR="00BF23C6" w:rsidRPr="00B36A61">
        <w:rPr>
          <w:color w:val="17365D"/>
        </w:rPr>
        <w:t>,</w:t>
      </w:r>
      <w:r w:rsidR="00D8253A" w:rsidRPr="00B36A61">
        <w:rPr>
          <w:color w:val="17365D"/>
        </w:rPr>
        <w:t>9</w:t>
      </w:r>
      <w:r w:rsidR="00BF23C6" w:rsidRPr="00B36A61">
        <w:rPr>
          <w:color w:val="17365D"/>
        </w:rPr>
        <w:t> milj. </w:t>
      </w:r>
      <w:r w:rsidR="00BF23C6" w:rsidRPr="00B36A61">
        <w:rPr>
          <w:i/>
          <w:color w:val="17365D"/>
        </w:rPr>
        <w:t>euro,</w:t>
      </w:r>
      <w:r w:rsidR="00BF23C6" w:rsidRPr="00B36A61">
        <w:rPr>
          <w:color w:val="17365D"/>
        </w:rPr>
        <w:t xml:space="preserve"> </w:t>
      </w:r>
      <w:r w:rsidR="00FC063D" w:rsidRPr="00B36A61">
        <w:rPr>
          <w:color w:val="17365D"/>
        </w:rPr>
        <w:t>Aizsardzības</w:t>
      </w:r>
      <w:r w:rsidR="00F83791" w:rsidRPr="00B36A61">
        <w:rPr>
          <w:color w:val="17365D"/>
        </w:rPr>
        <w:t xml:space="preserve"> ministrija</w:t>
      </w:r>
      <w:r w:rsidR="00D01677" w:rsidRPr="00B36A61">
        <w:rPr>
          <w:color w:val="17365D"/>
        </w:rPr>
        <w:t>i</w:t>
      </w:r>
      <w:r w:rsidR="00F83791" w:rsidRPr="00B36A61">
        <w:rPr>
          <w:color w:val="17365D"/>
        </w:rPr>
        <w:t xml:space="preserve"> </w:t>
      </w:r>
      <w:r w:rsidR="00FC063D" w:rsidRPr="00B36A61">
        <w:rPr>
          <w:color w:val="17365D"/>
        </w:rPr>
        <w:t>89</w:t>
      </w:r>
      <w:r w:rsidR="00F83791" w:rsidRPr="00B36A61">
        <w:rPr>
          <w:color w:val="17365D"/>
        </w:rPr>
        <w:t>,</w:t>
      </w:r>
      <w:r w:rsidR="00FC063D" w:rsidRPr="00B36A61">
        <w:rPr>
          <w:color w:val="17365D"/>
        </w:rPr>
        <w:t>0</w:t>
      </w:r>
      <w:r w:rsidR="00D267F1" w:rsidRPr="00B36A61">
        <w:rPr>
          <w:color w:val="17365D"/>
        </w:rPr>
        <w:t> </w:t>
      </w:r>
      <w:r w:rsidR="00F83791" w:rsidRPr="00B36A61">
        <w:rPr>
          <w:color w:val="17365D"/>
        </w:rPr>
        <w:t>milj.</w:t>
      </w:r>
      <w:r w:rsidR="00D267F1" w:rsidRPr="00B36A61">
        <w:rPr>
          <w:color w:val="17365D"/>
        </w:rPr>
        <w:t> </w:t>
      </w:r>
      <w:r w:rsidR="00F83791" w:rsidRPr="00B36A61">
        <w:rPr>
          <w:i/>
          <w:color w:val="17365D"/>
        </w:rPr>
        <w:t>euro</w:t>
      </w:r>
      <w:r w:rsidR="00C40EFC" w:rsidRPr="00B36A61">
        <w:rPr>
          <w:i/>
          <w:color w:val="17365D"/>
        </w:rPr>
        <w:t>,</w:t>
      </w:r>
      <w:r w:rsidR="00BF23C6" w:rsidRPr="00B36A61">
        <w:rPr>
          <w:i/>
          <w:color w:val="17365D"/>
        </w:rPr>
        <w:t xml:space="preserve"> </w:t>
      </w:r>
      <w:r w:rsidR="00FC063D" w:rsidRPr="00B36A61">
        <w:rPr>
          <w:color w:val="17365D"/>
        </w:rPr>
        <w:t>Tieslietu</w:t>
      </w:r>
      <w:r w:rsidR="00F83791" w:rsidRPr="00B36A61">
        <w:rPr>
          <w:color w:val="17365D"/>
        </w:rPr>
        <w:t xml:space="preserve"> ministrija</w:t>
      </w:r>
      <w:r w:rsidR="0013255B" w:rsidRPr="00B36A61">
        <w:rPr>
          <w:color w:val="17365D"/>
        </w:rPr>
        <w:t>i</w:t>
      </w:r>
      <w:r w:rsidR="00F83791" w:rsidRPr="00B36A61">
        <w:rPr>
          <w:color w:val="17365D"/>
        </w:rPr>
        <w:t xml:space="preserve"> </w:t>
      </w:r>
      <w:r w:rsidR="00FC063D" w:rsidRPr="00B36A61">
        <w:rPr>
          <w:color w:val="17365D"/>
        </w:rPr>
        <w:t>41</w:t>
      </w:r>
      <w:r w:rsidRPr="00B36A61">
        <w:rPr>
          <w:color w:val="17365D"/>
        </w:rPr>
        <w:t>,</w:t>
      </w:r>
      <w:r w:rsidR="00FC063D" w:rsidRPr="00B36A61">
        <w:rPr>
          <w:color w:val="17365D"/>
        </w:rPr>
        <w:t>1</w:t>
      </w:r>
      <w:r w:rsidR="00D267F1" w:rsidRPr="00B36A61">
        <w:rPr>
          <w:color w:val="17365D"/>
        </w:rPr>
        <w:t> </w:t>
      </w:r>
      <w:r w:rsidRPr="00B36A61">
        <w:rPr>
          <w:color w:val="17365D"/>
        </w:rPr>
        <w:t>milj.</w:t>
      </w:r>
      <w:r w:rsidR="00D267F1" w:rsidRPr="00B36A61">
        <w:rPr>
          <w:color w:val="17365D"/>
        </w:rPr>
        <w:t> </w:t>
      </w:r>
      <w:r w:rsidRPr="00B36A61">
        <w:rPr>
          <w:i/>
          <w:color w:val="17365D"/>
        </w:rPr>
        <w:t>euro</w:t>
      </w:r>
      <w:r w:rsidR="00C40EFC" w:rsidRPr="00B36A61">
        <w:rPr>
          <w:i/>
          <w:color w:val="17365D"/>
        </w:rPr>
        <w:t xml:space="preserve">, </w:t>
      </w:r>
      <w:r w:rsidR="00C40EFC" w:rsidRPr="00B36A61">
        <w:rPr>
          <w:color w:val="17365D"/>
        </w:rPr>
        <w:t xml:space="preserve">bet samazinājums </w:t>
      </w:r>
      <w:r w:rsidR="00FC063D" w:rsidRPr="00B36A61">
        <w:rPr>
          <w:color w:val="17365D"/>
        </w:rPr>
        <w:t>Veselības</w:t>
      </w:r>
      <w:r w:rsidR="00C40EFC" w:rsidRPr="00B36A61">
        <w:rPr>
          <w:color w:val="17365D"/>
        </w:rPr>
        <w:t xml:space="preserve"> ministrijai 1.</w:t>
      </w:r>
      <w:r w:rsidR="00FC063D" w:rsidRPr="00B36A61">
        <w:rPr>
          <w:color w:val="17365D"/>
        </w:rPr>
        <w:t>3</w:t>
      </w:r>
      <w:r w:rsidR="00C40EFC" w:rsidRPr="00B36A61">
        <w:rPr>
          <w:color w:val="17365D"/>
        </w:rPr>
        <w:t xml:space="preserve"> milj. </w:t>
      </w:r>
      <w:r w:rsidR="00C40EFC" w:rsidRPr="00B36A61">
        <w:rPr>
          <w:i/>
          <w:color w:val="17365D"/>
        </w:rPr>
        <w:t>euro</w:t>
      </w:r>
      <w:r w:rsidRPr="00B36A61">
        <w:rPr>
          <w:color w:val="17365D"/>
        </w:rPr>
        <w:t>.</w:t>
      </w:r>
      <w:r w:rsidR="00ED4AC6" w:rsidRPr="00B36A61">
        <w:rPr>
          <w:color w:val="17365D"/>
        </w:rPr>
        <w:t xml:space="preserve"> Izdevumu pieaugumu galvenokārt ietekmēja:</w:t>
      </w:r>
    </w:p>
    <w:p w14:paraId="0D4CE105" w14:textId="2E0C81DA" w:rsidR="00FC063D" w:rsidRPr="00B36A61" w:rsidRDefault="00FC063D" w:rsidP="007E09BE">
      <w:pPr>
        <w:pStyle w:val="ListParagraph"/>
        <w:numPr>
          <w:ilvl w:val="0"/>
          <w:numId w:val="13"/>
        </w:numPr>
        <w:spacing w:after="60"/>
        <w:ind w:left="993" w:hanging="426"/>
        <w:rPr>
          <w:noProof/>
          <w:color w:val="17365D"/>
        </w:rPr>
      </w:pPr>
      <w:r w:rsidRPr="00B36A61">
        <w:rPr>
          <w:noProof/>
          <w:color w:val="17365D"/>
        </w:rPr>
        <w:t>Ekonomikas</w:t>
      </w:r>
      <w:r w:rsidR="00111A40" w:rsidRPr="00B36A61">
        <w:rPr>
          <w:noProof/>
          <w:color w:val="17365D"/>
        </w:rPr>
        <w:t xml:space="preserve"> ministrija</w:t>
      </w:r>
      <w:r w:rsidR="00BC17D0" w:rsidRPr="00B36A61">
        <w:rPr>
          <w:noProof/>
          <w:color w:val="17365D"/>
        </w:rPr>
        <w:t>s</w:t>
      </w:r>
      <w:r w:rsidR="00111A40" w:rsidRPr="00B36A61">
        <w:rPr>
          <w:noProof/>
          <w:color w:val="17365D"/>
        </w:rPr>
        <w:t xml:space="preserve"> veikti</w:t>
      </w:r>
      <w:r w:rsidR="00472184" w:rsidRPr="00B36A61">
        <w:rPr>
          <w:noProof/>
          <w:color w:val="17365D"/>
        </w:rPr>
        <w:t>e</w:t>
      </w:r>
      <w:r w:rsidR="00111A40" w:rsidRPr="00B36A61">
        <w:rPr>
          <w:noProof/>
          <w:color w:val="17365D"/>
        </w:rPr>
        <w:t xml:space="preserve"> maksājumi </w:t>
      </w:r>
      <w:r w:rsidRPr="00B36A61">
        <w:rPr>
          <w:noProof/>
          <w:color w:val="17365D"/>
        </w:rPr>
        <w:t xml:space="preserve">AS </w:t>
      </w:r>
      <w:r w:rsidR="0071616E" w:rsidRPr="00B36A61">
        <w:rPr>
          <w:noProof/>
          <w:color w:val="17365D"/>
        </w:rPr>
        <w:t>“</w:t>
      </w:r>
      <w:r w:rsidRPr="00B36A61">
        <w:rPr>
          <w:noProof/>
          <w:color w:val="17365D"/>
        </w:rPr>
        <w:t>Latvenergo</w:t>
      </w:r>
      <w:r w:rsidR="0071616E" w:rsidRPr="00B36A61">
        <w:rPr>
          <w:noProof/>
          <w:color w:val="17365D"/>
        </w:rPr>
        <w:t>”</w:t>
      </w:r>
      <w:r w:rsidRPr="00B36A61">
        <w:rPr>
          <w:noProof/>
          <w:color w:val="17365D"/>
        </w:rPr>
        <w:t xml:space="preserve"> par dabasgāzes energoapgādes drošuma rezervi</w:t>
      </w:r>
      <w:r w:rsidR="00853A29" w:rsidRPr="00B36A61">
        <w:rPr>
          <w:noProof/>
          <w:color w:val="17365D"/>
        </w:rPr>
        <w:t>,</w:t>
      </w:r>
      <w:r w:rsidR="00853A29" w:rsidRPr="00B36A61">
        <w:rPr>
          <w:rFonts w:ascii="Georgia" w:hAnsi="Georgia"/>
          <w:color w:val="17365D"/>
          <w:spacing w:val="8"/>
          <w:sz w:val="27"/>
          <w:szCs w:val="27"/>
        </w:rPr>
        <w:t xml:space="preserve"> </w:t>
      </w:r>
      <w:r w:rsidR="00853A29" w:rsidRPr="00B36A61">
        <w:rPr>
          <w:noProof/>
          <w:color w:val="17365D"/>
        </w:rPr>
        <w:t>lai dabasgāze valstī ir pieejama pietiekamā apjomā, novēršot enerģētiskās krīzes iestāšanos un par sniegtajiem pakalpojumiem valsts naftas produktu drošības rezervju nodrošināšanā</w:t>
      </w:r>
      <w:r w:rsidR="00E57C6F" w:rsidRPr="00B36A61">
        <w:rPr>
          <w:noProof/>
          <w:color w:val="17365D"/>
        </w:rPr>
        <w:t>,</w:t>
      </w:r>
      <w:r w:rsidR="00853A29" w:rsidRPr="00B36A61">
        <w:rPr>
          <w:noProof/>
          <w:color w:val="17365D"/>
        </w:rPr>
        <w:t xml:space="preserve"> glabājot to Latvijas teritorijā, lai enerģētiskās krīzes situācijas gadījumā rezerves ir iespējams iegūt operatīvi un nav nepieciešams to importēt;</w:t>
      </w:r>
    </w:p>
    <w:p w14:paraId="404829C1" w14:textId="4BEA36F1" w:rsidR="00BD51CF" w:rsidRPr="00B36A61" w:rsidRDefault="00853A29" w:rsidP="00694E66">
      <w:pPr>
        <w:pStyle w:val="Pamatteksts"/>
        <w:numPr>
          <w:ilvl w:val="0"/>
          <w:numId w:val="12"/>
        </w:numPr>
        <w:ind w:left="993" w:hanging="420"/>
        <w:rPr>
          <w:color w:val="17365D"/>
        </w:rPr>
      </w:pPr>
      <w:r w:rsidRPr="00B36A61">
        <w:rPr>
          <w:color w:val="17365D"/>
        </w:rPr>
        <w:t>Aizsardzības</w:t>
      </w:r>
      <w:r w:rsidR="00111A40" w:rsidRPr="00B36A61">
        <w:rPr>
          <w:color w:val="17365D"/>
        </w:rPr>
        <w:t xml:space="preserve"> ministrija</w:t>
      </w:r>
      <w:r w:rsidR="00BC17D0" w:rsidRPr="00B36A61">
        <w:rPr>
          <w:color w:val="17365D"/>
        </w:rPr>
        <w:t>s</w:t>
      </w:r>
      <w:r w:rsidR="00FC7699" w:rsidRPr="00B36A61">
        <w:rPr>
          <w:color w:val="17365D"/>
        </w:rPr>
        <w:t xml:space="preserve"> </w:t>
      </w:r>
      <w:r w:rsidRPr="00B36A61">
        <w:rPr>
          <w:color w:val="17365D"/>
        </w:rPr>
        <w:t>atlīdzības pieaugumu Nacionālo bruņoto spēku (NBS) personālam saistībā ar izmaiņām normatīvajos aktos</w:t>
      </w:r>
      <w:r w:rsidR="00FC7699" w:rsidRPr="00B36A61">
        <w:rPr>
          <w:color w:val="17365D"/>
        </w:rPr>
        <w:t>;</w:t>
      </w:r>
    </w:p>
    <w:p w14:paraId="1636A21D" w14:textId="4DC2DD0B" w:rsidR="00C40EFC" w:rsidRPr="00B36A61" w:rsidRDefault="00C94FF5" w:rsidP="007E09BE">
      <w:pPr>
        <w:pStyle w:val="Pamatteksts"/>
        <w:numPr>
          <w:ilvl w:val="0"/>
          <w:numId w:val="12"/>
        </w:numPr>
        <w:ind w:left="993" w:hanging="426"/>
        <w:rPr>
          <w:color w:val="17365D"/>
        </w:rPr>
      </w:pPr>
      <w:r w:rsidRPr="00B36A61">
        <w:rPr>
          <w:color w:val="17365D"/>
        </w:rPr>
        <w:t>Tieslietu</w:t>
      </w:r>
      <w:r w:rsidR="00FC7699" w:rsidRPr="00B36A61">
        <w:rPr>
          <w:color w:val="17365D"/>
        </w:rPr>
        <w:t xml:space="preserve"> min</w:t>
      </w:r>
      <w:r w:rsidR="006026E0" w:rsidRPr="00B36A61">
        <w:rPr>
          <w:color w:val="17365D"/>
        </w:rPr>
        <w:t>is</w:t>
      </w:r>
      <w:r w:rsidR="00FC7699" w:rsidRPr="00B36A61">
        <w:rPr>
          <w:color w:val="17365D"/>
        </w:rPr>
        <w:t>trija</w:t>
      </w:r>
      <w:r w:rsidR="00BC17D0" w:rsidRPr="00B36A61">
        <w:rPr>
          <w:color w:val="17365D"/>
        </w:rPr>
        <w:t>s</w:t>
      </w:r>
      <w:r w:rsidR="00FC7699" w:rsidRPr="00B36A61">
        <w:rPr>
          <w:color w:val="17365D"/>
        </w:rPr>
        <w:t xml:space="preserve"> </w:t>
      </w:r>
      <w:r w:rsidRPr="00B36A61">
        <w:rPr>
          <w:color w:val="17365D"/>
        </w:rPr>
        <w:t>atlīdzības pieaugums</w:t>
      </w:r>
      <w:r w:rsidR="00472184" w:rsidRPr="00B36A61">
        <w:rPr>
          <w:color w:val="17365D"/>
        </w:rPr>
        <w:t xml:space="preserve"> </w:t>
      </w:r>
      <w:r w:rsidRPr="00B36A61">
        <w:rPr>
          <w:color w:val="17365D"/>
        </w:rPr>
        <w:t>Valsts probācijas dienestam un Ieslodzījuma vietu pārvaldes amatpersonām ar speciālajām dienesta pakāpēm</w:t>
      </w:r>
      <w:r w:rsidR="00C40EFC" w:rsidRPr="00B36A61">
        <w:rPr>
          <w:color w:val="17365D"/>
        </w:rPr>
        <w:t>;</w:t>
      </w:r>
    </w:p>
    <w:p w14:paraId="6E023EF0" w14:textId="31C1C473" w:rsidR="00FC7699" w:rsidRPr="00B36A61" w:rsidRDefault="00846662" w:rsidP="00D3138F">
      <w:pPr>
        <w:pStyle w:val="Pamatteksts"/>
        <w:rPr>
          <w:color w:val="17365D"/>
        </w:rPr>
      </w:pPr>
      <w:r w:rsidRPr="00B36A61">
        <w:rPr>
          <w:color w:val="17365D"/>
        </w:rPr>
        <w:t>Veselības</w:t>
      </w:r>
      <w:r w:rsidR="00C40EFC" w:rsidRPr="00B36A61">
        <w:rPr>
          <w:color w:val="17365D"/>
        </w:rPr>
        <w:t xml:space="preserve"> ministrijai izdevumu samazinājums par </w:t>
      </w:r>
      <w:r w:rsidR="00F171CB" w:rsidRPr="00B36A61">
        <w:rPr>
          <w:noProof w:val="0"/>
          <w:color w:val="17365D"/>
        </w:rPr>
        <w:t xml:space="preserve">iepriekšējā periodā veikto </w:t>
      </w:r>
      <w:r w:rsidR="00D3138F" w:rsidRPr="00B36A61">
        <w:rPr>
          <w:noProof w:val="0"/>
          <w:color w:val="17365D"/>
        </w:rPr>
        <w:t>maksājumu</w:t>
      </w:r>
      <w:r w:rsidR="00F171CB" w:rsidRPr="00B36A61">
        <w:rPr>
          <w:noProof w:val="0"/>
          <w:color w:val="17365D"/>
        </w:rPr>
        <w:t xml:space="preserve"> </w:t>
      </w:r>
      <w:r w:rsidRPr="00B36A61">
        <w:rPr>
          <w:color w:val="17365D"/>
        </w:rPr>
        <w:t>atalgojuma finansē</w:t>
      </w:r>
      <w:r w:rsidR="00900FA9" w:rsidRPr="00B36A61">
        <w:rPr>
          <w:color w:val="17365D"/>
        </w:rPr>
        <w:t>šanā</w:t>
      </w:r>
      <w:r w:rsidRPr="00B36A61">
        <w:rPr>
          <w:color w:val="17365D"/>
        </w:rPr>
        <w:t xml:space="preserve"> saistībā ar papildus darbu Covid-19 uzliesmojuma seku likvidēšanā</w:t>
      </w:r>
      <w:r w:rsidR="00C40EFC" w:rsidRPr="00B36A61">
        <w:rPr>
          <w:color w:val="17365D"/>
        </w:rPr>
        <w:t>. </w:t>
      </w:r>
    </w:p>
    <w:p w14:paraId="0E750466" w14:textId="19278381" w:rsidR="009D6F09" w:rsidRPr="00B36A61" w:rsidRDefault="009D6F09" w:rsidP="00833DED">
      <w:pPr>
        <w:pStyle w:val="Pamatteksts"/>
        <w:rPr>
          <w:noProof w:val="0"/>
          <w:color w:val="17365D"/>
        </w:rPr>
      </w:pPr>
      <w:r w:rsidRPr="00B36A61">
        <w:rPr>
          <w:noProof w:val="0"/>
          <w:color w:val="17365D"/>
          <w:u w:val="single"/>
        </w:rPr>
        <w:t>posteni</w:t>
      </w:r>
      <w:r w:rsidR="003E5AA2" w:rsidRPr="00B36A61">
        <w:rPr>
          <w:noProof w:val="0"/>
          <w:color w:val="17365D"/>
          <w:u w:val="single"/>
        </w:rPr>
        <w:t>m</w:t>
      </w:r>
      <w:r w:rsidRPr="00B36A61">
        <w:rPr>
          <w:noProof w:val="0"/>
          <w:color w:val="17365D"/>
          <w:u w:val="single"/>
        </w:rPr>
        <w:t xml:space="preserve"> “</w:t>
      </w:r>
      <w:r w:rsidR="00EE5AB0" w:rsidRPr="00B36A61">
        <w:rPr>
          <w:bCs/>
          <w:noProof w:val="0"/>
          <w:color w:val="17365D"/>
          <w:u w:val="single"/>
        </w:rPr>
        <w:t>Pamatkapitāla veidošana</w:t>
      </w:r>
      <w:r w:rsidRPr="00B36A61">
        <w:rPr>
          <w:noProof w:val="0"/>
          <w:color w:val="17365D"/>
          <w:u w:val="single"/>
        </w:rPr>
        <w:t>”</w:t>
      </w:r>
      <w:r w:rsidR="005C4207" w:rsidRPr="00B36A61">
        <w:rPr>
          <w:noProof w:val="0"/>
          <w:color w:val="17365D"/>
        </w:rPr>
        <w:t xml:space="preserve"> – pārskata periodā </w:t>
      </w:r>
      <w:r w:rsidRPr="00B36A61">
        <w:rPr>
          <w:noProof w:val="0"/>
          <w:color w:val="17365D"/>
        </w:rPr>
        <w:t xml:space="preserve">veikti </w:t>
      </w:r>
      <w:r w:rsidR="00D471E8" w:rsidRPr="00B36A61">
        <w:rPr>
          <w:noProof w:val="0"/>
          <w:color w:val="17365D"/>
        </w:rPr>
        <w:t xml:space="preserve">izdevumi </w:t>
      </w:r>
      <w:r w:rsidR="00667385" w:rsidRPr="00B36A61">
        <w:rPr>
          <w:noProof w:val="0"/>
          <w:color w:val="17365D"/>
        </w:rPr>
        <w:t>661</w:t>
      </w:r>
      <w:r w:rsidRPr="00B36A61">
        <w:rPr>
          <w:noProof w:val="0"/>
          <w:color w:val="17365D"/>
        </w:rPr>
        <w:t>,</w:t>
      </w:r>
      <w:r w:rsidR="00F81205" w:rsidRPr="00B36A61">
        <w:rPr>
          <w:noProof w:val="0"/>
          <w:color w:val="17365D"/>
        </w:rPr>
        <w:t>8</w:t>
      </w:r>
      <w:r w:rsidR="00F171CB" w:rsidRPr="00B36A61">
        <w:rPr>
          <w:color w:val="17365D"/>
        </w:rPr>
        <w:t> </w:t>
      </w:r>
      <w:r w:rsidRPr="00B36A61">
        <w:rPr>
          <w:noProof w:val="0"/>
          <w:color w:val="17365D"/>
        </w:rPr>
        <w:t xml:space="preserve">milj. </w:t>
      </w:r>
      <w:r w:rsidRPr="00B36A61">
        <w:rPr>
          <w:i/>
          <w:noProof w:val="0"/>
          <w:color w:val="17365D"/>
        </w:rPr>
        <w:t>euro</w:t>
      </w:r>
      <w:r w:rsidR="003B3908" w:rsidRPr="00B36A61">
        <w:rPr>
          <w:i/>
          <w:noProof w:val="0"/>
          <w:color w:val="17365D"/>
        </w:rPr>
        <w:t xml:space="preserve"> </w:t>
      </w:r>
      <w:r w:rsidR="003B3908" w:rsidRPr="00B36A61">
        <w:rPr>
          <w:color w:val="17365D"/>
        </w:rPr>
        <w:t>vērtībā</w:t>
      </w:r>
      <w:r w:rsidRPr="00B36A61">
        <w:rPr>
          <w:noProof w:val="0"/>
          <w:color w:val="17365D"/>
        </w:rPr>
        <w:t>, kas sal</w:t>
      </w:r>
      <w:r w:rsidR="005C4207" w:rsidRPr="00B36A61">
        <w:rPr>
          <w:noProof w:val="0"/>
          <w:color w:val="17365D"/>
        </w:rPr>
        <w:t>īdzinājumā ar 20</w:t>
      </w:r>
      <w:r w:rsidR="00F81205" w:rsidRPr="00B36A61">
        <w:rPr>
          <w:noProof w:val="0"/>
          <w:color w:val="17365D"/>
        </w:rPr>
        <w:t>2</w:t>
      </w:r>
      <w:r w:rsidR="00667385" w:rsidRPr="00B36A61">
        <w:rPr>
          <w:noProof w:val="0"/>
          <w:color w:val="17365D"/>
        </w:rPr>
        <w:t>1</w:t>
      </w:r>
      <w:r w:rsidR="005C4207" w:rsidRPr="00B36A61">
        <w:rPr>
          <w:noProof w:val="0"/>
          <w:color w:val="17365D"/>
        </w:rPr>
        <w:t>. </w:t>
      </w:r>
      <w:r w:rsidRPr="00B36A61">
        <w:rPr>
          <w:noProof w:val="0"/>
          <w:color w:val="17365D"/>
        </w:rPr>
        <w:t xml:space="preserve">gadu ir par </w:t>
      </w:r>
      <w:r w:rsidR="00667385" w:rsidRPr="00B36A61">
        <w:rPr>
          <w:noProof w:val="0"/>
          <w:color w:val="17365D"/>
        </w:rPr>
        <w:t>83</w:t>
      </w:r>
      <w:r w:rsidRPr="00B36A61">
        <w:rPr>
          <w:noProof w:val="0"/>
          <w:color w:val="17365D"/>
        </w:rPr>
        <w:t>,</w:t>
      </w:r>
      <w:r w:rsidR="00667385" w:rsidRPr="00B36A61">
        <w:rPr>
          <w:noProof w:val="0"/>
          <w:color w:val="17365D"/>
        </w:rPr>
        <w:t>8</w:t>
      </w:r>
      <w:r w:rsidR="009957FA" w:rsidRPr="00B36A61">
        <w:rPr>
          <w:noProof w:val="0"/>
          <w:color w:val="17365D"/>
        </w:rPr>
        <w:t> </w:t>
      </w:r>
      <w:r w:rsidRPr="00B36A61">
        <w:rPr>
          <w:noProof w:val="0"/>
          <w:color w:val="17365D"/>
        </w:rPr>
        <w:t xml:space="preserve">milj. </w:t>
      </w:r>
      <w:r w:rsidRPr="00B36A61">
        <w:rPr>
          <w:i/>
          <w:noProof w:val="0"/>
          <w:color w:val="17365D"/>
        </w:rPr>
        <w:t>euro</w:t>
      </w:r>
      <w:r w:rsidRPr="00B36A61">
        <w:rPr>
          <w:noProof w:val="0"/>
          <w:color w:val="17365D"/>
        </w:rPr>
        <w:t xml:space="preserve"> jeb </w:t>
      </w:r>
      <w:r w:rsidR="00D471E8" w:rsidRPr="00B36A61">
        <w:rPr>
          <w:noProof w:val="0"/>
          <w:color w:val="17365D"/>
        </w:rPr>
        <w:t>1</w:t>
      </w:r>
      <w:r w:rsidR="00F81205" w:rsidRPr="00B36A61">
        <w:rPr>
          <w:noProof w:val="0"/>
          <w:color w:val="17365D"/>
        </w:rPr>
        <w:t>4</w:t>
      </w:r>
      <w:r w:rsidRPr="00B36A61">
        <w:rPr>
          <w:noProof w:val="0"/>
          <w:color w:val="17365D"/>
        </w:rPr>
        <w:t>,</w:t>
      </w:r>
      <w:r w:rsidR="00F81205" w:rsidRPr="00B36A61">
        <w:rPr>
          <w:noProof w:val="0"/>
          <w:color w:val="17365D"/>
        </w:rPr>
        <w:t>5</w:t>
      </w:r>
      <w:r w:rsidR="004B35F9" w:rsidRPr="00B36A61">
        <w:rPr>
          <w:color w:val="17365D"/>
        </w:rPr>
        <w:t> </w:t>
      </w:r>
      <w:r w:rsidRPr="00B36A61">
        <w:rPr>
          <w:noProof w:val="0"/>
          <w:color w:val="17365D"/>
        </w:rPr>
        <w:t xml:space="preserve">% vairāk. Būtiskākais pieaugums ir </w:t>
      </w:r>
      <w:r w:rsidR="00667385" w:rsidRPr="00B36A61">
        <w:rPr>
          <w:noProof w:val="0"/>
          <w:color w:val="17365D"/>
        </w:rPr>
        <w:t>Satiksmes</w:t>
      </w:r>
      <w:r w:rsidR="00E41248" w:rsidRPr="00B36A61">
        <w:rPr>
          <w:noProof w:val="0"/>
          <w:color w:val="17365D"/>
        </w:rPr>
        <w:t xml:space="preserve"> ministrijai</w:t>
      </w:r>
      <w:r w:rsidR="00F30A98" w:rsidRPr="00B36A61">
        <w:rPr>
          <w:noProof w:val="0"/>
          <w:color w:val="17365D"/>
        </w:rPr>
        <w:t xml:space="preserve"> </w:t>
      </w:r>
      <w:r w:rsidR="00667385" w:rsidRPr="00B36A61">
        <w:rPr>
          <w:noProof w:val="0"/>
          <w:color w:val="17365D"/>
        </w:rPr>
        <w:t>21</w:t>
      </w:r>
      <w:r w:rsidRPr="00B36A61">
        <w:rPr>
          <w:noProof w:val="0"/>
          <w:color w:val="17365D"/>
        </w:rPr>
        <w:t>,</w:t>
      </w:r>
      <w:r w:rsidR="00667385" w:rsidRPr="00B36A61">
        <w:rPr>
          <w:noProof w:val="0"/>
          <w:color w:val="17365D"/>
        </w:rPr>
        <w:t>3</w:t>
      </w:r>
      <w:r w:rsidR="00F171CB" w:rsidRPr="00B36A61">
        <w:rPr>
          <w:noProof w:val="0"/>
          <w:color w:val="17365D"/>
        </w:rPr>
        <w:t> </w:t>
      </w:r>
      <w:r w:rsidRPr="00B36A61">
        <w:rPr>
          <w:noProof w:val="0"/>
          <w:color w:val="17365D"/>
        </w:rPr>
        <w:t xml:space="preserve">milj. </w:t>
      </w:r>
      <w:r w:rsidRPr="00B36A61">
        <w:rPr>
          <w:i/>
          <w:noProof w:val="0"/>
          <w:color w:val="17365D"/>
        </w:rPr>
        <w:t>euro</w:t>
      </w:r>
      <w:r w:rsidR="00E41248" w:rsidRPr="00B36A61">
        <w:rPr>
          <w:noProof w:val="0"/>
          <w:color w:val="17365D"/>
        </w:rPr>
        <w:t xml:space="preserve">, </w:t>
      </w:r>
      <w:r w:rsidR="00667385" w:rsidRPr="00B36A61">
        <w:rPr>
          <w:noProof w:val="0"/>
          <w:color w:val="17365D"/>
        </w:rPr>
        <w:t>Iekšlietu ministrijai</w:t>
      </w:r>
      <w:r w:rsidR="00F81205" w:rsidRPr="00B36A61">
        <w:rPr>
          <w:noProof w:val="0"/>
          <w:color w:val="17365D"/>
        </w:rPr>
        <w:t xml:space="preserve"> 2</w:t>
      </w:r>
      <w:r w:rsidR="00667385" w:rsidRPr="00B36A61">
        <w:rPr>
          <w:noProof w:val="0"/>
          <w:color w:val="17365D"/>
        </w:rPr>
        <w:t>1</w:t>
      </w:r>
      <w:r w:rsidRPr="00B36A61">
        <w:rPr>
          <w:noProof w:val="0"/>
          <w:color w:val="17365D"/>
        </w:rPr>
        <w:t>,</w:t>
      </w:r>
      <w:r w:rsidR="00667385" w:rsidRPr="00B36A61">
        <w:rPr>
          <w:noProof w:val="0"/>
          <w:color w:val="17365D"/>
        </w:rPr>
        <w:t>2</w:t>
      </w:r>
      <w:r w:rsidR="004B35F9" w:rsidRPr="00B36A61">
        <w:rPr>
          <w:color w:val="17365D"/>
        </w:rPr>
        <w:t> </w:t>
      </w:r>
      <w:r w:rsidRPr="00B36A61">
        <w:rPr>
          <w:noProof w:val="0"/>
          <w:color w:val="17365D"/>
        </w:rPr>
        <w:t xml:space="preserve">milj. </w:t>
      </w:r>
      <w:r w:rsidRPr="00B36A61">
        <w:rPr>
          <w:i/>
          <w:noProof w:val="0"/>
          <w:color w:val="17365D"/>
        </w:rPr>
        <w:t>euro</w:t>
      </w:r>
      <w:r w:rsidRPr="00B36A61">
        <w:rPr>
          <w:noProof w:val="0"/>
          <w:color w:val="17365D"/>
        </w:rPr>
        <w:t>,</w:t>
      </w:r>
      <w:r w:rsidR="00E41248" w:rsidRPr="00B36A61">
        <w:rPr>
          <w:noProof w:val="0"/>
          <w:color w:val="17365D"/>
        </w:rPr>
        <w:t xml:space="preserve"> </w:t>
      </w:r>
      <w:r w:rsidR="00667385" w:rsidRPr="00B36A61">
        <w:rPr>
          <w:noProof w:val="0"/>
          <w:color w:val="17365D"/>
        </w:rPr>
        <w:t>Aizsardzības</w:t>
      </w:r>
      <w:r w:rsidR="00E41248" w:rsidRPr="00B36A61">
        <w:rPr>
          <w:noProof w:val="0"/>
          <w:color w:val="17365D"/>
        </w:rPr>
        <w:t xml:space="preserve"> ministrijai </w:t>
      </w:r>
      <w:r w:rsidR="00F81205" w:rsidRPr="00B36A61">
        <w:rPr>
          <w:noProof w:val="0"/>
          <w:color w:val="17365D"/>
        </w:rPr>
        <w:t>2</w:t>
      </w:r>
      <w:r w:rsidR="00667385" w:rsidRPr="00B36A61">
        <w:rPr>
          <w:noProof w:val="0"/>
          <w:color w:val="17365D"/>
        </w:rPr>
        <w:t>0</w:t>
      </w:r>
      <w:r w:rsidR="00E41248" w:rsidRPr="00B36A61">
        <w:rPr>
          <w:noProof w:val="0"/>
          <w:color w:val="17365D"/>
        </w:rPr>
        <w:t>,</w:t>
      </w:r>
      <w:r w:rsidR="00F81205" w:rsidRPr="00B36A61">
        <w:rPr>
          <w:noProof w:val="0"/>
          <w:color w:val="17365D"/>
        </w:rPr>
        <w:t>9</w:t>
      </w:r>
      <w:r w:rsidR="004B35F9" w:rsidRPr="00B36A61">
        <w:rPr>
          <w:noProof w:val="0"/>
          <w:color w:val="17365D"/>
        </w:rPr>
        <w:t> </w:t>
      </w:r>
      <w:r w:rsidR="00E41248" w:rsidRPr="00B36A61">
        <w:rPr>
          <w:noProof w:val="0"/>
          <w:color w:val="17365D"/>
        </w:rPr>
        <w:t>milj.</w:t>
      </w:r>
      <w:r w:rsidR="00E41248" w:rsidRPr="00B36A61">
        <w:rPr>
          <w:color w:val="17365D"/>
        </w:rPr>
        <w:t xml:space="preserve"> </w:t>
      </w:r>
      <w:r w:rsidR="00E41248" w:rsidRPr="00B36A61">
        <w:rPr>
          <w:i/>
          <w:noProof w:val="0"/>
          <w:color w:val="17365D"/>
        </w:rPr>
        <w:t>euro</w:t>
      </w:r>
      <w:r w:rsidR="00465848" w:rsidRPr="00B36A61">
        <w:rPr>
          <w:noProof w:val="0"/>
          <w:color w:val="17365D"/>
        </w:rPr>
        <w:t>,</w:t>
      </w:r>
      <w:r w:rsidRPr="00B36A61">
        <w:rPr>
          <w:noProof w:val="0"/>
          <w:color w:val="17365D"/>
        </w:rPr>
        <w:t xml:space="preserve"> bet samazinājums – </w:t>
      </w:r>
      <w:r w:rsidR="003743E6" w:rsidRPr="00B36A61">
        <w:rPr>
          <w:noProof w:val="0"/>
          <w:color w:val="17365D"/>
        </w:rPr>
        <w:t>Kultūras ministrijai</w:t>
      </w:r>
      <w:r w:rsidRPr="00B36A61">
        <w:rPr>
          <w:noProof w:val="0"/>
          <w:color w:val="17365D"/>
        </w:rPr>
        <w:t xml:space="preserve"> </w:t>
      </w:r>
      <w:r w:rsidR="003743E6" w:rsidRPr="00B36A61">
        <w:rPr>
          <w:noProof w:val="0"/>
          <w:color w:val="17365D"/>
        </w:rPr>
        <w:t>8</w:t>
      </w:r>
      <w:r w:rsidRPr="00B36A61">
        <w:rPr>
          <w:noProof w:val="0"/>
          <w:color w:val="17365D"/>
        </w:rPr>
        <w:t>,</w:t>
      </w:r>
      <w:r w:rsidR="003743E6" w:rsidRPr="00B36A61">
        <w:rPr>
          <w:noProof w:val="0"/>
          <w:color w:val="17365D"/>
        </w:rPr>
        <w:t>1</w:t>
      </w:r>
      <w:r w:rsidR="009957FA" w:rsidRPr="00B36A61">
        <w:rPr>
          <w:color w:val="17365D"/>
        </w:rPr>
        <w:t> </w:t>
      </w:r>
      <w:r w:rsidRPr="00B36A61">
        <w:rPr>
          <w:noProof w:val="0"/>
          <w:color w:val="17365D"/>
        </w:rPr>
        <w:t xml:space="preserve">milj. </w:t>
      </w:r>
      <w:r w:rsidRPr="00B36A61">
        <w:rPr>
          <w:i/>
          <w:noProof w:val="0"/>
          <w:color w:val="17365D"/>
        </w:rPr>
        <w:t>euro</w:t>
      </w:r>
      <w:r w:rsidRPr="00B36A61">
        <w:rPr>
          <w:noProof w:val="0"/>
          <w:color w:val="17365D"/>
        </w:rPr>
        <w:t>.</w:t>
      </w:r>
      <w:r w:rsidR="003E5AA2" w:rsidRPr="00B36A61">
        <w:rPr>
          <w:noProof w:val="0"/>
          <w:color w:val="17365D"/>
        </w:rPr>
        <w:t xml:space="preserve"> </w:t>
      </w:r>
      <w:r w:rsidRPr="00B36A61">
        <w:rPr>
          <w:noProof w:val="0"/>
          <w:color w:val="17365D"/>
        </w:rPr>
        <w:t>Izmaiņas galvenokārt ietekmēja:</w:t>
      </w:r>
    </w:p>
    <w:p w14:paraId="3A368151" w14:textId="47700C49" w:rsidR="009D6F09" w:rsidRPr="00B36A61" w:rsidRDefault="003743E6" w:rsidP="00694E66">
      <w:pPr>
        <w:pStyle w:val="Pamatteksts"/>
        <w:numPr>
          <w:ilvl w:val="0"/>
          <w:numId w:val="12"/>
        </w:numPr>
        <w:ind w:left="993" w:hanging="426"/>
        <w:rPr>
          <w:noProof w:val="0"/>
          <w:color w:val="17365D"/>
        </w:rPr>
      </w:pPr>
      <w:r w:rsidRPr="00B36A61">
        <w:rPr>
          <w:noProof w:val="0"/>
          <w:color w:val="17365D"/>
        </w:rPr>
        <w:t>Satiksmes</w:t>
      </w:r>
      <w:r w:rsidR="00E41248" w:rsidRPr="00B36A61">
        <w:rPr>
          <w:noProof w:val="0"/>
          <w:color w:val="17365D"/>
        </w:rPr>
        <w:t xml:space="preserve"> ministrija</w:t>
      </w:r>
      <w:r w:rsidR="00BC17D0" w:rsidRPr="00B36A61">
        <w:rPr>
          <w:noProof w:val="0"/>
          <w:color w:val="17365D"/>
        </w:rPr>
        <w:t>s</w:t>
      </w:r>
      <w:r w:rsidR="00327E21" w:rsidRPr="00B36A61">
        <w:rPr>
          <w:noProof w:val="0"/>
          <w:color w:val="17365D"/>
        </w:rPr>
        <w:t xml:space="preserve"> veiktie maksājumi </w:t>
      </w:r>
      <w:r w:rsidR="00152DD8" w:rsidRPr="00B36A61">
        <w:rPr>
          <w:noProof w:val="0"/>
          <w:color w:val="17365D"/>
        </w:rPr>
        <w:t xml:space="preserve">par </w:t>
      </w:r>
      <w:r w:rsidRPr="00B36A61">
        <w:rPr>
          <w:noProof w:val="0"/>
          <w:color w:val="17365D"/>
        </w:rPr>
        <w:t>valsts autoceļu uzturēšanas un atjaunošanas projektu īstenošan</w:t>
      </w:r>
      <w:r w:rsidR="00152DD8" w:rsidRPr="00B36A61">
        <w:rPr>
          <w:noProof w:val="0"/>
          <w:color w:val="17365D"/>
        </w:rPr>
        <w:t>u</w:t>
      </w:r>
      <w:r w:rsidR="009D6F09" w:rsidRPr="00B36A61">
        <w:rPr>
          <w:noProof w:val="0"/>
          <w:color w:val="17365D"/>
        </w:rPr>
        <w:t>;</w:t>
      </w:r>
    </w:p>
    <w:p w14:paraId="580BC61C" w14:textId="632ECAD0" w:rsidR="009D6F09" w:rsidRPr="00B36A61" w:rsidRDefault="003743E6" w:rsidP="002E4EF8">
      <w:pPr>
        <w:pStyle w:val="Pamatteksts"/>
        <w:numPr>
          <w:ilvl w:val="0"/>
          <w:numId w:val="12"/>
        </w:numPr>
        <w:ind w:left="993" w:hanging="426"/>
        <w:rPr>
          <w:noProof w:val="0"/>
          <w:color w:val="17365D"/>
        </w:rPr>
      </w:pPr>
      <w:r w:rsidRPr="00B36A61">
        <w:rPr>
          <w:noProof w:val="0"/>
          <w:color w:val="17365D"/>
        </w:rPr>
        <w:t>Iekšlietu ministrija</w:t>
      </w:r>
      <w:r w:rsidR="0071616E" w:rsidRPr="00B36A61">
        <w:rPr>
          <w:noProof w:val="0"/>
          <w:color w:val="17365D"/>
        </w:rPr>
        <w:t>s</w:t>
      </w:r>
      <w:r w:rsidR="00740140" w:rsidRPr="00B36A61">
        <w:rPr>
          <w:noProof w:val="0"/>
          <w:color w:val="17365D"/>
        </w:rPr>
        <w:t xml:space="preserve"> </w:t>
      </w:r>
      <w:r w:rsidR="00327E21" w:rsidRPr="00B36A61">
        <w:rPr>
          <w:noProof w:val="0"/>
          <w:color w:val="17365D"/>
        </w:rPr>
        <w:t>veiktie maksājumi</w:t>
      </w:r>
      <w:r w:rsidR="00152DD8" w:rsidRPr="00B36A61">
        <w:rPr>
          <w:noProof w:val="0"/>
          <w:color w:val="17365D"/>
        </w:rPr>
        <w:t xml:space="preserve"> par</w:t>
      </w:r>
      <w:r w:rsidR="002E4EF8" w:rsidRPr="00B36A61">
        <w:rPr>
          <w:noProof w:val="0"/>
          <w:color w:val="17365D"/>
        </w:rPr>
        <w:t xml:space="preserve"> </w:t>
      </w:r>
      <w:r w:rsidR="00EE1C85" w:rsidRPr="00B36A61">
        <w:rPr>
          <w:noProof w:val="0"/>
          <w:color w:val="17365D"/>
        </w:rPr>
        <w:t>i</w:t>
      </w:r>
      <w:r w:rsidR="00152DD8" w:rsidRPr="00B36A61">
        <w:rPr>
          <w:noProof w:val="0"/>
          <w:color w:val="17365D"/>
        </w:rPr>
        <w:t>n</w:t>
      </w:r>
      <w:r w:rsidR="00EE1C85" w:rsidRPr="00B36A61">
        <w:rPr>
          <w:noProof w:val="0"/>
          <w:color w:val="17365D"/>
        </w:rPr>
        <w:t>frastruktūras izbūvi</w:t>
      </w:r>
      <w:r w:rsidR="002E4EF8" w:rsidRPr="00B36A61">
        <w:rPr>
          <w:noProof w:val="0"/>
          <w:color w:val="17365D"/>
        </w:rPr>
        <w:t xml:space="preserve"> saistībā ar nelegālās imigrācijas draudiem uz Latvijas Republikas-Baltkrievijas Republikas valsts robežas un infrastruktūras izbūvi uz valsts sauszemes robežas gar Latvijas Republikas-Baltkrievijas Republikas un Latvijas Republikas-Krievijas Federācijas valsts robežu</w:t>
      </w:r>
      <w:r w:rsidR="00121F08" w:rsidRPr="00B36A61">
        <w:rPr>
          <w:noProof w:val="0"/>
          <w:color w:val="17365D"/>
        </w:rPr>
        <w:t>,</w:t>
      </w:r>
      <w:r w:rsidR="00EE1C85" w:rsidRPr="00B36A61">
        <w:rPr>
          <w:noProof w:val="0"/>
          <w:color w:val="17365D"/>
        </w:rPr>
        <w:t xml:space="preserve"> </w:t>
      </w:r>
      <w:r w:rsidR="00121F08" w:rsidRPr="00B36A61">
        <w:rPr>
          <w:noProof w:val="0"/>
          <w:color w:val="17365D"/>
        </w:rPr>
        <w:t>kā arī</w:t>
      </w:r>
      <w:r w:rsidR="00EE1C85" w:rsidRPr="00B36A61">
        <w:rPr>
          <w:noProof w:val="0"/>
          <w:color w:val="17365D"/>
        </w:rPr>
        <w:t xml:space="preserve"> palielinājušās </w:t>
      </w:r>
      <w:r w:rsidR="00152DD8" w:rsidRPr="00B36A61">
        <w:rPr>
          <w:noProof w:val="0"/>
          <w:color w:val="17365D"/>
        </w:rPr>
        <w:t xml:space="preserve">būvniecības </w:t>
      </w:r>
      <w:r w:rsidR="00EE1C85" w:rsidRPr="00B36A61">
        <w:rPr>
          <w:noProof w:val="0"/>
          <w:color w:val="17365D"/>
        </w:rPr>
        <w:t>izmak</w:t>
      </w:r>
      <w:r w:rsidR="00152DD8" w:rsidRPr="00B36A61">
        <w:rPr>
          <w:noProof w:val="0"/>
          <w:color w:val="17365D"/>
        </w:rPr>
        <w:t>s</w:t>
      </w:r>
      <w:r w:rsidR="00EE1C85" w:rsidRPr="00B36A61">
        <w:rPr>
          <w:noProof w:val="0"/>
          <w:color w:val="17365D"/>
        </w:rPr>
        <w:t xml:space="preserve">as </w:t>
      </w:r>
      <w:r w:rsidR="00152DD8" w:rsidRPr="00B36A61">
        <w:rPr>
          <w:noProof w:val="0"/>
          <w:color w:val="17365D"/>
        </w:rPr>
        <w:t xml:space="preserve">saistībā ar ģeopolitiskās situācijas ietekmi  uz </w:t>
      </w:r>
      <w:r w:rsidR="00EE1C85" w:rsidRPr="00B36A61">
        <w:rPr>
          <w:noProof w:val="0"/>
          <w:color w:val="17365D"/>
        </w:rPr>
        <w:t xml:space="preserve">jaunu ugundzēsības depo </w:t>
      </w:r>
      <w:r w:rsidR="00152DD8" w:rsidRPr="00B36A61">
        <w:rPr>
          <w:noProof w:val="0"/>
          <w:color w:val="17365D"/>
        </w:rPr>
        <w:t>izbūvi;</w:t>
      </w:r>
    </w:p>
    <w:p w14:paraId="4DCAF5E6" w14:textId="426302B6" w:rsidR="00E41248" w:rsidRPr="00B36A61" w:rsidRDefault="00152DD8" w:rsidP="00694E66">
      <w:pPr>
        <w:pStyle w:val="Pamatteksts"/>
        <w:numPr>
          <w:ilvl w:val="0"/>
          <w:numId w:val="12"/>
        </w:numPr>
        <w:ind w:left="993" w:hanging="426"/>
        <w:rPr>
          <w:noProof w:val="0"/>
          <w:color w:val="17365D"/>
        </w:rPr>
      </w:pPr>
      <w:r w:rsidRPr="00B36A61">
        <w:rPr>
          <w:noProof w:val="0"/>
          <w:color w:val="17365D"/>
        </w:rPr>
        <w:t>Aizsardzības</w:t>
      </w:r>
      <w:r w:rsidR="00E41248" w:rsidRPr="00B36A61">
        <w:rPr>
          <w:noProof w:val="0"/>
          <w:color w:val="17365D"/>
        </w:rPr>
        <w:t xml:space="preserve"> ministrija</w:t>
      </w:r>
      <w:r w:rsidR="00BC17D0" w:rsidRPr="00B36A61">
        <w:rPr>
          <w:noProof w:val="0"/>
          <w:color w:val="17365D"/>
        </w:rPr>
        <w:t>s</w:t>
      </w:r>
      <w:r w:rsidR="00AA6597" w:rsidRPr="00B36A61">
        <w:rPr>
          <w:noProof w:val="0"/>
          <w:color w:val="17365D"/>
        </w:rPr>
        <w:t xml:space="preserve"> veiktie maksājumi</w:t>
      </w:r>
      <w:r w:rsidR="000624B6" w:rsidRPr="00B36A61">
        <w:rPr>
          <w:noProof w:val="0"/>
          <w:color w:val="17365D"/>
        </w:rPr>
        <w:t xml:space="preserve"> </w:t>
      </w:r>
      <w:r w:rsidRPr="00B36A61">
        <w:rPr>
          <w:noProof w:val="0"/>
          <w:color w:val="17365D"/>
        </w:rPr>
        <w:t>par jaunu transporta līdzekļu iegādi, sakaru tehnikas iegādi un sakaru sistēmas paplašināšanu valsts aizsardzības drošības pasākumu īstenošan</w:t>
      </w:r>
      <w:r w:rsidR="00121F08" w:rsidRPr="00B36A61">
        <w:rPr>
          <w:noProof w:val="0"/>
          <w:color w:val="17365D"/>
        </w:rPr>
        <w:t>ā</w:t>
      </w:r>
      <w:r w:rsidRPr="00B36A61">
        <w:rPr>
          <w:noProof w:val="0"/>
          <w:color w:val="17365D"/>
        </w:rPr>
        <w:t xml:space="preserve"> saistībā ar plaša mēroga Krievijas militāro agresiju pret Ukrainu un pieaugošiem ģeopolitiskiem riskiem</w:t>
      </w:r>
      <w:r w:rsidR="00973EC1" w:rsidRPr="00B36A61">
        <w:rPr>
          <w:noProof w:val="0"/>
          <w:color w:val="17365D"/>
        </w:rPr>
        <w:t>;</w:t>
      </w:r>
    </w:p>
    <w:p w14:paraId="5A589248" w14:textId="4E60BFF2" w:rsidR="00BD51CF" w:rsidRPr="00B36A61" w:rsidRDefault="008811CE" w:rsidP="00694E66">
      <w:pPr>
        <w:pStyle w:val="Pamatteksts"/>
        <w:numPr>
          <w:ilvl w:val="0"/>
          <w:numId w:val="12"/>
        </w:numPr>
        <w:ind w:left="993" w:hanging="426"/>
        <w:rPr>
          <w:noProof w:val="0"/>
          <w:color w:val="17365D"/>
        </w:rPr>
      </w:pPr>
      <w:r w:rsidRPr="00B36A61">
        <w:rPr>
          <w:noProof w:val="0"/>
          <w:color w:val="17365D"/>
        </w:rPr>
        <w:t>Kultūras</w:t>
      </w:r>
      <w:r w:rsidR="00DE6990" w:rsidRPr="00B36A61">
        <w:rPr>
          <w:noProof w:val="0"/>
          <w:color w:val="17365D"/>
        </w:rPr>
        <w:t xml:space="preserve"> ministrijai </w:t>
      </w:r>
      <w:r w:rsidR="00C43DA2" w:rsidRPr="00B36A61">
        <w:rPr>
          <w:noProof w:val="0"/>
          <w:color w:val="17365D"/>
        </w:rPr>
        <w:t xml:space="preserve">izdevumu samazinājums </w:t>
      </w:r>
      <w:r w:rsidR="00E81BE7" w:rsidRPr="00B36A61">
        <w:rPr>
          <w:noProof w:val="0"/>
          <w:color w:val="17365D"/>
        </w:rPr>
        <w:t xml:space="preserve">par iepriekšējā </w:t>
      </w:r>
      <w:r w:rsidR="006345D3" w:rsidRPr="00B36A61">
        <w:rPr>
          <w:noProof w:val="0"/>
          <w:color w:val="17365D"/>
        </w:rPr>
        <w:t xml:space="preserve">pārskata </w:t>
      </w:r>
      <w:r w:rsidR="00E81BE7" w:rsidRPr="00B36A61">
        <w:rPr>
          <w:noProof w:val="0"/>
          <w:color w:val="17365D"/>
        </w:rPr>
        <w:t xml:space="preserve">periodā </w:t>
      </w:r>
      <w:r w:rsidR="006345D3" w:rsidRPr="00B36A61">
        <w:rPr>
          <w:noProof w:val="0"/>
          <w:color w:val="17365D"/>
        </w:rPr>
        <w:t>veikto avansa maksājumu nekustamo īpašumu iegādei (Kronvalda bulvārī 4, Rīgā).</w:t>
      </w:r>
    </w:p>
    <w:p w14:paraId="7430DCEC" w14:textId="28E0BCDC" w:rsidR="00D7615D" w:rsidRPr="00B36A61" w:rsidRDefault="00D7615D" w:rsidP="00D7615D">
      <w:pPr>
        <w:pStyle w:val="Pamatteksts"/>
        <w:rPr>
          <w:noProof w:val="0"/>
          <w:color w:val="17365D"/>
        </w:rPr>
      </w:pPr>
      <w:r w:rsidRPr="00B36A61">
        <w:rPr>
          <w:noProof w:val="0"/>
          <w:color w:val="17365D"/>
        </w:rPr>
        <w:t>Valsts pamatbudžeta finansiālās bilances deficīts 20</w:t>
      </w:r>
      <w:r w:rsidR="006D25F1" w:rsidRPr="00B36A61">
        <w:rPr>
          <w:noProof w:val="0"/>
          <w:color w:val="17365D"/>
        </w:rPr>
        <w:t>2</w:t>
      </w:r>
      <w:r w:rsidR="00FE2461" w:rsidRPr="00B36A61">
        <w:rPr>
          <w:noProof w:val="0"/>
          <w:color w:val="17365D"/>
        </w:rPr>
        <w:t>2</w:t>
      </w:r>
      <w:r w:rsidRPr="00B36A61">
        <w:rPr>
          <w:noProof w:val="0"/>
          <w:color w:val="17365D"/>
        </w:rPr>
        <w:t xml:space="preserve">. gadā ir </w:t>
      </w:r>
      <w:r w:rsidR="006D25F1" w:rsidRPr="00B36A61">
        <w:rPr>
          <w:noProof w:val="0"/>
          <w:color w:val="17365D"/>
        </w:rPr>
        <w:t>1 </w:t>
      </w:r>
      <w:r w:rsidR="00FE2461" w:rsidRPr="00B36A61">
        <w:rPr>
          <w:noProof w:val="0"/>
          <w:color w:val="17365D"/>
        </w:rPr>
        <w:t>866</w:t>
      </w:r>
      <w:r w:rsidR="006D25F1" w:rsidRPr="00B36A61">
        <w:rPr>
          <w:noProof w:val="0"/>
          <w:color w:val="17365D"/>
        </w:rPr>
        <w:t>,</w:t>
      </w:r>
      <w:r w:rsidR="00FE2461" w:rsidRPr="00B36A61">
        <w:rPr>
          <w:noProof w:val="0"/>
          <w:color w:val="17365D"/>
        </w:rPr>
        <w:t>9</w:t>
      </w:r>
      <w:r w:rsidR="006D25F1" w:rsidRPr="00B36A61">
        <w:rPr>
          <w:noProof w:val="0"/>
          <w:color w:val="17365D"/>
        </w:rPr>
        <w:t> </w:t>
      </w:r>
      <w:r w:rsidRPr="00B36A61">
        <w:rPr>
          <w:noProof w:val="0"/>
          <w:color w:val="17365D"/>
        </w:rPr>
        <w:t>milj. </w:t>
      </w:r>
      <w:r w:rsidRPr="00B36A61">
        <w:rPr>
          <w:i/>
          <w:noProof w:val="0"/>
          <w:color w:val="17365D"/>
        </w:rPr>
        <w:t>euro</w:t>
      </w:r>
      <w:r w:rsidRPr="00B36A61">
        <w:rPr>
          <w:noProof w:val="0"/>
          <w:color w:val="17365D"/>
        </w:rPr>
        <w:t>, bet 20</w:t>
      </w:r>
      <w:r w:rsidR="0054160E" w:rsidRPr="00B36A61">
        <w:rPr>
          <w:noProof w:val="0"/>
          <w:color w:val="17365D"/>
        </w:rPr>
        <w:t>2</w:t>
      </w:r>
      <w:r w:rsidR="00FE2461" w:rsidRPr="00B36A61">
        <w:rPr>
          <w:noProof w:val="0"/>
          <w:color w:val="17365D"/>
        </w:rPr>
        <w:t>1</w:t>
      </w:r>
      <w:r w:rsidRPr="00B36A61">
        <w:rPr>
          <w:noProof w:val="0"/>
          <w:color w:val="17365D"/>
        </w:rPr>
        <w:t xml:space="preserve">. gadā finansiālās bilances deficīts bija </w:t>
      </w:r>
      <w:r w:rsidR="0054160E" w:rsidRPr="00B36A61">
        <w:rPr>
          <w:noProof w:val="0"/>
          <w:color w:val="17365D"/>
        </w:rPr>
        <w:t>1</w:t>
      </w:r>
      <w:r w:rsidR="004B35F9" w:rsidRPr="00B36A61">
        <w:rPr>
          <w:noProof w:val="0"/>
          <w:color w:val="17365D"/>
        </w:rPr>
        <w:t> </w:t>
      </w:r>
      <w:r w:rsidR="00FE2461" w:rsidRPr="00B36A61">
        <w:rPr>
          <w:noProof w:val="0"/>
          <w:color w:val="17365D"/>
        </w:rPr>
        <w:t>990</w:t>
      </w:r>
      <w:r w:rsidR="006D25F1" w:rsidRPr="00B36A61">
        <w:rPr>
          <w:noProof w:val="0"/>
          <w:color w:val="17365D"/>
        </w:rPr>
        <w:t>,</w:t>
      </w:r>
      <w:r w:rsidR="00FE2461" w:rsidRPr="00B36A61">
        <w:rPr>
          <w:noProof w:val="0"/>
          <w:color w:val="17365D"/>
        </w:rPr>
        <w:t>1</w:t>
      </w:r>
      <w:r w:rsidR="006D25F1" w:rsidRPr="00B36A61">
        <w:rPr>
          <w:noProof w:val="0"/>
          <w:color w:val="17365D"/>
        </w:rPr>
        <w:t> </w:t>
      </w:r>
      <w:r w:rsidRPr="00B36A61">
        <w:rPr>
          <w:noProof w:val="0"/>
          <w:color w:val="17365D"/>
        </w:rPr>
        <w:t>milj. </w:t>
      </w:r>
      <w:r w:rsidRPr="00B36A61">
        <w:rPr>
          <w:i/>
          <w:noProof w:val="0"/>
          <w:color w:val="17365D"/>
        </w:rPr>
        <w:t>euro</w:t>
      </w:r>
      <w:r w:rsidRPr="00B36A61">
        <w:rPr>
          <w:noProof w:val="0"/>
          <w:color w:val="17365D"/>
        </w:rPr>
        <w:t xml:space="preserve"> apmērā. Finansiālās bilances deficīts salīdzinot ar i</w:t>
      </w:r>
      <w:r w:rsidR="005C4207" w:rsidRPr="00B36A61">
        <w:rPr>
          <w:noProof w:val="0"/>
          <w:color w:val="17365D"/>
        </w:rPr>
        <w:t xml:space="preserve">epriekšējo gadu ir </w:t>
      </w:r>
      <w:r w:rsidR="00635133" w:rsidRPr="00B36A61">
        <w:rPr>
          <w:noProof w:val="0"/>
          <w:color w:val="17365D"/>
        </w:rPr>
        <w:t>samazi</w:t>
      </w:r>
      <w:r w:rsidR="005C4207" w:rsidRPr="00B36A61">
        <w:rPr>
          <w:noProof w:val="0"/>
          <w:color w:val="17365D"/>
        </w:rPr>
        <w:t>nājies</w:t>
      </w:r>
      <w:r w:rsidRPr="00B36A61">
        <w:rPr>
          <w:noProof w:val="0"/>
          <w:color w:val="17365D"/>
        </w:rPr>
        <w:t xml:space="preserve"> par </w:t>
      </w:r>
      <w:r w:rsidR="00635133" w:rsidRPr="00B36A61">
        <w:rPr>
          <w:noProof w:val="0"/>
          <w:color w:val="17365D"/>
        </w:rPr>
        <w:t>123,3</w:t>
      </w:r>
      <w:r w:rsidR="004B35F9" w:rsidRPr="00B36A61">
        <w:rPr>
          <w:noProof w:val="0"/>
          <w:color w:val="17365D"/>
        </w:rPr>
        <w:t> </w:t>
      </w:r>
      <w:r w:rsidRPr="00B36A61">
        <w:rPr>
          <w:noProof w:val="0"/>
          <w:color w:val="17365D"/>
        </w:rPr>
        <w:t>milj. </w:t>
      </w:r>
      <w:r w:rsidRPr="00B36A61">
        <w:rPr>
          <w:i/>
          <w:noProof w:val="0"/>
          <w:color w:val="17365D"/>
        </w:rPr>
        <w:t>euro</w:t>
      </w:r>
      <w:r w:rsidRPr="00B36A61">
        <w:rPr>
          <w:noProof w:val="0"/>
          <w:color w:val="17365D"/>
        </w:rPr>
        <w:t>.</w:t>
      </w:r>
    </w:p>
    <w:p w14:paraId="1C2B3FE9" w14:textId="46E85972" w:rsidR="008A1D5C" w:rsidRPr="00B36A61" w:rsidRDefault="008A1D5C" w:rsidP="009C6221">
      <w:pPr>
        <w:pStyle w:val="Pamatteksts"/>
        <w:spacing w:before="360"/>
        <w:ind w:firstLine="0"/>
        <w:rPr>
          <w:noProof w:val="0"/>
          <w:color w:val="17365D"/>
        </w:rPr>
      </w:pPr>
      <w:r w:rsidRPr="00B36A61">
        <w:rPr>
          <w:rStyle w:val="Heading2Char"/>
          <w:rFonts w:cs="Times New Roman"/>
          <w:noProof w:val="0"/>
          <w:color w:val="17365D"/>
        </w:rPr>
        <w:t>Valsts pamatbudžeta izdevumi atbilstoši funkcionālajām kategorijām</w:t>
      </w:r>
    </w:p>
    <w:p w14:paraId="0C5FA029" w14:textId="2F8B5BD7" w:rsidR="00DA4B46" w:rsidRPr="00B36A61" w:rsidRDefault="00DA4B46" w:rsidP="00937369">
      <w:pPr>
        <w:spacing w:before="120"/>
        <w:rPr>
          <w:rFonts w:eastAsia="Calibri"/>
          <w:color w:val="17365D"/>
          <w:lang w:eastAsia="en-US"/>
        </w:rPr>
      </w:pPr>
      <w:r w:rsidRPr="00B36A61">
        <w:rPr>
          <w:rFonts w:eastAsia="Calibri"/>
          <w:color w:val="17365D"/>
          <w:lang w:eastAsia="en-US"/>
        </w:rPr>
        <w:t xml:space="preserve">Pārskata gadā lielākie izdevumi </w:t>
      </w:r>
      <w:r w:rsidR="00CD6630" w:rsidRPr="00B36A61">
        <w:rPr>
          <w:rFonts w:eastAsia="Calibri"/>
          <w:color w:val="17365D"/>
          <w:lang w:eastAsia="en-US"/>
        </w:rPr>
        <w:t>veikti</w:t>
      </w:r>
      <w:r w:rsidR="00CB4277" w:rsidRPr="00B36A61">
        <w:rPr>
          <w:rFonts w:eastAsia="Calibri"/>
          <w:color w:val="17365D"/>
          <w:lang w:eastAsia="en-US"/>
        </w:rPr>
        <w:t xml:space="preserve"> </w:t>
      </w:r>
      <w:r w:rsidR="00147FC5" w:rsidRPr="00B36A61">
        <w:rPr>
          <w:rFonts w:eastAsia="Calibri"/>
          <w:color w:val="17365D"/>
          <w:lang w:eastAsia="en-US"/>
        </w:rPr>
        <w:t xml:space="preserve">funkcijās: </w:t>
      </w:r>
      <w:r w:rsidR="00C04123" w:rsidRPr="00B36A61">
        <w:rPr>
          <w:rFonts w:eastAsia="Calibri"/>
          <w:color w:val="17365D"/>
          <w:lang w:eastAsia="en-US"/>
        </w:rPr>
        <w:t xml:space="preserve">ekonomiskā darbība </w:t>
      </w:r>
      <w:r w:rsidR="00654E48" w:rsidRPr="00B36A61">
        <w:rPr>
          <w:rFonts w:eastAsia="Calibri"/>
          <w:color w:val="17365D"/>
          <w:lang w:eastAsia="en-US"/>
        </w:rPr>
        <w:t>2</w:t>
      </w:r>
      <w:r w:rsidR="00CD6630" w:rsidRPr="00B36A61">
        <w:rPr>
          <w:rFonts w:eastAsia="Calibri"/>
          <w:color w:val="17365D"/>
          <w:lang w:eastAsia="en-US"/>
        </w:rPr>
        <w:t> </w:t>
      </w:r>
      <w:r w:rsidR="00C04123" w:rsidRPr="00B36A61">
        <w:rPr>
          <w:rFonts w:eastAsia="Calibri"/>
          <w:color w:val="17365D"/>
          <w:lang w:eastAsia="en-US"/>
        </w:rPr>
        <w:t>444</w:t>
      </w:r>
      <w:r w:rsidR="00CD6630" w:rsidRPr="00B36A61">
        <w:rPr>
          <w:rFonts w:eastAsia="Calibri"/>
          <w:color w:val="17365D"/>
          <w:lang w:eastAsia="en-US"/>
        </w:rPr>
        <w:t>,</w:t>
      </w:r>
      <w:r w:rsidR="00C04123" w:rsidRPr="00B36A61">
        <w:rPr>
          <w:rFonts w:eastAsia="Calibri"/>
          <w:color w:val="17365D"/>
          <w:lang w:eastAsia="en-US"/>
        </w:rPr>
        <w:t>1</w:t>
      </w:r>
      <w:r w:rsidR="00CD6630" w:rsidRPr="00B36A61">
        <w:rPr>
          <w:rFonts w:eastAsia="Calibri"/>
          <w:color w:val="17365D"/>
          <w:lang w:eastAsia="en-US"/>
        </w:rPr>
        <w:t> milj.</w:t>
      </w:r>
      <w:r w:rsidR="00DB5226" w:rsidRPr="00B36A61">
        <w:rPr>
          <w:rFonts w:eastAsia="Calibri"/>
          <w:color w:val="17365D"/>
          <w:lang w:eastAsia="en-US"/>
        </w:rPr>
        <w:t> </w:t>
      </w:r>
      <w:r w:rsidR="00CD6630" w:rsidRPr="00B36A61">
        <w:rPr>
          <w:rFonts w:eastAsia="Calibri"/>
          <w:i/>
          <w:color w:val="17365D"/>
          <w:lang w:eastAsia="en-US"/>
        </w:rPr>
        <w:t>euro</w:t>
      </w:r>
      <w:r w:rsidR="00CD6630" w:rsidRPr="00B36A61">
        <w:rPr>
          <w:rFonts w:eastAsia="Calibri"/>
          <w:color w:val="17365D"/>
          <w:lang w:eastAsia="en-US"/>
        </w:rPr>
        <w:t xml:space="preserve"> </w:t>
      </w:r>
      <w:r w:rsidR="00B07BC5" w:rsidRPr="00B36A61">
        <w:rPr>
          <w:rFonts w:eastAsia="Calibri"/>
          <w:color w:val="17365D"/>
          <w:lang w:eastAsia="en-US"/>
        </w:rPr>
        <w:t xml:space="preserve">vērtībā </w:t>
      </w:r>
      <w:r w:rsidR="00CD6630" w:rsidRPr="00B36A61">
        <w:rPr>
          <w:rFonts w:eastAsia="Calibri"/>
          <w:color w:val="17365D"/>
          <w:lang w:eastAsia="en-US"/>
        </w:rPr>
        <w:t>jeb 2</w:t>
      </w:r>
      <w:r w:rsidR="00654E48" w:rsidRPr="00B36A61">
        <w:rPr>
          <w:rFonts w:eastAsia="Calibri"/>
          <w:color w:val="17365D"/>
          <w:lang w:eastAsia="en-US"/>
        </w:rPr>
        <w:t>4</w:t>
      </w:r>
      <w:r w:rsidR="00CD6630" w:rsidRPr="00B36A61">
        <w:rPr>
          <w:rFonts w:eastAsia="Calibri"/>
          <w:color w:val="17365D"/>
          <w:lang w:eastAsia="en-US"/>
        </w:rPr>
        <w:t>,</w:t>
      </w:r>
      <w:r w:rsidR="00C04123" w:rsidRPr="00B36A61">
        <w:rPr>
          <w:rFonts w:eastAsia="Calibri"/>
          <w:color w:val="17365D"/>
          <w:lang w:eastAsia="en-US"/>
        </w:rPr>
        <w:t>0</w:t>
      </w:r>
      <w:r w:rsidR="00531DB2" w:rsidRPr="00B36A61">
        <w:rPr>
          <w:rFonts w:eastAsia="Calibri"/>
          <w:color w:val="17365D"/>
          <w:lang w:eastAsia="en-US"/>
        </w:rPr>
        <w:t> % no kopējiem izdevumiem</w:t>
      </w:r>
      <w:r w:rsidR="000E0FF4" w:rsidRPr="00B36A61">
        <w:rPr>
          <w:rFonts w:eastAsia="Calibri"/>
          <w:color w:val="17365D"/>
          <w:lang w:eastAsia="en-US"/>
        </w:rPr>
        <w:t xml:space="preserve">, </w:t>
      </w:r>
      <w:r w:rsidR="00147FC5" w:rsidRPr="00B36A61">
        <w:rPr>
          <w:rFonts w:eastAsia="Calibri"/>
          <w:color w:val="17365D"/>
          <w:lang w:eastAsia="en-US"/>
        </w:rPr>
        <w:t>veselība –</w:t>
      </w:r>
      <w:r w:rsidR="000E0FF4" w:rsidRPr="00B36A61">
        <w:rPr>
          <w:rFonts w:eastAsia="Calibri"/>
          <w:color w:val="17365D"/>
          <w:lang w:eastAsia="en-US"/>
        </w:rPr>
        <w:t xml:space="preserve"> 1 </w:t>
      </w:r>
      <w:r w:rsidR="00C04123" w:rsidRPr="00B36A61">
        <w:rPr>
          <w:rFonts w:eastAsia="Calibri"/>
          <w:color w:val="17365D"/>
          <w:lang w:eastAsia="en-US"/>
        </w:rPr>
        <w:t>902</w:t>
      </w:r>
      <w:r w:rsidR="000E0FF4" w:rsidRPr="00B36A61">
        <w:rPr>
          <w:rFonts w:eastAsia="Calibri"/>
          <w:color w:val="17365D"/>
          <w:lang w:eastAsia="en-US"/>
        </w:rPr>
        <w:t>,</w:t>
      </w:r>
      <w:r w:rsidR="00C04123" w:rsidRPr="00B36A61">
        <w:rPr>
          <w:rFonts w:eastAsia="Calibri"/>
          <w:color w:val="17365D"/>
          <w:lang w:eastAsia="en-US"/>
        </w:rPr>
        <w:t>6</w:t>
      </w:r>
      <w:r w:rsidR="000E0FF4" w:rsidRPr="00B36A61">
        <w:rPr>
          <w:rFonts w:eastAsia="Calibri"/>
          <w:color w:val="17365D"/>
          <w:lang w:eastAsia="en-US"/>
        </w:rPr>
        <w:t> </w:t>
      </w:r>
      <w:r w:rsidR="00CB4277" w:rsidRPr="00B36A61">
        <w:rPr>
          <w:rFonts w:eastAsia="Calibri"/>
          <w:color w:val="17365D"/>
          <w:lang w:eastAsia="en-US"/>
        </w:rPr>
        <w:t xml:space="preserve">milj. </w:t>
      </w:r>
      <w:r w:rsidR="00CB4277" w:rsidRPr="00B36A61">
        <w:rPr>
          <w:rFonts w:eastAsia="Calibri"/>
          <w:i/>
          <w:color w:val="17365D"/>
          <w:lang w:eastAsia="en-US"/>
        </w:rPr>
        <w:t>euro</w:t>
      </w:r>
      <w:r w:rsidR="00CB4277" w:rsidRPr="00B36A61">
        <w:rPr>
          <w:rFonts w:eastAsia="Calibri"/>
          <w:color w:val="17365D"/>
          <w:lang w:eastAsia="en-US"/>
        </w:rPr>
        <w:t xml:space="preserve"> </w:t>
      </w:r>
      <w:r w:rsidR="00C72427" w:rsidRPr="00B36A61">
        <w:rPr>
          <w:rFonts w:eastAsia="Calibri"/>
          <w:color w:val="17365D"/>
          <w:lang w:eastAsia="en-US"/>
        </w:rPr>
        <w:t xml:space="preserve">jeb </w:t>
      </w:r>
      <w:r w:rsidR="00654E48" w:rsidRPr="00B36A61">
        <w:rPr>
          <w:rFonts w:eastAsia="Calibri"/>
          <w:color w:val="17365D"/>
          <w:lang w:eastAsia="en-US"/>
        </w:rPr>
        <w:t>1</w:t>
      </w:r>
      <w:r w:rsidR="00C04123" w:rsidRPr="00B36A61">
        <w:rPr>
          <w:rFonts w:eastAsia="Calibri"/>
          <w:color w:val="17365D"/>
          <w:lang w:eastAsia="en-US"/>
        </w:rPr>
        <w:t>8</w:t>
      </w:r>
      <w:r w:rsidR="00C72427" w:rsidRPr="00B36A61">
        <w:rPr>
          <w:rFonts w:eastAsia="Calibri"/>
          <w:color w:val="17365D"/>
          <w:lang w:eastAsia="en-US"/>
        </w:rPr>
        <w:t>,</w:t>
      </w:r>
      <w:r w:rsidR="00654E48" w:rsidRPr="00B36A61">
        <w:rPr>
          <w:rFonts w:eastAsia="Calibri"/>
          <w:color w:val="17365D"/>
          <w:lang w:eastAsia="en-US"/>
        </w:rPr>
        <w:t>7</w:t>
      </w:r>
      <w:r w:rsidR="00C72427" w:rsidRPr="00B36A61">
        <w:rPr>
          <w:rFonts w:eastAsia="Calibri"/>
          <w:color w:val="17365D"/>
          <w:lang w:eastAsia="en-US"/>
        </w:rPr>
        <w:t> %</w:t>
      </w:r>
      <w:r w:rsidR="00CB4277" w:rsidRPr="00B36A61">
        <w:rPr>
          <w:rFonts w:eastAsia="Calibri"/>
          <w:color w:val="17365D"/>
          <w:lang w:eastAsia="en-US"/>
        </w:rPr>
        <w:t xml:space="preserve"> </w:t>
      </w:r>
      <w:r w:rsidR="00CD6630" w:rsidRPr="00B36A61">
        <w:rPr>
          <w:rFonts w:eastAsia="Calibri"/>
          <w:color w:val="17365D"/>
          <w:lang w:eastAsia="en-US"/>
        </w:rPr>
        <w:t>no kopējiem izdevumiem</w:t>
      </w:r>
      <w:r w:rsidR="00BD29DC" w:rsidRPr="00B36A61">
        <w:rPr>
          <w:rFonts w:eastAsia="Calibri"/>
          <w:color w:val="17365D"/>
          <w:lang w:eastAsia="en-US"/>
        </w:rPr>
        <w:t>,</w:t>
      </w:r>
      <w:r w:rsidR="00C72427" w:rsidRPr="00B36A61">
        <w:rPr>
          <w:rFonts w:eastAsia="Calibri"/>
          <w:color w:val="17365D"/>
          <w:lang w:eastAsia="en-US"/>
        </w:rPr>
        <w:t xml:space="preserve"> </w:t>
      </w:r>
      <w:r w:rsidRPr="00B36A61">
        <w:rPr>
          <w:rFonts w:eastAsia="Calibri"/>
          <w:color w:val="17365D"/>
          <w:lang w:eastAsia="en-US"/>
        </w:rPr>
        <w:t xml:space="preserve">un </w:t>
      </w:r>
      <w:r w:rsidR="00C04123" w:rsidRPr="00B36A61">
        <w:rPr>
          <w:rFonts w:eastAsia="Calibri"/>
          <w:color w:val="17365D"/>
          <w:lang w:eastAsia="en-US"/>
        </w:rPr>
        <w:t>vispārējie valdības dienesti</w:t>
      </w:r>
      <w:r w:rsidR="00147FC5" w:rsidRPr="00B36A61">
        <w:rPr>
          <w:rFonts w:eastAsia="Calibri"/>
          <w:color w:val="17365D"/>
          <w:lang w:eastAsia="en-US"/>
        </w:rPr>
        <w:t xml:space="preserve"> </w:t>
      </w:r>
      <w:r w:rsidR="00BD29DC" w:rsidRPr="00B36A61">
        <w:rPr>
          <w:rFonts w:eastAsia="Calibri"/>
          <w:color w:val="17365D"/>
          <w:lang w:eastAsia="en-US"/>
        </w:rPr>
        <w:t xml:space="preserve">– </w:t>
      </w:r>
      <w:r w:rsidR="00CD6630" w:rsidRPr="00B36A61">
        <w:rPr>
          <w:rFonts w:eastAsia="Calibri"/>
          <w:color w:val="17365D"/>
          <w:lang w:eastAsia="en-US"/>
        </w:rPr>
        <w:t>1</w:t>
      </w:r>
      <w:r w:rsidR="00654E48" w:rsidRPr="00B36A61">
        <w:rPr>
          <w:rFonts w:eastAsia="Calibri"/>
          <w:color w:val="17365D"/>
          <w:lang w:eastAsia="en-US"/>
        </w:rPr>
        <w:t> </w:t>
      </w:r>
      <w:r w:rsidR="00C04123" w:rsidRPr="00B36A61">
        <w:rPr>
          <w:rFonts w:eastAsia="Calibri"/>
          <w:color w:val="17365D"/>
          <w:lang w:eastAsia="en-US"/>
        </w:rPr>
        <w:t>64</w:t>
      </w:r>
      <w:r w:rsidR="00AD2385" w:rsidRPr="00B36A61">
        <w:rPr>
          <w:rFonts w:eastAsia="Calibri"/>
          <w:color w:val="17365D"/>
          <w:lang w:eastAsia="en-US"/>
        </w:rPr>
        <w:t>4</w:t>
      </w:r>
      <w:r w:rsidR="00654E48" w:rsidRPr="00B36A61">
        <w:rPr>
          <w:rFonts w:eastAsia="Calibri"/>
          <w:color w:val="17365D"/>
          <w:lang w:eastAsia="en-US"/>
        </w:rPr>
        <w:t>,</w:t>
      </w:r>
      <w:r w:rsidR="00AD2385" w:rsidRPr="00B36A61">
        <w:rPr>
          <w:rFonts w:eastAsia="Calibri"/>
          <w:color w:val="17365D"/>
          <w:lang w:eastAsia="en-US"/>
        </w:rPr>
        <w:t>3</w:t>
      </w:r>
      <w:r w:rsidR="000E0FF4" w:rsidRPr="00B36A61">
        <w:rPr>
          <w:rFonts w:eastAsia="Calibri"/>
          <w:color w:val="17365D"/>
          <w:lang w:eastAsia="en-US"/>
        </w:rPr>
        <w:t> </w:t>
      </w:r>
      <w:r w:rsidR="00CB4277" w:rsidRPr="00B36A61">
        <w:rPr>
          <w:rFonts w:eastAsia="Calibri"/>
          <w:color w:val="17365D"/>
          <w:lang w:eastAsia="en-US"/>
        </w:rPr>
        <w:t xml:space="preserve">milj. </w:t>
      </w:r>
      <w:r w:rsidR="00CB4277" w:rsidRPr="00B36A61">
        <w:rPr>
          <w:rFonts w:eastAsia="Calibri"/>
          <w:i/>
          <w:color w:val="17365D"/>
          <w:lang w:eastAsia="en-US"/>
        </w:rPr>
        <w:t>euro</w:t>
      </w:r>
      <w:r w:rsidR="006B244A" w:rsidRPr="00B36A61">
        <w:rPr>
          <w:rFonts w:eastAsia="Calibri"/>
          <w:i/>
          <w:color w:val="17365D"/>
          <w:lang w:eastAsia="en-US"/>
        </w:rPr>
        <w:t xml:space="preserve"> </w:t>
      </w:r>
      <w:r w:rsidR="00C72427" w:rsidRPr="00B36A61">
        <w:rPr>
          <w:rFonts w:eastAsia="Calibri"/>
          <w:color w:val="17365D"/>
          <w:lang w:eastAsia="en-US"/>
        </w:rPr>
        <w:t>jeb</w:t>
      </w:r>
      <w:r w:rsidR="00C72427" w:rsidRPr="00B36A61">
        <w:rPr>
          <w:rFonts w:eastAsia="Calibri"/>
          <w:i/>
          <w:color w:val="17365D"/>
          <w:lang w:eastAsia="en-US"/>
        </w:rPr>
        <w:t xml:space="preserve"> </w:t>
      </w:r>
      <w:r w:rsidR="00C72427" w:rsidRPr="00B36A61">
        <w:rPr>
          <w:rFonts w:eastAsia="Calibri"/>
          <w:color w:val="17365D"/>
          <w:lang w:eastAsia="en-US"/>
        </w:rPr>
        <w:t>1</w:t>
      </w:r>
      <w:r w:rsidR="00C04123" w:rsidRPr="00B36A61">
        <w:rPr>
          <w:rFonts w:eastAsia="Calibri"/>
          <w:color w:val="17365D"/>
          <w:lang w:eastAsia="en-US"/>
        </w:rPr>
        <w:t>6</w:t>
      </w:r>
      <w:r w:rsidR="00C72427" w:rsidRPr="00B36A61">
        <w:rPr>
          <w:rFonts w:eastAsia="Calibri"/>
          <w:color w:val="17365D"/>
          <w:lang w:eastAsia="en-US"/>
        </w:rPr>
        <w:t>,</w:t>
      </w:r>
      <w:r w:rsidR="00C04123" w:rsidRPr="00B36A61">
        <w:rPr>
          <w:rFonts w:eastAsia="Calibri"/>
          <w:color w:val="17365D"/>
          <w:lang w:eastAsia="en-US"/>
        </w:rPr>
        <w:t>2</w:t>
      </w:r>
      <w:r w:rsidR="00C72427" w:rsidRPr="00B36A61">
        <w:rPr>
          <w:rFonts w:eastAsia="Calibri"/>
          <w:color w:val="17365D"/>
          <w:lang w:eastAsia="en-US"/>
        </w:rPr>
        <w:t> %</w:t>
      </w:r>
      <w:r w:rsidR="00C72427" w:rsidRPr="00B36A61">
        <w:rPr>
          <w:rFonts w:eastAsia="Calibri"/>
          <w:i/>
          <w:color w:val="17365D"/>
          <w:lang w:eastAsia="en-US"/>
        </w:rPr>
        <w:t xml:space="preserve"> </w:t>
      </w:r>
      <w:r w:rsidR="00CB4277" w:rsidRPr="00B36A61">
        <w:rPr>
          <w:rFonts w:eastAsia="Calibri"/>
          <w:color w:val="17365D"/>
          <w:lang w:eastAsia="en-US"/>
        </w:rPr>
        <w:t>no kopējiem izdevumiem</w:t>
      </w:r>
      <w:r w:rsidR="006B244A" w:rsidRPr="00B36A61">
        <w:rPr>
          <w:rFonts w:eastAsia="Calibri"/>
          <w:color w:val="17365D"/>
          <w:lang w:eastAsia="en-US"/>
        </w:rPr>
        <w:t>.</w:t>
      </w:r>
    </w:p>
    <w:p w14:paraId="589D11F1" w14:textId="07086DBB" w:rsidR="00430958" w:rsidRPr="00B36A61" w:rsidRDefault="00EA5E95" w:rsidP="00937369">
      <w:pPr>
        <w:spacing w:before="120"/>
        <w:rPr>
          <w:rFonts w:eastAsia="Calibri"/>
          <w:color w:val="17365D"/>
          <w:lang w:eastAsia="en-US"/>
        </w:rPr>
      </w:pPr>
      <w:r w:rsidRPr="00B36A61">
        <w:rPr>
          <w:rFonts w:eastAsia="Calibri"/>
          <w:color w:val="17365D"/>
          <w:lang w:eastAsia="en-US"/>
        </w:rPr>
        <w:t>20</w:t>
      </w:r>
      <w:r w:rsidR="006A2742" w:rsidRPr="00B36A61">
        <w:rPr>
          <w:rFonts w:eastAsia="Calibri"/>
          <w:color w:val="17365D"/>
          <w:lang w:eastAsia="en-US"/>
        </w:rPr>
        <w:t>2</w:t>
      </w:r>
      <w:r w:rsidR="00C04123" w:rsidRPr="00B36A61">
        <w:rPr>
          <w:rFonts w:eastAsia="Calibri"/>
          <w:color w:val="17365D"/>
          <w:lang w:eastAsia="en-US"/>
        </w:rPr>
        <w:t>2</w:t>
      </w:r>
      <w:r w:rsidRPr="00B36A61">
        <w:rPr>
          <w:rFonts w:eastAsia="Calibri"/>
          <w:color w:val="17365D"/>
          <w:lang w:eastAsia="en-US"/>
        </w:rPr>
        <w:t>.</w:t>
      </w:r>
      <w:r w:rsidR="00741420" w:rsidRPr="00B36A61">
        <w:rPr>
          <w:rFonts w:eastAsia="Calibri"/>
          <w:color w:val="17365D"/>
          <w:lang w:eastAsia="en-US"/>
        </w:rPr>
        <w:t> </w:t>
      </w:r>
      <w:r w:rsidRPr="00B36A61">
        <w:rPr>
          <w:rFonts w:eastAsia="Calibri"/>
          <w:color w:val="17365D"/>
          <w:lang w:eastAsia="en-US"/>
        </w:rPr>
        <w:t>gadā valsts pamatbudžeta izdevumos atbilstoši funkcionālajām kategorijām, salīdzinot ar 20</w:t>
      </w:r>
      <w:r w:rsidR="00654E48" w:rsidRPr="00B36A61">
        <w:rPr>
          <w:rFonts w:eastAsia="Calibri"/>
          <w:color w:val="17365D"/>
          <w:lang w:eastAsia="en-US"/>
        </w:rPr>
        <w:t>2</w:t>
      </w:r>
      <w:r w:rsidR="00C04123" w:rsidRPr="00B36A61">
        <w:rPr>
          <w:rFonts w:eastAsia="Calibri"/>
          <w:color w:val="17365D"/>
          <w:lang w:eastAsia="en-US"/>
        </w:rPr>
        <w:t>1</w:t>
      </w:r>
      <w:r w:rsidRPr="00B36A61">
        <w:rPr>
          <w:rFonts w:eastAsia="Calibri"/>
          <w:color w:val="17365D"/>
          <w:lang w:eastAsia="en-US"/>
        </w:rPr>
        <w:t>.</w:t>
      </w:r>
      <w:r w:rsidR="00741420" w:rsidRPr="00B36A61">
        <w:rPr>
          <w:rFonts w:eastAsia="Calibri"/>
          <w:color w:val="17365D"/>
          <w:lang w:eastAsia="en-US"/>
        </w:rPr>
        <w:t> </w:t>
      </w:r>
      <w:r w:rsidRPr="00B36A61">
        <w:rPr>
          <w:rFonts w:eastAsia="Calibri"/>
          <w:color w:val="17365D"/>
          <w:lang w:eastAsia="en-US"/>
        </w:rPr>
        <w:t>gadu</w:t>
      </w:r>
      <w:r w:rsidR="00C32A13" w:rsidRPr="00B36A61">
        <w:rPr>
          <w:rFonts w:eastAsia="Calibri"/>
          <w:color w:val="17365D"/>
          <w:lang w:eastAsia="en-US"/>
        </w:rPr>
        <w:t>,</w:t>
      </w:r>
      <w:r w:rsidRPr="00B36A61">
        <w:rPr>
          <w:rFonts w:eastAsia="Calibri"/>
          <w:color w:val="17365D"/>
          <w:lang w:eastAsia="en-US"/>
        </w:rPr>
        <w:t xml:space="preserve"> lielākais pieaugums ir </w:t>
      </w:r>
      <w:r w:rsidR="004E1E0B" w:rsidRPr="00B36A61">
        <w:rPr>
          <w:rFonts w:eastAsia="Calibri"/>
          <w:color w:val="17365D"/>
          <w:lang w:eastAsia="en-US"/>
        </w:rPr>
        <w:t xml:space="preserve">funkcijai </w:t>
      </w:r>
      <w:r w:rsidR="00F536B5" w:rsidRPr="00B36A61">
        <w:rPr>
          <w:rFonts w:eastAsia="Calibri"/>
          <w:color w:val="17365D"/>
          <w:lang w:eastAsia="en-US"/>
        </w:rPr>
        <w:t>–</w:t>
      </w:r>
      <w:r w:rsidR="004E1E0B" w:rsidRPr="00B36A61">
        <w:rPr>
          <w:rFonts w:eastAsia="Calibri"/>
          <w:color w:val="17365D"/>
          <w:lang w:eastAsia="en-US"/>
        </w:rPr>
        <w:t xml:space="preserve"> </w:t>
      </w:r>
      <w:r w:rsidR="00C04123" w:rsidRPr="00B36A61">
        <w:rPr>
          <w:rFonts w:eastAsia="Calibri"/>
          <w:color w:val="17365D"/>
          <w:lang w:eastAsia="en-US"/>
        </w:rPr>
        <w:t>ekonomisk</w:t>
      </w:r>
      <w:r w:rsidR="00147FC5" w:rsidRPr="00B36A61">
        <w:rPr>
          <w:rFonts w:eastAsia="Calibri"/>
          <w:color w:val="17365D"/>
          <w:lang w:eastAsia="en-US"/>
        </w:rPr>
        <w:t>ā</w:t>
      </w:r>
      <w:r w:rsidR="00C04123" w:rsidRPr="00B36A61">
        <w:rPr>
          <w:rFonts w:eastAsia="Calibri"/>
          <w:color w:val="17365D"/>
          <w:lang w:eastAsia="en-US"/>
        </w:rPr>
        <w:t xml:space="preserve"> darbība</w:t>
      </w:r>
      <w:r w:rsidR="00654E48" w:rsidRPr="00B36A61">
        <w:rPr>
          <w:rFonts w:eastAsia="Calibri"/>
          <w:color w:val="17365D"/>
          <w:lang w:eastAsia="en-US"/>
        </w:rPr>
        <w:t xml:space="preserve"> </w:t>
      </w:r>
      <w:r w:rsidR="00C04123" w:rsidRPr="00B36A61">
        <w:rPr>
          <w:rFonts w:eastAsia="Calibri"/>
          <w:color w:val="17365D"/>
          <w:lang w:eastAsia="en-US"/>
        </w:rPr>
        <w:t>985</w:t>
      </w:r>
      <w:r w:rsidR="00EE45D9" w:rsidRPr="00B36A61">
        <w:rPr>
          <w:rFonts w:eastAsia="Calibri"/>
          <w:color w:val="17365D"/>
          <w:lang w:eastAsia="en-US"/>
        </w:rPr>
        <w:t>,</w:t>
      </w:r>
      <w:r w:rsidR="00C04123" w:rsidRPr="00B36A61">
        <w:rPr>
          <w:rFonts w:eastAsia="Calibri"/>
          <w:color w:val="17365D"/>
          <w:lang w:eastAsia="en-US"/>
        </w:rPr>
        <w:t>9</w:t>
      </w:r>
      <w:r w:rsidR="00EE45D9" w:rsidRPr="00B36A61">
        <w:rPr>
          <w:rFonts w:eastAsia="Calibri"/>
          <w:color w:val="17365D"/>
          <w:lang w:eastAsia="en-US"/>
        </w:rPr>
        <w:t> milj. </w:t>
      </w:r>
      <w:r w:rsidR="00EE45D9" w:rsidRPr="00B36A61">
        <w:rPr>
          <w:rFonts w:eastAsia="Calibri"/>
          <w:i/>
          <w:color w:val="17365D"/>
          <w:lang w:eastAsia="en-US"/>
        </w:rPr>
        <w:t>euro</w:t>
      </w:r>
      <w:r w:rsidR="00EE45D9" w:rsidRPr="00B36A61">
        <w:rPr>
          <w:rFonts w:eastAsia="Calibri"/>
          <w:color w:val="17365D"/>
          <w:lang w:eastAsia="en-US"/>
        </w:rPr>
        <w:t xml:space="preserve"> jeb </w:t>
      </w:r>
      <w:r w:rsidR="00C04123" w:rsidRPr="00B36A61">
        <w:rPr>
          <w:rFonts w:eastAsia="Calibri"/>
          <w:color w:val="17365D"/>
          <w:lang w:eastAsia="en-US"/>
        </w:rPr>
        <w:t>67,6</w:t>
      </w:r>
      <w:r w:rsidR="00EE45D9" w:rsidRPr="00B36A61">
        <w:rPr>
          <w:rFonts w:eastAsia="Calibri"/>
          <w:color w:val="17365D"/>
          <w:lang w:eastAsia="en-US"/>
        </w:rPr>
        <w:t> %, kas saistīts</w:t>
      </w:r>
      <w:r w:rsidR="00EE45D9" w:rsidRPr="00B36A61">
        <w:rPr>
          <w:color w:val="17365D"/>
        </w:rPr>
        <w:t xml:space="preserve"> </w:t>
      </w:r>
      <w:r w:rsidR="00EE45D9" w:rsidRPr="00B36A61">
        <w:rPr>
          <w:rFonts w:eastAsia="Calibri"/>
          <w:color w:val="17365D"/>
          <w:lang w:eastAsia="en-US"/>
        </w:rPr>
        <w:t xml:space="preserve">ar </w:t>
      </w:r>
      <w:r w:rsidR="00151D04" w:rsidRPr="00B36A61">
        <w:rPr>
          <w:rFonts w:eastAsia="Calibri"/>
          <w:color w:val="17365D"/>
          <w:lang w:eastAsia="en-US"/>
        </w:rPr>
        <w:t>papildu finansējuma piešķiršanu</w:t>
      </w:r>
      <w:r w:rsidR="008B1CD6" w:rsidRPr="00B36A61">
        <w:rPr>
          <w:rFonts w:eastAsia="Calibri"/>
          <w:color w:val="17365D"/>
          <w:lang w:eastAsia="en-US"/>
        </w:rPr>
        <w:t xml:space="preserve"> </w:t>
      </w:r>
      <w:r w:rsidR="00C04123" w:rsidRPr="00B36A61">
        <w:rPr>
          <w:rFonts w:eastAsia="Calibri"/>
          <w:iCs/>
          <w:color w:val="17365D"/>
          <w:lang w:eastAsia="en-US"/>
        </w:rPr>
        <w:t xml:space="preserve">valsts atbalstam </w:t>
      </w:r>
      <w:r w:rsidR="00DD4CB8" w:rsidRPr="00B36A61">
        <w:rPr>
          <w:rFonts w:eastAsia="Calibri"/>
          <w:iCs/>
          <w:color w:val="17365D"/>
          <w:lang w:eastAsia="en-US"/>
        </w:rPr>
        <w:t xml:space="preserve">saistībā ar </w:t>
      </w:r>
      <w:r w:rsidR="00C04123" w:rsidRPr="00B36A61">
        <w:rPr>
          <w:rFonts w:eastAsia="Calibri"/>
          <w:iCs/>
          <w:color w:val="17365D"/>
          <w:lang w:eastAsia="en-US"/>
        </w:rPr>
        <w:t>energoresursu cenu pieaugum</w:t>
      </w:r>
      <w:r w:rsidR="00DD4CB8" w:rsidRPr="00B36A61">
        <w:rPr>
          <w:rFonts w:eastAsia="Calibri"/>
          <w:iCs/>
          <w:color w:val="17365D"/>
          <w:lang w:eastAsia="en-US"/>
        </w:rPr>
        <w:t>u</w:t>
      </w:r>
      <w:r w:rsidR="00C04123" w:rsidRPr="00B36A61">
        <w:rPr>
          <w:rFonts w:eastAsia="Calibri"/>
          <w:iCs/>
          <w:color w:val="17365D"/>
          <w:lang w:eastAsia="en-US"/>
        </w:rPr>
        <w:t>, k</w:t>
      </w:r>
      <w:r w:rsidR="00147FC5" w:rsidRPr="00B36A61">
        <w:rPr>
          <w:rFonts w:eastAsia="Calibri"/>
          <w:iCs/>
          <w:color w:val="17365D"/>
          <w:lang w:eastAsia="en-US"/>
        </w:rPr>
        <w:t>ā</w:t>
      </w:r>
      <w:r w:rsidR="00C04123" w:rsidRPr="00B36A61">
        <w:rPr>
          <w:rFonts w:eastAsia="Calibri"/>
          <w:iCs/>
          <w:color w:val="17365D"/>
          <w:lang w:eastAsia="en-US"/>
        </w:rPr>
        <w:t xml:space="preserve"> arī </w:t>
      </w:r>
      <w:r w:rsidR="00147FC5" w:rsidRPr="00B36A61">
        <w:rPr>
          <w:rFonts w:eastAsia="Calibri"/>
          <w:iCs/>
          <w:color w:val="17365D"/>
          <w:lang w:eastAsia="en-US"/>
        </w:rPr>
        <w:t xml:space="preserve">ar </w:t>
      </w:r>
      <w:r w:rsidR="00DD4CB8" w:rsidRPr="00B36A61">
        <w:rPr>
          <w:rFonts w:eastAsia="Calibri"/>
          <w:iCs/>
          <w:color w:val="17365D"/>
          <w:lang w:eastAsia="en-US"/>
        </w:rPr>
        <w:t>valsts naftas produktu drošības rezervju nodrošināšanu</w:t>
      </w:r>
      <w:r w:rsidR="00C04123" w:rsidRPr="00B36A61">
        <w:rPr>
          <w:rFonts w:eastAsia="Calibri"/>
          <w:iCs/>
          <w:color w:val="17365D"/>
          <w:lang w:eastAsia="en-US"/>
        </w:rPr>
        <w:t xml:space="preserve"> </w:t>
      </w:r>
      <w:r w:rsidR="00DE5FB2" w:rsidRPr="00B36A61">
        <w:rPr>
          <w:rFonts w:eastAsia="Calibri"/>
          <w:iCs/>
          <w:color w:val="17365D"/>
          <w:lang w:eastAsia="en-US"/>
        </w:rPr>
        <w:t>un</w:t>
      </w:r>
      <w:r w:rsidR="00C04123" w:rsidRPr="00B36A61">
        <w:rPr>
          <w:rFonts w:eastAsia="Calibri"/>
          <w:color w:val="17365D"/>
          <w:lang w:eastAsia="en-US"/>
        </w:rPr>
        <w:t xml:space="preserve"> papildu finansējuma piešķiršanu valsts autoceļu uzturēšanai un atjaunošanai</w:t>
      </w:r>
      <w:r w:rsidR="00654E48" w:rsidRPr="00B36A61">
        <w:rPr>
          <w:rFonts w:eastAsia="Calibri"/>
          <w:color w:val="17365D"/>
          <w:lang w:eastAsia="en-US"/>
        </w:rPr>
        <w:t>.</w:t>
      </w:r>
    </w:p>
    <w:p w14:paraId="0ADF7B03" w14:textId="6D234BCE" w:rsidR="00AF5E31" w:rsidRPr="00B36A61" w:rsidRDefault="004D00FB" w:rsidP="007B232C">
      <w:pPr>
        <w:spacing w:before="120" w:after="0"/>
        <w:ind w:firstLine="0"/>
        <w:jc w:val="center"/>
        <w:rPr>
          <w:color w:val="17365D"/>
        </w:rPr>
      </w:pPr>
      <w:r w:rsidRPr="00B36A61">
        <w:rPr>
          <w:noProof/>
          <w:color w:val="17365D"/>
        </w:rPr>
        <w:drawing>
          <wp:inline distT="0" distB="0" distL="0" distR="0" wp14:anchorId="7E201F4F" wp14:editId="2B80067A">
            <wp:extent cx="5898515" cy="3848100"/>
            <wp:effectExtent l="0" t="0" r="698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06A1308" w14:textId="273FC1DA" w:rsidR="008A1D5C" w:rsidRDefault="00833DED" w:rsidP="00F3115F">
      <w:pPr>
        <w:pStyle w:val="Attlanosaukums"/>
        <w:rPr>
          <w:noProof w:val="0"/>
          <w:color w:val="17365D"/>
          <w:sz w:val="20"/>
        </w:rPr>
      </w:pPr>
      <w:r w:rsidRPr="00B36A61">
        <w:rPr>
          <w:noProof w:val="0"/>
          <w:color w:val="17365D"/>
          <w:sz w:val="20"/>
        </w:rPr>
        <w:t>4</w:t>
      </w:r>
      <w:r w:rsidR="008A1D5C" w:rsidRPr="00B36A61">
        <w:rPr>
          <w:noProof w:val="0"/>
          <w:color w:val="17365D"/>
          <w:sz w:val="20"/>
        </w:rPr>
        <w:t>.</w:t>
      </w:r>
      <w:r w:rsidR="00F94350" w:rsidRPr="00B36A61">
        <w:rPr>
          <w:noProof w:val="0"/>
          <w:color w:val="17365D"/>
          <w:sz w:val="20"/>
        </w:rPr>
        <w:t> </w:t>
      </w:r>
      <w:r w:rsidR="008A1D5C" w:rsidRPr="00B36A61">
        <w:rPr>
          <w:noProof w:val="0"/>
          <w:color w:val="17365D"/>
          <w:sz w:val="20"/>
        </w:rPr>
        <w:t xml:space="preserve">attēls. Valsts pamatbudžeta izdevumi atbilstoši funkcionālajām kategorijām </w:t>
      </w:r>
      <w:r w:rsidR="008F2503" w:rsidRPr="00B36A61">
        <w:rPr>
          <w:noProof w:val="0"/>
          <w:color w:val="17365D"/>
          <w:sz w:val="20"/>
        </w:rPr>
        <w:t>20</w:t>
      </w:r>
      <w:r w:rsidR="00034F0E" w:rsidRPr="00B36A61">
        <w:rPr>
          <w:noProof w:val="0"/>
          <w:color w:val="17365D"/>
          <w:sz w:val="20"/>
        </w:rPr>
        <w:t>2</w:t>
      </w:r>
      <w:r w:rsidR="00C04123" w:rsidRPr="00B36A61">
        <w:rPr>
          <w:noProof w:val="0"/>
          <w:color w:val="17365D"/>
          <w:sz w:val="20"/>
        </w:rPr>
        <w:t>1</w:t>
      </w:r>
      <w:r w:rsidR="008F2503" w:rsidRPr="00B36A61">
        <w:rPr>
          <w:noProof w:val="0"/>
          <w:color w:val="17365D"/>
          <w:sz w:val="20"/>
        </w:rPr>
        <w:t>. gad</w:t>
      </w:r>
      <w:r w:rsidR="008A1D5C" w:rsidRPr="00B36A61">
        <w:rPr>
          <w:noProof w:val="0"/>
          <w:color w:val="17365D"/>
          <w:sz w:val="20"/>
        </w:rPr>
        <w:t xml:space="preserve">ā un </w:t>
      </w:r>
      <w:r w:rsidR="008F2503" w:rsidRPr="00B36A61">
        <w:rPr>
          <w:noProof w:val="0"/>
          <w:color w:val="17365D"/>
          <w:sz w:val="20"/>
        </w:rPr>
        <w:t>20</w:t>
      </w:r>
      <w:r w:rsidR="00F47A90" w:rsidRPr="00B36A61">
        <w:rPr>
          <w:noProof w:val="0"/>
          <w:color w:val="17365D"/>
          <w:sz w:val="20"/>
        </w:rPr>
        <w:t>2</w:t>
      </w:r>
      <w:r w:rsidR="00C04123" w:rsidRPr="00B36A61">
        <w:rPr>
          <w:noProof w:val="0"/>
          <w:color w:val="17365D"/>
          <w:sz w:val="20"/>
        </w:rPr>
        <w:t>2</w:t>
      </w:r>
      <w:r w:rsidR="008F2503" w:rsidRPr="00B36A61">
        <w:rPr>
          <w:noProof w:val="0"/>
          <w:color w:val="17365D"/>
          <w:sz w:val="20"/>
        </w:rPr>
        <w:t>. gad</w:t>
      </w:r>
      <w:r w:rsidR="008A1D5C" w:rsidRPr="00B36A61">
        <w:rPr>
          <w:noProof w:val="0"/>
          <w:color w:val="17365D"/>
          <w:sz w:val="20"/>
        </w:rPr>
        <w:t xml:space="preserve">ā </w:t>
      </w:r>
      <w:r w:rsidR="0035773A" w:rsidRPr="00B36A61">
        <w:rPr>
          <w:noProof w:val="0"/>
          <w:color w:val="17365D"/>
          <w:sz w:val="20"/>
        </w:rPr>
        <w:t>(milj.</w:t>
      </w:r>
      <w:r w:rsidR="007B232C" w:rsidRPr="00B36A61">
        <w:rPr>
          <w:noProof w:val="0"/>
          <w:color w:val="17365D"/>
          <w:sz w:val="20"/>
        </w:rPr>
        <w:t> </w:t>
      </w:r>
      <w:r w:rsidR="00EF7B9A" w:rsidRPr="00B36A61">
        <w:rPr>
          <w:noProof w:val="0"/>
          <w:color w:val="17365D"/>
          <w:sz w:val="20"/>
        </w:rPr>
        <w:t>euro</w:t>
      </w:r>
      <w:r w:rsidR="0035773A" w:rsidRPr="00B36A61">
        <w:rPr>
          <w:noProof w:val="0"/>
          <w:color w:val="17365D"/>
          <w:sz w:val="20"/>
        </w:rPr>
        <w:t>)</w:t>
      </w:r>
    </w:p>
    <w:p w14:paraId="113C5701" w14:textId="77777777" w:rsidR="00F5680C" w:rsidRPr="00B36A61" w:rsidRDefault="00F5680C" w:rsidP="00F5680C">
      <w:pPr>
        <w:spacing w:before="120"/>
        <w:rPr>
          <w:rFonts w:eastAsia="Calibri"/>
          <w:color w:val="17365D"/>
          <w:lang w:eastAsia="en-US"/>
        </w:rPr>
      </w:pPr>
      <w:r w:rsidRPr="00B36A61">
        <w:rPr>
          <w:rFonts w:eastAsia="Calibri"/>
          <w:color w:val="17365D"/>
          <w:lang w:eastAsia="en-US"/>
        </w:rPr>
        <w:t>Aizsardzības funkcijai izdevumu pieaugums ir 140,2 milj. </w:t>
      </w:r>
      <w:r w:rsidRPr="00B36A61">
        <w:rPr>
          <w:rFonts w:eastAsia="Calibri"/>
          <w:i/>
          <w:color w:val="17365D"/>
          <w:lang w:eastAsia="en-US"/>
        </w:rPr>
        <w:t>euro</w:t>
      </w:r>
      <w:r w:rsidRPr="00B36A61">
        <w:rPr>
          <w:rFonts w:eastAsia="Calibri"/>
          <w:color w:val="17365D"/>
          <w:lang w:eastAsia="en-US"/>
        </w:rPr>
        <w:t xml:space="preserve"> jeb 19,2%  kas saistīts ar papildu finansējuma piešķiršanu valsts aizsardzības spēju un iekšējās drošības stiprināšanas pasākumu īstenošanai saistībā ar plaša mēroga Krievijas militāro agresiju pret Ukrainu un pieaugošiem ģeopolitiskiem riskiem.</w:t>
      </w:r>
    </w:p>
    <w:p w14:paraId="64BE692E" w14:textId="77777777" w:rsidR="005123EA" w:rsidRPr="00B36A61" w:rsidRDefault="005123EA" w:rsidP="005123EA">
      <w:pPr>
        <w:spacing w:before="120"/>
        <w:rPr>
          <w:rFonts w:eastAsia="Calibri"/>
          <w:color w:val="17365D"/>
          <w:lang w:eastAsia="en-US"/>
        </w:rPr>
      </w:pPr>
      <w:r w:rsidRPr="00B36A61">
        <w:rPr>
          <w:rFonts w:eastAsia="Calibri"/>
          <w:color w:val="17365D"/>
          <w:lang w:eastAsia="en-US"/>
        </w:rPr>
        <w:t xml:space="preserve">Izdevumu pieaugums izglītības funkcijai ir 89,4 milj. </w:t>
      </w:r>
      <w:r w:rsidRPr="00B36A61">
        <w:rPr>
          <w:rFonts w:eastAsia="Calibri"/>
          <w:i/>
          <w:color w:val="17365D"/>
          <w:lang w:eastAsia="en-US"/>
        </w:rPr>
        <w:t>euro</w:t>
      </w:r>
      <w:r w:rsidRPr="00B36A61">
        <w:rPr>
          <w:rFonts w:eastAsia="Calibri"/>
          <w:color w:val="17365D"/>
          <w:lang w:eastAsia="en-US"/>
        </w:rPr>
        <w:t xml:space="preserve"> jeb 10,3 %, kas saistīts ar papildu finansējuma piešķiršanu, lai nodrošinātu pedagogu zemākās mēnešalgas likmes palielinājumu un piemaksas izglītības iestāžu darbiniekiem par epidemioloģisko nosacījumu, loģistikas un darba organizācijas procesa nodrošināšanu izglītības iestādēs Covid-19 pandēmijas laikā.</w:t>
      </w:r>
    </w:p>
    <w:p w14:paraId="77D5F7C7" w14:textId="77777777" w:rsidR="005123EA" w:rsidRPr="00B36A61" w:rsidRDefault="005123EA" w:rsidP="005123EA">
      <w:pPr>
        <w:spacing w:before="120"/>
        <w:rPr>
          <w:rFonts w:eastAsia="Calibri"/>
          <w:color w:val="17365D"/>
          <w:lang w:eastAsia="en-US"/>
        </w:rPr>
      </w:pPr>
      <w:r w:rsidRPr="00B36A61">
        <w:rPr>
          <w:rFonts w:eastAsia="Calibri"/>
          <w:color w:val="17365D"/>
          <w:lang w:eastAsia="en-US"/>
        </w:rPr>
        <w:t xml:space="preserve"> Savukārt izdevumu samazinājums bija funkcijai “Vispārējie valdības dienesti” 651,2  milj. </w:t>
      </w:r>
      <w:r w:rsidRPr="00B36A61">
        <w:rPr>
          <w:rFonts w:eastAsia="Calibri"/>
          <w:i/>
          <w:color w:val="17365D"/>
          <w:lang w:eastAsia="en-US"/>
        </w:rPr>
        <w:t>euro</w:t>
      </w:r>
      <w:r w:rsidRPr="00B36A61">
        <w:rPr>
          <w:rFonts w:eastAsia="Calibri"/>
          <w:color w:val="17365D"/>
          <w:lang w:eastAsia="en-US"/>
        </w:rPr>
        <w:t xml:space="preserve"> jeb 28,4 %, izdevumu samazinājums par iepriekšējā pārskata periodā sniegto </w:t>
      </w:r>
      <w:r w:rsidRPr="00B36A61">
        <w:rPr>
          <w:rFonts w:eastAsia="Calibri"/>
          <w:bCs/>
          <w:color w:val="17365D"/>
          <w:lang w:eastAsia="en-US"/>
        </w:rPr>
        <w:t>atbalstu     Covid</w:t>
      </w:r>
      <w:r w:rsidRPr="00B36A61">
        <w:rPr>
          <w:rFonts w:eastAsia="Calibri"/>
          <w:color w:val="17365D"/>
          <w:lang w:eastAsia="en-US"/>
        </w:rPr>
        <w:t xml:space="preserve">-19 krīzes pārvarēšanai </w:t>
      </w:r>
      <w:r w:rsidRPr="00B36A61">
        <w:rPr>
          <w:color w:val="17365D"/>
        </w:rPr>
        <w:t>(skatīt 4. attēlu).</w:t>
      </w:r>
    </w:p>
    <w:p w14:paraId="53FC9033" w14:textId="77777777" w:rsidR="005123EA" w:rsidRPr="005123EA" w:rsidRDefault="005123EA" w:rsidP="005123EA">
      <w:pPr>
        <w:pStyle w:val="Pamatteksts"/>
      </w:pPr>
    </w:p>
    <w:p w14:paraId="15FE70AA" w14:textId="2CEA89FF" w:rsidR="00332959" w:rsidRPr="00B36A61" w:rsidRDefault="00332959" w:rsidP="001C4BD9">
      <w:pPr>
        <w:pStyle w:val="Heading1"/>
        <w:spacing w:before="120"/>
        <w:rPr>
          <w:rFonts w:cs="Times New Roman"/>
          <w:noProof w:val="0"/>
          <w:color w:val="17365D"/>
        </w:rPr>
      </w:pPr>
      <w:r w:rsidRPr="00B36A61">
        <w:rPr>
          <w:rFonts w:cs="Times New Roman"/>
          <w:noProof w:val="0"/>
          <w:color w:val="17365D"/>
        </w:rPr>
        <w:t xml:space="preserve">Valsts </w:t>
      </w:r>
      <w:r w:rsidR="00B556DF" w:rsidRPr="00B36A61">
        <w:rPr>
          <w:rFonts w:cs="Times New Roman"/>
          <w:noProof w:val="0"/>
          <w:color w:val="17365D"/>
        </w:rPr>
        <w:t xml:space="preserve">konsolidētais </w:t>
      </w:r>
      <w:r w:rsidRPr="00B36A61">
        <w:rPr>
          <w:rFonts w:cs="Times New Roman"/>
          <w:noProof w:val="0"/>
          <w:color w:val="17365D"/>
        </w:rPr>
        <w:t>speciālais budžets</w:t>
      </w:r>
    </w:p>
    <w:p w14:paraId="76BA2856" w14:textId="7F68D0FC" w:rsidR="0064022F" w:rsidRPr="00B36A61" w:rsidRDefault="00E46A76" w:rsidP="009C6221">
      <w:pPr>
        <w:pStyle w:val="Pamatteksts"/>
        <w:rPr>
          <w:noProof w:val="0"/>
          <w:color w:val="17365D"/>
        </w:rPr>
      </w:pPr>
      <w:r w:rsidRPr="00B36A61">
        <w:rPr>
          <w:noProof w:val="0"/>
          <w:color w:val="17365D"/>
        </w:rPr>
        <w:t>Valsts s</w:t>
      </w:r>
      <w:r w:rsidR="00143FCE" w:rsidRPr="00B36A61">
        <w:rPr>
          <w:noProof w:val="0"/>
          <w:color w:val="17365D"/>
        </w:rPr>
        <w:t>peciālais budžets ir valsts sociālajai apdrošināšanai paredzēta valsts budžeta daļa, valsts sociālās politikas veido</w:t>
      </w:r>
      <w:r w:rsidR="00D267F1" w:rsidRPr="00B36A61">
        <w:rPr>
          <w:noProof w:val="0"/>
          <w:color w:val="17365D"/>
        </w:rPr>
        <w:t>šana</w:t>
      </w:r>
      <w:r w:rsidR="00147FC5" w:rsidRPr="00B36A61">
        <w:rPr>
          <w:noProof w:val="0"/>
          <w:color w:val="17365D"/>
        </w:rPr>
        <w:t>i</w:t>
      </w:r>
      <w:r w:rsidR="00143FCE" w:rsidRPr="00B36A61">
        <w:rPr>
          <w:noProof w:val="0"/>
          <w:color w:val="17365D"/>
        </w:rPr>
        <w:t xml:space="preserve"> apdrošināšanas un valsts sociālo pabalstu jomā</w:t>
      </w:r>
      <w:r w:rsidR="00147FC5" w:rsidRPr="00B36A61">
        <w:rPr>
          <w:noProof w:val="0"/>
          <w:color w:val="17365D"/>
        </w:rPr>
        <w:t>, kuru īsteno Labklājības ministrija</w:t>
      </w:r>
      <w:r w:rsidR="00143FCE" w:rsidRPr="00B36A61">
        <w:rPr>
          <w:noProof w:val="0"/>
          <w:color w:val="17365D"/>
        </w:rPr>
        <w:t xml:space="preserve"> </w:t>
      </w:r>
      <w:r w:rsidR="008547BC" w:rsidRPr="00B36A61">
        <w:rPr>
          <w:noProof w:val="0"/>
          <w:color w:val="17365D"/>
        </w:rPr>
        <w:t xml:space="preserve">Valsts speciālais budžets </w:t>
      </w:r>
      <w:r w:rsidR="006B3199" w:rsidRPr="00B36A61">
        <w:rPr>
          <w:noProof w:val="0"/>
          <w:color w:val="17365D"/>
        </w:rPr>
        <w:t xml:space="preserve">īsteno </w:t>
      </w:r>
      <w:r w:rsidR="008547BC" w:rsidRPr="00B36A61">
        <w:rPr>
          <w:noProof w:val="0"/>
          <w:color w:val="17365D"/>
        </w:rPr>
        <w:t>piecas apakšprogrammas</w:t>
      </w:r>
      <w:r w:rsidR="00B26141" w:rsidRPr="00B36A61">
        <w:rPr>
          <w:noProof w:val="0"/>
          <w:color w:val="17365D"/>
        </w:rPr>
        <w:t>.</w:t>
      </w:r>
      <w:r w:rsidR="00143FCE" w:rsidRPr="00B36A61">
        <w:rPr>
          <w:noProof w:val="0"/>
          <w:color w:val="17365D"/>
        </w:rPr>
        <w:t xml:space="preserve"> </w:t>
      </w:r>
      <w:r w:rsidR="00867BAA" w:rsidRPr="00B36A61">
        <w:rPr>
          <w:noProof w:val="0"/>
          <w:color w:val="17365D"/>
        </w:rPr>
        <w:t>Detalizēta informācija skatāma 20</w:t>
      </w:r>
      <w:r w:rsidR="00916477" w:rsidRPr="00B36A61">
        <w:rPr>
          <w:noProof w:val="0"/>
          <w:color w:val="17365D"/>
        </w:rPr>
        <w:t>2</w:t>
      </w:r>
      <w:r w:rsidR="00463FFC" w:rsidRPr="00B36A61">
        <w:rPr>
          <w:noProof w:val="0"/>
          <w:color w:val="17365D"/>
        </w:rPr>
        <w:t>2</w:t>
      </w:r>
      <w:r w:rsidR="00867BAA" w:rsidRPr="00B36A61">
        <w:rPr>
          <w:noProof w:val="0"/>
          <w:color w:val="17365D"/>
        </w:rPr>
        <w:t xml:space="preserve">. gada pārskata </w:t>
      </w:r>
      <w:r w:rsidR="004079A0" w:rsidRPr="00B36A61">
        <w:rPr>
          <w:noProof w:val="0"/>
          <w:color w:val="17365D"/>
        </w:rPr>
        <w:t>3.1.5</w:t>
      </w:r>
      <w:r w:rsidR="00867BAA" w:rsidRPr="00B36A61">
        <w:rPr>
          <w:noProof w:val="0"/>
          <w:color w:val="17365D"/>
        </w:rPr>
        <w:t>.</w:t>
      </w:r>
      <w:r w:rsidR="00867B13" w:rsidRPr="00B36A61">
        <w:rPr>
          <w:noProof w:val="0"/>
          <w:color w:val="17365D"/>
        </w:rPr>
        <w:t> </w:t>
      </w:r>
      <w:r w:rsidR="00867BAA" w:rsidRPr="00B36A61">
        <w:rPr>
          <w:noProof w:val="0"/>
          <w:color w:val="17365D"/>
        </w:rPr>
        <w:t xml:space="preserve">pielikumā </w:t>
      </w:r>
      <w:r w:rsidR="00345D0C" w:rsidRPr="00B36A61">
        <w:rPr>
          <w:noProof w:val="0"/>
          <w:color w:val="17365D"/>
        </w:rPr>
        <w:t>“</w:t>
      </w:r>
      <w:r w:rsidR="004079A0" w:rsidRPr="00B36A61">
        <w:rPr>
          <w:noProof w:val="0"/>
          <w:color w:val="17365D"/>
        </w:rPr>
        <w:t>Likuma par valsts budžetu 5.pielikuma “Valsts speciālā budžeta ieņēmumi un izdevumi pa programmām un apakšprogrammām”</w:t>
      </w:r>
      <w:r w:rsidR="00B26141" w:rsidRPr="00B36A61">
        <w:rPr>
          <w:noProof w:val="0"/>
          <w:color w:val="17365D"/>
        </w:rPr>
        <w:t>”</w:t>
      </w:r>
      <w:r w:rsidR="0064022F" w:rsidRPr="00B36A61">
        <w:rPr>
          <w:noProof w:val="0"/>
          <w:color w:val="17365D"/>
        </w:rPr>
        <w:t>.</w:t>
      </w:r>
    </w:p>
    <w:p w14:paraId="4D670631" w14:textId="31C8BFEC" w:rsidR="006E4FDD" w:rsidRDefault="0064022F" w:rsidP="0075754C">
      <w:pPr>
        <w:pStyle w:val="Pamatteksts"/>
        <w:rPr>
          <w:noProof w:val="0"/>
          <w:color w:val="17365D"/>
        </w:rPr>
      </w:pPr>
      <w:r w:rsidRPr="00B36A61">
        <w:rPr>
          <w:b/>
          <w:color w:val="17365D"/>
        </w:rPr>
        <mc:AlternateContent>
          <mc:Choice Requires="wps">
            <w:drawing>
              <wp:anchor distT="0" distB="0" distL="114300" distR="114300" simplePos="0" relativeHeight="251662848" behindDoc="1" locked="0" layoutInCell="1" allowOverlap="1" wp14:anchorId="40FB1FAC" wp14:editId="7B8BD0D6">
                <wp:simplePos x="0" y="0"/>
                <wp:positionH relativeFrom="column">
                  <wp:posOffset>4262755</wp:posOffset>
                </wp:positionH>
                <wp:positionV relativeFrom="paragraph">
                  <wp:posOffset>69850</wp:posOffset>
                </wp:positionV>
                <wp:extent cx="1680845" cy="942975"/>
                <wp:effectExtent l="0" t="0" r="14605" b="28575"/>
                <wp:wrapThrough wrapText="bothSides">
                  <wp:wrapPolygon edited="0">
                    <wp:start x="0" y="0"/>
                    <wp:lineTo x="0" y="21818"/>
                    <wp:lineTo x="21543" y="21818"/>
                    <wp:lineTo x="21543" y="0"/>
                    <wp:lineTo x="0" y="0"/>
                  </wp:wrapPolygon>
                </wp:wrapThrough>
                <wp:docPr id="6" name="Rectangle 6"/>
                <wp:cNvGraphicFramePr/>
                <a:graphic xmlns:a="http://schemas.openxmlformats.org/drawingml/2006/main">
                  <a:graphicData uri="http://schemas.microsoft.com/office/word/2010/wordprocessingShape">
                    <wps:wsp>
                      <wps:cNvSpPr/>
                      <wps:spPr>
                        <a:xfrm>
                          <a:off x="0" y="0"/>
                          <a:ext cx="1680845" cy="942975"/>
                        </a:xfrm>
                        <a:prstGeom prst="rect">
                          <a:avLst/>
                        </a:prstGeom>
                        <a:solidFill>
                          <a:sysClr val="window" lastClr="FFFFFF"/>
                        </a:solidFill>
                        <a:ln w="25400" cap="flat" cmpd="sng" algn="ctr">
                          <a:solidFill>
                            <a:srgbClr val="17365D"/>
                          </a:solidFill>
                          <a:prstDash val="sysDot"/>
                        </a:ln>
                        <a:effectLst/>
                      </wps:spPr>
                      <wps:txbx>
                        <w:txbxContent>
                          <w:p w14:paraId="56C858F6" w14:textId="1685C54E" w:rsidR="00B36A61" w:rsidRPr="00FA3852" w:rsidRDefault="00B36A61" w:rsidP="007178D7">
                            <w:pPr>
                              <w:ind w:firstLine="0"/>
                              <w:jc w:val="center"/>
                              <w:rPr>
                                <w:color w:val="17365D"/>
                              </w:rPr>
                            </w:pPr>
                            <w:r w:rsidRPr="00FA3852">
                              <w:rPr>
                                <w:color w:val="17365D"/>
                              </w:rPr>
                              <w:t>Valsts speciālā budžeta ieņēmumi</w:t>
                            </w:r>
                            <w:r w:rsidRPr="00FA3852">
                              <w:rPr>
                                <w:rFonts w:eastAsiaTheme="minorHAnsi"/>
                                <w:color w:val="17365D"/>
                                <w:lang w:eastAsia="en-US"/>
                              </w:rPr>
                              <w:t xml:space="preserve"> </w:t>
                            </w:r>
                            <w:r w:rsidRPr="00FA3852">
                              <w:rPr>
                                <w:color w:val="17365D"/>
                              </w:rPr>
                              <w:t>–</w:t>
                            </w:r>
                          </w:p>
                          <w:p w14:paraId="5F09B918" w14:textId="7C55E2C2" w:rsidR="00B36A61" w:rsidRPr="00FA3852" w:rsidRDefault="00B36A61" w:rsidP="007178D7">
                            <w:pPr>
                              <w:ind w:firstLine="0"/>
                              <w:jc w:val="center"/>
                              <w:rPr>
                                <w:color w:val="17365D"/>
                              </w:rPr>
                            </w:pPr>
                            <w:r w:rsidRPr="00FA114F">
                              <w:rPr>
                                <w:b/>
                                <w:color w:val="17365D"/>
                              </w:rPr>
                              <w:t>3</w:t>
                            </w:r>
                            <w:r>
                              <w:rPr>
                                <w:b/>
                                <w:color w:val="17365D"/>
                              </w:rPr>
                              <w:t xml:space="preserve"> </w:t>
                            </w:r>
                            <w:r w:rsidRPr="00FA114F">
                              <w:rPr>
                                <w:b/>
                                <w:color w:val="17365D"/>
                              </w:rPr>
                              <w:t>933</w:t>
                            </w:r>
                            <w:r>
                              <w:rPr>
                                <w:b/>
                                <w:color w:val="17365D"/>
                              </w:rPr>
                              <w:t xml:space="preserve"> </w:t>
                            </w:r>
                            <w:r w:rsidRPr="00FA114F">
                              <w:rPr>
                                <w:b/>
                                <w:color w:val="17365D"/>
                              </w:rPr>
                              <w:t>156</w:t>
                            </w:r>
                            <w:r>
                              <w:rPr>
                                <w:b/>
                                <w:color w:val="17365D"/>
                              </w:rPr>
                              <w:t> </w:t>
                            </w:r>
                            <w:r w:rsidRPr="00FA114F">
                              <w:rPr>
                                <w:b/>
                                <w:color w:val="17365D"/>
                              </w:rPr>
                              <w:t>719</w:t>
                            </w:r>
                            <w:r>
                              <w:rPr>
                                <w:b/>
                                <w:color w:val="17365D"/>
                              </w:rPr>
                              <w:t xml:space="preserve"> </w:t>
                            </w:r>
                            <w:r w:rsidRPr="00FA3852">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B1FAC" id="Rectangle 6" o:spid="_x0000_s1030" style="position:absolute;left:0;text-align:left;margin-left:335.65pt;margin-top:5.5pt;width:132.35pt;height:74.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" fillcolor="window" strokecolor="#17365d" strokeweight="2pt">
                <v:stroke dashstyle="1 1"/>
                <v:textbox>
                  <w:txbxContent>
                    <w:p w14:paraId="56C858F6" w14:textId="1685C54E" w:rsidR="00B36A61" w:rsidRPr="00FA3852" w:rsidRDefault="00B36A61" w:rsidP="007178D7">
                      <w:pPr>
                        <w:ind w:firstLine="0"/>
                        <w:jc w:val="center"/>
                        <w:rPr>
                          <w:color w:val="17365D"/>
                        </w:rPr>
                      </w:pPr>
                      <w:r w:rsidRPr="00FA3852">
                        <w:rPr>
                          <w:color w:val="17365D"/>
                        </w:rPr>
                        <w:t>Valsts speciālā budžeta ieņēmumi</w:t>
                      </w:r>
                      <w:r w:rsidRPr="00FA3852">
                        <w:rPr>
                          <w:rFonts w:eastAsiaTheme="minorHAnsi"/>
                          <w:color w:val="17365D"/>
                          <w:lang w:eastAsia="en-US"/>
                        </w:rPr>
                        <w:t xml:space="preserve"> </w:t>
                      </w:r>
                      <w:r w:rsidRPr="00FA3852">
                        <w:rPr>
                          <w:color w:val="17365D"/>
                        </w:rPr>
                        <w:t>–</w:t>
                      </w:r>
                    </w:p>
                    <w:p w14:paraId="5F09B918" w14:textId="7C55E2C2" w:rsidR="00B36A61" w:rsidRPr="00FA3852" w:rsidRDefault="00B36A61" w:rsidP="007178D7">
                      <w:pPr>
                        <w:ind w:firstLine="0"/>
                        <w:jc w:val="center"/>
                        <w:rPr>
                          <w:color w:val="17365D"/>
                        </w:rPr>
                      </w:pPr>
                      <w:r w:rsidRPr="00FA114F">
                        <w:rPr>
                          <w:b/>
                          <w:color w:val="17365D"/>
                        </w:rPr>
                        <w:t>3</w:t>
                      </w:r>
                      <w:r>
                        <w:rPr>
                          <w:b/>
                          <w:color w:val="17365D"/>
                        </w:rPr>
                        <w:t xml:space="preserve"> </w:t>
                      </w:r>
                      <w:r w:rsidRPr="00FA114F">
                        <w:rPr>
                          <w:b/>
                          <w:color w:val="17365D"/>
                        </w:rPr>
                        <w:t>933</w:t>
                      </w:r>
                      <w:r>
                        <w:rPr>
                          <w:b/>
                          <w:color w:val="17365D"/>
                        </w:rPr>
                        <w:t xml:space="preserve"> </w:t>
                      </w:r>
                      <w:r w:rsidRPr="00FA114F">
                        <w:rPr>
                          <w:b/>
                          <w:color w:val="17365D"/>
                        </w:rPr>
                        <w:t>156</w:t>
                      </w:r>
                      <w:r>
                        <w:rPr>
                          <w:b/>
                          <w:color w:val="17365D"/>
                        </w:rPr>
                        <w:t> </w:t>
                      </w:r>
                      <w:r w:rsidRPr="00FA114F">
                        <w:rPr>
                          <w:b/>
                          <w:color w:val="17365D"/>
                        </w:rPr>
                        <w:t>719</w:t>
                      </w:r>
                      <w:r>
                        <w:rPr>
                          <w:b/>
                          <w:color w:val="17365D"/>
                        </w:rPr>
                        <w:t xml:space="preserve"> </w:t>
                      </w:r>
                      <w:r w:rsidRPr="00FA3852">
                        <w:rPr>
                          <w:i/>
                          <w:color w:val="17365D"/>
                        </w:rPr>
                        <w:t>euro</w:t>
                      </w:r>
                    </w:p>
                  </w:txbxContent>
                </v:textbox>
                <w10:wrap type="through"/>
              </v:rect>
            </w:pict>
          </mc:Fallback>
        </mc:AlternateContent>
      </w:r>
      <w:r w:rsidR="00143FCE" w:rsidRPr="00B36A61">
        <w:rPr>
          <w:noProof w:val="0"/>
          <w:color w:val="17365D"/>
          <w:u w:val="single"/>
        </w:rPr>
        <w:t>Speciālā budžeta ieņēmumi</w:t>
      </w:r>
      <w:r w:rsidR="00143FCE" w:rsidRPr="00B36A61">
        <w:rPr>
          <w:noProof w:val="0"/>
          <w:color w:val="17365D"/>
        </w:rPr>
        <w:t xml:space="preserve"> 20</w:t>
      </w:r>
      <w:r w:rsidR="00916477" w:rsidRPr="00B36A61">
        <w:rPr>
          <w:noProof w:val="0"/>
          <w:color w:val="17365D"/>
        </w:rPr>
        <w:t>2</w:t>
      </w:r>
      <w:r w:rsidR="00FA114F" w:rsidRPr="00B36A61">
        <w:rPr>
          <w:noProof w:val="0"/>
          <w:color w:val="17365D"/>
        </w:rPr>
        <w:t>2</w:t>
      </w:r>
      <w:r w:rsidR="00143FCE" w:rsidRPr="00B36A61">
        <w:rPr>
          <w:noProof w:val="0"/>
          <w:color w:val="17365D"/>
        </w:rPr>
        <w:t>. gadā ir 3 </w:t>
      </w:r>
      <w:r w:rsidR="00FA114F" w:rsidRPr="00B36A61">
        <w:rPr>
          <w:noProof w:val="0"/>
          <w:color w:val="17365D"/>
        </w:rPr>
        <w:t>933</w:t>
      </w:r>
      <w:r w:rsidR="00143FCE" w:rsidRPr="00B36A61">
        <w:rPr>
          <w:noProof w:val="0"/>
          <w:color w:val="17365D"/>
        </w:rPr>
        <w:t>,</w:t>
      </w:r>
      <w:r w:rsidR="009F3590" w:rsidRPr="00B36A61">
        <w:rPr>
          <w:noProof w:val="0"/>
          <w:color w:val="17365D"/>
        </w:rPr>
        <w:t>1</w:t>
      </w:r>
      <w:r w:rsidR="00143FCE" w:rsidRPr="00B36A61">
        <w:rPr>
          <w:noProof w:val="0"/>
          <w:color w:val="17365D"/>
        </w:rPr>
        <w:t> milj. </w:t>
      </w:r>
      <w:r w:rsidR="00143FCE" w:rsidRPr="00B36A61">
        <w:rPr>
          <w:i/>
          <w:noProof w:val="0"/>
          <w:color w:val="17365D"/>
        </w:rPr>
        <w:t>euro</w:t>
      </w:r>
      <w:r w:rsidR="00143FCE" w:rsidRPr="00B36A61">
        <w:rPr>
          <w:noProof w:val="0"/>
          <w:color w:val="17365D"/>
        </w:rPr>
        <w:t xml:space="preserve">, </w:t>
      </w:r>
      <w:r w:rsidR="00B07BC5" w:rsidRPr="00B36A61">
        <w:rPr>
          <w:noProof w:val="0"/>
          <w:color w:val="17365D"/>
        </w:rPr>
        <w:t xml:space="preserve">vērtībā </w:t>
      </w:r>
      <w:r w:rsidR="006E4FDD" w:rsidRPr="00B36A61">
        <w:rPr>
          <w:noProof w:val="0"/>
          <w:color w:val="17365D"/>
        </w:rPr>
        <w:t>s</w:t>
      </w:r>
      <w:r w:rsidR="008A1D5C" w:rsidRPr="00B36A61">
        <w:rPr>
          <w:noProof w:val="0"/>
          <w:color w:val="17365D"/>
        </w:rPr>
        <w:t xml:space="preserve">alīdzinot ar </w:t>
      </w:r>
      <w:r w:rsidR="008F2503" w:rsidRPr="00B36A61">
        <w:rPr>
          <w:noProof w:val="0"/>
          <w:color w:val="17365D"/>
        </w:rPr>
        <w:t>20</w:t>
      </w:r>
      <w:r w:rsidR="009F3590" w:rsidRPr="00B36A61">
        <w:rPr>
          <w:noProof w:val="0"/>
          <w:color w:val="17365D"/>
        </w:rPr>
        <w:t>2</w:t>
      </w:r>
      <w:r w:rsidR="00FA114F" w:rsidRPr="00B36A61">
        <w:rPr>
          <w:noProof w:val="0"/>
          <w:color w:val="17365D"/>
        </w:rPr>
        <w:t>1</w:t>
      </w:r>
      <w:r w:rsidR="008F2503" w:rsidRPr="00B36A61">
        <w:rPr>
          <w:noProof w:val="0"/>
          <w:color w:val="17365D"/>
        </w:rPr>
        <w:t>. </w:t>
      </w:r>
      <w:r w:rsidR="00345D0C" w:rsidRPr="00B36A61">
        <w:rPr>
          <w:noProof w:val="0"/>
          <w:color w:val="17365D"/>
        </w:rPr>
        <w:t>g</w:t>
      </w:r>
      <w:r w:rsidR="008F2503" w:rsidRPr="00B36A61">
        <w:rPr>
          <w:noProof w:val="0"/>
          <w:color w:val="17365D"/>
        </w:rPr>
        <w:t>ad</w:t>
      </w:r>
      <w:r w:rsidR="00E8594C" w:rsidRPr="00B36A61">
        <w:rPr>
          <w:noProof w:val="0"/>
          <w:color w:val="17365D"/>
        </w:rPr>
        <w:t>u</w:t>
      </w:r>
      <w:r w:rsidR="00345D0C" w:rsidRPr="00B36A61">
        <w:rPr>
          <w:noProof w:val="0"/>
          <w:color w:val="17365D"/>
        </w:rPr>
        <w:t>,</w:t>
      </w:r>
      <w:r w:rsidR="008A1D5C" w:rsidRPr="00B36A61">
        <w:rPr>
          <w:noProof w:val="0"/>
          <w:color w:val="17365D"/>
        </w:rPr>
        <w:t xml:space="preserve"> ieņēmumi ir palielinājušies par </w:t>
      </w:r>
      <w:r w:rsidR="00FA114F" w:rsidRPr="00B36A61">
        <w:rPr>
          <w:noProof w:val="0"/>
          <w:color w:val="17365D"/>
        </w:rPr>
        <w:t>523</w:t>
      </w:r>
      <w:r w:rsidR="008A1D5C" w:rsidRPr="00B36A61">
        <w:rPr>
          <w:noProof w:val="0"/>
          <w:color w:val="17365D"/>
        </w:rPr>
        <w:t>,</w:t>
      </w:r>
      <w:r w:rsidR="00FA114F" w:rsidRPr="00B36A61">
        <w:rPr>
          <w:noProof w:val="0"/>
          <w:color w:val="17365D"/>
        </w:rPr>
        <w:t>0</w:t>
      </w:r>
      <w:r w:rsidR="0020093D" w:rsidRPr="00B36A61">
        <w:rPr>
          <w:noProof w:val="0"/>
          <w:color w:val="17365D"/>
        </w:rPr>
        <w:t> </w:t>
      </w:r>
      <w:r w:rsidR="008A1D5C" w:rsidRPr="00B36A61">
        <w:rPr>
          <w:noProof w:val="0"/>
          <w:color w:val="17365D"/>
        </w:rPr>
        <w:t>milj</w:t>
      </w:r>
      <w:r w:rsidR="00B53A8C" w:rsidRPr="00B36A61">
        <w:rPr>
          <w:noProof w:val="0"/>
          <w:color w:val="17365D"/>
        </w:rPr>
        <w:t>. </w:t>
      </w:r>
      <w:r w:rsidR="00EF7B9A" w:rsidRPr="00B36A61">
        <w:rPr>
          <w:i/>
          <w:noProof w:val="0"/>
          <w:color w:val="17365D"/>
        </w:rPr>
        <w:t>euro</w:t>
      </w:r>
      <w:r w:rsidR="00B53A8C" w:rsidRPr="00B36A61">
        <w:rPr>
          <w:noProof w:val="0"/>
          <w:color w:val="17365D"/>
        </w:rPr>
        <w:t xml:space="preserve"> </w:t>
      </w:r>
      <w:r w:rsidR="008A1D5C" w:rsidRPr="00B36A61">
        <w:rPr>
          <w:noProof w:val="0"/>
          <w:color w:val="17365D"/>
        </w:rPr>
        <w:t xml:space="preserve">jeb </w:t>
      </w:r>
      <w:r w:rsidR="00FA114F" w:rsidRPr="00B36A61">
        <w:rPr>
          <w:noProof w:val="0"/>
          <w:color w:val="17365D"/>
        </w:rPr>
        <w:t>15</w:t>
      </w:r>
      <w:r w:rsidR="008A1D5C" w:rsidRPr="00B36A61">
        <w:rPr>
          <w:noProof w:val="0"/>
          <w:color w:val="17365D"/>
        </w:rPr>
        <w:t>,</w:t>
      </w:r>
      <w:r w:rsidR="00FA114F" w:rsidRPr="00B36A61">
        <w:rPr>
          <w:noProof w:val="0"/>
          <w:color w:val="17365D"/>
        </w:rPr>
        <w:t>3</w:t>
      </w:r>
      <w:r w:rsidR="006A7956" w:rsidRPr="00B36A61">
        <w:rPr>
          <w:noProof w:val="0"/>
          <w:color w:val="17365D"/>
        </w:rPr>
        <w:t> %</w:t>
      </w:r>
      <w:r w:rsidR="00612EF5" w:rsidRPr="00B36A61">
        <w:rPr>
          <w:noProof w:val="0"/>
          <w:color w:val="17365D"/>
        </w:rPr>
        <w:t xml:space="preserve"> (skatīt </w:t>
      </w:r>
      <w:r w:rsidR="00026D5A" w:rsidRPr="00B36A61">
        <w:rPr>
          <w:noProof w:val="0"/>
          <w:color w:val="17365D"/>
        </w:rPr>
        <w:t>4</w:t>
      </w:r>
      <w:r w:rsidR="00612EF5" w:rsidRPr="00B36A61">
        <w:rPr>
          <w:noProof w:val="0"/>
          <w:color w:val="17365D"/>
        </w:rPr>
        <w:t>. tabulu).</w:t>
      </w:r>
      <w:r w:rsidR="00E46A76" w:rsidRPr="00B36A61">
        <w:rPr>
          <w:noProof w:val="0"/>
          <w:color w:val="17365D"/>
        </w:rPr>
        <w:t xml:space="preserve"> </w:t>
      </w:r>
      <w:r w:rsidR="00612EF5" w:rsidRPr="00B36A61">
        <w:rPr>
          <w:noProof w:val="0"/>
          <w:color w:val="17365D"/>
        </w:rPr>
        <w:t>202</w:t>
      </w:r>
      <w:r w:rsidR="00FA114F" w:rsidRPr="00B36A61">
        <w:rPr>
          <w:noProof w:val="0"/>
          <w:color w:val="17365D"/>
        </w:rPr>
        <w:t>2</w:t>
      </w:r>
      <w:r w:rsidR="00612EF5" w:rsidRPr="00B36A61">
        <w:rPr>
          <w:noProof w:val="0"/>
          <w:color w:val="17365D"/>
        </w:rPr>
        <w:t xml:space="preserve">. gadā valsts speciālajā budžetā saņemti </w:t>
      </w:r>
      <w:r w:rsidR="009F3590" w:rsidRPr="00B36A61">
        <w:rPr>
          <w:noProof w:val="0"/>
          <w:color w:val="17365D"/>
        </w:rPr>
        <w:t>1</w:t>
      </w:r>
      <w:r w:rsidR="00FA114F" w:rsidRPr="00B36A61">
        <w:rPr>
          <w:noProof w:val="0"/>
          <w:color w:val="17365D"/>
        </w:rPr>
        <w:t>12</w:t>
      </w:r>
      <w:r w:rsidR="00612EF5" w:rsidRPr="00B36A61">
        <w:rPr>
          <w:noProof w:val="0"/>
          <w:color w:val="17365D"/>
        </w:rPr>
        <w:t>,</w:t>
      </w:r>
      <w:r w:rsidR="00FA114F" w:rsidRPr="00B36A61">
        <w:rPr>
          <w:noProof w:val="0"/>
          <w:color w:val="17365D"/>
        </w:rPr>
        <w:t>8</w:t>
      </w:r>
      <w:r w:rsidR="00072ABC" w:rsidRPr="00B36A61">
        <w:rPr>
          <w:noProof w:val="0"/>
          <w:color w:val="17365D"/>
        </w:rPr>
        <w:t> </w:t>
      </w:r>
      <w:r w:rsidR="00612EF5" w:rsidRPr="00B36A61">
        <w:rPr>
          <w:noProof w:val="0"/>
          <w:color w:val="17365D"/>
        </w:rPr>
        <w:t>% no Likumā plānotās gada ieņēmumu kopsummas.</w:t>
      </w:r>
      <w:r w:rsidR="00464B32" w:rsidRPr="00B36A61">
        <w:rPr>
          <w:noProof w:val="0"/>
          <w:color w:val="17365D"/>
        </w:rPr>
        <w:t xml:space="preserve"> </w:t>
      </w:r>
    </w:p>
    <w:p w14:paraId="7D7782F8" w14:textId="77777777" w:rsidR="00F5680C" w:rsidRPr="00B36A61" w:rsidRDefault="00F5680C" w:rsidP="0075754C">
      <w:pPr>
        <w:pStyle w:val="Pamatteksts"/>
        <w:rPr>
          <w:noProof w:val="0"/>
          <w:color w:val="17365D"/>
        </w:rPr>
      </w:pPr>
    </w:p>
    <w:p w14:paraId="3770D4FF" w14:textId="6239503E" w:rsidR="00E46CC0" w:rsidRPr="00B36A61" w:rsidRDefault="00026D5A" w:rsidP="00E46CC0">
      <w:pPr>
        <w:spacing w:before="160" w:after="0"/>
        <w:ind w:firstLine="0"/>
        <w:jc w:val="right"/>
        <w:rPr>
          <w:rFonts w:eastAsia="Arial Unicode MS"/>
          <w:i/>
          <w:color w:val="17365D"/>
          <w:sz w:val="20"/>
        </w:rPr>
      </w:pPr>
      <w:r w:rsidRPr="00B36A61">
        <w:rPr>
          <w:rFonts w:eastAsia="Arial Unicode MS"/>
          <w:i/>
          <w:color w:val="17365D"/>
          <w:sz w:val="20"/>
        </w:rPr>
        <w:t>4</w:t>
      </w:r>
      <w:r w:rsidR="00E46CC0" w:rsidRPr="00B36A61">
        <w:rPr>
          <w:rFonts w:eastAsia="Arial Unicode MS"/>
          <w:i/>
          <w:color w:val="17365D"/>
          <w:sz w:val="20"/>
        </w:rPr>
        <w:t xml:space="preserve">. tabula. </w:t>
      </w:r>
      <w:r w:rsidR="0064022F" w:rsidRPr="00B36A61">
        <w:rPr>
          <w:rFonts w:eastAsia="Arial Unicode MS"/>
          <w:i/>
          <w:color w:val="17365D"/>
          <w:sz w:val="20"/>
        </w:rPr>
        <w:t>Speciālā budžeta i</w:t>
      </w:r>
      <w:r w:rsidR="00E46CC0" w:rsidRPr="00B36A61">
        <w:rPr>
          <w:bCs/>
          <w:i/>
          <w:color w:val="17365D"/>
          <w:sz w:val="20"/>
          <w:szCs w:val="20"/>
        </w:rPr>
        <w:t>eņēmum</w:t>
      </w:r>
      <w:r w:rsidR="0064022F" w:rsidRPr="00B36A61">
        <w:rPr>
          <w:bCs/>
          <w:i/>
          <w:color w:val="17365D"/>
          <w:sz w:val="20"/>
          <w:szCs w:val="20"/>
        </w:rPr>
        <w:t>u</w:t>
      </w:r>
      <w:r w:rsidR="00E46CC0" w:rsidRPr="00B36A61">
        <w:rPr>
          <w:bCs/>
          <w:i/>
          <w:color w:val="17365D"/>
          <w:sz w:val="20"/>
          <w:szCs w:val="20"/>
        </w:rPr>
        <w:t xml:space="preserve"> </w:t>
      </w:r>
      <w:r w:rsidR="0064022F" w:rsidRPr="00B36A61">
        <w:rPr>
          <w:bCs/>
          <w:i/>
          <w:color w:val="17365D"/>
          <w:sz w:val="20"/>
          <w:szCs w:val="20"/>
        </w:rPr>
        <w:t>izmaiņas</w:t>
      </w:r>
      <w:r w:rsidR="00E46CC0" w:rsidRPr="00B36A61">
        <w:rPr>
          <w:bCs/>
          <w:i/>
          <w:color w:val="17365D"/>
          <w:sz w:val="20"/>
          <w:szCs w:val="20"/>
        </w:rPr>
        <w:t xml:space="preserve"> (</w:t>
      </w:r>
      <w:r w:rsidR="00E46CC0" w:rsidRPr="00B36A61">
        <w:rPr>
          <w:i/>
          <w:color w:val="17365D"/>
          <w:sz w:val="20"/>
        </w:rPr>
        <w:t>euro)</w:t>
      </w:r>
    </w:p>
    <w:tbl>
      <w:tblPr>
        <w:tblStyle w:val="TableGrid"/>
        <w:tblW w:w="9388" w:type="dxa"/>
        <w:tblInd w:w="-5" w:type="dxa"/>
        <w:tblLayout w:type="fixed"/>
        <w:tblLook w:val="04A0" w:firstRow="1" w:lastRow="0" w:firstColumn="1" w:lastColumn="0" w:noHBand="0" w:noVBand="1"/>
      </w:tblPr>
      <w:tblGrid>
        <w:gridCol w:w="906"/>
        <w:gridCol w:w="8"/>
        <w:gridCol w:w="2622"/>
        <w:gridCol w:w="1503"/>
        <w:gridCol w:w="1503"/>
        <w:gridCol w:w="1655"/>
        <w:gridCol w:w="1191"/>
      </w:tblGrid>
      <w:tr w:rsidR="00B36A61" w:rsidRPr="00B36A61" w14:paraId="0900EC7E" w14:textId="77777777" w:rsidTr="00F5680C">
        <w:trPr>
          <w:trHeight w:val="286"/>
          <w:tblHeader/>
        </w:trPr>
        <w:tc>
          <w:tcPr>
            <w:tcW w:w="906" w:type="dxa"/>
            <w:vMerge w:val="restart"/>
            <w:tcBorders>
              <w:top w:val="nil"/>
              <w:left w:val="nil"/>
              <w:right w:val="nil"/>
            </w:tcBorders>
            <w:shd w:val="clear" w:color="auto" w:fill="B9CDE5"/>
            <w:vAlign w:val="center"/>
          </w:tcPr>
          <w:p w14:paraId="7EA80F87" w14:textId="3A580B71" w:rsidR="00F2038B" w:rsidRPr="00B36A61" w:rsidRDefault="00F2038B" w:rsidP="000F7E81">
            <w:pPr>
              <w:pStyle w:val="Pamatteksts"/>
              <w:spacing w:before="60" w:after="60"/>
              <w:ind w:firstLine="0"/>
              <w:jc w:val="center"/>
              <w:rPr>
                <w:b/>
                <w:color w:val="17365D"/>
                <w:sz w:val="20"/>
                <w:szCs w:val="20"/>
              </w:rPr>
            </w:pPr>
            <w:r w:rsidRPr="00B36A61">
              <w:rPr>
                <w:b/>
                <w:color w:val="17365D"/>
                <w:sz w:val="20"/>
                <w:szCs w:val="20"/>
              </w:rPr>
              <w:t>Klasifi-kācijas kods</w:t>
            </w:r>
          </w:p>
        </w:tc>
        <w:tc>
          <w:tcPr>
            <w:tcW w:w="2630" w:type="dxa"/>
            <w:gridSpan w:val="2"/>
            <w:vMerge w:val="restart"/>
            <w:tcBorders>
              <w:top w:val="nil"/>
              <w:left w:val="nil"/>
              <w:right w:val="nil"/>
            </w:tcBorders>
            <w:shd w:val="clear" w:color="auto" w:fill="B9CDE5"/>
            <w:vAlign w:val="center"/>
          </w:tcPr>
          <w:p w14:paraId="1068A688" w14:textId="77777777" w:rsidR="00F2038B" w:rsidRPr="00B36A61" w:rsidRDefault="00F2038B" w:rsidP="000F7E81">
            <w:pPr>
              <w:pStyle w:val="Pamatteksts"/>
              <w:spacing w:before="60" w:after="60"/>
              <w:ind w:firstLine="0"/>
              <w:jc w:val="center"/>
              <w:rPr>
                <w:b/>
                <w:color w:val="17365D"/>
                <w:sz w:val="20"/>
                <w:szCs w:val="20"/>
              </w:rPr>
            </w:pPr>
            <w:r w:rsidRPr="00B36A61">
              <w:rPr>
                <w:b/>
                <w:color w:val="17365D"/>
                <w:sz w:val="20"/>
                <w:szCs w:val="20"/>
              </w:rPr>
              <w:t>Posteņa nosaukums</w:t>
            </w:r>
          </w:p>
        </w:tc>
        <w:tc>
          <w:tcPr>
            <w:tcW w:w="3006" w:type="dxa"/>
            <w:gridSpan w:val="2"/>
            <w:tcBorders>
              <w:top w:val="nil"/>
              <w:left w:val="nil"/>
              <w:bottom w:val="single" w:sz="4" w:space="0" w:color="17365D"/>
              <w:right w:val="nil"/>
            </w:tcBorders>
            <w:shd w:val="clear" w:color="auto" w:fill="B9CDE5"/>
            <w:vAlign w:val="center"/>
          </w:tcPr>
          <w:p w14:paraId="5E564499" w14:textId="77777777" w:rsidR="00F2038B" w:rsidRPr="00B36A61" w:rsidRDefault="00F2038B" w:rsidP="000F7E81">
            <w:pPr>
              <w:pStyle w:val="Pamatteksts"/>
              <w:spacing w:before="60" w:after="60"/>
              <w:ind w:firstLine="0"/>
              <w:jc w:val="center"/>
              <w:rPr>
                <w:b/>
                <w:color w:val="17365D"/>
                <w:sz w:val="20"/>
                <w:szCs w:val="20"/>
              </w:rPr>
            </w:pPr>
            <w:r w:rsidRPr="00B36A61">
              <w:rPr>
                <w:b/>
                <w:color w:val="17365D"/>
                <w:sz w:val="20"/>
                <w:szCs w:val="20"/>
              </w:rPr>
              <w:t>Budžeta izpilde</w:t>
            </w:r>
          </w:p>
        </w:tc>
        <w:tc>
          <w:tcPr>
            <w:tcW w:w="1655" w:type="dxa"/>
            <w:vMerge w:val="restart"/>
            <w:tcBorders>
              <w:top w:val="nil"/>
              <w:left w:val="nil"/>
              <w:right w:val="nil"/>
            </w:tcBorders>
            <w:shd w:val="clear" w:color="auto" w:fill="B9CDE5"/>
            <w:vAlign w:val="center"/>
          </w:tcPr>
          <w:p w14:paraId="2E9295F2" w14:textId="6554BF9C" w:rsidR="00F2038B" w:rsidRPr="00B36A61" w:rsidRDefault="00F2038B" w:rsidP="00B538AD">
            <w:pPr>
              <w:pStyle w:val="Pamatteksts"/>
              <w:spacing w:before="60" w:after="60"/>
              <w:ind w:left="-107" w:right="-105" w:firstLine="0"/>
              <w:jc w:val="center"/>
              <w:rPr>
                <w:b/>
                <w:color w:val="17365D"/>
                <w:sz w:val="20"/>
                <w:szCs w:val="20"/>
              </w:rPr>
            </w:pPr>
            <w:r w:rsidRPr="00B36A61">
              <w:rPr>
                <w:b/>
                <w:color w:val="17365D"/>
                <w:sz w:val="20"/>
                <w:szCs w:val="20"/>
              </w:rPr>
              <w:t>Palielinājums (+), samazinājums (–) (1</w:t>
            </w:r>
            <w:r w:rsidR="00E65C60" w:rsidRPr="00B36A61">
              <w:rPr>
                <w:b/>
                <w:color w:val="17365D"/>
                <w:sz w:val="20"/>
                <w:szCs w:val="20"/>
              </w:rPr>
              <w:t>.</w:t>
            </w:r>
            <w:r w:rsidRPr="00B36A61">
              <w:rPr>
                <w:b/>
                <w:color w:val="17365D"/>
                <w:sz w:val="20"/>
                <w:szCs w:val="20"/>
              </w:rPr>
              <w:t>– 2</w:t>
            </w:r>
            <w:r w:rsidR="00E65C60" w:rsidRPr="00B36A61">
              <w:rPr>
                <w:b/>
                <w:color w:val="17365D"/>
                <w:sz w:val="20"/>
                <w:szCs w:val="20"/>
              </w:rPr>
              <w:t>.</w:t>
            </w:r>
            <w:r w:rsidRPr="00B36A61">
              <w:rPr>
                <w:b/>
                <w:color w:val="17365D"/>
                <w:sz w:val="20"/>
                <w:szCs w:val="20"/>
              </w:rPr>
              <w:t>)</w:t>
            </w:r>
          </w:p>
        </w:tc>
        <w:tc>
          <w:tcPr>
            <w:tcW w:w="1191" w:type="dxa"/>
            <w:vMerge w:val="restart"/>
            <w:tcBorders>
              <w:top w:val="nil"/>
              <w:left w:val="nil"/>
              <w:right w:val="nil"/>
            </w:tcBorders>
            <w:shd w:val="clear" w:color="auto" w:fill="B9CDE5"/>
            <w:vAlign w:val="center"/>
          </w:tcPr>
          <w:p w14:paraId="488F4220" w14:textId="77777777" w:rsidR="00F2038B" w:rsidRPr="00B36A61" w:rsidRDefault="00F2038B" w:rsidP="000F7E81">
            <w:pPr>
              <w:pStyle w:val="Pamatteksts"/>
              <w:spacing w:before="60" w:after="60"/>
              <w:ind w:firstLine="0"/>
              <w:jc w:val="center"/>
              <w:rPr>
                <w:b/>
                <w:color w:val="17365D"/>
                <w:sz w:val="20"/>
                <w:szCs w:val="20"/>
              </w:rPr>
            </w:pPr>
            <w:r w:rsidRPr="00B36A61">
              <w:rPr>
                <w:b/>
                <w:color w:val="17365D"/>
                <w:sz w:val="20"/>
                <w:szCs w:val="20"/>
              </w:rPr>
              <w:t>Procentuālās izmaiņas</w:t>
            </w:r>
          </w:p>
          <w:p w14:paraId="3AE89DF7" w14:textId="1C9D172D" w:rsidR="00F2038B" w:rsidRPr="00B36A61" w:rsidRDefault="00F2038B" w:rsidP="000911ED">
            <w:pPr>
              <w:pStyle w:val="Pamatteksts"/>
              <w:spacing w:before="60" w:after="60"/>
              <w:ind w:firstLine="0"/>
              <w:jc w:val="center"/>
              <w:rPr>
                <w:b/>
                <w:color w:val="17365D"/>
                <w:sz w:val="20"/>
                <w:szCs w:val="20"/>
              </w:rPr>
            </w:pPr>
            <w:r w:rsidRPr="00B36A61">
              <w:rPr>
                <w:b/>
                <w:color w:val="17365D"/>
                <w:sz w:val="20"/>
                <w:szCs w:val="20"/>
              </w:rPr>
              <w:t>(</w:t>
            </w:r>
            <w:r w:rsidR="000911ED" w:rsidRPr="00B36A61">
              <w:rPr>
                <w:b/>
                <w:color w:val="17365D"/>
                <w:sz w:val="20"/>
                <w:szCs w:val="20"/>
              </w:rPr>
              <w:t>3</w:t>
            </w:r>
            <w:r w:rsidR="00E65C60" w:rsidRPr="00B36A61">
              <w:rPr>
                <w:b/>
                <w:color w:val="17365D"/>
                <w:sz w:val="20"/>
                <w:szCs w:val="20"/>
              </w:rPr>
              <w:t>.</w:t>
            </w:r>
            <w:r w:rsidRPr="00B36A61">
              <w:rPr>
                <w:b/>
                <w:color w:val="17365D"/>
                <w:sz w:val="20"/>
                <w:szCs w:val="20"/>
              </w:rPr>
              <w:t>/2</w:t>
            </w:r>
            <w:r w:rsidR="00E65C60" w:rsidRPr="00B36A61">
              <w:rPr>
                <w:b/>
                <w:color w:val="17365D"/>
                <w:sz w:val="20"/>
                <w:szCs w:val="20"/>
              </w:rPr>
              <w:t>.</w:t>
            </w:r>
            <w:r w:rsidRPr="00B36A61">
              <w:rPr>
                <w:b/>
                <w:color w:val="17365D"/>
                <w:sz w:val="20"/>
                <w:szCs w:val="20"/>
              </w:rPr>
              <w:t xml:space="preserve"> x 100)</w:t>
            </w:r>
          </w:p>
        </w:tc>
      </w:tr>
      <w:tr w:rsidR="00B36A61" w:rsidRPr="00B36A61" w14:paraId="3BBC6052" w14:textId="77777777" w:rsidTr="00F5680C">
        <w:trPr>
          <w:trHeight w:val="286"/>
          <w:tblHeader/>
        </w:trPr>
        <w:tc>
          <w:tcPr>
            <w:tcW w:w="906" w:type="dxa"/>
            <w:vMerge/>
            <w:tcBorders>
              <w:left w:val="nil"/>
              <w:bottom w:val="nil"/>
              <w:right w:val="nil"/>
            </w:tcBorders>
          </w:tcPr>
          <w:p w14:paraId="037D5680" w14:textId="77777777" w:rsidR="00F2038B" w:rsidRPr="00B36A61" w:rsidRDefault="00F2038B" w:rsidP="0064022F">
            <w:pPr>
              <w:pStyle w:val="Pamatteksts"/>
              <w:spacing w:after="0"/>
              <w:ind w:firstLine="0"/>
              <w:rPr>
                <w:color w:val="17365D"/>
                <w:sz w:val="20"/>
                <w:szCs w:val="20"/>
              </w:rPr>
            </w:pPr>
          </w:p>
        </w:tc>
        <w:tc>
          <w:tcPr>
            <w:tcW w:w="2630" w:type="dxa"/>
            <w:gridSpan w:val="2"/>
            <w:vMerge/>
            <w:tcBorders>
              <w:left w:val="nil"/>
              <w:bottom w:val="nil"/>
              <w:right w:val="nil"/>
            </w:tcBorders>
          </w:tcPr>
          <w:p w14:paraId="7A6C0CDE" w14:textId="77777777" w:rsidR="00F2038B" w:rsidRPr="00B36A61" w:rsidRDefault="00F2038B" w:rsidP="0064022F">
            <w:pPr>
              <w:pStyle w:val="Pamatteksts"/>
              <w:spacing w:after="0"/>
              <w:ind w:firstLine="0"/>
              <w:rPr>
                <w:color w:val="17365D"/>
                <w:sz w:val="20"/>
                <w:szCs w:val="20"/>
              </w:rPr>
            </w:pPr>
          </w:p>
        </w:tc>
        <w:tc>
          <w:tcPr>
            <w:tcW w:w="1503" w:type="dxa"/>
            <w:tcBorders>
              <w:top w:val="single" w:sz="4" w:space="0" w:color="17365D"/>
              <w:left w:val="nil"/>
              <w:bottom w:val="nil"/>
              <w:right w:val="nil"/>
            </w:tcBorders>
            <w:shd w:val="clear" w:color="auto" w:fill="B9CDE5"/>
            <w:vAlign w:val="center"/>
          </w:tcPr>
          <w:p w14:paraId="7D5227A5" w14:textId="77777777" w:rsidR="00F2038B" w:rsidRPr="00B36A61" w:rsidRDefault="00F2038B" w:rsidP="000F7E81">
            <w:pPr>
              <w:spacing w:before="60" w:after="60"/>
              <w:ind w:firstLine="0"/>
              <w:jc w:val="center"/>
              <w:rPr>
                <w:b/>
                <w:noProof/>
                <w:color w:val="17365D"/>
                <w:sz w:val="20"/>
                <w:szCs w:val="20"/>
              </w:rPr>
            </w:pPr>
            <w:r w:rsidRPr="00B36A61">
              <w:rPr>
                <w:b/>
                <w:noProof/>
                <w:color w:val="17365D"/>
                <w:sz w:val="20"/>
                <w:szCs w:val="20"/>
              </w:rPr>
              <w:t>pārskata periodā</w:t>
            </w:r>
          </w:p>
        </w:tc>
        <w:tc>
          <w:tcPr>
            <w:tcW w:w="1503" w:type="dxa"/>
            <w:tcBorders>
              <w:top w:val="single" w:sz="4" w:space="0" w:color="17365D"/>
              <w:left w:val="nil"/>
              <w:bottom w:val="nil"/>
              <w:right w:val="nil"/>
            </w:tcBorders>
            <w:shd w:val="clear" w:color="auto" w:fill="B9CDE5"/>
            <w:vAlign w:val="center"/>
          </w:tcPr>
          <w:p w14:paraId="53C7E298" w14:textId="77777777" w:rsidR="00F2038B" w:rsidRPr="00B36A61" w:rsidRDefault="00F2038B" w:rsidP="000F7E81">
            <w:pPr>
              <w:spacing w:before="60" w:after="60"/>
              <w:ind w:firstLine="0"/>
              <w:jc w:val="center"/>
              <w:rPr>
                <w:b/>
                <w:noProof/>
                <w:color w:val="17365D"/>
                <w:sz w:val="20"/>
                <w:szCs w:val="20"/>
              </w:rPr>
            </w:pPr>
            <w:r w:rsidRPr="00B36A61">
              <w:rPr>
                <w:b/>
                <w:color w:val="17365D"/>
                <w:sz w:val="20"/>
                <w:szCs w:val="20"/>
              </w:rPr>
              <w:t>iepriekšējā pārskata periodā</w:t>
            </w:r>
          </w:p>
        </w:tc>
        <w:tc>
          <w:tcPr>
            <w:tcW w:w="1655" w:type="dxa"/>
            <w:vMerge/>
            <w:tcBorders>
              <w:left w:val="nil"/>
              <w:bottom w:val="nil"/>
              <w:right w:val="nil"/>
            </w:tcBorders>
          </w:tcPr>
          <w:p w14:paraId="364CD296" w14:textId="77777777" w:rsidR="00F2038B" w:rsidRPr="00B36A61" w:rsidRDefault="00F2038B" w:rsidP="0064022F">
            <w:pPr>
              <w:spacing w:after="0"/>
              <w:ind w:firstLine="0"/>
              <w:rPr>
                <w:color w:val="17365D"/>
                <w:sz w:val="20"/>
                <w:szCs w:val="20"/>
              </w:rPr>
            </w:pPr>
          </w:p>
        </w:tc>
        <w:tc>
          <w:tcPr>
            <w:tcW w:w="1191" w:type="dxa"/>
            <w:vMerge/>
            <w:tcBorders>
              <w:left w:val="nil"/>
              <w:bottom w:val="nil"/>
              <w:right w:val="nil"/>
            </w:tcBorders>
          </w:tcPr>
          <w:p w14:paraId="3C379783" w14:textId="77777777" w:rsidR="00F2038B" w:rsidRPr="00B36A61" w:rsidRDefault="00F2038B" w:rsidP="0064022F">
            <w:pPr>
              <w:spacing w:after="0"/>
              <w:ind w:firstLine="0"/>
              <w:rPr>
                <w:color w:val="17365D"/>
                <w:sz w:val="20"/>
                <w:szCs w:val="20"/>
              </w:rPr>
            </w:pPr>
          </w:p>
        </w:tc>
      </w:tr>
      <w:tr w:rsidR="00B36A61" w:rsidRPr="00B36A61" w14:paraId="25D45170" w14:textId="77777777" w:rsidTr="00F5680C">
        <w:trPr>
          <w:trHeight w:val="286"/>
          <w:tblHeader/>
        </w:trPr>
        <w:tc>
          <w:tcPr>
            <w:tcW w:w="906" w:type="dxa"/>
            <w:tcBorders>
              <w:top w:val="nil"/>
              <w:left w:val="nil"/>
              <w:bottom w:val="single" w:sz="4" w:space="0" w:color="17365D"/>
              <w:right w:val="nil"/>
            </w:tcBorders>
            <w:vAlign w:val="center"/>
          </w:tcPr>
          <w:p w14:paraId="44C7FA90" w14:textId="77777777" w:rsidR="00F2038B" w:rsidRPr="00B36A61" w:rsidRDefault="00F2038B" w:rsidP="000F7E81">
            <w:pPr>
              <w:pStyle w:val="Pamatteksts"/>
              <w:spacing w:before="40" w:after="40"/>
              <w:ind w:firstLine="0"/>
              <w:jc w:val="center"/>
              <w:rPr>
                <w:b/>
                <w:color w:val="17365D"/>
                <w:sz w:val="20"/>
                <w:szCs w:val="20"/>
              </w:rPr>
            </w:pPr>
            <w:r w:rsidRPr="00B36A61">
              <w:rPr>
                <w:b/>
                <w:color w:val="17365D"/>
                <w:sz w:val="20"/>
                <w:szCs w:val="20"/>
              </w:rPr>
              <w:t>A</w:t>
            </w:r>
          </w:p>
        </w:tc>
        <w:tc>
          <w:tcPr>
            <w:tcW w:w="2630" w:type="dxa"/>
            <w:gridSpan w:val="2"/>
            <w:tcBorders>
              <w:top w:val="nil"/>
              <w:left w:val="nil"/>
              <w:bottom w:val="single" w:sz="4" w:space="0" w:color="17365D"/>
              <w:right w:val="nil"/>
            </w:tcBorders>
            <w:vAlign w:val="center"/>
          </w:tcPr>
          <w:p w14:paraId="46E438CF" w14:textId="77777777" w:rsidR="00F2038B" w:rsidRPr="00B36A61" w:rsidRDefault="00F2038B" w:rsidP="000F7E81">
            <w:pPr>
              <w:pStyle w:val="Pamatteksts"/>
              <w:spacing w:before="40" w:after="40"/>
              <w:ind w:firstLine="0"/>
              <w:jc w:val="center"/>
              <w:rPr>
                <w:b/>
                <w:color w:val="17365D"/>
                <w:sz w:val="20"/>
                <w:szCs w:val="20"/>
              </w:rPr>
            </w:pPr>
            <w:r w:rsidRPr="00B36A61">
              <w:rPr>
                <w:b/>
                <w:color w:val="17365D"/>
                <w:sz w:val="20"/>
                <w:szCs w:val="20"/>
              </w:rPr>
              <w:t>B</w:t>
            </w:r>
          </w:p>
        </w:tc>
        <w:tc>
          <w:tcPr>
            <w:tcW w:w="1503" w:type="dxa"/>
            <w:tcBorders>
              <w:top w:val="nil"/>
              <w:left w:val="nil"/>
              <w:bottom w:val="single" w:sz="4" w:space="0" w:color="17365D"/>
              <w:right w:val="nil"/>
            </w:tcBorders>
            <w:vAlign w:val="center"/>
          </w:tcPr>
          <w:p w14:paraId="7BAF407D" w14:textId="625D2656" w:rsidR="00F2038B" w:rsidRPr="00B36A61" w:rsidRDefault="00F2038B" w:rsidP="000F7E81">
            <w:pPr>
              <w:pStyle w:val="Pamatteksts"/>
              <w:spacing w:before="40" w:after="40"/>
              <w:ind w:firstLine="0"/>
              <w:jc w:val="center"/>
              <w:rPr>
                <w:b/>
                <w:color w:val="17365D"/>
                <w:sz w:val="20"/>
                <w:szCs w:val="20"/>
              </w:rPr>
            </w:pPr>
            <w:r w:rsidRPr="00B36A61">
              <w:rPr>
                <w:b/>
                <w:color w:val="17365D"/>
                <w:sz w:val="20"/>
                <w:szCs w:val="20"/>
              </w:rPr>
              <w:t>1</w:t>
            </w:r>
          </w:p>
        </w:tc>
        <w:tc>
          <w:tcPr>
            <w:tcW w:w="1503" w:type="dxa"/>
            <w:tcBorders>
              <w:top w:val="nil"/>
              <w:left w:val="nil"/>
              <w:bottom w:val="single" w:sz="4" w:space="0" w:color="17365D"/>
              <w:right w:val="nil"/>
            </w:tcBorders>
            <w:vAlign w:val="center"/>
          </w:tcPr>
          <w:p w14:paraId="0D49ED88" w14:textId="32640D26" w:rsidR="00F2038B" w:rsidRPr="00B36A61" w:rsidRDefault="00F2038B" w:rsidP="000F7E81">
            <w:pPr>
              <w:pStyle w:val="Pamatteksts"/>
              <w:spacing w:before="40" w:after="40"/>
              <w:ind w:firstLine="0"/>
              <w:jc w:val="center"/>
              <w:rPr>
                <w:b/>
                <w:color w:val="17365D"/>
                <w:sz w:val="20"/>
                <w:szCs w:val="20"/>
              </w:rPr>
            </w:pPr>
            <w:r w:rsidRPr="00B36A61">
              <w:rPr>
                <w:b/>
                <w:color w:val="17365D"/>
                <w:sz w:val="20"/>
                <w:szCs w:val="20"/>
              </w:rPr>
              <w:t>2</w:t>
            </w:r>
          </w:p>
        </w:tc>
        <w:tc>
          <w:tcPr>
            <w:tcW w:w="1655" w:type="dxa"/>
            <w:tcBorders>
              <w:top w:val="nil"/>
              <w:left w:val="nil"/>
              <w:bottom w:val="single" w:sz="4" w:space="0" w:color="17365D"/>
              <w:right w:val="nil"/>
            </w:tcBorders>
            <w:vAlign w:val="center"/>
          </w:tcPr>
          <w:p w14:paraId="682A2018" w14:textId="6FDE3F23" w:rsidR="00F2038B" w:rsidRPr="00B36A61" w:rsidRDefault="00F2038B" w:rsidP="000F7E81">
            <w:pPr>
              <w:pStyle w:val="Pamatteksts"/>
              <w:spacing w:before="40" w:after="40"/>
              <w:ind w:firstLine="0"/>
              <w:jc w:val="center"/>
              <w:rPr>
                <w:b/>
                <w:color w:val="17365D"/>
                <w:sz w:val="20"/>
                <w:szCs w:val="20"/>
              </w:rPr>
            </w:pPr>
            <w:r w:rsidRPr="00B36A61">
              <w:rPr>
                <w:b/>
                <w:color w:val="17365D"/>
                <w:sz w:val="20"/>
                <w:szCs w:val="20"/>
              </w:rPr>
              <w:t>3</w:t>
            </w:r>
          </w:p>
        </w:tc>
        <w:tc>
          <w:tcPr>
            <w:tcW w:w="1191" w:type="dxa"/>
            <w:tcBorders>
              <w:top w:val="nil"/>
              <w:left w:val="nil"/>
              <w:bottom w:val="single" w:sz="4" w:space="0" w:color="17365D"/>
              <w:right w:val="nil"/>
            </w:tcBorders>
            <w:vAlign w:val="center"/>
          </w:tcPr>
          <w:p w14:paraId="331E2092" w14:textId="00E57C59" w:rsidR="00F2038B" w:rsidRPr="00B36A61" w:rsidRDefault="00F2038B" w:rsidP="000F7E81">
            <w:pPr>
              <w:pStyle w:val="Pamatteksts"/>
              <w:spacing w:before="40" w:after="40"/>
              <w:ind w:firstLine="0"/>
              <w:jc w:val="center"/>
              <w:rPr>
                <w:b/>
                <w:color w:val="17365D"/>
                <w:sz w:val="20"/>
                <w:szCs w:val="20"/>
              </w:rPr>
            </w:pPr>
            <w:r w:rsidRPr="00B36A61">
              <w:rPr>
                <w:b/>
                <w:color w:val="17365D"/>
                <w:sz w:val="20"/>
                <w:szCs w:val="20"/>
              </w:rPr>
              <w:t>4</w:t>
            </w:r>
          </w:p>
        </w:tc>
      </w:tr>
      <w:tr w:rsidR="00B36A61" w:rsidRPr="00B36A61" w14:paraId="4000A8A3" w14:textId="77777777" w:rsidTr="00F5680C">
        <w:trPr>
          <w:trHeight w:val="286"/>
        </w:trPr>
        <w:tc>
          <w:tcPr>
            <w:tcW w:w="906" w:type="dxa"/>
            <w:tcBorders>
              <w:top w:val="single" w:sz="4" w:space="0" w:color="17365D"/>
              <w:left w:val="nil"/>
              <w:bottom w:val="single" w:sz="4" w:space="0" w:color="17365D"/>
              <w:right w:val="nil"/>
            </w:tcBorders>
            <w:vAlign w:val="center"/>
          </w:tcPr>
          <w:p w14:paraId="5D450BB4" w14:textId="59D2974B" w:rsidR="00A250EC" w:rsidRPr="00B36A61" w:rsidRDefault="00A250EC" w:rsidP="00A250EC">
            <w:pPr>
              <w:pStyle w:val="Pamatteksts"/>
              <w:spacing w:before="40" w:after="40"/>
              <w:ind w:firstLine="0"/>
              <w:jc w:val="left"/>
              <w:rPr>
                <w:b/>
                <w:color w:val="17365D"/>
                <w:sz w:val="20"/>
                <w:szCs w:val="20"/>
              </w:rPr>
            </w:pPr>
            <w:r w:rsidRPr="00B36A61">
              <w:rPr>
                <w:b/>
                <w:color w:val="17365D"/>
                <w:sz w:val="20"/>
                <w:szCs w:val="20"/>
              </w:rPr>
              <w:t>I.</w:t>
            </w:r>
          </w:p>
        </w:tc>
        <w:tc>
          <w:tcPr>
            <w:tcW w:w="2630" w:type="dxa"/>
            <w:gridSpan w:val="2"/>
            <w:tcBorders>
              <w:top w:val="single" w:sz="4" w:space="0" w:color="17365D"/>
              <w:left w:val="nil"/>
              <w:bottom w:val="single" w:sz="4" w:space="0" w:color="17365D"/>
              <w:right w:val="nil"/>
            </w:tcBorders>
            <w:shd w:val="clear" w:color="000000" w:fill="FFFFFF"/>
            <w:vAlign w:val="center"/>
          </w:tcPr>
          <w:p w14:paraId="3CDEE650" w14:textId="218F362F" w:rsidR="00A250EC" w:rsidRPr="00B36A61" w:rsidRDefault="00A250EC" w:rsidP="00A250EC">
            <w:pPr>
              <w:pStyle w:val="Pamatteksts"/>
              <w:spacing w:before="40" w:after="40"/>
              <w:ind w:firstLine="0"/>
              <w:rPr>
                <w:b/>
                <w:color w:val="17365D"/>
                <w:sz w:val="20"/>
                <w:szCs w:val="20"/>
              </w:rPr>
            </w:pPr>
            <w:r w:rsidRPr="00B36A61">
              <w:rPr>
                <w:b/>
                <w:bCs/>
                <w:color w:val="17365D"/>
                <w:sz w:val="20"/>
                <w:szCs w:val="20"/>
              </w:rPr>
              <w:t>IEŅĒMUMI KOPĀ</w:t>
            </w:r>
          </w:p>
        </w:tc>
        <w:tc>
          <w:tcPr>
            <w:tcW w:w="1503" w:type="dxa"/>
            <w:tcBorders>
              <w:top w:val="single" w:sz="4" w:space="0" w:color="17365D"/>
              <w:left w:val="nil"/>
              <w:bottom w:val="single" w:sz="4" w:space="0" w:color="17365D"/>
              <w:right w:val="nil"/>
            </w:tcBorders>
            <w:shd w:val="clear" w:color="000000" w:fill="FFFFFF"/>
            <w:vAlign w:val="center"/>
          </w:tcPr>
          <w:p w14:paraId="194A6519" w14:textId="20AAA4E0" w:rsidR="00A250EC" w:rsidRPr="00B36A61" w:rsidRDefault="00A250EC" w:rsidP="00A250EC">
            <w:pPr>
              <w:pStyle w:val="Pamatteksts"/>
              <w:spacing w:before="40" w:after="40"/>
              <w:ind w:firstLine="0"/>
              <w:jc w:val="right"/>
              <w:rPr>
                <w:b/>
                <w:bCs/>
                <w:color w:val="17365D"/>
                <w:sz w:val="20"/>
                <w:szCs w:val="20"/>
              </w:rPr>
            </w:pPr>
            <w:r w:rsidRPr="00B36A61">
              <w:rPr>
                <w:b/>
                <w:bCs/>
                <w:color w:val="17365D"/>
                <w:sz w:val="20"/>
                <w:szCs w:val="20"/>
              </w:rPr>
              <w:t>3 933 156 719</w:t>
            </w:r>
          </w:p>
        </w:tc>
        <w:tc>
          <w:tcPr>
            <w:tcW w:w="1503" w:type="dxa"/>
            <w:tcBorders>
              <w:top w:val="single" w:sz="4" w:space="0" w:color="17365D"/>
              <w:left w:val="nil"/>
              <w:bottom w:val="single" w:sz="4" w:space="0" w:color="17365D"/>
              <w:right w:val="nil"/>
            </w:tcBorders>
            <w:shd w:val="clear" w:color="auto" w:fill="auto"/>
            <w:vAlign w:val="center"/>
          </w:tcPr>
          <w:p w14:paraId="561524C1" w14:textId="599B2CE7" w:rsidR="00A250EC" w:rsidRPr="00B36A61" w:rsidRDefault="00A250EC" w:rsidP="00A250EC">
            <w:pPr>
              <w:pStyle w:val="Pamatteksts"/>
              <w:spacing w:before="40" w:after="40"/>
              <w:ind w:firstLine="0"/>
              <w:jc w:val="right"/>
              <w:rPr>
                <w:b/>
                <w:bCs/>
                <w:color w:val="17365D"/>
                <w:sz w:val="20"/>
                <w:szCs w:val="20"/>
              </w:rPr>
            </w:pPr>
            <w:r w:rsidRPr="00B36A61">
              <w:rPr>
                <w:b/>
                <w:bCs/>
                <w:color w:val="17365D"/>
                <w:sz w:val="20"/>
                <w:szCs w:val="20"/>
              </w:rPr>
              <w:t>3 410 111 666</w:t>
            </w:r>
          </w:p>
        </w:tc>
        <w:tc>
          <w:tcPr>
            <w:tcW w:w="1655" w:type="dxa"/>
            <w:tcBorders>
              <w:top w:val="single" w:sz="4" w:space="0" w:color="17365D"/>
              <w:left w:val="nil"/>
              <w:bottom w:val="single" w:sz="4" w:space="0" w:color="17365D"/>
              <w:right w:val="nil"/>
            </w:tcBorders>
            <w:shd w:val="clear" w:color="auto" w:fill="auto"/>
            <w:vAlign w:val="bottom"/>
          </w:tcPr>
          <w:p w14:paraId="042FF48E" w14:textId="49F59683" w:rsidR="00A250EC" w:rsidRPr="00B36A61" w:rsidRDefault="00A250EC" w:rsidP="00A250EC">
            <w:pPr>
              <w:pStyle w:val="Pamatteksts"/>
              <w:spacing w:before="40" w:after="40"/>
              <w:ind w:firstLine="0"/>
              <w:jc w:val="right"/>
              <w:rPr>
                <w:b/>
                <w:color w:val="17365D"/>
                <w:sz w:val="20"/>
                <w:szCs w:val="20"/>
              </w:rPr>
            </w:pPr>
            <w:r w:rsidRPr="00B36A61">
              <w:rPr>
                <w:b/>
                <w:color w:val="17365D"/>
                <w:sz w:val="20"/>
                <w:szCs w:val="20"/>
              </w:rPr>
              <w:t>523 045 053</w:t>
            </w:r>
          </w:p>
        </w:tc>
        <w:tc>
          <w:tcPr>
            <w:tcW w:w="1191" w:type="dxa"/>
            <w:tcBorders>
              <w:top w:val="single" w:sz="4" w:space="0" w:color="17365D"/>
              <w:left w:val="nil"/>
              <w:bottom w:val="single" w:sz="4" w:space="0" w:color="17365D"/>
              <w:right w:val="nil"/>
            </w:tcBorders>
            <w:shd w:val="clear" w:color="auto" w:fill="auto"/>
            <w:vAlign w:val="bottom"/>
          </w:tcPr>
          <w:p w14:paraId="3EC5A967" w14:textId="154690EB" w:rsidR="00A250EC" w:rsidRPr="00B36A61" w:rsidRDefault="00A250EC" w:rsidP="00A250EC">
            <w:pPr>
              <w:pStyle w:val="Pamatteksts"/>
              <w:spacing w:before="40" w:after="40"/>
              <w:ind w:firstLine="0"/>
              <w:jc w:val="right"/>
              <w:rPr>
                <w:b/>
                <w:color w:val="17365D"/>
                <w:sz w:val="20"/>
                <w:szCs w:val="20"/>
              </w:rPr>
            </w:pPr>
            <w:r w:rsidRPr="00B36A61">
              <w:rPr>
                <w:b/>
                <w:color w:val="17365D"/>
                <w:sz w:val="20"/>
                <w:szCs w:val="20"/>
              </w:rPr>
              <w:t>15.3</w:t>
            </w:r>
          </w:p>
        </w:tc>
      </w:tr>
      <w:tr w:rsidR="00B36A61" w:rsidRPr="00B36A61" w14:paraId="0197B04C" w14:textId="77777777" w:rsidTr="00F5680C">
        <w:trPr>
          <w:trHeight w:val="286"/>
        </w:trPr>
        <w:tc>
          <w:tcPr>
            <w:tcW w:w="906" w:type="dxa"/>
            <w:tcBorders>
              <w:top w:val="single" w:sz="4" w:space="0" w:color="17365D"/>
              <w:left w:val="nil"/>
              <w:bottom w:val="single" w:sz="4" w:space="0" w:color="17365D"/>
              <w:right w:val="nil"/>
            </w:tcBorders>
            <w:vAlign w:val="center"/>
          </w:tcPr>
          <w:p w14:paraId="15A112E6" w14:textId="7AB75B0B" w:rsidR="00A250EC" w:rsidRPr="00B36A61" w:rsidRDefault="00A250EC" w:rsidP="00A250EC">
            <w:pPr>
              <w:spacing w:before="40" w:after="40"/>
              <w:ind w:firstLine="0"/>
              <w:jc w:val="left"/>
              <w:rPr>
                <w:bCs/>
                <w:color w:val="17365D"/>
                <w:sz w:val="20"/>
                <w:szCs w:val="20"/>
              </w:rPr>
            </w:pPr>
            <w:r w:rsidRPr="00B36A61">
              <w:rPr>
                <w:bCs/>
                <w:color w:val="17365D"/>
                <w:sz w:val="20"/>
                <w:szCs w:val="20"/>
              </w:rPr>
              <w:t>1.0.</w:t>
            </w:r>
          </w:p>
        </w:tc>
        <w:tc>
          <w:tcPr>
            <w:tcW w:w="2630" w:type="dxa"/>
            <w:gridSpan w:val="2"/>
            <w:tcBorders>
              <w:top w:val="single" w:sz="4" w:space="0" w:color="17365D"/>
              <w:left w:val="nil"/>
              <w:bottom w:val="single" w:sz="4" w:space="0" w:color="17365D"/>
              <w:right w:val="nil"/>
            </w:tcBorders>
            <w:shd w:val="clear" w:color="000000" w:fill="FFFFFF"/>
            <w:vAlign w:val="center"/>
          </w:tcPr>
          <w:p w14:paraId="5F5EB3D4" w14:textId="4101BA2B" w:rsidR="00A250EC" w:rsidRPr="00B36A61" w:rsidRDefault="00A250EC" w:rsidP="00A250EC">
            <w:pPr>
              <w:pStyle w:val="Pamatteksts"/>
              <w:spacing w:before="40" w:after="40"/>
              <w:ind w:firstLine="0"/>
              <w:jc w:val="left"/>
              <w:rPr>
                <w:color w:val="17365D"/>
                <w:sz w:val="20"/>
                <w:szCs w:val="20"/>
              </w:rPr>
            </w:pPr>
            <w:r w:rsidRPr="00B36A61">
              <w:rPr>
                <w:bCs/>
                <w:color w:val="17365D"/>
                <w:sz w:val="20"/>
                <w:szCs w:val="20"/>
              </w:rPr>
              <w:t>Nodokļu ieņēmumi</w:t>
            </w:r>
          </w:p>
        </w:tc>
        <w:tc>
          <w:tcPr>
            <w:tcW w:w="1503" w:type="dxa"/>
            <w:tcBorders>
              <w:top w:val="single" w:sz="4" w:space="0" w:color="17365D"/>
              <w:left w:val="nil"/>
              <w:bottom w:val="single" w:sz="4" w:space="0" w:color="17365D"/>
              <w:right w:val="nil"/>
            </w:tcBorders>
            <w:shd w:val="clear" w:color="000000" w:fill="FFFFFF"/>
            <w:vAlign w:val="center"/>
          </w:tcPr>
          <w:p w14:paraId="11480184" w14:textId="569AD666" w:rsidR="00A250EC" w:rsidRPr="00B36A61" w:rsidRDefault="00A250EC" w:rsidP="00A250EC">
            <w:pPr>
              <w:pStyle w:val="Pamatteksts"/>
              <w:spacing w:before="40" w:after="40"/>
              <w:ind w:firstLine="0"/>
              <w:jc w:val="right"/>
              <w:rPr>
                <w:bCs/>
                <w:color w:val="17365D"/>
                <w:sz w:val="20"/>
                <w:szCs w:val="20"/>
              </w:rPr>
            </w:pPr>
            <w:r w:rsidRPr="00B36A61">
              <w:rPr>
                <w:color w:val="17365D"/>
                <w:sz w:val="20"/>
                <w:szCs w:val="20"/>
              </w:rPr>
              <w:t>3 539 526 147</w:t>
            </w:r>
          </w:p>
        </w:tc>
        <w:tc>
          <w:tcPr>
            <w:tcW w:w="1503" w:type="dxa"/>
            <w:tcBorders>
              <w:top w:val="single" w:sz="4" w:space="0" w:color="17365D"/>
              <w:left w:val="nil"/>
              <w:bottom w:val="single" w:sz="4" w:space="0" w:color="17365D"/>
              <w:right w:val="nil"/>
            </w:tcBorders>
            <w:shd w:val="clear" w:color="auto" w:fill="auto"/>
            <w:vAlign w:val="center"/>
          </w:tcPr>
          <w:p w14:paraId="126EDC54" w14:textId="1AB8C63A" w:rsidR="00A250EC" w:rsidRPr="00B36A61" w:rsidRDefault="00A250EC" w:rsidP="00A250EC">
            <w:pPr>
              <w:pStyle w:val="Pamatteksts"/>
              <w:spacing w:before="40" w:after="40"/>
              <w:ind w:firstLine="0"/>
              <w:jc w:val="right"/>
              <w:rPr>
                <w:bCs/>
                <w:color w:val="17365D"/>
                <w:sz w:val="20"/>
                <w:szCs w:val="20"/>
              </w:rPr>
            </w:pPr>
            <w:r w:rsidRPr="00B36A61">
              <w:rPr>
                <w:color w:val="17365D"/>
                <w:sz w:val="20"/>
                <w:szCs w:val="20"/>
              </w:rPr>
              <w:t>3 018 049 387</w:t>
            </w:r>
          </w:p>
        </w:tc>
        <w:tc>
          <w:tcPr>
            <w:tcW w:w="1655" w:type="dxa"/>
            <w:tcBorders>
              <w:top w:val="single" w:sz="4" w:space="0" w:color="17365D"/>
              <w:left w:val="nil"/>
              <w:bottom w:val="single" w:sz="4" w:space="0" w:color="17365D"/>
              <w:right w:val="nil"/>
            </w:tcBorders>
            <w:shd w:val="clear" w:color="auto" w:fill="auto"/>
            <w:vAlign w:val="bottom"/>
          </w:tcPr>
          <w:p w14:paraId="42073EE8" w14:textId="427E62CD" w:rsidR="00A250EC" w:rsidRPr="00B36A61" w:rsidRDefault="00A250EC" w:rsidP="00A250EC">
            <w:pPr>
              <w:pStyle w:val="Pamatteksts"/>
              <w:spacing w:before="40" w:after="40"/>
              <w:ind w:firstLine="0"/>
              <w:jc w:val="right"/>
              <w:rPr>
                <w:color w:val="17365D"/>
                <w:sz w:val="20"/>
                <w:szCs w:val="20"/>
              </w:rPr>
            </w:pPr>
            <w:r w:rsidRPr="00B36A61">
              <w:rPr>
                <w:color w:val="17365D"/>
                <w:sz w:val="20"/>
                <w:szCs w:val="20"/>
              </w:rPr>
              <w:t>521 476 760</w:t>
            </w:r>
          </w:p>
        </w:tc>
        <w:tc>
          <w:tcPr>
            <w:tcW w:w="1191" w:type="dxa"/>
            <w:tcBorders>
              <w:top w:val="single" w:sz="4" w:space="0" w:color="17365D"/>
              <w:left w:val="nil"/>
              <w:bottom w:val="single" w:sz="4" w:space="0" w:color="17365D"/>
              <w:right w:val="nil"/>
            </w:tcBorders>
            <w:shd w:val="clear" w:color="auto" w:fill="auto"/>
            <w:vAlign w:val="bottom"/>
          </w:tcPr>
          <w:p w14:paraId="2B05338F" w14:textId="134A8972" w:rsidR="00A250EC" w:rsidRPr="00B36A61" w:rsidRDefault="00A250EC" w:rsidP="00A250EC">
            <w:pPr>
              <w:pStyle w:val="Pamatteksts"/>
              <w:spacing w:before="40" w:after="40"/>
              <w:ind w:firstLine="0"/>
              <w:jc w:val="right"/>
              <w:rPr>
                <w:color w:val="17365D"/>
                <w:sz w:val="20"/>
                <w:szCs w:val="20"/>
              </w:rPr>
            </w:pPr>
            <w:r w:rsidRPr="00B36A61">
              <w:rPr>
                <w:color w:val="17365D"/>
                <w:sz w:val="20"/>
                <w:szCs w:val="20"/>
              </w:rPr>
              <w:t>17.3</w:t>
            </w:r>
          </w:p>
        </w:tc>
      </w:tr>
      <w:tr w:rsidR="00B36A61" w:rsidRPr="00B36A61" w14:paraId="45F50EE8" w14:textId="77777777" w:rsidTr="00F5680C">
        <w:trPr>
          <w:trHeight w:val="286"/>
        </w:trPr>
        <w:tc>
          <w:tcPr>
            <w:tcW w:w="906" w:type="dxa"/>
            <w:tcBorders>
              <w:top w:val="single" w:sz="4" w:space="0" w:color="17365D"/>
              <w:left w:val="nil"/>
              <w:bottom w:val="single" w:sz="4" w:space="0" w:color="17365D"/>
              <w:right w:val="nil"/>
            </w:tcBorders>
            <w:vAlign w:val="center"/>
          </w:tcPr>
          <w:p w14:paraId="5BBDC556" w14:textId="468AC6E5" w:rsidR="00A250EC" w:rsidRPr="00B36A61" w:rsidRDefault="00A250EC" w:rsidP="00A250EC">
            <w:pPr>
              <w:spacing w:before="40" w:after="40"/>
              <w:ind w:firstLine="0"/>
              <w:jc w:val="left"/>
              <w:rPr>
                <w:bCs/>
                <w:color w:val="17365D"/>
                <w:sz w:val="20"/>
                <w:szCs w:val="20"/>
              </w:rPr>
            </w:pPr>
            <w:r w:rsidRPr="00B36A61">
              <w:rPr>
                <w:bCs/>
                <w:color w:val="17365D"/>
                <w:sz w:val="20"/>
                <w:szCs w:val="20"/>
              </w:rPr>
              <w:t>2.0</w:t>
            </w:r>
          </w:p>
        </w:tc>
        <w:tc>
          <w:tcPr>
            <w:tcW w:w="2630" w:type="dxa"/>
            <w:gridSpan w:val="2"/>
            <w:tcBorders>
              <w:top w:val="single" w:sz="4" w:space="0" w:color="17365D"/>
              <w:left w:val="nil"/>
              <w:bottom w:val="single" w:sz="4" w:space="0" w:color="17365D"/>
              <w:right w:val="nil"/>
            </w:tcBorders>
            <w:shd w:val="clear" w:color="000000" w:fill="FFFFFF"/>
            <w:vAlign w:val="center"/>
          </w:tcPr>
          <w:p w14:paraId="1A4864B6" w14:textId="54FD1B34" w:rsidR="00A250EC" w:rsidRPr="00B36A61" w:rsidRDefault="00A250EC" w:rsidP="00A250EC">
            <w:pPr>
              <w:pStyle w:val="Pamatteksts"/>
              <w:spacing w:before="40" w:after="40"/>
              <w:ind w:firstLine="0"/>
              <w:jc w:val="left"/>
              <w:rPr>
                <w:bCs/>
                <w:color w:val="17365D"/>
                <w:sz w:val="20"/>
                <w:szCs w:val="20"/>
              </w:rPr>
            </w:pPr>
            <w:r w:rsidRPr="00B36A61">
              <w:rPr>
                <w:bCs/>
                <w:color w:val="17365D"/>
                <w:sz w:val="20"/>
                <w:szCs w:val="20"/>
              </w:rPr>
              <w:t>Nenodokļu ieņēmumi</w:t>
            </w:r>
          </w:p>
        </w:tc>
        <w:tc>
          <w:tcPr>
            <w:tcW w:w="1503" w:type="dxa"/>
            <w:tcBorders>
              <w:top w:val="single" w:sz="4" w:space="0" w:color="17365D"/>
              <w:left w:val="nil"/>
              <w:bottom w:val="single" w:sz="4" w:space="0" w:color="17365D"/>
              <w:right w:val="nil"/>
            </w:tcBorders>
            <w:shd w:val="clear" w:color="000000" w:fill="FFFFFF"/>
            <w:vAlign w:val="center"/>
          </w:tcPr>
          <w:p w14:paraId="11ECC740" w14:textId="43DCBB31" w:rsidR="00A250EC" w:rsidRPr="00B36A61" w:rsidRDefault="00A250EC" w:rsidP="00A250EC">
            <w:pPr>
              <w:pStyle w:val="Pamatteksts"/>
              <w:spacing w:before="40" w:after="40"/>
              <w:ind w:firstLine="0"/>
              <w:jc w:val="right"/>
              <w:rPr>
                <w:bCs/>
                <w:color w:val="17365D"/>
                <w:sz w:val="20"/>
                <w:szCs w:val="20"/>
              </w:rPr>
            </w:pPr>
            <w:r w:rsidRPr="00B36A61">
              <w:rPr>
                <w:color w:val="17365D"/>
                <w:sz w:val="20"/>
                <w:szCs w:val="20"/>
              </w:rPr>
              <w:t>100 970 861</w:t>
            </w:r>
          </w:p>
        </w:tc>
        <w:tc>
          <w:tcPr>
            <w:tcW w:w="1503" w:type="dxa"/>
            <w:tcBorders>
              <w:top w:val="single" w:sz="4" w:space="0" w:color="17365D"/>
              <w:left w:val="nil"/>
              <w:bottom w:val="single" w:sz="4" w:space="0" w:color="17365D"/>
              <w:right w:val="nil"/>
            </w:tcBorders>
            <w:shd w:val="clear" w:color="auto" w:fill="auto"/>
            <w:vAlign w:val="center"/>
          </w:tcPr>
          <w:p w14:paraId="43A49247" w14:textId="327B5822" w:rsidR="00A250EC" w:rsidRPr="00B36A61" w:rsidRDefault="00A250EC" w:rsidP="00A250EC">
            <w:pPr>
              <w:pStyle w:val="Pamatteksts"/>
              <w:spacing w:before="40" w:after="40"/>
              <w:ind w:firstLine="0"/>
              <w:jc w:val="right"/>
              <w:rPr>
                <w:bCs/>
                <w:color w:val="17365D"/>
                <w:sz w:val="20"/>
                <w:szCs w:val="20"/>
              </w:rPr>
            </w:pPr>
            <w:r w:rsidRPr="00B36A61">
              <w:rPr>
                <w:color w:val="17365D"/>
                <w:sz w:val="20"/>
                <w:szCs w:val="20"/>
              </w:rPr>
              <w:t>74 292 189</w:t>
            </w:r>
          </w:p>
        </w:tc>
        <w:tc>
          <w:tcPr>
            <w:tcW w:w="1655" w:type="dxa"/>
            <w:tcBorders>
              <w:top w:val="single" w:sz="4" w:space="0" w:color="17365D"/>
              <w:left w:val="nil"/>
              <w:bottom w:val="single" w:sz="4" w:space="0" w:color="17365D"/>
              <w:right w:val="nil"/>
            </w:tcBorders>
            <w:shd w:val="clear" w:color="auto" w:fill="auto"/>
            <w:vAlign w:val="bottom"/>
          </w:tcPr>
          <w:p w14:paraId="1B8C9832" w14:textId="73724132" w:rsidR="00A250EC" w:rsidRPr="00B36A61" w:rsidRDefault="00A250EC" w:rsidP="00A250EC">
            <w:pPr>
              <w:pStyle w:val="Pamatteksts"/>
              <w:spacing w:before="40" w:after="40"/>
              <w:ind w:firstLine="0"/>
              <w:jc w:val="right"/>
              <w:rPr>
                <w:color w:val="17365D"/>
                <w:sz w:val="20"/>
                <w:szCs w:val="20"/>
              </w:rPr>
            </w:pPr>
            <w:r w:rsidRPr="00B36A61">
              <w:rPr>
                <w:color w:val="17365D"/>
                <w:sz w:val="20"/>
                <w:szCs w:val="20"/>
              </w:rPr>
              <w:t>26 678 672</w:t>
            </w:r>
          </w:p>
        </w:tc>
        <w:tc>
          <w:tcPr>
            <w:tcW w:w="1191" w:type="dxa"/>
            <w:tcBorders>
              <w:top w:val="single" w:sz="4" w:space="0" w:color="17365D"/>
              <w:left w:val="nil"/>
              <w:bottom w:val="single" w:sz="4" w:space="0" w:color="17365D"/>
              <w:right w:val="nil"/>
            </w:tcBorders>
            <w:shd w:val="clear" w:color="auto" w:fill="auto"/>
            <w:vAlign w:val="bottom"/>
          </w:tcPr>
          <w:p w14:paraId="7BB766F0" w14:textId="7A267490" w:rsidR="00A250EC" w:rsidRPr="00B36A61" w:rsidRDefault="00A250EC" w:rsidP="00A250EC">
            <w:pPr>
              <w:pStyle w:val="Pamatteksts"/>
              <w:spacing w:before="40" w:after="40"/>
              <w:ind w:firstLine="0"/>
              <w:jc w:val="right"/>
              <w:rPr>
                <w:color w:val="17365D"/>
                <w:sz w:val="20"/>
                <w:szCs w:val="20"/>
              </w:rPr>
            </w:pPr>
            <w:r w:rsidRPr="00B36A61">
              <w:rPr>
                <w:color w:val="17365D"/>
                <w:sz w:val="20"/>
                <w:szCs w:val="20"/>
              </w:rPr>
              <w:t>35.9</w:t>
            </w:r>
          </w:p>
        </w:tc>
      </w:tr>
      <w:tr w:rsidR="00B36A61" w:rsidRPr="00B36A61" w14:paraId="1414DB4B" w14:textId="77777777" w:rsidTr="00F5680C">
        <w:trPr>
          <w:trHeight w:val="286"/>
        </w:trPr>
        <w:tc>
          <w:tcPr>
            <w:tcW w:w="906" w:type="dxa"/>
            <w:tcBorders>
              <w:top w:val="single" w:sz="4" w:space="0" w:color="17365D"/>
              <w:left w:val="nil"/>
              <w:bottom w:val="single" w:sz="4" w:space="0" w:color="17365D"/>
              <w:right w:val="nil"/>
            </w:tcBorders>
            <w:vAlign w:val="center"/>
          </w:tcPr>
          <w:p w14:paraId="3C618FC8" w14:textId="0D0975D5" w:rsidR="00A250EC" w:rsidRPr="00B36A61" w:rsidRDefault="00A250EC" w:rsidP="00A250EC">
            <w:pPr>
              <w:spacing w:before="40" w:after="40"/>
              <w:ind w:firstLine="0"/>
              <w:jc w:val="left"/>
              <w:rPr>
                <w:bCs/>
                <w:color w:val="17365D"/>
                <w:sz w:val="20"/>
                <w:szCs w:val="20"/>
              </w:rPr>
            </w:pPr>
            <w:r w:rsidRPr="00B36A61">
              <w:rPr>
                <w:bCs/>
                <w:color w:val="17365D"/>
                <w:sz w:val="20"/>
                <w:szCs w:val="20"/>
              </w:rPr>
              <w:t>3.0</w:t>
            </w:r>
          </w:p>
        </w:tc>
        <w:tc>
          <w:tcPr>
            <w:tcW w:w="2630" w:type="dxa"/>
            <w:gridSpan w:val="2"/>
            <w:tcBorders>
              <w:top w:val="single" w:sz="4" w:space="0" w:color="17365D"/>
              <w:left w:val="nil"/>
              <w:bottom w:val="single" w:sz="4" w:space="0" w:color="17365D"/>
              <w:right w:val="nil"/>
            </w:tcBorders>
            <w:shd w:val="clear" w:color="000000" w:fill="FFFFFF"/>
            <w:vAlign w:val="center"/>
          </w:tcPr>
          <w:p w14:paraId="05D5BB3C" w14:textId="3EFA1AFC" w:rsidR="00A250EC" w:rsidRPr="00B36A61" w:rsidRDefault="00A250EC" w:rsidP="00A250EC">
            <w:pPr>
              <w:pStyle w:val="Pamatteksts"/>
              <w:spacing w:before="40" w:after="40"/>
              <w:ind w:firstLine="0"/>
              <w:jc w:val="left"/>
              <w:rPr>
                <w:bCs/>
                <w:color w:val="17365D"/>
                <w:sz w:val="20"/>
                <w:szCs w:val="20"/>
              </w:rPr>
            </w:pPr>
            <w:r w:rsidRPr="00B36A61">
              <w:rPr>
                <w:bCs/>
                <w:color w:val="17365D"/>
                <w:sz w:val="20"/>
                <w:szCs w:val="20"/>
              </w:rPr>
              <w:t>Maksas pakalpojumi un citi pašu ieņēmumi</w:t>
            </w:r>
          </w:p>
        </w:tc>
        <w:tc>
          <w:tcPr>
            <w:tcW w:w="1503" w:type="dxa"/>
            <w:tcBorders>
              <w:top w:val="single" w:sz="4" w:space="0" w:color="17365D"/>
              <w:left w:val="nil"/>
              <w:bottom w:val="single" w:sz="4" w:space="0" w:color="17365D"/>
              <w:right w:val="nil"/>
            </w:tcBorders>
            <w:shd w:val="clear" w:color="000000" w:fill="FFFFFF"/>
            <w:vAlign w:val="center"/>
          </w:tcPr>
          <w:p w14:paraId="6D7B634D" w14:textId="71D94D83" w:rsidR="00A250EC" w:rsidRPr="00B36A61" w:rsidRDefault="00A250EC" w:rsidP="00A250EC">
            <w:pPr>
              <w:pStyle w:val="Pamatteksts"/>
              <w:spacing w:before="40" w:after="40"/>
              <w:ind w:firstLine="0"/>
              <w:jc w:val="right"/>
              <w:rPr>
                <w:bCs/>
                <w:color w:val="17365D"/>
                <w:sz w:val="20"/>
                <w:szCs w:val="20"/>
              </w:rPr>
            </w:pPr>
            <w:r w:rsidRPr="00B36A61">
              <w:rPr>
                <w:color w:val="17365D"/>
                <w:sz w:val="20"/>
                <w:szCs w:val="20"/>
              </w:rPr>
              <w:t>931</w:t>
            </w:r>
          </w:p>
        </w:tc>
        <w:tc>
          <w:tcPr>
            <w:tcW w:w="1503" w:type="dxa"/>
            <w:tcBorders>
              <w:top w:val="single" w:sz="4" w:space="0" w:color="17365D"/>
              <w:left w:val="nil"/>
              <w:bottom w:val="single" w:sz="4" w:space="0" w:color="17365D"/>
              <w:right w:val="nil"/>
            </w:tcBorders>
            <w:shd w:val="clear" w:color="auto" w:fill="auto"/>
            <w:vAlign w:val="center"/>
          </w:tcPr>
          <w:p w14:paraId="319D62D5" w14:textId="122B91E1" w:rsidR="00A250EC" w:rsidRPr="00B36A61" w:rsidRDefault="00A250EC" w:rsidP="00A250EC">
            <w:pPr>
              <w:pStyle w:val="Pamatteksts"/>
              <w:spacing w:before="40" w:after="40"/>
              <w:ind w:firstLine="0"/>
              <w:jc w:val="right"/>
              <w:rPr>
                <w:bCs/>
                <w:color w:val="17365D"/>
                <w:sz w:val="20"/>
                <w:szCs w:val="20"/>
              </w:rPr>
            </w:pPr>
            <w:r w:rsidRPr="00B36A61">
              <w:rPr>
                <w:color w:val="17365D"/>
                <w:sz w:val="20"/>
                <w:szCs w:val="20"/>
              </w:rPr>
              <w:t>1 153</w:t>
            </w:r>
          </w:p>
        </w:tc>
        <w:tc>
          <w:tcPr>
            <w:tcW w:w="1655" w:type="dxa"/>
            <w:tcBorders>
              <w:top w:val="single" w:sz="4" w:space="0" w:color="17365D"/>
              <w:left w:val="nil"/>
              <w:bottom w:val="single" w:sz="4" w:space="0" w:color="17365D"/>
              <w:right w:val="nil"/>
            </w:tcBorders>
            <w:shd w:val="clear" w:color="auto" w:fill="auto"/>
            <w:vAlign w:val="center"/>
          </w:tcPr>
          <w:p w14:paraId="7DE5418B" w14:textId="7C40E5B6" w:rsidR="00A250EC" w:rsidRPr="00B36A61" w:rsidRDefault="00A250EC" w:rsidP="00F5680C">
            <w:pPr>
              <w:pStyle w:val="Pamatteksts"/>
              <w:spacing w:before="40" w:after="40"/>
              <w:ind w:firstLine="0"/>
              <w:jc w:val="right"/>
              <w:rPr>
                <w:color w:val="17365D"/>
                <w:sz w:val="20"/>
                <w:szCs w:val="20"/>
              </w:rPr>
            </w:pPr>
            <w:r w:rsidRPr="00B36A61">
              <w:rPr>
                <w:color w:val="17365D"/>
                <w:sz w:val="20"/>
                <w:szCs w:val="20"/>
              </w:rPr>
              <w:t>-222</w:t>
            </w:r>
          </w:p>
        </w:tc>
        <w:tc>
          <w:tcPr>
            <w:tcW w:w="1191" w:type="dxa"/>
            <w:tcBorders>
              <w:top w:val="single" w:sz="4" w:space="0" w:color="17365D"/>
              <w:left w:val="nil"/>
              <w:bottom w:val="single" w:sz="4" w:space="0" w:color="17365D"/>
              <w:right w:val="nil"/>
            </w:tcBorders>
            <w:shd w:val="clear" w:color="auto" w:fill="auto"/>
            <w:vAlign w:val="center"/>
          </w:tcPr>
          <w:p w14:paraId="5F106C3A" w14:textId="428E5FB7" w:rsidR="00A250EC" w:rsidRPr="00B36A61" w:rsidRDefault="00A250EC" w:rsidP="00A250EC">
            <w:pPr>
              <w:pStyle w:val="Pamatteksts"/>
              <w:spacing w:before="40" w:after="40"/>
              <w:ind w:firstLine="0"/>
              <w:jc w:val="right"/>
              <w:rPr>
                <w:color w:val="17365D"/>
                <w:sz w:val="20"/>
                <w:szCs w:val="20"/>
              </w:rPr>
            </w:pPr>
            <w:r w:rsidRPr="00B36A61">
              <w:rPr>
                <w:color w:val="17365D"/>
                <w:sz w:val="20"/>
                <w:szCs w:val="20"/>
              </w:rPr>
              <w:t>-19.3</w:t>
            </w:r>
          </w:p>
        </w:tc>
      </w:tr>
      <w:tr w:rsidR="00B36A61" w:rsidRPr="00B36A61" w14:paraId="56B35F7D" w14:textId="77777777" w:rsidTr="00F5680C">
        <w:trPr>
          <w:trHeight w:val="286"/>
        </w:trPr>
        <w:tc>
          <w:tcPr>
            <w:tcW w:w="906" w:type="dxa"/>
            <w:tcBorders>
              <w:top w:val="single" w:sz="4" w:space="0" w:color="17365D"/>
              <w:left w:val="nil"/>
              <w:bottom w:val="nil"/>
              <w:right w:val="nil"/>
            </w:tcBorders>
            <w:vAlign w:val="center"/>
          </w:tcPr>
          <w:p w14:paraId="335301B1" w14:textId="1BEA0EA4" w:rsidR="00A250EC" w:rsidRPr="00B36A61" w:rsidRDefault="00A250EC" w:rsidP="00A250EC">
            <w:pPr>
              <w:pStyle w:val="Pamatteksts"/>
              <w:spacing w:before="40" w:after="40"/>
              <w:ind w:firstLine="0"/>
              <w:jc w:val="left"/>
              <w:rPr>
                <w:color w:val="17365D"/>
                <w:sz w:val="20"/>
                <w:szCs w:val="20"/>
              </w:rPr>
            </w:pPr>
            <w:r w:rsidRPr="00B36A61">
              <w:rPr>
                <w:color w:val="17365D"/>
                <w:sz w:val="20"/>
                <w:szCs w:val="20"/>
              </w:rPr>
              <w:t>5.0..</w:t>
            </w:r>
          </w:p>
        </w:tc>
        <w:tc>
          <w:tcPr>
            <w:tcW w:w="2630" w:type="dxa"/>
            <w:gridSpan w:val="2"/>
            <w:tcBorders>
              <w:top w:val="single" w:sz="4" w:space="0" w:color="17365D"/>
              <w:left w:val="nil"/>
              <w:bottom w:val="nil"/>
              <w:right w:val="nil"/>
            </w:tcBorders>
            <w:shd w:val="clear" w:color="000000" w:fill="FFFFFF"/>
            <w:vAlign w:val="center"/>
          </w:tcPr>
          <w:p w14:paraId="1274B1FB" w14:textId="7D405BED" w:rsidR="00A250EC" w:rsidRPr="00B36A61" w:rsidRDefault="00A250EC" w:rsidP="00A250EC">
            <w:pPr>
              <w:pStyle w:val="Pamatteksts"/>
              <w:spacing w:before="40" w:after="40"/>
              <w:ind w:firstLine="0"/>
              <w:jc w:val="left"/>
              <w:rPr>
                <w:color w:val="17365D"/>
                <w:sz w:val="20"/>
                <w:szCs w:val="20"/>
              </w:rPr>
            </w:pPr>
            <w:r w:rsidRPr="00B36A61">
              <w:rPr>
                <w:bCs/>
                <w:color w:val="17365D"/>
                <w:sz w:val="20"/>
                <w:szCs w:val="20"/>
              </w:rPr>
              <w:t>Transferti</w:t>
            </w:r>
          </w:p>
        </w:tc>
        <w:tc>
          <w:tcPr>
            <w:tcW w:w="1503" w:type="dxa"/>
            <w:tcBorders>
              <w:top w:val="single" w:sz="4" w:space="0" w:color="17365D"/>
              <w:left w:val="nil"/>
              <w:bottom w:val="nil"/>
              <w:right w:val="nil"/>
            </w:tcBorders>
            <w:shd w:val="clear" w:color="000000" w:fill="FFFFFF"/>
            <w:vAlign w:val="center"/>
          </w:tcPr>
          <w:p w14:paraId="2EB2DD4F" w14:textId="3382AF85" w:rsidR="00A250EC" w:rsidRPr="00B36A61" w:rsidRDefault="00A250EC" w:rsidP="00A250EC">
            <w:pPr>
              <w:pStyle w:val="Pamatteksts"/>
              <w:spacing w:before="40" w:after="40"/>
              <w:ind w:firstLine="0"/>
              <w:jc w:val="right"/>
              <w:rPr>
                <w:bCs/>
                <w:color w:val="17365D"/>
                <w:sz w:val="20"/>
                <w:szCs w:val="20"/>
              </w:rPr>
            </w:pPr>
            <w:r w:rsidRPr="00B36A61">
              <w:rPr>
                <w:color w:val="17365D"/>
                <w:sz w:val="20"/>
                <w:szCs w:val="20"/>
              </w:rPr>
              <w:t>292 658 780</w:t>
            </w:r>
          </w:p>
        </w:tc>
        <w:tc>
          <w:tcPr>
            <w:tcW w:w="1503" w:type="dxa"/>
            <w:tcBorders>
              <w:top w:val="single" w:sz="4" w:space="0" w:color="17365D"/>
              <w:left w:val="nil"/>
              <w:bottom w:val="nil"/>
              <w:right w:val="nil"/>
            </w:tcBorders>
            <w:shd w:val="clear" w:color="auto" w:fill="auto"/>
            <w:vAlign w:val="center"/>
          </w:tcPr>
          <w:p w14:paraId="1EE0F23C" w14:textId="510124A2" w:rsidR="00A250EC" w:rsidRPr="00B36A61" w:rsidRDefault="00A250EC" w:rsidP="00A250EC">
            <w:pPr>
              <w:pStyle w:val="Pamatteksts"/>
              <w:spacing w:before="40" w:after="40"/>
              <w:ind w:firstLine="0"/>
              <w:jc w:val="right"/>
              <w:rPr>
                <w:bCs/>
                <w:color w:val="17365D"/>
                <w:sz w:val="20"/>
                <w:szCs w:val="20"/>
              </w:rPr>
            </w:pPr>
            <w:r w:rsidRPr="00B36A61">
              <w:rPr>
                <w:color w:val="17365D"/>
                <w:sz w:val="20"/>
                <w:szCs w:val="20"/>
              </w:rPr>
              <w:t>317 768 937</w:t>
            </w:r>
          </w:p>
        </w:tc>
        <w:tc>
          <w:tcPr>
            <w:tcW w:w="1655" w:type="dxa"/>
            <w:tcBorders>
              <w:top w:val="single" w:sz="4" w:space="0" w:color="17365D"/>
              <w:left w:val="nil"/>
              <w:bottom w:val="nil"/>
              <w:right w:val="nil"/>
            </w:tcBorders>
            <w:shd w:val="clear" w:color="auto" w:fill="auto"/>
            <w:vAlign w:val="bottom"/>
          </w:tcPr>
          <w:p w14:paraId="36B9B16A" w14:textId="4ABD1ADD" w:rsidR="00A250EC" w:rsidRPr="00B36A61" w:rsidRDefault="00A250EC" w:rsidP="00A250EC">
            <w:pPr>
              <w:pStyle w:val="Pamatteksts"/>
              <w:spacing w:before="40" w:after="40"/>
              <w:ind w:firstLine="0"/>
              <w:jc w:val="right"/>
              <w:rPr>
                <w:color w:val="17365D"/>
                <w:sz w:val="20"/>
                <w:szCs w:val="20"/>
              </w:rPr>
            </w:pPr>
            <w:r w:rsidRPr="00B36A61">
              <w:rPr>
                <w:color w:val="17365D"/>
                <w:sz w:val="20"/>
                <w:szCs w:val="20"/>
              </w:rPr>
              <w:t>-25 110 157</w:t>
            </w:r>
          </w:p>
        </w:tc>
        <w:tc>
          <w:tcPr>
            <w:tcW w:w="1191" w:type="dxa"/>
            <w:tcBorders>
              <w:top w:val="single" w:sz="4" w:space="0" w:color="17365D"/>
              <w:left w:val="nil"/>
              <w:bottom w:val="nil"/>
              <w:right w:val="nil"/>
            </w:tcBorders>
            <w:shd w:val="clear" w:color="auto" w:fill="auto"/>
            <w:vAlign w:val="bottom"/>
          </w:tcPr>
          <w:p w14:paraId="0CD807E4" w14:textId="010EBEF8" w:rsidR="00A250EC" w:rsidRPr="00B36A61" w:rsidRDefault="00A250EC" w:rsidP="00A250EC">
            <w:pPr>
              <w:pStyle w:val="Pamatteksts"/>
              <w:spacing w:before="40" w:after="40"/>
              <w:ind w:firstLine="0"/>
              <w:jc w:val="right"/>
              <w:rPr>
                <w:color w:val="17365D"/>
                <w:sz w:val="20"/>
                <w:szCs w:val="20"/>
              </w:rPr>
            </w:pPr>
            <w:r w:rsidRPr="00B36A61">
              <w:rPr>
                <w:color w:val="17365D"/>
                <w:sz w:val="20"/>
                <w:szCs w:val="20"/>
              </w:rPr>
              <w:t>-7.9</w:t>
            </w:r>
          </w:p>
        </w:tc>
      </w:tr>
      <w:tr w:rsidR="00B36A61" w:rsidRPr="00B36A61" w14:paraId="0FAEC777" w14:textId="77777777" w:rsidTr="00F5680C">
        <w:trPr>
          <w:cantSplit/>
          <w:trHeight w:val="286"/>
        </w:trPr>
        <w:tc>
          <w:tcPr>
            <w:tcW w:w="914" w:type="dxa"/>
            <w:gridSpan w:val="2"/>
            <w:tcBorders>
              <w:top w:val="nil"/>
              <w:left w:val="nil"/>
              <w:bottom w:val="nil"/>
              <w:right w:val="nil"/>
            </w:tcBorders>
            <w:shd w:val="clear" w:color="auto" w:fill="B9CDE5"/>
            <w:vAlign w:val="center"/>
          </w:tcPr>
          <w:p w14:paraId="0DCEF99D" w14:textId="77777777" w:rsidR="00D766AE" w:rsidRPr="00B36A61" w:rsidRDefault="00D766AE" w:rsidP="00661881">
            <w:pPr>
              <w:pStyle w:val="Pamatteksts"/>
              <w:spacing w:before="40" w:after="40"/>
              <w:ind w:firstLine="0"/>
              <w:jc w:val="left"/>
              <w:rPr>
                <w:color w:val="17365D"/>
                <w:sz w:val="20"/>
                <w:szCs w:val="20"/>
              </w:rPr>
            </w:pPr>
          </w:p>
        </w:tc>
        <w:tc>
          <w:tcPr>
            <w:tcW w:w="2621" w:type="dxa"/>
            <w:tcBorders>
              <w:top w:val="nil"/>
              <w:left w:val="nil"/>
              <w:bottom w:val="nil"/>
              <w:right w:val="nil"/>
            </w:tcBorders>
            <w:shd w:val="clear" w:color="auto" w:fill="B9CDE5"/>
            <w:vAlign w:val="center"/>
          </w:tcPr>
          <w:p w14:paraId="584AC431" w14:textId="77777777" w:rsidR="00D766AE" w:rsidRPr="00B36A61" w:rsidRDefault="00D766AE" w:rsidP="00661881">
            <w:pPr>
              <w:pStyle w:val="Pamatteksts"/>
              <w:spacing w:before="40" w:after="40"/>
              <w:ind w:firstLine="0"/>
              <w:rPr>
                <w:bCs/>
                <w:color w:val="17365D"/>
                <w:sz w:val="20"/>
                <w:szCs w:val="20"/>
              </w:rPr>
            </w:pPr>
          </w:p>
        </w:tc>
        <w:tc>
          <w:tcPr>
            <w:tcW w:w="1503" w:type="dxa"/>
            <w:tcBorders>
              <w:top w:val="nil"/>
              <w:left w:val="nil"/>
              <w:bottom w:val="nil"/>
              <w:right w:val="nil"/>
            </w:tcBorders>
            <w:shd w:val="clear" w:color="auto" w:fill="B9CDE5"/>
            <w:vAlign w:val="center"/>
          </w:tcPr>
          <w:p w14:paraId="47556291" w14:textId="77777777" w:rsidR="00D766AE" w:rsidRPr="00B36A61" w:rsidRDefault="00D766AE" w:rsidP="00661881">
            <w:pPr>
              <w:pStyle w:val="Pamatteksts"/>
              <w:spacing w:before="40" w:after="40"/>
              <w:ind w:firstLine="0"/>
              <w:jc w:val="right"/>
              <w:rPr>
                <w:bCs/>
                <w:color w:val="17365D"/>
                <w:sz w:val="20"/>
                <w:szCs w:val="20"/>
              </w:rPr>
            </w:pPr>
          </w:p>
        </w:tc>
        <w:tc>
          <w:tcPr>
            <w:tcW w:w="1503" w:type="dxa"/>
            <w:tcBorders>
              <w:top w:val="nil"/>
              <w:left w:val="nil"/>
              <w:bottom w:val="nil"/>
              <w:right w:val="nil"/>
            </w:tcBorders>
            <w:shd w:val="clear" w:color="auto" w:fill="B9CDE5"/>
            <w:vAlign w:val="center"/>
          </w:tcPr>
          <w:p w14:paraId="31B33B8E" w14:textId="77777777" w:rsidR="00D766AE" w:rsidRPr="00B36A61" w:rsidRDefault="00D766AE" w:rsidP="00661881">
            <w:pPr>
              <w:pStyle w:val="Pamatteksts"/>
              <w:spacing w:before="40" w:after="40"/>
              <w:ind w:firstLine="0"/>
              <w:jc w:val="right"/>
              <w:rPr>
                <w:bCs/>
                <w:color w:val="17365D"/>
                <w:sz w:val="20"/>
                <w:szCs w:val="20"/>
              </w:rPr>
            </w:pPr>
          </w:p>
        </w:tc>
        <w:tc>
          <w:tcPr>
            <w:tcW w:w="1655" w:type="dxa"/>
            <w:tcBorders>
              <w:top w:val="nil"/>
              <w:left w:val="nil"/>
              <w:bottom w:val="nil"/>
              <w:right w:val="nil"/>
            </w:tcBorders>
            <w:shd w:val="clear" w:color="auto" w:fill="B9CDE5"/>
            <w:vAlign w:val="center"/>
          </w:tcPr>
          <w:p w14:paraId="4400791F" w14:textId="77777777" w:rsidR="00D766AE" w:rsidRPr="00B36A61" w:rsidRDefault="00D766AE" w:rsidP="00661881">
            <w:pPr>
              <w:pStyle w:val="Pamatteksts"/>
              <w:spacing w:before="60" w:after="60"/>
              <w:ind w:left="-107" w:right="-105" w:firstLine="0"/>
              <w:jc w:val="right"/>
              <w:rPr>
                <w:bCs/>
                <w:color w:val="17365D"/>
                <w:sz w:val="20"/>
                <w:szCs w:val="20"/>
              </w:rPr>
            </w:pPr>
          </w:p>
        </w:tc>
        <w:tc>
          <w:tcPr>
            <w:tcW w:w="1191" w:type="dxa"/>
            <w:tcBorders>
              <w:top w:val="nil"/>
              <w:left w:val="nil"/>
              <w:bottom w:val="nil"/>
              <w:right w:val="nil"/>
            </w:tcBorders>
            <w:shd w:val="clear" w:color="auto" w:fill="B9CDE5"/>
            <w:vAlign w:val="center"/>
          </w:tcPr>
          <w:p w14:paraId="61337F7D" w14:textId="77777777" w:rsidR="00D766AE" w:rsidRPr="00B36A61" w:rsidRDefault="00D766AE" w:rsidP="00661881">
            <w:pPr>
              <w:pStyle w:val="Pamatteksts"/>
              <w:spacing w:before="40" w:after="40"/>
              <w:ind w:firstLine="0"/>
              <w:jc w:val="right"/>
              <w:rPr>
                <w:bCs/>
                <w:color w:val="17365D"/>
                <w:sz w:val="20"/>
                <w:szCs w:val="20"/>
              </w:rPr>
            </w:pPr>
          </w:p>
        </w:tc>
      </w:tr>
    </w:tbl>
    <w:p w14:paraId="038BB1BF" w14:textId="662F5826" w:rsidR="0099642C" w:rsidRPr="00B36A61" w:rsidRDefault="0099642C" w:rsidP="00413AE2">
      <w:pPr>
        <w:pStyle w:val="Pamatteksts"/>
        <w:ind w:firstLine="0"/>
        <w:rPr>
          <w:noProof w:val="0"/>
          <w:color w:val="17365D"/>
        </w:rPr>
      </w:pPr>
    </w:p>
    <w:p w14:paraId="192970B0" w14:textId="77777777" w:rsidR="00F5680C" w:rsidRPr="00B36A61" w:rsidRDefault="00F5680C" w:rsidP="00F5680C">
      <w:pPr>
        <w:pStyle w:val="Pamatteksts"/>
        <w:rPr>
          <w:color w:val="17365D"/>
        </w:rPr>
      </w:pPr>
      <w:bookmarkStart w:id="0" w:name="_Toc72747283"/>
      <w:r w:rsidRPr="00B36A61">
        <w:rPr>
          <w:color w:val="17365D"/>
        </w:rPr>
        <w:t>Būtiskas izmaiņas veidojas:</w:t>
      </w:r>
    </w:p>
    <w:p w14:paraId="65D4D625" w14:textId="77777777" w:rsidR="00F5680C" w:rsidRPr="00B36A61" w:rsidRDefault="00F5680C" w:rsidP="00F5680C">
      <w:pPr>
        <w:pStyle w:val="Pamatteksts"/>
        <w:rPr>
          <w:noProof w:val="0"/>
          <w:color w:val="17365D"/>
        </w:rPr>
      </w:pPr>
      <w:r w:rsidRPr="00B36A61">
        <w:rPr>
          <w:noProof w:val="0"/>
          <w:color w:val="17365D"/>
          <w:u w:val="single"/>
        </w:rPr>
        <w:t>postenim “Nodokļu ieņēmumi”</w:t>
      </w:r>
      <w:r w:rsidRPr="00B36A61">
        <w:rPr>
          <w:noProof w:val="0"/>
          <w:color w:val="17365D"/>
        </w:rPr>
        <w:t xml:space="preserve"> – ieņēmumi ir 3 539,5</w:t>
      </w:r>
      <w:r w:rsidRPr="00B36A61">
        <w:rPr>
          <w:color w:val="17365D"/>
        </w:rPr>
        <w:t xml:space="preserve"> </w:t>
      </w:r>
      <w:r w:rsidRPr="00B36A61">
        <w:rPr>
          <w:noProof w:val="0"/>
          <w:color w:val="17365D"/>
        </w:rPr>
        <w:t xml:space="preserve">milj. </w:t>
      </w:r>
      <w:r w:rsidRPr="00B36A61">
        <w:rPr>
          <w:i/>
          <w:noProof w:val="0"/>
          <w:color w:val="17365D"/>
        </w:rPr>
        <w:t>euro</w:t>
      </w:r>
      <w:r w:rsidRPr="00B36A61">
        <w:rPr>
          <w:noProof w:val="0"/>
          <w:color w:val="17365D"/>
        </w:rPr>
        <w:t xml:space="preserve"> vērtībā, kas ir par 521,5 milj</w:t>
      </w:r>
      <w:r w:rsidRPr="00B36A61">
        <w:rPr>
          <w:i/>
          <w:noProof w:val="0"/>
          <w:color w:val="17365D"/>
        </w:rPr>
        <w:t>. euro</w:t>
      </w:r>
      <w:r w:rsidRPr="00B36A61">
        <w:rPr>
          <w:noProof w:val="0"/>
          <w:color w:val="17365D"/>
        </w:rPr>
        <w:t xml:space="preserve"> jeb 17,3 % vairāk nekā 2021. gadā. Uzlabojoties epidemioloģiskajai situācijai, pakāpeniski atjaunojās arī ekonomiskā aktivitāte darba tirgū, jo pieauga nodarbināto skaits un palielinājās ieņēmumi, kas ietekmēja valsts sociālās apdrošināšanas obligāto iemaksu pieaugums.</w:t>
      </w:r>
    </w:p>
    <w:p w14:paraId="27A14363" w14:textId="7271527C" w:rsidR="00835B0B" w:rsidRPr="00B36A61" w:rsidRDefault="000A68BF" w:rsidP="00630F31">
      <w:pPr>
        <w:pStyle w:val="Pamatteksts"/>
        <w:rPr>
          <w:noProof w:val="0"/>
          <w:color w:val="17365D"/>
        </w:rPr>
      </w:pPr>
      <w:r w:rsidRPr="00B36A61">
        <w:rPr>
          <w:color w:val="17365D"/>
          <w:u w:val="single"/>
        </w:rPr>
        <mc:AlternateContent>
          <mc:Choice Requires="wps">
            <w:drawing>
              <wp:anchor distT="0" distB="0" distL="114300" distR="114300" simplePos="0" relativeHeight="251650560" behindDoc="1" locked="0" layoutInCell="1" allowOverlap="1" wp14:anchorId="3ED8E55F" wp14:editId="19037A24">
                <wp:simplePos x="0" y="0"/>
                <wp:positionH relativeFrom="column">
                  <wp:posOffset>4262755</wp:posOffset>
                </wp:positionH>
                <wp:positionV relativeFrom="paragraph">
                  <wp:posOffset>26670</wp:posOffset>
                </wp:positionV>
                <wp:extent cx="1680845" cy="1009650"/>
                <wp:effectExtent l="0" t="0" r="14605" b="19050"/>
                <wp:wrapThrough wrapText="bothSides">
                  <wp:wrapPolygon edited="0">
                    <wp:start x="0" y="0"/>
                    <wp:lineTo x="0" y="21600"/>
                    <wp:lineTo x="21543" y="21600"/>
                    <wp:lineTo x="21543" y="0"/>
                    <wp:lineTo x="0" y="0"/>
                  </wp:wrapPolygon>
                </wp:wrapThrough>
                <wp:docPr id="34" name="Rectangle 34"/>
                <wp:cNvGraphicFramePr/>
                <a:graphic xmlns:a="http://schemas.openxmlformats.org/drawingml/2006/main">
                  <a:graphicData uri="http://schemas.microsoft.com/office/word/2010/wordprocessingShape">
                    <wps:wsp>
                      <wps:cNvSpPr/>
                      <wps:spPr>
                        <a:xfrm>
                          <a:off x="0" y="0"/>
                          <a:ext cx="1680845" cy="1009650"/>
                        </a:xfrm>
                        <a:prstGeom prst="rect">
                          <a:avLst/>
                        </a:prstGeom>
                        <a:solidFill>
                          <a:sysClr val="window" lastClr="FFFFFF"/>
                        </a:solidFill>
                        <a:ln w="25400" cap="flat" cmpd="sng" algn="ctr">
                          <a:solidFill>
                            <a:srgbClr val="17365D"/>
                          </a:solidFill>
                          <a:prstDash val="sysDot"/>
                        </a:ln>
                        <a:effectLst/>
                      </wps:spPr>
                      <wps:txbx>
                        <w:txbxContent>
                          <w:p w14:paraId="38A2D80E" w14:textId="4430A991" w:rsidR="00B36A61" w:rsidRPr="00815A40" w:rsidRDefault="00B36A61" w:rsidP="004B1D14">
                            <w:pPr>
                              <w:ind w:firstLine="0"/>
                              <w:jc w:val="center"/>
                              <w:rPr>
                                <w:color w:val="17365D"/>
                              </w:rPr>
                            </w:pPr>
                            <w:r w:rsidRPr="00815A40">
                              <w:rPr>
                                <w:color w:val="17365D"/>
                              </w:rPr>
                              <w:t>Valsts speciālā budžeta izdevumi</w:t>
                            </w:r>
                            <w:r w:rsidRPr="00815A40">
                              <w:rPr>
                                <w:rFonts w:eastAsiaTheme="minorHAnsi"/>
                                <w:color w:val="17365D"/>
                                <w:lang w:eastAsia="en-US"/>
                              </w:rPr>
                              <w:t xml:space="preserve"> </w:t>
                            </w:r>
                            <w:r w:rsidRPr="00815A40">
                              <w:rPr>
                                <w:color w:val="17365D"/>
                              </w:rPr>
                              <w:t>–</w:t>
                            </w:r>
                          </w:p>
                          <w:p w14:paraId="5A476A66" w14:textId="0CE27592" w:rsidR="00B36A61" w:rsidRPr="00815A40" w:rsidRDefault="00B36A61" w:rsidP="004B1D14">
                            <w:pPr>
                              <w:ind w:firstLine="0"/>
                              <w:jc w:val="center"/>
                              <w:rPr>
                                <w:color w:val="17365D"/>
                              </w:rPr>
                            </w:pPr>
                            <w:r w:rsidRPr="009A25F9">
                              <w:rPr>
                                <w:b/>
                                <w:bCs/>
                                <w:color w:val="17365D"/>
                              </w:rPr>
                              <w:t>3</w:t>
                            </w:r>
                            <w:r>
                              <w:rPr>
                                <w:b/>
                                <w:bCs/>
                                <w:color w:val="17365D"/>
                              </w:rPr>
                              <w:t xml:space="preserve"> </w:t>
                            </w:r>
                            <w:r w:rsidRPr="009A25F9">
                              <w:rPr>
                                <w:b/>
                                <w:bCs/>
                                <w:color w:val="17365D"/>
                              </w:rPr>
                              <w:t>589</w:t>
                            </w:r>
                            <w:r>
                              <w:rPr>
                                <w:b/>
                                <w:bCs/>
                                <w:color w:val="17365D"/>
                              </w:rPr>
                              <w:t xml:space="preserve"> </w:t>
                            </w:r>
                            <w:r w:rsidRPr="009A25F9">
                              <w:rPr>
                                <w:b/>
                                <w:bCs/>
                                <w:color w:val="17365D"/>
                              </w:rPr>
                              <w:t>630</w:t>
                            </w:r>
                            <w:r>
                              <w:rPr>
                                <w:b/>
                                <w:bCs/>
                                <w:color w:val="17365D"/>
                              </w:rPr>
                              <w:t> </w:t>
                            </w:r>
                            <w:r w:rsidRPr="009A25F9">
                              <w:rPr>
                                <w:b/>
                                <w:bCs/>
                                <w:color w:val="17365D"/>
                              </w:rPr>
                              <w:t>480</w:t>
                            </w:r>
                            <w:r>
                              <w:rPr>
                                <w:b/>
                                <w:bCs/>
                                <w:color w:val="17365D"/>
                              </w:rPr>
                              <w:t xml:space="preserve">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D8E55F" id="Rectangle 34" o:spid="_x0000_s1031" style="position:absolute;left:0;text-align:left;margin-left:335.65pt;margin-top:2.1pt;width:132.35pt;height:7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" fillcolor="window" strokecolor="#17365d" strokeweight="2pt">
                <v:stroke dashstyle="1 1"/>
                <v:textbox>
                  <w:txbxContent>
                    <w:p w14:paraId="38A2D80E" w14:textId="4430A991" w:rsidR="00B36A61" w:rsidRPr="00815A40" w:rsidRDefault="00B36A61" w:rsidP="004B1D14">
                      <w:pPr>
                        <w:ind w:firstLine="0"/>
                        <w:jc w:val="center"/>
                        <w:rPr>
                          <w:color w:val="17365D"/>
                        </w:rPr>
                      </w:pPr>
                      <w:r w:rsidRPr="00815A40">
                        <w:rPr>
                          <w:color w:val="17365D"/>
                        </w:rPr>
                        <w:t>Valsts speciālā budžeta izdevumi</w:t>
                      </w:r>
                      <w:r w:rsidRPr="00815A40">
                        <w:rPr>
                          <w:rFonts w:eastAsiaTheme="minorHAnsi"/>
                          <w:color w:val="17365D"/>
                          <w:lang w:eastAsia="en-US"/>
                        </w:rPr>
                        <w:t xml:space="preserve"> </w:t>
                      </w:r>
                      <w:r w:rsidRPr="00815A40">
                        <w:rPr>
                          <w:color w:val="17365D"/>
                        </w:rPr>
                        <w:t>–</w:t>
                      </w:r>
                    </w:p>
                    <w:p w14:paraId="5A476A66" w14:textId="0CE27592" w:rsidR="00B36A61" w:rsidRPr="00815A40" w:rsidRDefault="00B36A61" w:rsidP="004B1D14">
                      <w:pPr>
                        <w:ind w:firstLine="0"/>
                        <w:jc w:val="center"/>
                        <w:rPr>
                          <w:color w:val="17365D"/>
                        </w:rPr>
                      </w:pPr>
                      <w:r w:rsidRPr="009A25F9">
                        <w:rPr>
                          <w:b/>
                          <w:bCs/>
                          <w:color w:val="17365D"/>
                        </w:rPr>
                        <w:t>3</w:t>
                      </w:r>
                      <w:r>
                        <w:rPr>
                          <w:b/>
                          <w:bCs/>
                          <w:color w:val="17365D"/>
                        </w:rPr>
                        <w:t xml:space="preserve"> </w:t>
                      </w:r>
                      <w:r w:rsidRPr="009A25F9">
                        <w:rPr>
                          <w:b/>
                          <w:bCs/>
                          <w:color w:val="17365D"/>
                        </w:rPr>
                        <w:t>589</w:t>
                      </w:r>
                      <w:r>
                        <w:rPr>
                          <w:b/>
                          <w:bCs/>
                          <w:color w:val="17365D"/>
                        </w:rPr>
                        <w:t xml:space="preserve"> </w:t>
                      </w:r>
                      <w:r w:rsidRPr="009A25F9">
                        <w:rPr>
                          <w:b/>
                          <w:bCs/>
                          <w:color w:val="17365D"/>
                        </w:rPr>
                        <w:t>630</w:t>
                      </w:r>
                      <w:r>
                        <w:rPr>
                          <w:b/>
                          <w:bCs/>
                          <w:color w:val="17365D"/>
                        </w:rPr>
                        <w:t> </w:t>
                      </w:r>
                      <w:r w:rsidRPr="009A25F9">
                        <w:rPr>
                          <w:b/>
                          <w:bCs/>
                          <w:color w:val="17365D"/>
                        </w:rPr>
                        <w:t>480</w:t>
                      </w:r>
                      <w:r>
                        <w:rPr>
                          <w:b/>
                          <w:bCs/>
                          <w:color w:val="17365D"/>
                        </w:rPr>
                        <w:t xml:space="preserve"> </w:t>
                      </w:r>
                      <w:r w:rsidRPr="00815A40">
                        <w:rPr>
                          <w:i/>
                          <w:color w:val="17365D"/>
                        </w:rPr>
                        <w:t>euro</w:t>
                      </w:r>
                    </w:p>
                  </w:txbxContent>
                </v:textbox>
                <w10:wrap type="through"/>
              </v:rect>
            </w:pict>
          </mc:Fallback>
        </mc:AlternateContent>
      </w:r>
      <w:r w:rsidR="008A1D5C" w:rsidRPr="00B36A61">
        <w:rPr>
          <w:bCs/>
          <w:noProof w:val="0"/>
          <w:color w:val="17365D"/>
          <w:u w:val="single"/>
        </w:rPr>
        <w:t>Valsts speciālā budžeta</w:t>
      </w:r>
      <w:r w:rsidR="00B26141" w:rsidRPr="00B36A61">
        <w:rPr>
          <w:bCs/>
          <w:noProof w:val="0"/>
          <w:color w:val="17365D"/>
          <w:u w:val="single"/>
        </w:rPr>
        <w:t xml:space="preserve"> </w:t>
      </w:r>
      <w:r w:rsidR="00E01A43" w:rsidRPr="00B36A61">
        <w:rPr>
          <w:bCs/>
          <w:noProof w:val="0"/>
          <w:color w:val="17365D"/>
          <w:u w:val="single"/>
        </w:rPr>
        <w:t>izdevumi</w:t>
      </w:r>
      <w:r w:rsidR="008A1D5C" w:rsidRPr="00B36A61">
        <w:rPr>
          <w:noProof w:val="0"/>
          <w:color w:val="17365D"/>
        </w:rPr>
        <w:t xml:space="preserve"> </w:t>
      </w:r>
      <w:r w:rsidR="00E01A43" w:rsidRPr="00B36A61">
        <w:rPr>
          <w:noProof w:val="0"/>
          <w:color w:val="17365D"/>
        </w:rPr>
        <w:t>20</w:t>
      </w:r>
      <w:r w:rsidR="00612EF5" w:rsidRPr="00B36A61">
        <w:rPr>
          <w:noProof w:val="0"/>
          <w:color w:val="17365D"/>
        </w:rPr>
        <w:t>2</w:t>
      </w:r>
      <w:r w:rsidR="009A25F9" w:rsidRPr="00B36A61">
        <w:rPr>
          <w:noProof w:val="0"/>
          <w:color w:val="17365D"/>
        </w:rPr>
        <w:t>2</w:t>
      </w:r>
      <w:r w:rsidR="00E01A43" w:rsidRPr="00B36A61">
        <w:rPr>
          <w:noProof w:val="0"/>
          <w:color w:val="17365D"/>
        </w:rPr>
        <w:t xml:space="preserve">. gadā </w:t>
      </w:r>
      <w:r w:rsidR="005A73EA" w:rsidRPr="00B36A61">
        <w:rPr>
          <w:noProof w:val="0"/>
          <w:color w:val="17365D"/>
        </w:rPr>
        <w:t>sasniedza</w:t>
      </w:r>
      <w:r w:rsidR="0099642C" w:rsidRPr="00B36A61">
        <w:rPr>
          <w:noProof w:val="0"/>
          <w:color w:val="17365D"/>
        </w:rPr>
        <w:t xml:space="preserve"> </w:t>
      </w:r>
      <w:r w:rsidR="00436B08" w:rsidRPr="00B36A61">
        <w:rPr>
          <w:noProof w:val="0"/>
          <w:color w:val="17365D"/>
        </w:rPr>
        <w:t>3</w:t>
      </w:r>
      <w:r w:rsidR="0099642C" w:rsidRPr="00B36A61">
        <w:rPr>
          <w:noProof w:val="0"/>
          <w:color w:val="17365D"/>
        </w:rPr>
        <w:t> </w:t>
      </w:r>
      <w:r w:rsidR="009A25F9" w:rsidRPr="00B36A61">
        <w:rPr>
          <w:noProof w:val="0"/>
          <w:color w:val="17365D"/>
        </w:rPr>
        <w:t>589</w:t>
      </w:r>
      <w:r w:rsidR="0099642C" w:rsidRPr="00B36A61">
        <w:rPr>
          <w:noProof w:val="0"/>
          <w:color w:val="17365D"/>
        </w:rPr>
        <w:t>,</w:t>
      </w:r>
      <w:r w:rsidR="00AE4765" w:rsidRPr="00B36A61">
        <w:rPr>
          <w:noProof w:val="0"/>
          <w:color w:val="17365D"/>
        </w:rPr>
        <w:t>6</w:t>
      </w:r>
      <w:r w:rsidR="0099642C" w:rsidRPr="00B36A61">
        <w:rPr>
          <w:noProof w:val="0"/>
          <w:color w:val="17365D"/>
        </w:rPr>
        <w:t> milj. </w:t>
      </w:r>
      <w:r w:rsidR="0099642C" w:rsidRPr="00B36A61">
        <w:rPr>
          <w:i/>
          <w:noProof w:val="0"/>
          <w:color w:val="17365D"/>
        </w:rPr>
        <w:t>euro,</w:t>
      </w:r>
      <w:r w:rsidR="0099642C" w:rsidRPr="00B36A61">
        <w:rPr>
          <w:noProof w:val="0"/>
          <w:color w:val="17365D"/>
        </w:rPr>
        <w:t xml:space="preserve"> kas salīdzinājumā ar 20</w:t>
      </w:r>
      <w:r w:rsidR="00436B08" w:rsidRPr="00B36A61">
        <w:rPr>
          <w:noProof w:val="0"/>
          <w:color w:val="17365D"/>
        </w:rPr>
        <w:t>2</w:t>
      </w:r>
      <w:r w:rsidR="009A25F9" w:rsidRPr="00B36A61">
        <w:rPr>
          <w:noProof w:val="0"/>
          <w:color w:val="17365D"/>
        </w:rPr>
        <w:t>1</w:t>
      </w:r>
      <w:r w:rsidR="0099642C" w:rsidRPr="00B36A61">
        <w:rPr>
          <w:noProof w:val="0"/>
          <w:color w:val="17365D"/>
        </w:rPr>
        <w:t xml:space="preserve">. gadu ir par </w:t>
      </w:r>
      <w:r w:rsidR="009A25F9" w:rsidRPr="00B36A61">
        <w:rPr>
          <w:noProof w:val="0"/>
          <w:color w:val="17365D"/>
        </w:rPr>
        <w:t>380</w:t>
      </w:r>
      <w:r w:rsidR="0099642C" w:rsidRPr="00B36A61">
        <w:rPr>
          <w:noProof w:val="0"/>
          <w:color w:val="17365D"/>
        </w:rPr>
        <w:t>,</w:t>
      </w:r>
      <w:r w:rsidR="009A25F9" w:rsidRPr="00B36A61">
        <w:rPr>
          <w:noProof w:val="0"/>
          <w:color w:val="17365D"/>
        </w:rPr>
        <w:t>0</w:t>
      </w:r>
      <w:r w:rsidR="00D267F1" w:rsidRPr="00B36A61">
        <w:rPr>
          <w:noProof w:val="0"/>
          <w:color w:val="17365D"/>
        </w:rPr>
        <w:t> </w:t>
      </w:r>
      <w:r w:rsidR="0099642C" w:rsidRPr="00B36A61">
        <w:rPr>
          <w:noProof w:val="0"/>
          <w:color w:val="17365D"/>
        </w:rPr>
        <w:t xml:space="preserve">milj. </w:t>
      </w:r>
      <w:r w:rsidR="0099642C" w:rsidRPr="00B36A61">
        <w:rPr>
          <w:i/>
          <w:noProof w:val="0"/>
          <w:color w:val="17365D"/>
        </w:rPr>
        <w:t>euro</w:t>
      </w:r>
      <w:r w:rsidR="0099642C" w:rsidRPr="00B36A61">
        <w:rPr>
          <w:noProof w:val="0"/>
          <w:color w:val="17365D"/>
        </w:rPr>
        <w:t xml:space="preserve"> jeb </w:t>
      </w:r>
      <w:r w:rsidR="009A25F9" w:rsidRPr="00B36A61">
        <w:rPr>
          <w:noProof w:val="0"/>
          <w:color w:val="17365D"/>
        </w:rPr>
        <w:t>11</w:t>
      </w:r>
      <w:r w:rsidR="0099642C" w:rsidRPr="00B36A61">
        <w:rPr>
          <w:noProof w:val="0"/>
          <w:color w:val="17365D"/>
        </w:rPr>
        <w:t>,</w:t>
      </w:r>
      <w:r w:rsidR="009A25F9" w:rsidRPr="00B36A61">
        <w:rPr>
          <w:noProof w:val="0"/>
          <w:color w:val="17365D"/>
        </w:rPr>
        <w:t>8</w:t>
      </w:r>
      <w:r w:rsidR="00D267F1" w:rsidRPr="00B36A61">
        <w:rPr>
          <w:noProof w:val="0"/>
          <w:color w:val="17365D"/>
        </w:rPr>
        <w:t> </w:t>
      </w:r>
      <w:r w:rsidR="006271FE" w:rsidRPr="00B36A61">
        <w:rPr>
          <w:noProof w:val="0"/>
          <w:color w:val="17365D"/>
        </w:rPr>
        <w:t xml:space="preserve">% vairāk, bet </w:t>
      </w:r>
      <w:r w:rsidR="0099642C" w:rsidRPr="00B36A61">
        <w:rPr>
          <w:noProof w:val="0"/>
          <w:color w:val="17365D"/>
        </w:rPr>
        <w:t>s</w:t>
      </w:r>
      <w:r w:rsidR="00E01A43" w:rsidRPr="00B36A61">
        <w:rPr>
          <w:noProof w:val="0"/>
          <w:color w:val="17365D"/>
        </w:rPr>
        <w:t xml:space="preserve">alīdzinājumā ar plānu </w:t>
      </w:r>
      <w:r w:rsidR="008A1D5C" w:rsidRPr="00B36A61">
        <w:rPr>
          <w:noProof w:val="0"/>
          <w:color w:val="17365D"/>
        </w:rPr>
        <w:t xml:space="preserve">izlietoti </w:t>
      </w:r>
      <w:r w:rsidR="0099642C" w:rsidRPr="00B36A61">
        <w:rPr>
          <w:noProof w:val="0"/>
          <w:color w:val="17365D"/>
        </w:rPr>
        <w:t>99</w:t>
      </w:r>
      <w:r w:rsidR="008A1D5C" w:rsidRPr="00B36A61">
        <w:rPr>
          <w:noProof w:val="0"/>
          <w:color w:val="17365D"/>
        </w:rPr>
        <w:t>,</w:t>
      </w:r>
      <w:r w:rsidR="009A25F9" w:rsidRPr="00B36A61">
        <w:rPr>
          <w:noProof w:val="0"/>
          <w:color w:val="17365D"/>
        </w:rPr>
        <w:t>3</w:t>
      </w:r>
      <w:r w:rsidR="006A7956" w:rsidRPr="00B36A61">
        <w:rPr>
          <w:noProof w:val="0"/>
          <w:color w:val="17365D"/>
        </w:rPr>
        <w:t> %</w:t>
      </w:r>
      <w:r w:rsidR="00E01A43" w:rsidRPr="00B36A61">
        <w:rPr>
          <w:noProof w:val="0"/>
          <w:color w:val="17365D"/>
        </w:rPr>
        <w:t xml:space="preserve"> apmērā</w:t>
      </w:r>
      <w:r w:rsidR="0099642C" w:rsidRPr="00B36A61">
        <w:rPr>
          <w:noProof w:val="0"/>
          <w:color w:val="17365D"/>
        </w:rPr>
        <w:t>.</w:t>
      </w:r>
      <w:r w:rsidR="00E01A43" w:rsidRPr="00B36A61">
        <w:rPr>
          <w:noProof w:val="0"/>
          <w:color w:val="17365D"/>
        </w:rPr>
        <w:t xml:space="preserve"> </w:t>
      </w:r>
      <w:r w:rsidR="00413AE2" w:rsidRPr="00B36A61">
        <w:rPr>
          <w:noProof w:val="0"/>
          <w:color w:val="17365D"/>
        </w:rPr>
        <w:t xml:space="preserve">(skatīt </w:t>
      </w:r>
      <w:r w:rsidR="00026D5A" w:rsidRPr="00B36A61">
        <w:rPr>
          <w:noProof w:val="0"/>
          <w:color w:val="17365D"/>
        </w:rPr>
        <w:t>5</w:t>
      </w:r>
      <w:r w:rsidR="00413AE2" w:rsidRPr="00B36A61">
        <w:rPr>
          <w:noProof w:val="0"/>
          <w:color w:val="17365D"/>
        </w:rPr>
        <w:t>.</w:t>
      </w:r>
      <w:r w:rsidR="00395AC6" w:rsidRPr="00B36A61">
        <w:rPr>
          <w:noProof w:val="0"/>
          <w:color w:val="17365D"/>
        </w:rPr>
        <w:t> </w:t>
      </w:r>
      <w:r w:rsidR="00151D04" w:rsidRPr="00B36A61">
        <w:rPr>
          <w:noProof w:val="0"/>
          <w:color w:val="17365D"/>
        </w:rPr>
        <w:t>tabulu).</w:t>
      </w:r>
      <w:r w:rsidR="00413AE2" w:rsidRPr="00B36A61">
        <w:rPr>
          <w:noProof w:val="0"/>
          <w:color w:val="17365D"/>
        </w:rPr>
        <w:t xml:space="preserve"> </w:t>
      </w:r>
      <w:r w:rsidR="00151D04" w:rsidRPr="00B36A61">
        <w:rPr>
          <w:noProof w:val="0"/>
          <w:color w:val="17365D"/>
        </w:rPr>
        <w:t>I</w:t>
      </w:r>
      <w:r w:rsidR="0099642C" w:rsidRPr="00B36A61">
        <w:rPr>
          <w:noProof w:val="0"/>
          <w:color w:val="17365D"/>
        </w:rPr>
        <w:t>zdevumu pieaugum</w:t>
      </w:r>
      <w:r w:rsidR="00413AE2" w:rsidRPr="00B36A61">
        <w:rPr>
          <w:noProof w:val="0"/>
          <w:color w:val="17365D"/>
        </w:rPr>
        <w:t>s</w:t>
      </w:r>
      <w:r w:rsidR="0099642C" w:rsidRPr="00B36A61">
        <w:rPr>
          <w:noProof w:val="0"/>
          <w:color w:val="17365D"/>
        </w:rPr>
        <w:t xml:space="preserve"> </w:t>
      </w:r>
      <w:r w:rsidR="00E75990" w:rsidRPr="00B36A61">
        <w:rPr>
          <w:noProof w:val="0"/>
          <w:color w:val="17365D"/>
        </w:rPr>
        <w:t xml:space="preserve">saistīts ar </w:t>
      </w:r>
      <w:r w:rsidR="00630F31" w:rsidRPr="00B36A61">
        <w:rPr>
          <w:noProof w:val="0"/>
          <w:color w:val="17365D"/>
        </w:rPr>
        <w:t>pensiju indeksāciju 202</w:t>
      </w:r>
      <w:r w:rsidR="009A25F9" w:rsidRPr="00B36A61">
        <w:rPr>
          <w:noProof w:val="0"/>
          <w:color w:val="17365D"/>
        </w:rPr>
        <w:t>2</w:t>
      </w:r>
      <w:r w:rsidR="00630F31" w:rsidRPr="00B36A61">
        <w:rPr>
          <w:noProof w:val="0"/>
          <w:color w:val="17365D"/>
        </w:rPr>
        <w:t>.</w:t>
      </w:r>
      <w:r w:rsidR="00034987" w:rsidRPr="00B36A61">
        <w:rPr>
          <w:noProof w:val="0"/>
          <w:color w:val="17365D"/>
        </w:rPr>
        <w:t> </w:t>
      </w:r>
      <w:r w:rsidR="00630F31" w:rsidRPr="00B36A61">
        <w:rPr>
          <w:noProof w:val="0"/>
          <w:color w:val="17365D"/>
        </w:rPr>
        <w:t xml:space="preserve">gada </w:t>
      </w:r>
      <w:r w:rsidR="009A25F9" w:rsidRPr="00B36A61">
        <w:rPr>
          <w:noProof w:val="0"/>
          <w:color w:val="17365D"/>
        </w:rPr>
        <w:t>augustā</w:t>
      </w:r>
      <w:r w:rsidR="005A73EA" w:rsidRPr="00B36A61">
        <w:rPr>
          <w:noProof w:val="0"/>
          <w:color w:val="17365D"/>
        </w:rPr>
        <w:t xml:space="preserve"> un attiecīgu pensiju un pabalstu mēneša vidējā apmēra palielināšanos.</w:t>
      </w:r>
    </w:p>
    <w:p w14:paraId="029AF4C4" w14:textId="25D1798B" w:rsidR="00835B0B" w:rsidRPr="00B36A61" w:rsidRDefault="00835B0B" w:rsidP="00835B0B">
      <w:pPr>
        <w:pStyle w:val="Pamatteksts"/>
        <w:rPr>
          <w:color w:val="17365D"/>
        </w:rPr>
      </w:pPr>
      <w:r w:rsidRPr="00B36A61">
        <w:rPr>
          <w:color w:val="17365D"/>
        </w:rPr>
        <w:t>Būtiskas izmaiņas veidojas:</w:t>
      </w:r>
    </w:p>
    <w:p w14:paraId="2A1DD1DA" w14:textId="2FD074C5" w:rsidR="00835B0B" w:rsidRPr="00B36A61" w:rsidRDefault="00835B0B" w:rsidP="00835B0B">
      <w:pPr>
        <w:pStyle w:val="Pamatteksts"/>
        <w:rPr>
          <w:noProof w:val="0"/>
          <w:color w:val="17365D"/>
        </w:rPr>
      </w:pPr>
      <w:r w:rsidRPr="00B36A61">
        <w:rPr>
          <w:noProof w:val="0"/>
          <w:color w:val="17365D"/>
          <w:u w:val="single"/>
        </w:rPr>
        <w:t>postenim “</w:t>
      </w:r>
      <w:r w:rsidRPr="00B36A61">
        <w:rPr>
          <w:bCs/>
          <w:noProof w:val="0"/>
          <w:color w:val="17365D"/>
          <w:u w:val="single"/>
        </w:rPr>
        <w:t>Subsīdijas, dotācijas un sociālie pabalsti</w:t>
      </w:r>
      <w:r w:rsidRPr="00B36A61">
        <w:rPr>
          <w:noProof w:val="0"/>
          <w:color w:val="17365D"/>
          <w:u w:val="single"/>
        </w:rPr>
        <w:t>”</w:t>
      </w:r>
      <w:r w:rsidRPr="00B36A61">
        <w:rPr>
          <w:noProof w:val="0"/>
          <w:color w:val="17365D"/>
        </w:rPr>
        <w:t xml:space="preserve"> – pārskata perioda izdevumi ir 3 559,9 milj. </w:t>
      </w:r>
      <w:r w:rsidRPr="00B36A61">
        <w:rPr>
          <w:i/>
          <w:noProof w:val="0"/>
          <w:color w:val="17365D"/>
        </w:rPr>
        <w:t>euro </w:t>
      </w:r>
      <w:r w:rsidRPr="00B36A61">
        <w:rPr>
          <w:noProof w:val="0"/>
          <w:color w:val="17365D"/>
        </w:rPr>
        <w:t>vērtībā, kas, salīdzinot ar 2021. gadu, palielinājās par 379,5 milj. </w:t>
      </w:r>
      <w:r w:rsidRPr="00B36A61">
        <w:rPr>
          <w:i/>
          <w:noProof w:val="0"/>
          <w:color w:val="17365D"/>
        </w:rPr>
        <w:t>euro</w:t>
      </w:r>
      <w:r w:rsidRPr="00B36A61">
        <w:rPr>
          <w:noProof w:val="0"/>
          <w:color w:val="17365D"/>
        </w:rPr>
        <w:t xml:space="preserve"> jeb 11,9 %. Veikti maksājumi medicīnas iestādēm par personas ārstēšanos, to aprūpi, medicīnisko un profesionālo rehabilitāciju, rehabilitācijas līdzekļu iegādi un to remontu, pavadoņu apmaksu un ārstniecības iestādes apmeklēšanai paredzēto ceļa izdevumu apmaksu;</w:t>
      </w:r>
    </w:p>
    <w:p w14:paraId="10EE6FA5" w14:textId="77777777" w:rsidR="00CB5B17" w:rsidRPr="00B36A61" w:rsidRDefault="00A07DD3" w:rsidP="00026D5A">
      <w:pPr>
        <w:pStyle w:val="Pamatteksts"/>
        <w:rPr>
          <w:noProof w:val="0"/>
          <w:color w:val="17365D"/>
        </w:rPr>
      </w:pPr>
      <w:r w:rsidRPr="00B36A61">
        <w:rPr>
          <w:noProof w:val="0"/>
          <w:color w:val="17365D"/>
        </w:rPr>
        <w:t>Valsts sociālās apdrošināšanas speciālajā budžetā sadalījumā pa programmām</w:t>
      </w:r>
      <w:r w:rsidR="00CB5B17" w:rsidRPr="00B36A61">
        <w:rPr>
          <w:noProof w:val="0"/>
          <w:color w:val="17365D"/>
        </w:rPr>
        <w:t>:</w:t>
      </w:r>
    </w:p>
    <w:p w14:paraId="397743E2" w14:textId="78B91A00" w:rsidR="00CB5B17" w:rsidRPr="00B36A61" w:rsidRDefault="00A07DD3" w:rsidP="00F5680C">
      <w:pPr>
        <w:pStyle w:val="Pamatteksts"/>
        <w:numPr>
          <w:ilvl w:val="0"/>
          <w:numId w:val="44"/>
        </w:numPr>
        <w:ind w:left="993" w:hanging="426"/>
        <w:rPr>
          <w:noProof w:val="0"/>
          <w:color w:val="17365D"/>
        </w:rPr>
      </w:pPr>
      <w:r w:rsidRPr="00B36A61">
        <w:rPr>
          <w:noProof w:val="0"/>
          <w:color w:val="17365D"/>
        </w:rPr>
        <w:t>lielāk</w:t>
      </w:r>
      <w:r w:rsidR="005A73EA" w:rsidRPr="00B36A61">
        <w:rPr>
          <w:noProof w:val="0"/>
          <w:color w:val="17365D"/>
        </w:rPr>
        <w:t>o</w:t>
      </w:r>
      <w:r w:rsidRPr="00B36A61">
        <w:rPr>
          <w:noProof w:val="0"/>
          <w:color w:val="17365D"/>
        </w:rPr>
        <w:t xml:space="preserve"> izdevumu daļ</w:t>
      </w:r>
      <w:r w:rsidR="005A73EA" w:rsidRPr="00B36A61">
        <w:rPr>
          <w:noProof w:val="0"/>
          <w:color w:val="17365D"/>
        </w:rPr>
        <w:t>u</w:t>
      </w:r>
      <w:r w:rsidRPr="00B36A61">
        <w:rPr>
          <w:noProof w:val="0"/>
          <w:color w:val="17365D"/>
        </w:rPr>
        <w:t xml:space="preserve"> 20</w:t>
      </w:r>
      <w:r w:rsidR="00607551" w:rsidRPr="00B36A61">
        <w:rPr>
          <w:noProof w:val="0"/>
          <w:color w:val="17365D"/>
        </w:rPr>
        <w:t>2</w:t>
      </w:r>
      <w:r w:rsidR="00F77DD2" w:rsidRPr="00B36A61">
        <w:rPr>
          <w:noProof w:val="0"/>
          <w:color w:val="17365D"/>
        </w:rPr>
        <w:t>2</w:t>
      </w:r>
      <w:r w:rsidRPr="00B36A61">
        <w:rPr>
          <w:noProof w:val="0"/>
          <w:color w:val="17365D"/>
        </w:rPr>
        <w:t>.</w:t>
      </w:r>
      <w:r w:rsidR="00B26141" w:rsidRPr="00B36A61">
        <w:rPr>
          <w:noProof w:val="0"/>
          <w:color w:val="17365D"/>
        </w:rPr>
        <w:t> </w:t>
      </w:r>
      <w:r w:rsidRPr="00B36A61">
        <w:rPr>
          <w:noProof w:val="0"/>
          <w:color w:val="17365D"/>
        </w:rPr>
        <w:t>gadā veidojas programma “Valst</w:t>
      </w:r>
      <w:r w:rsidR="00B26141" w:rsidRPr="00B36A61">
        <w:rPr>
          <w:noProof w:val="0"/>
          <w:color w:val="17365D"/>
        </w:rPr>
        <w:t>s pensiju speciālais budžets” 2 </w:t>
      </w:r>
      <w:r w:rsidR="00F77DD2" w:rsidRPr="00B36A61">
        <w:rPr>
          <w:noProof w:val="0"/>
          <w:color w:val="17365D"/>
        </w:rPr>
        <w:t>574</w:t>
      </w:r>
      <w:r w:rsidRPr="00B36A61">
        <w:rPr>
          <w:noProof w:val="0"/>
          <w:color w:val="17365D"/>
        </w:rPr>
        <w:t>,</w:t>
      </w:r>
      <w:r w:rsidR="00F77DD2" w:rsidRPr="00B36A61">
        <w:rPr>
          <w:noProof w:val="0"/>
          <w:color w:val="17365D"/>
        </w:rPr>
        <w:t>0</w:t>
      </w:r>
      <w:r w:rsidR="00694E66" w:rsidRPr="00B36A61">
        <w:rPr>
          <w:noProof w:val="0"/>
          <w:color w:val="17365D"/>
        </w:rPr>
        <w:t> </w:t>
      </w:r>
      <w:r w:rsidRPr="00B36A61">
        <w:rPr>
          <w:noProof w:val="0"/>
          <w:color w:val="17365D"/>
        </w:rPr>
        <w:t>milj.</w:t>
      </w:r>
      <w:r w:rsidR="00694E66" w:rsidRPr="00B36A61">
        <w:rPr>
          <w:noProof w:val="0"/>
          <w:color w:val="17365D"/>
        </w:rPr>
        <w:t> </w:t>
      </w:r>
      <w:r w:rsidR="006271FE" w:rsidRPr="00B36A61">
        <w:rPr>
          <w:i/>
          <w:noProof w:val="0"/>
          <w:color w:val="17365D"/>
        </w:rPr>
        <w:t>eu</w:t>
      </w:r>
      <w:r w:rsidRPr="00B36A61">
        <w:rPr>
          <w:i/>
          <w:noProof w:val="0"/>
          <w:color w:val="17365D"/>
        </w:rPr>
        <w:t>ro</w:t>
      </w:r>
      <w:r w:rsidRPr="00B36A61">
        <w:rPr>
          <w:noProof w:val="0"/>
          <w:color w:val="17365D"/>
        </w:rPr>
        <w:t xml:space="preserve"> jeb </w:t>
      </w:r>
      <w:r w:rsidR="007B2E76" w:rsidRPr="00B36A61">
        <w:rPr>
          <w:noProof w:val="0"/>
          <w:color w:val="17365D"/>
        </w:rPr>
        <w:t>7</w:t>
      </w:r>
      <w:r w:rsidR="00FD1FC4" w:rsidRPr="00B36A61">
        <w:rPr>
          <w:noProof w:val="0"/>
          <w:color w:val="17365D"/>
        </w:rPr>
        <w:t>1</w:t>
      </w:r>
      <w:r w:rsidRPr="00B36A61">
        <w:rPr>
          <w:noProof w:val="0"/>
          <w:color w:val="17365D"/>
        </w:rPr>
        <w:t>,</w:t>
      </w:r>
      <w:r w:rsidR="00F77DD2" w:rsidRPr="00B36A61">
        <w:rPr>
          <w:noProof w:val="0"/>
          <w:color w:val="17365D"/>
        </w:rPr>
        <w:t>7</w:t>
      </w:r>
      <w:r w:rsidR="00464F58" w:rsidRPr="00B36A61">
        <w:rPr>
          <w:noProof w:val="0"/>
          <w:color w:val="17365D"/>
        </w:rPr>
        <w:t> </w:t>
      </w:r>
      <w:r w:rsidRPr="00B36A61">
        <w:rPr>
          <w:noProof w:val="0"/>
          <w:color w:val="17365D"/>
        </w:rPr>
        <w:t xml:space="preserve">% no kopējiem </w:t>
      </w:r>
      <w:r w:rsidR="00E41CB1" w:rsidRPr="00B36A61">
        <w:rPr>
          <w:noProof w:val="0"/>
          <w:color w:val="17365D"/>
        </w:rPr>
        <w:t xml:space="preserve">bruto </w:t>
      </w:r>
      <w:r w:rsidRPr="00B36A61">
        <w:rPr>
          <w:noProof w:val="0"/>
          <w:color w:val="17365D"/>
        </w:rPr>
        <w:t>izdevumiem</w:t>
      </w:r>
      <w:r w:rsidR="00B26141" w:rsidRPr="00B36A61">
        <w:rPr>
          <w:noProof w:val="0"/>
          <w:color w:val="17365D"/>
        </w:rPr>
        <w:t xml:space="preserve"> </w:t>
      </w:r>
      <w:r w:rsidR="00E41CB1" w:rsidRPr="00B36A61">
        <w:rPr>
          <w:noProof w:val="0"/>
          <w:color w:val="17365D"/>
        </w:rPr>
        <w:t>(turpmāk – izdevumi)</w:t>
      </w:r>
      <w:r w:rsidR="00B11377" w:rsidRPr="00B36A61">
        <w:rPr>
          <w:noProof w:val="0"/>
          <w:color w:val="17365D"/>
        </w:rPr>
        <w:t>,</w:t>
      </w:r>
      <w:r w:rsidR="00391A7B" w:rsidRPr="00B36A61">
        <w:rPr>
          <w:noProof w:val="0"/>
          <w:color w:val="17365D"/>
        </w:rPr>
        <w:t xml:space="preserve"> </w:t>
      </w:r>
      <w:r w:rsidR="00CB5B17" w:rsidRPr="00B36A61">
        <w:rPr>
          <w:noProof w:val="0"/>
          <w:color w:val="17365D"/>
        </w:rPr>
        <w:t>no š</w:t>
      </w:r>
      <w:r w:rsidR="00CA7FED" w:rsidRPr="00B36A61">
        <w:rPr>
          <w:noProof w:val="0"/>
          <w:color w:val="17365D"/>
        </w:rPr>
        <w:t>ī</w:t>
      </w:r>
      <w:r w:rsidR="00CB5B17" w:rsidRPr="00B36A61">
        <w:rPr>
          <w:noProof w:val="0"/>
          <w:color w:val="17365D"/>
        </w:rPr>
        <w:t xml:space="preserve"> programmas </w:t>
      </w:r>
      <w:r w:rsidR="005A73EA" w:rsidRPr="00B36A61">
        <w:rPr>
          <w:noProof w:val="0"/>
          <w:color w:val="17365D"/>
        </w:rPr>
        <w:t>realizēja</w:t>
      </w:r>
      <w:r w:rsidR="00391A7B" w:rsidRPr="00B36A61">
        <w:rPr>
          <w:noProof w:val="0"/>
          <w:color w:val="17365D"/>
        </w:rPr>
        <w:t xml:space="preserve"> pensiju indeksāciju 2022.</w:t>
      </w:r>
      <w:r w:rsidR="00B36A61">
        <w:rPr>
          <w:noProof w:val="0"/>
          <w:color w:val="17365D"/>
        </w:rPr>
        <w:t xml:space="preserve"> </w:t>
      </w:r>
      <w:r w:rsidR="00391A7B" w:rsidRPr="00B36A61">
        <w:rPr>
          <w:noProof w:val="0"/>
          <w:color w:val="17365D"/>
        </w:rPr>
        <w:t xml:space="preserve">gada augustā, </w:t>
      </w:r>
      <w:r w:rsidR="00CA7FED" w:rsidRPr="00B36A61">
        <w:rPr>
          <w:noProof w:val="0"/>
          <w:color w:val="17365D"/>
        </w:rPr>
        <w:t xml:space="preserve">jo </w:t>
      </w:r>
      <w:r w:rsidR="00391A7B" w:rsidRPr="00B36A61">
        <w:rPr>
          <w:noProof w:val="0"/>
          <w:color w:val="17365D"/>
        </w:rPr>
        <w:t>palielin</w:t>
      </w:r>
      <w:r w:rsidR="00CA7FED" w:rsidRPr="00B36A61">
        <w:rPr>
          <w:noProof w:val="0"/>
          <w:color w:val="17365D"/>
        </w:rPr>
        <w:t xml:space="preserve">ājās </w:t>
      </w:r>
      <w:r w:rsidR="00391A7B" w:rsidRPr="00B36A61">
        <w:rPr>
          <w:noProof w:val="0"/>
          <w:color w:val="17365D"/>
        </w:rPr>
        <w:t>vecuma pensijas apmēr</w:t>
      </w:r>
      <w:r w:rsidR="00CA7FED" w:rsidRPr="00B36A61">
        <w:rPr>
          <w:noProof w:val="0"/>
          <w:color w:val="17365D"/>
        </w:rPr>
        <w:t>s, kā arī</w:t>
      </w:r>
      <w:r w:rsidR="004C51CC" w:rsidRPr="00B36A61">
        <w:rPr>
          <w:noProof w:val="0"/>
          <w:color w:val="17365D"/>
        </w:rPr>
        <w:t xml:space="preserve"> </w:t>
      </w:r>
      <w:r w:rsidR="00CA7FED" w:rsidRPr="00B36A61">
        <w:rPr>
          <w:noProof w:val="0"/>
          <w:color w:val="17365D"/>
        </w:rPr>
        <w:t xml:space="preserve">šai programmai </w:t>
      </w:r>
      <w:r w:rsidR="005A73EA" w:rsidRPr="00B36A61">
        <w:rPr>
          <w:noProof w:val="0"/>
          <w:color w:val="17365D"/>
        </w:rPr>
        <w:t>pieau</w:t>
      </w:r>
      <w:r w:rsidR="00CA7FED" w:rsidRPr="00B36A61">
        <w:rPr>
          <w:noProof w:val="0"/>
          <w:color w:val="17365D"/>
        </w:rPr>
        <w:t>ga</w:t>
      </w:r>
      <w:r w:rsidR="004C51CC" w:rsidRPr="00B36A61">
        <w:rPr>
          <w:noProof w:val="0"/>
          <w:color w:val="17365D"/>
        </w:rPr>
        <w:t xml:space="preserve"> pabalsta pensijas saņēmēju skaits nāves gadījumā pārdzīvojušam laulātajam </w:t>
      </w:r>
      <w:r w:rsidR="005A73EA" w:rsidRPr="00B36A61">
        <w:rPr>
          <w:noProof w:val="0"/>
          <w:color w:val="17365D"/>
        </w:rPr>
        <w:t xml:space="preserve">vidēji </w:t>
      </w:r>
      <w:r w:rsidR="004C51CC" w:rsidRPr="00B36A61">
        <w:rPr>
          <w:noProof w:val="0"/>
          <w:color w:val="17365D"/>
        </w:rPr>
        <w:t>par 94 personām mēnesī</w:t>
      </w:r>
      <w:r w:rsidR="00CB5B17" w:rsidRPr="00B36A61">
        <w:rPr>
          <w:noProof w:val="0"/>
          <w:color w:val="17365D"/>
        </w:rPr>
        <w:t>;</w:t>
      </w:r>
      <w:r w:rsidRPr="00B36A61">
        <w:rPr>
          <w:noProof w:val="0"/>
          <w:color w:val="17365D"/>
        </w:rPr>
        <w:t xml:space="preserve"> </w:t>
      </w:r>
    </w:p>
    <w:p w14:paraId="57F9CFE7" w14:textId="0E9AE9C6" w:rsidR="00CB5B17" w:rsidRPr="00B36A61" w:rsidRDefault="00A07DD3" w:rsidP="00F5680C">
      <w:pPr>
        <w:pStyle w:val="Pamatteksts"/>
        <w:numPr>
          <w:ilvl w:val="0"/>
          <w:numId w:val="44"/>
        </w:numPr>
        <w:ind w:left="993" w:hanging="426"/>
        <w:rPr>
          <w:noProof w:val="0"/>
          <w:color w:val="17365D"/>
        </w:rPr>
      </w:pPr>
      <w:r w:rsidRPr="00B36A61">
        <w:rPr>
          <w:noProof w:val="0"/>
          <w:color w:val="17365D"/>
        </w:rPr>
        <w:t xml:space="preserve">programmai “Invaliditātes, maternitātes un slimības speciālais budžets” </w:t>
      </w:r>
      <w:r w:rsidR="00F77DD2" w:rsidRPr="00B36A61">
        <w:rPr>
          <w:noProof w:val="0"/>
          <w:color w:val="17365D"/>
        </w:rPr>
        <w:t>957</w:t>
      </w:r>
      <w:r w:rsidRPr="00B36A61">
        <w:rPr>
          <w:noProof w:val="0"/>
          <w:color w:val="17365D"/>
        </w:rPr>
        <w:t>,</w:t>
      </w:r>
      <w:r w:rsidR="00F77DD2" w:rsidRPr="00B36A61">
        <w:rPr>
          <w:noProof w:val="0"/>
          <w:color w:val="17365D"/>
        </w:rPr>
        <w:t>9</w:t>
      </w:r>
      <w:r w:rsidRPr="00B36A61">
        <w:rPr>
          <w:noProof w:val="0"/>
          <w:color w:val="17365D"/>
        </w:rPr>
        <w:t xml:space="preserve"> milj. </w:t>
      </w:r>
      <w:r w:rsidRPr="00B36A61">
        <w:rPr>
          <w:i/>
          <w:noProof w:val="0"/>
          <w:color w:val="17365D"/>
        </w:rPr>
        <w:t>e</w:t>
      </w:r>
      <w:r w:rsidR="006271FE" w:rsidRPr="00B36A61">
        <w:rPr>
          <w:i/>
          <w:noProof w:val="0"/>
          <w:color w:val="17365D"/>
        </w:rPr>
        <w:t>u</w:t>
      </w:r>
      <w:r w:rsidRPr="00B36A61">
        <w:rPr>
          <w:i/>
          <w:noProof w:val="0"/>
          <w:color w:val="17365D"/>
        </w:rPr>
        <w:t>ro</w:t>
      </w:r>
      <w:r w:rsidRPr="00B36A61">
        <w:rPr>
          <w:noProof w:val="0"/>
          <w:color w:val="17365D"/>
        </w:rPr>
        <w:t xml:space="preserve"> jeb </w:t>
      </w:r>
      <w:r w:rsidR="00464F58" w:rsidRPr="00B36A61">
        <w:rPr>
          <w:noProof w:val="0"/>
          <w:color w:val="17365D"/>
        </w:rPr>
        <w:t>2</w:t>
      </w:r>
      <w:r w:rsidR="00FD1FC4" w:rsidRPr="00B36A61">
        <w:rPr>
          <w:noProof w:val="0"/>
          <w:color w:val="17365D"/>
        </w:rPr>
        <w:t>6</w:t>
      </w:r>
      <w:r w:rsidRPr="00B36A61">
        <w:rPr>
          <w:noProof w:val="0"/>
          <w:color w:val="17365D"/>
        </w:rPr>
        <w:t>,</w:t>
      </w:r>
      <w:r w:rsidR="00F77DD2" w:rsidRPr="00B36A61">
        <w:rPr>
          <w:noProof w:val="0"/>
          <w:color w:val="17365D"/>
        </w:rPr>
        <w:t>7</w:t>
      </w:r>
      <w:r w:rsidR="00464F58" w:rsidRPr="00B36A61">
        <w:rPr>
          <w:noProof w:val="0"/>
          <w:color w:val="17365D"/>
        </w:rPr>
        <w:t> % no izdevumiem</w:t>
      </w:r>
      <w:r w:rsidR="00CB5B17" w:rsidRPr="00B36A61">
        <w:rPr>
          <w:noProof w:val="0"/>
          <w:color w:val="17365D"/>
        </w:rPr>
        <w:t xml:space="preserve">, </w:t>
      </w:r>
      <w:r w:rsidR="00CA7FED" w:rsidRPr="00B36A61">
        <w:rPr>
          <w:noProof w:val="0"/>
          <w:color w:val="17365D"/>
        </w:rPr>
        <w:t xml:space="preserve">no šīs programmas </w:t>
      </w:r>
      <w:r w:rsidR="00CB5B17" w:rsidRPr="00B36A61">
        <w:rPr>
          <w:noProof w:val="0"/>
          <w:color w:val="17365D"/>
        </w:rPr>
        <w:t xml:space="preserve">veikti izdevumi saistībā ar pabalsta vidējā apmēra mēnesī palielināšanos par 8,21 </w:t>
      </w:r>
      <w:r w:rsidR="00CB5B17" w:rsidRPr="00B36A61">
        <w:rPr>
          <w:i/>
          <w:noProof w:val="0"/>
          <w:color w:val="17365D"/>
        </w:rPr>
        <w:t>eiro</w:t>
      </w:r>
      <w:r w:rsidR="00464F58" w:rsidRPr="00B36A61">
        <w:rPr>
          <w:noProof w:val="0"/>
          <w:color w:val="17365D"/>
        </w:rPr>
        <w:t>,</w:t>
      </w:r>
      <w:r w:rsidR="00CB5B17" w:rsidRPr="00B36A61">
        <w:rPr>
          <w:rFonts w:eastAsiaTheme="minorHAnsi"/>
          <w:noProof w:val="0"/>
          <w:color w:val="17365D"/>
          <w:lang w:eastAsia="en-US"/>
        </w:rPr>
        <w:t xml:space="preserve"> </w:t>
      </w:r>
      <w:r w:rsidR="00B11377" w:rsidRPr="00B36A61">
        <w:rPr>
          <w:rFonts w:eastAsiaTheme="minorHAnsi"/>
          <w:noProof w:val="0"/>
          <w:color w:val="17365D"/>
          <w:lang w:eastAsia="en-US"/>
        </w:rPr>
        <w:t>n</w:t>
      </w:r>
      <w:r w:rsidR="00CA7FED" w:rsidRPr="00B36A61">
        <w:rPr>
          <w:noProof w:val="0"/>
          <w:color w:val="17365D"/>
        </w:rPr>
        <w:t>o tām</w:t>
      </w:r>
      <w:r w:rsidR="00CA7FED" w:rsidRPr="00B36A61">
        <w:rPr>
          <w:rFonts w:eastAsiaTheme="minorHAnsi"/>
          <w:noProof w:val="0"/>
          <w:color w:val="17365D"/>
          <w:lang w:eastAsia="en-US"/>
        </w:rPr>
        <w:t xml:space="preserve"> </w:t>
      </w:r>
      <w:r w:rsidR="00CB5B17" w:rsidRPr="00B36A61">
        <w:rPr>
          <w:noProof w:val="0"/>
          <w:color w:val="17365D"/>
        </w:rPr>
        <w:t>invaliditātes pensija</w:t>
      </w:r>
      <w:r w:rsidR="00CA7FED" w:rsidRPr="00B36A61">
        <w:rPr>
          <w:noProof w:val="0"/>
          <w:color w:val="17365D"/>
        </w:rPr>
        <w:t>i izdevumi</w:t>
      </w:r>
      <w:r w:rsidR="00CB5B17" w:rsidRPr="00B36A61">
        <w:rPr>
          <w:noProof w:val="0"/>
          <w:color w:val="17365D"/>
        </w:rPr>
        <w:t xml:space="preserve"> </w:t>
      </w:r>
      <w:r w:rsidR="00CA7FED" w:rsidRPr="00B36A61">
        <w:rPr>
          <w:noProof w:val="0"/>
          <w:color w:val="17365D"/>
        </w:rPr>
        <w:t>palielinājās</w:t>
      </w:r>
      <w:r w:rsidR="00CB5B17" w:rsidRPr="00B36A61">
        <w:rPr>
          <w:noProof w:val="0"/>
          <w:color w:val="17365D"/>
        </w:rPr>
        <w:t xml:space="preserve"> </w:t>
      </w:r>
      <w:r w:rsidR="00CA7FED" w:rsidRPr="00B36A61">
        <w:rPr>
          <w:noProof w:val="0"/>
          <w:color w:val="17365D"/>
        </w:rPr>
        <w:t>par 26,61 </w:t>
      </w:r>
      <w:r w:rsidR="00CA7FED" w:rsidRPr="00B36A61">
        <w:rPr>
          <w:i/>
          <w:noProof w:val="0"/>
          <w:color w:val="17365D"/>
        </w:rPr>
        <w:t>eiro</w:t>
      </w:r>
      <w:r w:rsidR="00CA7FED" w:rsidRPr="00B36A61">
        <w:rPr>
          <w:noProof w:val="0"/>
          <w:color w:val="17365D"/>
        </w:rPr>
        <w:t xml:space="preserve"> saistībā ar </w:t>
      </w:r>
      <w:r w:rsidR="00CB5B17" w:rsidRPr="00B36A61">
        <w:rPr>
          <w:noProof w:val="0"/>
          <w:color w:val="17365D"/>
        </w:rPr>
        <w:t>pensijas vidējā apmēra mēnesī palielināšanos;</w:t>
      </w:r>
      <w:r w:rsidR="00464F58" w:rsidRPr="00B36A61">
        <w:rPr>
          <w:noProof w:val="0"/>
          <w:color w:val="17365D"/>
        </w:rPr>
        <w:t xml:space="preserve"> </w:t>
      </w:r>
    </w:p>
    <w:p w14:paraId="498F9F47" w14:textId="3C0D4725" w:rsidR="00CB5B17" w:rsidRPr="00B36A61" w:rsidRDefault="00464F58" w:rsidP="00F5680C">
      <w:pPr>
        <w:pStyle w:val="Pamatteksts"/>
        <w:numPr>
          <w:ilvl w:val="0"/>
          <w:numId w:val="44"/>
        </w:numPr>
        <w:ind w:left="993" w:hanging="426"/>
        <w:rPr>
          <w:rFonts w:eastAsia="Arial Unicode MS"/>
          <w:i/>
          <w:color w:val="17365D"/>
          <w:sz w:val="20"/>
        </w:rPr>
      </w:pPr>
      <w:r w:rsidRPr="00B36A61">
        <w:rPr>
          <w:noProof w:val="0"/>
          <w:color w:val="17365D"/>
        </w:rPr>
        <w:t xml:space="preserve">programmai “Nodarbinātības speciālais budžets” </w:t>
      </w:r>
      <w:r w:rsidR="00A07DD3" w:rsidRPr="00B36A61">
        <w:rPr>
          <w:noProof w:val="0"/>
          <w:color w:val="17365D"/>
        </w:rPr>
        <w:t>1</w:t>
      </w:r>
      <w:r w:rsidR="00F77DD2" w:rsidRPr="00B36A61">
        <w:rPr>
          <w:noProof w:val="0"/>
          <w:color w:val="17365D"/>
        </w:rPr>
        <w:t>78</w:t>
      </w:r>
      <w:r w:rsidR="00A07DD3" w:rsidRPr="00B36A61">
        <w:rPr>
          <w:noProof w:val="0"/>
          <w:color w:val="17365D"/>
        </w:rPr>
        <w:t>,</w:t>
      </w:r>
      <w:r w:rsidR="00F77DD2" w:rsidRPr="00B36A61">
        <w:rPr>
          <w:noProof w:val="0"/>
          <w:color w:val="17365D"/>
        </w:rPr>
        <w:t>6</w:t>
      </w:r>
      <w:r w:rsidR="009957FA" w:rsidRPr="00B36A61">
        <w:rPr>
          <w:noProof w:val="0"/>
          <w:color w:val="17365D"/>
        </w:rPr>
        <w:t> </w:t>
      </w:r>
      <w:r w:rsidR="00A07DD3" w:rsidRPr="00B36A61">
        <w:rPr>
          <w:noProof w:val="0"/>
          <w:color w:val="17365D"/>
        </w:rPr>
        <w:t xml:space="preserve">milj. </w:t>
      </w:r>
      <w:r w:rsidR="006271FE" w:rsidRPr="00B36A61">
        <w:rPr>
          <w:i/>
          <w:noProof w:val="0"/>
          <w:color w:val="17365D"/>
        </w:rPr>
        <w:t>eu</w:t>
      </w:r>
      <w:r w:rsidR="00A07DD3" w:rsidRPr="00B36A61">
        <w:rPr>
          <w:i/>
          <w:noProof w:val="0"/>
          <w:color w:val="17365D"/>
        </w:rPr>
        <w:t>ro</w:t>
      </w:r>
      <w:r w:rsidR="00A07DD3" w:rsidRPr="00B36A61">
        <w:rPr>
          <w:noProof w:val="0"/>
          <w:color w:val="17365D"/>
        </w:rPr>
        <w:t xml:space="preserve"> jeb </w:t>
      </w:r>
      <w:r w:rsidR="00F77DD2" w:rsidRPr="00B36A61">
        <w:rPr>
          <w:noProof w:val="0"/>
          <w:color w:val="17365D"/>
        </w:rPr>
        <w:t>4</w:t>
      </w:r>
      <w:r w:rsidR="00A07DD3" w:rsidRPr="00B36A61">
        <w:rPr>
          <w:noProof w:val="0"/>
          <w:color w:val="17365D"/>
        </w:rPr>
        <w:t>,</w:t>
      </w:r>
      <w:r w:rsidR="00F77DD2" w:rsidRPr="00B36A61">
        <w:rPr>
          <w:noProof w:val="0"/>
          <w:color w:val="17365D"/>
        </w:rPr>
        <w:t>9</w:t>
      </w:r>
      <w:r w:rsidRPr="00B36A61">
        <w:rPr>
          <w:noProof w:val="0"/>
          <w:color w:val="17365D"/>
        </w:rPr>
        <w:t> </w:t>
      </w:r>
      <w:r w:rsidR="00A07DD3" w:rsidRPr="00B36A61">
        <w:rPr>
          <w:noProof w:val="0"/>
          <w:color w:val="17365D"/>
        </w:rPr>
        <w:t>%</w:t>
      </w:r>
      <w:r w:rsidRPr="00B36A61">
        <w:rPr>
          <w:noProof w:val="0"/>
          <w:color w:val="17365D"/>
        </w:rPr>
        <w:t xml:space="preserve"> no izdevumiem</w:t>
      </w:r>
      <w:r w:rsidR="00A07DD3" w:rsidRPr="00B36A61">
        <w:rPr>
          <w:noProof w:val="0"/>
          <w:color w:val="17365D"/>
        </w:rPr>
        <w:t xml:space="preserve">, </w:t>
      </w:r>
      <w:r w:rsidR="00B36A61">
        <w:rPr>
          <w:noProof w:val="0"/>
          <w:color w:val="17365D"/>
        </w:rPr>
        <w:t>no šīs progr</w:t>
      </w:r>
      <w:r w:rsidR="00D73B6C" w:rsidRPr="00B36A61">
        <w:rPr>
          <w:noProof w:val="0"/>
          <w:color w:val="17365D"/>
        </w:rPr>
        <w:t xml:space="preserve">ammas </w:t>
      </w:r>
      <w:r w:rsidR="00CB5B17" w:rsidRPr="00B36A61">
        <w:rPr>
          <w:noProof w:val="0"/>
          <w:color w:val="17365D"/>
        </w:rPr>
        <w:t xml:space="preserve">veikti izdevumi saistībā ar bezdarbnieka pabalsta saņēmēju skaita </w:t>
      </w:r>
      <w:r w:rsidR="005A76F8" w:rsidRPr="00B36A61">
        <w:rPr>
          <w:noProof w:val="0"/>
          <w:color w:val="17365D"/>
        </w:rPr>
        <w:t>pieaugumu</w:t>
      </w:r>
      <w:r w:rsidR="00CB5B17" w:rsidRPr="00B36A61">
        <w:rPr>
          <w:noProof w:val="0"/>
          <w:color w:val="17365D"/>
        </w:rPr>
        <w:t xml:space="preserve"> </w:t>
      </w:r>
      <w:r w:rsidR="00B11377" w:rsidRPr="00B36A61">
        <w:rPr>
          <w:noProof w:val="0"/>
          <w:color w:val="17365D"/>
        </w:rPr>
        <w:t xml:space="preserve">vidēji </w:t>
      </w:r>
      <w:r w:rsidR="00CB5B17" w:rsidRPr="00B36A61">
        <w:rPr>
          <w:noProof w:val="0"/>
          <w:color w:val="17365D"/>
        </w:rPr>
        <w:t>par 417 personām mēnesī;</w:t>
      </w:r>
    </w:p>
    <w:p w14:paraId="420A4CF8" w14:textId="393787C3" w:rsidR="00CB5B17" w:rsidRPr="00B36A61" w:rsidRDefault="00464F58" w:rsidP="00F5680C">
      <w:pPr>
        <w:pStyle w:val="Pamatteksts"/>
        <w:numPr>
          <w:ilvl w:val="0"/>
          <w:numId w:val="44"/>
        </w:numPr>
        <w:ind w:left="993" w:hanging="426"/>
        <w:rPr>
          <w:rFonts w:eastAsia="Arial Unicode MS"/>
          <w:i/>
          <w:color w:val="17365D"/>
          <w:sz w:val="20"/>
        </w:rPr>
      </w:pPr>
      <w:r w:rsidRPr="00B36A61">
        <w:rPr>
          <w:noProof w:val="0"/>
          <w:color w:val="17365D"/>
        </w:rPr>
        <w:t>programmai “Darba negadījumu speciālais budžets”</w:t>
      </w:r>
      <w:r w:rsidR="0039316E" w:rsidRPr="00B36A61">
        <w:rPr>
          <w:noProof w:val="0"/>
          <w:color w:val="17365D"/>
        </w:rPr>
        <w:t xml:space="preserve"> </w:t>
      </w:r>
      <w:r w:rsidR="00A07DD3" w:rsidRPr="00B36A61">
        <w:rPr>
          <w:noProof w:val="0"/>
          <w:color w:val="17365D"/>
        </w:rPr>
        <w:t xml:space="preserve">– </w:t>
      </w:r>
      <w:r w:rsidR="00F77DD2" w:rsidRPr="00B36A61">
        <w:rPr>
          <w:noProof w:val="0"/>
          <w:color w:val="17365D"/>
        </w:rPr>
        <w:t>82</w:t>
      </w:r>
      <w:r w:rsidR="00A07DD3" w:rsidRPr="00B36A61">
        <w:rPr>
          <w:noProof w:val="0"/>
          <w:color w:val="17365D"/>
        </w:rPr>
        <w:t>,</w:t>
      </w:r>
      <w:r w:rsidR="00F77DD2" w:rsidRPr="00B36A61">
        <w:rPr>
          <w:noProof w:val="0"/>
          <w:color w:val="17365D"/>
        </w:rPr>
        <w:t>1</w:t>
      </w:r>
      <w:r w:rsidR="009957FA" w:rsidRPr="00B36A61">
        <w:rPr>
          <w:noProof w:val="0"/>
          <w:color w:val="17365D"/>
        </w:rPr>
        <w:t xml:space="preserve"> </w:t>
      </w:r>
      <w:r w:rsidR="00A07DD3" w:rsidRPr="00B36A61">
        <w:rPr>
          <w:noProof w:val="0"/>
          <w:color w:val="17365D"/>
        </w:rPr>
        <w:t xml:space="preserve">milj. </w:t>
      </w:r>
      <w:r w:rsidR="006271FE" w:rsidRPr="00B36A61">
        <w:rPr>
          <w:i/>
          <w:noProof w:val="0"/>
          <w:color w:val="17365D"/>
        </w:rPr>
        <w:t>eu</w:t>
      </w:r>
      <w:r w:rsidR="00A07DD3" w:rsidRPr="00B36A61">
        <w:rPr>
          <w:i/>
          <w:noProof w:val="0"/>
          <w:color w:val="17365D"/>
        </w:rPr>
        <w:t>ro</w:t>
      </w:r>
      <w:r w:rsidR="00A07DD3" w:rsidRPr="00B36A61">
        <w:rPr>
          <w:noProof w:val="0"/>
          <w:color w:val="17365D"/>
        </w:rPr>
        <w:t xml:space="preserve"> jeb </w:t>
      </w:r>
      <w:r w:rsidR="00537944" w:rsidRPr="00B36A61">
        <w:rPr>
          <w:noProof w:val="0"/>
          <w:color w:val="17365D"/>
        </w:rPr>
        <w:t>2</w:t>
      </w:r>
      <w:r w:rsidR="00A07DD3" w:rsidRPr="00B36A61">
        <w:rPr>
          <w:noProof w:val="0"/>
          <w:color w:val="17365D"/>
        </w:rPr>
        <w:t>,</w:t>
      </w:r>
      <w:r w:rsidR="00F77DD2" w:rsidRPr="00B36A61">
        <w:rPr>
          <w:noProof w:val="0"/>
          <w:color w:val="17365D"/>
        </w:rPr>
        <w:t>3</w:t>
      </w:r>
      <w:r w:rsidRPr="00B36A61">
        <w:rPr>
          <w:noProof w:val="0"/>
          <w:color w:val="17365D"/>
        </w:rPr>
        <w:t>% no izdevumiem</w:t>
      </w:r>
      <w:r w:rsidR="00CB5B17" w:rsidRPr="00B36A61">
        <w:rPr>
          <w:noProof w:val="0"/>
          <w:color w:val="17365D"/>
        </w:rPr>
        <w:t xml:space="preserve">, </w:t>
      </w:r>
      <w:r w:rsidR="00D73B6C" w:rsidRPr="00B36A61">
        <w:rPr>
          <w:noProof w:val="0"/>
          <w:color w:val="17365D"/>
        </w:rPr>
        <w:t xml:space="preserve">no šīs </w:t>
      </w:r>
      <w:r w:rsidR="00B36A61" w:rsidRPr="00B36A61">
        <w:rPr>
          <w:noProof w:val="0"/>
          <w:color w:val="17365D"/>
        </w:rPr>
        <w:t>programmas</w:t>
      </w:r>
      <w:r w:rsidR="00D73B6C" w:rsidRPr="00B36A61">
        <w:rPr>
          <w:noProof w:val="0"/>
          <w:color w:val="17365D"/>
        </w:rPr>
        <w:t xml:space="preserve"> veikti izdevumi saistībā ar darbspēju zaudējumiem, jo palielinājās saņēmēju skaits </w:t>
      </w:r>
      <w:r w:rsidR="00B11377" w:rsidRPr="00B36A61">
        <w:rPr>
          <w:noProof w:val="0"/>
          <w:color w:val="17365D"/>
        </w:rPr>
        <w:t xml:space="preserve">vidēji </w:t>
      </w:r>
      <w:r w:rsidR="00D73B6C" w:rsidRPr="00B36A61">
        <w:rPr>
          <w:noProof w:val="0"/>
          <w:color w:val="17365D"/>
        </w:rPr>
        <w:t>par 671 personu mēnesī, un veikti izdevumi saistībā ar</w:t>
      </w:r>
      <w:r w:rsidR="00CB5B17" w:rsidRPr="00B36A61">
        <w:rPr>
          <w:noProof w:val="0"/>
          <w:color w:val="17365D"/>
        </w:rPr>
        <w:t xml:space="preserve"> slimības pabalst</w:t>
      </w:r>
      <w:r w:rsidR="00D73B6C" w:rsidRPr="00B36A61">
        <w:rPr>
          <w:noProof w:val="0"/>
          <w:color w:val="17365D"/>
        </w:rPr>
        <w:t>iem, jo</w:t>
      </w:r>
      <w:r w:rsidR="00CB5B17" w:rsidRPr="00B36A61">
        <w:rPr>
          <w:noProof w:val="0"/>
          <w:color w:val="17365D"/>
        </w:rPr>
        <w:t xml:space="preserve"> </w:t>
      </w:r>
      <w:r w:rsidR="00D73B6C" w:rsidRPr="00B36A61">
        <w:rPr>
          <w:noProof w:val="0"/>
          <w:color w:val="17365D"/>
        </w:rPr>
        <w:t xml:space="preserve">palielinājās saņēmēju skaits </w:t>
      </w:r>
      <w:r w:rsidR="00B11377" w:rsidRPr="00B36A61">
        <w:rPr>
          <w:noProof w:val="0"/>
          <w:color w:val="17365D"/>
        </w:rPr>
        <w:t xml:space="preserve">vidēji </w:t>
      </w:r>
      <w:r w:rsidR="00D73B6C" w:rsidRPr="00B36A61">
        <w:rPr>
          <w:noProof w:val="0"/>
          <w:color w:val="17365D"/>
        </w:rPr>
        <w:t>par 49 personām mēnesī</w:t>
      </w:r>
      <w:r w:rsidR="00CC16F7" w:rsidRPr="00B36A61">
        <w:rPr>
          <w:noProof w:val="0"/>
          <w:color w:val="17365D"/>
        </w:rPr>
        <w:t>;</w:t>
      </w:r>
    </w:p>
    <w:p w14:paraId="7873607E" w14:textId="36DB3AAF" w:rsidR="00FE6D78" w:rsidRPr="00B36A61" w:rsidRDefault="00464F58" w:rsidP="00F5680C">
      <w:pPr>
        <w:pStyle w:val="Pamatteksts"/>
        <w:numPr>
          <w:ilvl w:val="0"/>
          <w:numId w:val="44"/>
        </w:numPr>
        <w:ind w:left="993" w:hanging="426"/>
        <w:rPr>
          <w:rFonts w:eastAsia="Arial Unicode MS"/>
          <w:i/>
          <w:color w:val="17365D"/>
          <w:sz w:val="20"/>
        </w:rPr>
      </w:pPr>
      <w:r w:rsidRPr="00B36A61">
        <w:rPr>
          <w:noProof w:val="0"/>
          <w:color w:val="17365D"/>
        </w:rPr>
        <w:t>programm</w:t>
      </w:r>
      <w:r w:rsidR="005A73EA" w:rsidRPr="00B36A61">
        <w:rPr>
          <w:noProof w:val="0"/>
          <w:color w:val="17365D"/>
        </w:rPr>
        <w:t>ā</w:t>
      </w:r>
      <w:r w:rsidRPr="00B36A61">
        <w:rPr>
          <w:noProof w:val="0"/>
          <w:color w:val="17365D"/>
        </w:rPr>
        <w:t xml:space="preserve"> “Valsts sociālās apdrošināšanas aģentūras speciālais budžets” </w:t>
      </w:r>
      <w:r w:rsidR="005A73EA" w:rsidRPr="00B36A61">
        <w:rPr>
          <w:noProof w:val="0"/>
          <w:color w:val="17365D"/>
        </w:rPr>
        <w:t xml:space="preserve">sociālās apdrošināšanas budžeta administrēšanai veikti </w:t>
      </w:r>
      <w:r w:rsidR="002D6033" w:rsidRPr="00B36A61">
        <w:rPr>
          <w:noProof w:val="0"/>
          <w:color w:val="17365D"/>
        </w:rPr>
        <w:t>2</w:t>
      </w:r>
      <w:r w:rsidR="00F77DD2" w:rsidRPr="00B36A61">
        <w:rPr>
          <w:noProof w:val="0"/>
          <w:color w:val="17365D"/>
        </w:rPr>
        <w:t>4</w:t>
      </w:r>
      <w:r w:rsidR="00A07DD3" w:rsidRPr="00B36A61">
        <w:rPr>
          <w:noProof w:val="0"/>
          <w:color w:val="17365D"/>
        </w:rPr>
        <w:t>,</w:t>
      </w:r>
      <w:r w:rsidR="00F77DD2" w:rsidRPr="00B36A61">
        <w:rPr>
          <w:noProof w:val="0"/>
          <w:color w:val="17365D"/>
        </w:rPr>
        <w:t>0</w:t>
      </w:r>
      <w:r w:rsidR="009957FA" w:rsidRPr="00B36A61">
        <w:rPr>
          <w:noProof w:val="0"/>
          <w:color w:val="17365D"/>
        </w:rPr>
        <w:t> </w:t>
      </w:r>
      <w:r w:rsidR="00A07DD3" w:rsidRPr="00B36A61">
        <w:rPr>
          <w:noProof w:val="0"/>
          <w:color w:val="17365D"/>
        </w:rPr>
        <w:t xml:space="preserve">milj. </w:t>
      </w:r>
      <w:r w:rsidR="006271FE" w:rsidRPr="00B36A61">
        <w:rPr>
          <w:i/>
          <w:noProof w:val="0"/>
          <w:color w:val="17365D"/>
        </w:rPr>
        <w:t>eu</w:t>
      </w:r>
      <w:r w:rsidR="00A07DD3" w:rsidRPr="00B36A61">
        <w:rPr>
          <w:i/>
          <w:noProof w:val="0"/>
          <w:color w:val="17365D"/>
        </w:rPr>
        <w:t>ro</w:t>
      </w:r>
      <w:r w:rsidR="00A07DD3" w:rsidRPr="00B36A61">
        <w:rPr>
          <w:noProof w:val="0"/>
          <w:color w:val="17365D"/>
        </w:rPr>
        <w:t xml:space="preserve"> jeb 0,</w:t>
      </w:r>
      <w:r w:rsidR="00537944" w:rsidRPr="00B36A61">
        <w:rPr>
          <w:noProof w:val="0"/>
          <w:color w:val="17365D"/>
        </w:rPr>
        <w:t>7</w:t>
      </w:r>
      <w:r w:rsidR="009957FA" w:rsidRPr="00B36A61">
        <w:rPr>
          <w:noProof w:val="0"/>
          <w:color w:val="17365D"/>
        </w:rPr>
        <w:t> </w:t>
      </w:r>
      <w:r w:rsidR="00A07DD3" w:rsidRPr="00B36A61">
        <w:rPr>
          <w:noProof w:val="0"/>
          <w:color w:val="17365D"/>
        </w:rPr>
        <w:t xml:space="preserve">% </w:t>
      </w:r>
      <w:r w:rsidRPr="00B36A61">
        <w:rPr>
          <w:noProof w:val="0"/>
          <w:color w:val="17365D"/>
        </w:rPr>
        <w:t>no izdevumiem</w:t>
      </w:r>
      <w:r w:rsidR="00A07DD3" w:rsidRPr="00B36A61">
        <w:rPr>
          <w:noProof w:val="0"/>
          <w:color w:val="17365D"/>
        </w:rPr>
        <w:t>.</w:t>
      </w:r>
    </w:p>
    <w:p w14:paraId="5BE5F7EC" w14:textId="7B07A90B" w:rsidR="00413AE2" w:rsidRPr="00B36A61" w:rsidRDefault="00026D5A" w:rsidP="00413AE2">
      <w:pPr>
        <w:spacing w:before="160" w:after="0"/>
        <w:ind w:firstLine="0"/>
        <w:jc w:val="right"/>
        <w:rPr>
          <w:rFonts w:eastAsia="Arial Unicode MS"/>
          <w:i/>
          <w:color w:val="17365D"/>
          <w:sz w:val="20"/>
        </w:rPr>
      </w:pPr>
      <w:r w:rsidRPr="00B36A61">
        <w:rPr>
          <w:rFonts w:eastAsia="Arial Unicode MS"/>
          <w:i/>
          <w:color w:val="17365D"/>
          <w:sz w:val="20"/>
        </w:rPr>
        <w:t>5</w:t>
      </w:r>
      <w:r w:rsidR="00413AE2" w:rsidRPr="00B36A61">
        <w:rPr>
          <w:rFonts w:eastAsia="Arial Unicode MS"/>
          <w:i/>
          <w:color w:val="17365D"/>
          <w:sz w:val="20"/>
        </w:rPr>
        <w:t>. tabula.</w:t>
      </w:r>
      <w:r w:rsidR="0064022F" w:rsidRPr="00B36A61">
        <w:rPr>
          <w:rFonts w:eastAsia="Arial Unicode MS"/>
          <w:i/>
          <w:color w:val="17365D"/>
          <w:sz w:val="20"/>
        </w:rPr>
        <w:t xml:space="preserve"> Speciālā budžeta i</w:t>
      </w:r>
      <w:r w:rsidR="00413AE2" w:rsidRPr="00B36A61">
        <w:rPr>
          <w:bCs/>
          <w:i/>
          <w:color w:val="17365D"/>
          <w:sz w:val="20"/>
          <w:szCs w:val="20"/>
        </w:rPr>
        <w:t>zdevum</w:t>
      </w:r>
      <w:r w:rsidR="0064022F" w:rsidRPr="00B36A61">
        <w:rPr>
          <w:bCs/>
          <w:i/>
          <w:color w:val="17365D"/>
          <w:sz w:val="20"/>
          <w:szCs w:val="20"/>
        </w:rPr>
        <w:t>u</w:t>
      </w:r>
      <w:r w:rsidR="00413AE2" w:rsidRPr="00B36A61">
        <w:rPr>
          <w:bCs/>
          <w:i/>
          <w:color w:val="17365D"/>
          <w:sz w:val="20"/>
          <w:szCs w:val="20"/>
        </w:rPr>
        <w:t xml:space="preserve"> </w:t>
      </w:r>
      <w:r w:rsidR="0064022F" w:rsidRPr="00B36A61">
        <w:rPr>
          <w:bCs/>
          <w:i/>
          <w:color w:val="17365D"/>
          <w:sz w:val="20"/>
          <w:szCs w:val="20"/>
        </w:rPr>
        <w:t>izmaiņas</w:t>
      </w:r>
      <w:r w:rsidR="00413AE2" w:rsidRPr="00B36A61">
        <w:rPr>
          <w:bCs/>
          <w:i/>
          <w:color w:val="17365D"/>
          <w:sz w:val="20"/>
          <w:szCs w:val="20"/>
        </w:rPr>
        <w:t xml:space="preserve"> (</w:t>
      </w:r>
      <w:r w:rsidR="00413AE2" w:rsidRPr="00B36A61">
        <w:rPr>
          <w:i/>
          <w:color w:val="17365D"/>
          <w:sz w:val="20"/>
        </w:rPr>
        <w:t>euro)</w:t>
      </w:r>
    </w:p>
    <w:tbl>
      <w:tblPr>
        <w:tblStyle w:val="TableGrid"/>
        <w:tblW w:w="9374" w:type="dxa"/>
        <w:tblInd w:w="-5" w:type="dxa"/>
        <w:tblLayout w:type="fixed"/>
        <w:tblLook w:val="04A0" w:firstRow="1" w:lastRow="0" w:firstColumn="1" w:lastColumn="0" w:noHBand="0" w:noVBand="1"/>
      </w:tblPr>
      <w:tblGrid>
        <w:gridCol w:w="898"/>
        <w:gridCol w:w="2575"/>
        <w:gridCol w:w="1475"/>
        <w:gridCol w:w="1475"/>
        <w:gridCol w:w="1624"/>
        <w:gridCol w:w="1327"/>
      </w:tblGrid>
      <w:tr w:rsidR="00B36A61" w:rsidRPr="00B36A61" w14:paraId="2787300F" w14:textId="77777777" w:rsidTr="00003148">
        <w:trPr>
          <w:cantSplit/>
          <w:trHeight w:val="284"/>
          <w:tblHeader/>
        </w:trPr>
        <w:tc>
          <w:tcPr>
            <w:tcW w:w="898" w:type="dxa"/>
            <w:vMerge w:val="restart"/>
            <w:tcBorders>
              <w:top w:val="nil"/>
              <w:left w:val="nil"/>
              <w:bottom w:val="single" w:sz="4" w:space="0" w:color="17365D"/>
              <w:right w:val="nil"/>
            </w:tcBorders>
            <w:shd w:val="clear" w:color="auto" w:fill="B9CDE5"/>
            <w:vAlign w:val="center"/>
          </w:tcPr>
          <w:p w14:paraId="2064FBF1" w14:textId="42E3C2FD" w:rsidR="004E28A8" w:rsidRPr="00B36A61" w:rsidRDefault="004E28A8" w:rsidP="00AE783D">
            <w:pPr>
              <w:pStyle w:val="Pamatteksts"/>
              <w:spacing w:before="60" w:afterLines="30" w:after="72"/>
              <w:ind w:firstLine="0"/>
              <w:jc w:val="center"/>
              <w:rPr>
                <w:b/>
                <w:color w:val="17365D"/>
                <w:sz w:val="20"/>
                <w:szCs w:val="20"/>
              </w:rPr>
            </w:pPr>
            <w:r w:rsidRPr="00B36A61">
              <w:rPr>
                <w:b/>
                <w:color w:val="17365D"/>
                <w:sz w:val="20"/>
                <w:szCs w:val="20"/>
              </w:rPr>
              <w:t>Klasifi-kācijas kods</w:t>
            </w:r>
          </w:p>
        </w:tc>
        <w:tc>
          <w:tcPr>
            <w:tcW w:w="2575" w:type="dxa"/>
            <w:vMerge w:val="restart"/>
            <w:tcBorders>
              <w:top w:val="nil"/>
              <w:left w:val="nil"/>
              <w:bottom w:val="single" w:sz="4" w:space="0" w:color="17365D"/>
              <w:right w:val="nil"/>
            </w:tcBorders>
            <w:shd w:val="clear" w:color="auto" w:fill="B9CDE5"/>
            <w:vAlign w:val="center"/>
          </w:tcPr>
          <w:p w14:paraId="5D2212E8" w14:textId="77777777" w:rsidR="004E28A8" w:rsidRPr="00B36A61" w:rsidRDefault="004E28A8" w:rsidP="00AE783D">
            <w:pPr>
              <w:pStyle w:val="Pamatteksts"/>
              <w:spacing w:before="60" w:afterLines="30" w:after="72"/>
              <w:ind w:firstLine="0"/>
              <w:jc w:val="center"/>
              <w:rPr>
                <w:b/>
                <w:color w:val="17365D"/>
                <w:sz w:val="20"/>
                <w:szCs w:val="20"/>
              </w:rPr>
            </w:pPr>
            <w:r w:rsidRPr="00B36A61">
              <w:rPr>
                <w:b/>
                <w:color w:val="17365D"/>
                <w:sz w:val="20"/>
                <w:szCs w:val="20"/>
              </w:rPr>
              <w:t>Posteņa nosaukums</w:t>
            </w:r>
          </w:p>
        </w:tc>
        <w:tc>
          <w:tcPr>
            <w:tcW w:w="2950" w:type="dxa"/>
            <w:gridSpan w:val="2"/>
            <w:tcBorders>
              <w:top w:val="nil"/>
              <w:left w:val="nil"/>
              <w:bottom w:val="single" w:sz="4" w:space="0" w:color="17365D"/>
              <w:right w:val="nil"/>
            </w:tcBorders>
            <w:shd w:val="clear" w:color="auto" w:fill="B9CDE5"/>
            <w:vAlign w:val="center"/>
          </w:tcPr>
          <w:p w14:paraId="4514F9D1" w14:textId="77777777" w:rsidR="004E28A8" w:rsidRPr="00B36A61" w:rsidRDefault="004E28A8" w:rsidP="00AE783D">
            <w:pPr>
              <w:pStyle w:val="Pamatteksts"/>
              <w:spacing w:before="60" w:afterLines="30" w:after="72"/>
              <w:ind w:firstLine="0"/>
              <w:jc w:val="center"/>
              <w:rPr>
                <w:b/>
                <w:color w:val="17365D"/>
                <w:sz w:val="20"/>
                <w:szCs w:val="20"/>
              </w:rPr>
            </w:pPr>
            <w:r w:rsidRPr="00B36A61">
              <w:rPr>
                <w:b/>
                <w:color w:val="17365D"/>
                <w:sz w:val="20"/>
                <w:szCs w:val="20"/>
              </w:rPr>
              <w:t>Budžeta izpilde</w:t>
            </w:r>
          </w:p>
        </w:tc>
        <w:tc>
          <w:tcPr>
            <w:tcW w:w="1624" w:type="dxa"/>
            <w:vMerge w:val="restart"/>
            <w:tcBorders>
              <w:top w:val="nil"/>
              <w:left w:val="nil"/>
              <w:bottom w:val="single" w:sz="4" w:space="0" w:color="17365D"/>
              <w:right w:val="nil"/>
            </w:tcBorders>
            <w:shd w:val="clear" w:color="auto" w:fill="B9CDE5"/>
            <w:vAlign w:val="center"/>
          </w:tcPr>
          <w:p w14:paraId="44A65971" w14:textId="7195F49A" w:rsidR="004E28A8" w:rsidRPr="00B36A61" w:rsidRDefault="004E28A8" w:rsidP="004E28A8">
            <w:pPr>
              <w:pStyle w:val="Pamatteksts"/>
              <w:spacing w:before="60" w:after="60"/>
              <w:ind w:left="-107" w:right="-105" w:firstLine="0"/>
              <w:jc w:val="center"/>
              <w:rPr>
                <w:b/>
                <w:color w:val="17365D"/>
                <w:sz w:val="20"/>
                <w:szCs w:val="20"/>
              </w:rPr>
            </w:pPr>
            <w:r w:rsidRPr="00B36A61">
              <w:rPr>
                <w:b/>
                <w:color w:val="17365D"/>
                <w:sz w:val="20"/>
                <w:szCs w:val="20"/>
              </w:rPr>
              <w:t>Palielinājums (+), samazinājums (–)</w:t>
            </w:r>
          </w:p>
          <w:p w14:paraId="50C0A6E9" w14:textId="317B6C15" w:rsidR="004E28A8" w:rsidRPr="00B36A61" w:rsidRDefault="004E28A8" w:rsidP="004E28A8">
            <w:pPr>
              <w:pStyle w:val="Pamatteksts"/>
              <w:spacing w:before="60" w:after="60"/>
              <w:ind w:left="-107" w:right="-105" w:firstLine="0"/>
              <w:jc w:val="center"/>
              <w:rPr>
                <w:b/>
                <w:color w:val="17365D"/>
                <w:sz w:val="20"/>
                <w:szCs w:val="20"/>
              </w:rPr>
            </w:pPr>
            <w:r w:rsidRPr="00B36A61">
              <w:rPr>
                <w:b/>
                <w:color w:val="17365D"/>
                <w:sz w:val="20"/>
                <w:szCs w:val="20"/>
              </w:rPr>
              <w:t>(1.– 2.)</w:t>
            </w:r>
          </w:p>
        </w:tc>
        <w:tc>
          <w:tcPr>
            <w:tcW w:w="1327" w:type="dxa"/>
            <w:vMerge w:val="restart"/>
            <w:tcBorders>
              <w:top w:val="nil"/>
              <w:left w:val="nil"/>
              <w:bottom w:val="single" w:sz="4" w:space="0" w:color="17365D"/>
              <w:right w:val="nil"/>
            </w:tcBorders>
            <w:shd w:val="clear" w:color="auto" w:fill="B9CDE5"/>
            <w:vAlign w:val="center"/>
          </w:tcPr>
          <w:p w14:paraId="09D00646" w14:textId="77777777" w:rsidR="004E28A8" w:rsidRPr="00B36A61" w:rsidRDefault="004E28A8" w:rsidP="00AE783D">
            <w:pPr>
              <w:pStyle w:val="Pamatteksts"/>
              <w:spacing w:before="60" w:afterLines="30" w:after="72"/>
              <w:ind w:firstLine="0"/>
              <w:jc w:val="center"/>
              <w:rPr>
                <w:b/>
                <w:color w:val="17365D"/>
                <w:sz w:val="20"/>
                <w:szCs w:val="20"/>
              </w:rPr>
            </w:pPr>
            <w:r w:rsidRPr="00B36A61">
              <w:rPr>
                <w:b/>
                <w:color w:val="17365D"/>
                <w:sz w:val="20"/>
                <w:szCs w:val="20"/>
              </w:rPr>
              <w:t>Procentuālās izmaiņas</w:t>
            </w:r>
          </w:p>
          <w:p w14:paraId="0C8D65CD" w14:textId="193F747C" w:rsidR="004E28A8" w:rsidRPr="00B36A61" w:rsidRDefault="004E28A8" w:rsidP="00683D62">
            <w:pPr>
              <w:pStyle w:val="Pamatteksts"/>
              <w:spacing w:before="60" w:afterLines="30" w:after="72"/>
              <w:ind w:firstLine="0"/>
              <w:jc w:val="center"/>
              <w:rPr>
                <w:b/>
                <w:color w:val="17365D"/>
                <w:sz w:val="20"/>
                <w:szCs w:val="20"/>
              </w:rPr>
            </w:pPr>
            <w:r w:rsidRPr="00B36A61">
              <w:rPr>
                <w:b/>
                <w:color w:val="17365D"/>
                <w:sz w:val="20"/>
                <w:szCs w:val="20"/>
              </w:rPr>
              <w:t>(</w:t>
            </w:r>
            <w:r w:rsidR="00683D62" w:rsidRPr="00B36A61">
              <w:rPr>
                <w:b/>
                <w:color w:val="17365D"/>
                <w:sz w:val="20"/>
                <w:szCs w:val="20"/>
              </w:rPr>
              <w:t>3</w:t>
            </w:r>
            <w:r w:rsidRPr="00B36A61">
              <w:rPr>
                <w:b/>
                <w:color w:val="17365D"/>
                <w:sz w:val="20"/>
                <w:szCs w:val="20"/>
              </w:rPr>
              <w:t>./2. x 100)</w:t>
            </w:r>
          </w:p>
        </w:tc>
      </w:tr>
      <w:tr w:rsidR="00B36A61" w:rsidRPr="00B36A61" w14:paraId="7BE96CB4" w14:textId="77777777" w:rsidTr="00F5680C">
        <w:trPr>
          <w:cantSplit/>
          <w:trHeight w:val="623"/>
          <w:tblHeader/>
        </w:trPr>
        <w:tc>
          <w:tcPr>
            <w:tcW w:w="898" w:type="dxa"/>
            <w:vMerge/>
            <w:tcBorders>
              <w:top w:val="single" w:sz="4" w:space="0" w:color="17365D"/>
              <w:left w:val="nil"/>
              <w:bottom w:val="nil"/>
              <w:right w:val="nil"/>
            </w:tcBorders>
          </w:tcPr>
          <w:p w14:paraId="084B66FA" w14:textId="77777777" w:rsidR="004E28A8" w:rsidRPr="00B36A61" w:rsidRDefault="004E28A8" w:rsidP="0064022F">
            <w:pPr>
              <w:pStyle w:val="Pamatteksts"/>
              <w:spacing w:after="0"/>
              <w:ind w:firstLine="0"/>
              <w:rPr>
                <w:color w:val="17365D"/>
                <w:sz w:val="20"/>
                <w:szCs w:val="20"/>
              </w:rPr>
            </w:pPr>
          </w:p>
        </w:tc>
        <w:tc>
          <w:tcPr>
            <w:tcW w:w="2575" w:type="dxa"/>
            <w:vMerge/>
            <w:tcBorders>
              <w:top w:val="single" w:sz="4" w:space="0" w:color="17365D"/>
              <w:left w:val="nil"/>
              <w:bottom w:val="nil"/>
              <w:right w:val="nil"/>
            </w:tcBorders>
          </w:tcPr>
          <w:p w14:paraId="4FBA28C9" w14:textId="77777777" w:rsidR="004E28A8" w:rsidRPr="00B36A61" w:rsidRDefault="004E28A8" w:rsidP="0064022F">
            <w:pPr>
              <w:pStyle w:val="Pamatteksts"/>
              <w:spacing w:after="0"/>
              <w:ind w:firstLine="0"/>
              <w:rPr>
                <w:color w:val="17365D"/>
                <w:sz w:val="20"/>
                <w:szCs w:val="20"/>
              </w:rPr>
            </w:pPr>
          </w:p>
        </w:tc>
        <w:tc>
          <w:tcPr>
            <w:tcW w:w="1475" w:type="dxa"/>
            <w:tcBorders>
              <w:top w:val="single" w:sz="4" w:space="0" w:color="17365D"/>
              <w:left w:val="nil"/>
              <w:bottom w:val="nil"/>
              <w:right w:val="nil"/>
            </w:tcBorders>
            <w:shd w:val="clear" w:color="auto" w:fill="B9CDE5"/>
            <w:vAlign w:val="center"/>
          </w:tcPr>
          <w:p w14:paraId="2CBADB1D" w14:textId="77777777" w:rsidR="004E28A8" w:rsidRPr="00B36A61" w:rsidRDefault="004E28A8" w:rsidP="000F7E81">
            <w:pPr>
              <w:spacing w:before="60" w:after="60"/>
              <w:ind w:firstLine="0"/>
              <w:jc w:val="center"/>
              <w:rPr>
                <w:b/>
                <w:noProof/>
                <w:color w:val="17365D"/>
                <w:sz w:val="20"/>
                <w:szCs w:val="20"/>
              </w:rPr>
            </w:pPr>
            <w:r w:rsidRPr="00B36A61">
              <w:rPr>
                <w:b/>
                <w:noProof/>
                <w:color w:val="17365D"/>
                <w:sz w:val="20"/>
                <w:szCs w:val="20"/>
              </w:rPr>
              <w:t>pārskata periodā</w:t>
            </w:r>
          </w:p>
        </w:tc>
        <w:tc>
          <w:tcPr>
            <w:tcW w:w="1475" w:type="dxa"/>
            <w:tcBorders>
              <w:top w:val="single" w:sz="4" w:space="0" w:color="17365D"/>
              <w:left w:val="nil"/>
              <w:bottom w:val="nil"/>
              <w:right w:val="nil"/>
            </w:tcBorders>
            <w:shd w:val="clear" w:color="auto" w:fill="B9CDE5"/>
            <w:vAlign w:val="center"/>
          </w:tcPr>
          <w:p w14:paraId="1774B35E" w14:textId="77777777" w:rsidR="004E28A8" w:rsidRPr="00B36A61" w:rsidRDefault="004E28A8" w:rsidP="000F7E81">
            <w:pPr>
              <w:spacing w:before="60" w:after="60"/>
              <w:ind w:firstLine="0"/>
              <w:jc w:val="center"/>
              <w:rPr>
                <w:b/>
                <w:noProof/>
                <w:color w:val="17365D"/>
                <w:sz w:val="20"/>
                <w:szCs w:val="20"/>
              </w:rPr>
            </w:pPr>
            <w:r w:rsidRPr="00B36A61">
              <w:rPr>
                <w:b/>
                <w:color w:val="17365D"/>
                <w:sz w:val="20"/>
                <w:szCs w:val="20"/>
              </w:rPr>
              <w:t>iepriekšējā pārskata periodā</w:t>
            </w:r>
          </w:p>
        </w:tc>
        <w:tc>
          <w:tcPr>
            <w:tcW w:w="1624" w:type="dxa"/>
            <w:vMerge/>
            <w:tcBorders>
              <w:top w:val="single" w:sz="4" w:space="0" w:color="17365D"/>
              <w:left w:val="nil"/>
              <w:bottom w:val="nil"/>
              <w:right w:val="nil"/>
            </w:tcBorders>
          </w:tcPr>
          <w:p w14:paraId="7311C9BA" w14:textId="77777777" w:rsidR="004E28A8" w:rsidRPr="00B36A61" w:rsidRDefault="004E28A8" w:rsidP="004E28A8">
            <w:pPr>
              <w:pStyle w:val="Pamatteksts"/>
              <w:spacing w:before="60" w:after="60"/>
              <w:ind w:left="-107" w:right="-105" w:firstLine="0"/>
              <w:jc w:val="center"/>
              <w:rPr>
                <w:b/>
                <w:color w:val="17365D"/>
                <w:sz w:val="20"/>
                <w:szCs w:val="20"/>
              </w:rPr>
            </w:pPr>
          </w:p>
        </w:tc>
        <w:tc>
          <w:tcPr>
            <w:tcW w:w="1327" w:type="dxa"/>
            <w:vMerge/>
            <w:tcBorders>
              <w:top w:val="single" w:sz="4" w:space="0" w:color="17365D"/>
              <w:left w:val="nil"/>
              <w:bottom w:val="nil"/>
              <w:right w:val="nil"/>
            </w:tcBorders>
          </w:tcPr>
          <w:p w14:paraId="0C74E7B3" w14:textId="77777777" w:rsidR="004E28A8" w:rsidRPr="00B36A61" w:rsidRDefault="004E28A8" w:rsidP="0064022F">
            <w:pPr>
              <w:spacing w:after="0"/>
              <w:ind w:firstLine="0"/>
              <w:rPr>
                <w:color w:val="17365D"/>
                <w:sz w:val="20"/>
                <w:szCs w:val="20"/>
              </w:rPr>
            </w:pPr>
          </w:p>
        </w:tc>
      </w:tr>
      <w:tr w:rsidR="00B36A61" w:rsidRPr="00B36A61" w14:paraId="23FC53D4" w14:textId="77777777" w:rsidTr="00AA4177">
        <w:trPr>
          <w:cantSplit/>
          <w:trHeight w:val="284"/>
          <w:tblHeader/>
        </w:trPr>
        <w:tc>
          <w:tcPr>
            <w:tcW w:w="898" w:type="dxa"/>
            <w:tcBorders>
              <w:top w:val="nil"/>
              <w:left w:val="nil"/>
              <w:bottom w:val="single" w:sz="4" w:space="0" w:color="17365D"/>
              <w:right w:val="nil"/>
            </w:tcBorders>
            <w:vAlign w:val="center"/>
          </w:tcPr>
          <w:p w14:paraId="44FC3BD0" w14:textId="77777777" w:rsidR="004E28A8" w:rsidRPr="00B36A61" w:rsidRDefault="004E28A8" w:rsidP="000F7E81">
            <w:pPr>
              <w:pStyle w:val="Pamatteksts"/>
              <w:spacing w:before="40" w:after="40"/>
              <w:ind w:firstLine="0"/>
              <w:jc w:val="center"/>
              <w:rPr>
                <w:b/>
                <w:color w:val="17365D"/>
                <w:sz w:val="20"/>
                <w:szCs w:val="20"/>
              </w:rPr>
            </w:pPr>
            <w:r w:rsidRPr="00B36A61">
              <w:rPr>
                <w:b/>
                <w:color w:val="17365D"/>
                <w:sz w:val="20"/>
                <w:szCs w:val="20"/>
              </w:rPr>
              <w:t>A</w:t>
            </w:r>
          </w:p>
        </w:tc>
        <w:tc>
          <w:tcPr>
            <w:tcW w:w="2575" w:type="dxa"/>
            <w:tcBorders>
              <w:top w:val="nil"/>
              <w:left w:val="nil"/>
              <w:bottom w:val="single" w:sz="4" w:space="0" w:color="17365D"/>
              <w:right w:val="nil"/>
            </w:tcBorders>
            <w:vAlign w:val="center"/>
          </w:tcPr>
          <w:p w14:paraId="1B8F6F4F" w14:textId="77777777" w:rsidR="004E28A8" w:rsidRPr="00B36A61" w:rsidRDefault="004E28A8" w:rsidP="000F7E81">
            <w:pPr>
              <w:pStyle w:val="Pamatteksts"/>
              <w:spacing w:before="40" w:after="40"/>
              <w:ind w:firstLine="0"/>
              <w:jc w:val="center"/>
              <w:rPr>
                <w:b/>
                <w:color w:val="17365D"/>
                <w:sz w:val="20"/>
                <w:szCs w:val="20"/>
              </w:rPr>
            </w:pPr>
            <w:r w:rsidRPr="00B36A61">
              <w:rPr>
                <w:b/>
                <w:color w:val="17365D"/>
                <w:sz w:val="20"/>
                <w:szCs w:val="20"/>
              </w:rPr>
              <w:t>B</w:t>
            </w:r>
          </w:p>
        </w:tc>
        <w:tc>
          <w:tcPr>
            <w:tcW w:w="1475" w:type="dxa"/>
            <w:tcBorders>
              <w:top w:val="nil"/>
              <w:left w:val="nil"/>
              <w:bottom w:val="single" w:sz="4" w:space="0" w:color="17365D"/>
              <w:right w:val="nil"/>
            </w:tcBorders>
            <w:vAlign w:val="center"/>
          </w:tcPr>
          <w:p w14:paraId="578AABD3" w14:textId="42556C0D" w:rsidR="004E28A8" w:rsidRPr="00B36A61" w:rsidRDefault="004E28A8" w:rsidP="000F7E81">
            <w:pPr>
              <w:pStyle w:val="Pamatteksts"/>
              <w:spacing w:before="40" w:after="40"/>
              <w:ind w:firstLine="0"/>
              <w:jc w:val="center"/>
              <w:rPr>
                <w:b/>
                <w:color w:val="17365D"/>
                <w:sz w:val="20"/>
                <w:szCs w:val="20"/>
              </w:rPr>
            </w:pPr>
            <w:r w:rsidRPr="00B36A61">
              <w:rPr>
                <w:b/>
                <w:color w:val="17365D"/>
                <w:sz w:val="20"/>
                <w:szCs w:val="20"/>
              </w:rPr>
              <w:t>1</w:t>
            </w:r>
          </w:p>
        </w:tc>
        <w:tc>
          <w:tcPr>
            <w:tcW w:w="1475" w:type="dxa"/>
            <w:tcBorders>
              <w:top w:val="nil"/>
              <w:left w:val="nil"/>
              <w:bottom w:val="single" w:sz="4" w:space="0" w:color="17365D"/>
              <w:right w:val="nil"/>
            </w:tcBorders>
            <w:vAlign w:val="center"/>
          </w:tcPr>
          <w:p w14:paraId="7DEE92B1" w14:textId="5C052DE0" w:rsidR="004E28A8" w:rsidRPr="00B36A61" w:rsidRDefault="004E28A8" w:rsidP="000F7E81">
            <w:pPr>
              <w:pStyle w:val="Pamatteksts"/>
              <w:spacing w:before="40" w:after="40"/>
              <w:ind w:firstLine="0"/>
              <w:jc w:val="center"/>
              <w:rPr>
                <w:b/>
                <w:color w:val="17365D"/>
                <w:sz w:val="20"/>
                <w:szCs w:val="20"/>
              </w:rPr>
            </w:pPr>
            <w:r w:rsidRPr="00B36A61">
              <w:rPr>
                <w:b/>
                <w:color w:val="17365D"/>
                <w:sz w:val="20"/>
                <w:szCs w:val="20"/>
              </w:rPr>
              <w:t>2</w:t>
            </w:r>
          </w:p>
        </w:tc>
        <w:tc>
          <w:tcPr>
            <w:tcW w:w="1624" w:type="dxa"/>
            <w:tcBorders>
              <w:top w:val="nil"/>
              <w:left w:val="nil"/>
              <w:bottom w:val="single" w:sz="4" w:space="0" w:color="17365D"/>
              <w:right w:val="nil"/>
            </w:tcBorders>
            <w:vAlign w:val="center"/>
          </w:tcPr>
          <w:p w14:paraId="447E96B9" w14:textId="64A4AEC2" w:rsidR="004E28A8" w:rsidRPr="00B36A61" w:rsidRDefault="004E28A8" w:rsidP="004E28A8">
            <w:pPr>
              <w:pStyle w:val="Pamatteksts"/>
              <w:spacing w:before="60" w:after="60"/>
              <w:ind w:left="-107" w:right="-105" w:firstLine="0"/>
              <w:jc w:val="center"/>
              <w:rPr>
                <w:b/>
                <w:color w:val="17365D"/>
                <w:sz w:val="20"/>
                <w:szCs w:val="20"/>
              </w:rPr>
            </w:pPr>
            <w:r w:rsidRPr="00B36A61">
              <w:rPr>
                <w:b/>
                <w:color w:val="17365D"/>
                <w:sz w:val="20"/>
                <w:szCs w:val="20"/>
              </w:rPr>
              <w:t>3</w:t>
            </w:r>
          </w:p>
        </w:tc>
        <w:tc>
          <w:tcPr>
            <w:tcW w:w="1327" w:type="dxa"/>
            <w:tcBorders>
              <w:top w:val="nil"/>
              <w:left w:val="nil"/>
              <w:bottom w:val="single" w:sz="4" w:space="0" w:color="17365D"/>
              <w:right w:val="nil"/>
            </w:tcBorders>
            <w:vAlign w:val="center"/>
          </w:tcPr>
          <w:p w14:paraId="47690BF3" w14:textId="557D435C" w:rsidR="004E28A8" w:rsidRPr="00B36A61" w:rsidRDefault="004E28A8" w:rsidP="000F7E81">
            <w:pPr>
              <w:pStyle w:val="Pamatteksts"/>
              <w:spacing w:before="40" w:after="40"/>
              <w:ind w:firstLine="0"/>
              <w:jc w:val="center"/>
              <w:rPr>
                <w:b/>
                <w:color w:val="17365D"/>
                <w:sz w:val="20"/>
                <w:szCs w:val="20"/>
              </w:rPr>
            </w:pPr>
            <w:r w:rsidRPr="00B36A61">
              <w:rPr>
                <w:b/>
                <w:color w:val="17365D"/>
                <w:sz w:val="20"/>
                <w:szCs w:val="20"/>
              </w:rPr>
              <w:t>4</w:t>
            </w:r>
          </w:p>
        </w:tc>
      </w:tr>
      <w:tr w:rsidR="00B36A61" w:rsidRPr="00B36A61" w14:paraId="045AD484" w14:textId="77777777" w:rsidTr="00F5680C">
        <w:trPr>
          <w:cantSplit/>
          <w:trHeight w:val="284"/>
        </w:trPr>
        <w:tc>
          <w:tcPr>
            <w:tcW w:w="898" w:type="dxa"/>
            <w:tcBorders>
              <w:top w:val="single" w:sz="4" w:space="0" w:color="17365D"/>
              <w:left w:val="nil"/>
              <w:bottom w:val="single" w:sz="4" w:space="0" w:color="17365D"/>
              <w:right w:val="nil"/>
            </w:tcBorders>
            <w:vAlign w:val="center"/>
          </w:tcPr>
          <w:p w14:paraId="0D2AA30D" w14:textId="146876FE" w:rsidR="00AA4177" w:rsidRPr="00B36A61" w:rsidRDefault="00AA4177" w:rsidP="00AA4177">
            <w:pPr>
              <w:pStyle w:val="Pamatteksts"/>
              <w:spacing w:before="40" w:after="40"/>
              <w:ind w:firstLine="0"/>
              <w:jc w:val="left"/>
              <w:rPr>
                <w:b/>
                <w:color w:val="17365D"/>
                <w:sz w:val="20"/>
                <w:szCs w:val="20"/>
              </w:rPr>
            </w:pPr>
            <w:r w:rsidRPr="00B36A61">
              <w:rPr>
                <w:b/>
                <w:color w:val="17365D"/>
                <w:sz w:val="20"/>
                <w:szCs w:val="20"/>
              </w:rPr>
              <w:t>II.</w:t>
            </w:r>
          </w:p>
        </w:tc>
        <w:tc>
          <w:tcPr>
            <w:tcW w:w="2575" w:type="dxa"/>
            <w:tcBorders>
              <w:top w:val="single" w:sz="4" w:space="0" w:color="17365D"/>
              <w:left w:val="nil"/>
              <w:bottom w:val="single" w:sz="4" w:space="0" w:color="17365D"/>
              <w:right w:val="nil"/>
            </w:tcBorders>
            <w:shd w:val="clear" w:color="000000" w:fill="FFFFFF"/>
            <w:vAlign w:val="center"/>
          </w:tcPr>
          <w:p w14:paraId="37BDD867" w14:textId="77777777" w:rsidR="00AA4177" w:rsidRPr="00B36A61" w:rsidRDefault="00AA4177" w:rsidP="00AA4177">
            <w:pPr>
              <w:pStyle w:val="Pamatteksts"/>
              <w:spacing w:before="40" w:after="40"/>
              <w:ind w:firstLine="0"/>
              <w:rPr>
                <w:b/>
                <w:color w:val="17365D"/>
                <w:sz w:val="20"/>
                <w:szCs w:val="20"/>
              </w:rPr>
            </w:pPr>
            <w:r w:rsidRPr="00B36A61">
              <w:rPr>
                <w:b/>
                <w:bCs/>
                <w:color w:val="17365D"/>
                <w:sz w:val="20"/>
                <w:szCs w:val="20"/>
              </w:rPr>
              <w:t>IZDEVUMI</w:t>
            </w:r>
          </w:p>
        </w:tc>
        <w:tc>
          <w:tcPr>
            <w:tcW w:w="1475" w:type="dxa"/>
            <w:tcBorders>
              <w:top w:val="single" w:sz="4" w:space="0" w:color="17365D"/>
              <w:left w:val="nil"/>
              <w:bottom w:val="single" w:sz="4" w:space="0" w:color="17365D"/>
              <w:right w:val="nil"/>
            </w:tcBorders>
            <w:shd w:val="clear" w:color="000000" w:fill="FFFFFF"/>
            <w:vAlign w:val="center"/>
          </w:tcPr>
          <w:p w14:paraId="23A7589F" w14:textId="6CBE47C8" w:rsidR="00AA4177" w:rsidRPr="00B36A61" w:rsidRDefault="00AA4177" w:rsidP="00AA4177">
            <w:pPr>
              <w:pStyle w:val="Pamatteksts"/>
              <w:spacing w:before="40" w:after="40"/>
              <w:ind w:firstLine="0"/>
              <w:jc w:val="right"/>
              <w:rPr>
                <w:bCs/>
                <w:color w:val="17365D"/>
                <w:sz w:val="20"/>
                <w:szCs w:val="20"/>
              </w:rPr>
            </w:pPr>
            <w:r w:rsidRPr="00B36A61">
              <w:rPr>
                <w:b/>
                <w:bCs/>
                <w:color w:val="17365D"/>
                <w:sz w:val="20"/>
                <w:szCs w:val="20"/>
              </w:rPr>
              <w:t>3 589 630 480</w:t>
            </w:r>
          </w:p>
        </w:tc>
        <w:tc>
          <w:tcPr>
            <w:tcW w:w="1475" w:type="dxa"/>
            <w:tcBorders>
              <w:top w:val="single" w:sz="4" w:space="0" w:color="17365D"/>
              <w:left w:val="nil"/>
              <w:bottom w:val="single" w:sz="4" w:space="0" w:color="17365D"/>
              <w:right w:val="nil"/>
            </w:tcBorders>
            <w:shd w:val="clear" w:color="auto" w:fill="auto"/>
            <w:vAlign w:val="center"/>
          </w:tcPr>
          <w:p w14:paraId="65FF92B8" w14:textId="2BECA8D1" w:rsidR="00AA4177" w:rsidRPr="00B36A61" w:rsidRDefault="00AA4177" w:rsidP="00AA4177">
            <w:pPr>
              <w:pStyle w:val="Pamatteksts"/>
              <w:spacing w:before="40" w:after="40"/>
              <w:ind w:firstLine="0"/>
              <w:jc w:val="right"/>
              <w:rPr>
                <w:bCs/>
                <w:color w:val="17365D"/>
                <w:sz w:val="20"/>
                <w:szCs w:val="20"/>
              </w:rPr>
            </w:pPr>
            <w:r w:rsidRPr="00B36A61">
              <w:rPr>
                <w:b/>
                <w:bCs/>
                <w:color w:val="17365D"/>
                <w:sz w:val="20"/>
                <w:szCs w:val="20"/>
              </w:rPr>
              <w:t>3 209 587 181</w:t>
            </w:r>
          </w:p>
        </w:tc>
        <w:tc>
          <w:tcPr>
            <w:tcW w:w="1624" w:type="dxa"/>
            <w:tcBorders>
              <w:top w:val="single" w:sz="4" w:space="0" w:color="17365D"/>
              <w:left w:val="nil"/>
              <w:bottom w:val="single" w:sz="4" w:space="0" w:color="17365D"/>
              <w:right w:val="nil"/>
            </w:tcBorders>
            <w:shd w:val="clear" w:color="000000" w:fill="FFFFFF"/>
            <w:vAlign w:val="center"/>
          </w:tcPr>
          <w:p w14:paraId="18AC7736" w14:textId="11F77FD7" w:rsidR="00AA4177" w:rsidRPr="00B36A61" w:rsidRDefault="00AA4177" w:rsidP="00AA4177">
            <w:pPr>
              <w:pStyle w:val="Pamatteksts"/>
              <w:spacing w:before="60" w:after="60"/>
              <w:ind w:left="-107" w:right="-105" w:firstLine="0"/>
              <w:jc w:val="right"/>
              <w:rPr>
                <w:b/>
                <w:bCs/>
                <w:color w:val="17365D"/>
                <w:sz w:val="20"/>
                <w:szCs w:val="20"/>
              </w:rPr>
            </w:pPr>
            <w:r w:rsidRPr="00B36A61">
              <w:rPr>
                <w:b/>
                <w:bCs/>
                <w:color w:val="17365D"/>
                <w:sz w:val="20"/>
                <w:szCs w:val="20"/>
              </w:rPr>
              <w:t>380 043 299</w:t>
            </w:r>
          </w:p>
        </w:tc>
        <w:tc>
          <w:tcPr>
            <w:tcW w:w="1327" w:type="dxa"/>
            <w:tcBorders>
              <w:top w:val="single" w:sz="4" w:space="0" w:color="17365D"/>
              <w:left w:val="nil"/>
              <w:bottom w:val="single" w:sz="4" w:space="0" w:color="17365D"/>
              <w:right w:val="nil"/>
            </w:tcBorders>
            <w:shd w:val="clear" w:color="000000" w:fill="FFFFFF"/>
            <w:vAlign w:val="center"/>
          </w:tcPr>
          <w:p w14:paraId="2B660858" w14:textId="3B778FC6" w:rsidR="00AA4177" w:rsidRPr="00B36A61" w:rsidRDefault="00AA4177" w:rsidP="00AA4177">
            <w:pPr>
              <w:pStyle w:val="Pamatteksts"/>
              <w:spacing w:before="40" w:after="40"/>
              <w:ind w:firstLine="0"/>
              <w:jc w:val="right"/>
              <w:rPr>
                <w:b/>
                <w:bCs/>
                <w:color w:val="17365D"/>
                <w:sz w:val="20"/>
                <w:szCs w:val="20"/>
              </w:rPr>
            </w:pPr>
            <w:r w:rsidRPr="00B36A61">
              <w:rPr>
                <w:b/>
                <w:bCs/>
                <w:color w:val="17365D"/>
                <w:sz w:val="20"/>
                <w:szCs w:val="20"/>
              </w:rPr>
              <w:t>11.8</w:t>
            </w:r>
          </w:p>
        </w:tc>
      </w:tr>
      <w:tr w:rsidR="00B36A61" w:rsidRPr="00B36A61" w14:paraId="6CE07FB1" w14:textId="77777777" w:rsidTr="00F5680C">
        <w:trPr>
          <w:cantSplit/>
          <w:trHeight w:val="284"/>
        </w:trPr>
        <w:tc>
          <w:tcPr>
            <w:tcW w:w="898" w:type="dxa"/>
            <w:tcBorders>
              <w:top w:val="single" w:sz="4" w:space="0" w:color="17365D"/>
              <w:left w:val="nil"/>
              <w:bottom w:val="single" w:sz="4" w:space="0" w:color="17365D"/>
              <w:right w:val="nil"/>
            </w:tcBorders>
            <w:vAlign w:val="center"/>
          </w:tcPr>
          <w:p w14:paraId="6CA78026" w14:textId="7D8EDC9F" w:rsidR="00AA4177" w:rsidRPr="00B36A61" w:rsidRDefault="00AA4177" w:rsidP="00AA4177">
            <w:pPr>
              <w:spacing w:before="40" w:after="40"/>
              <w:ind w:firstLine="0"/>
              <w:jc w:val="left"/>
              <w:rPr>
                <w:b/>
                <w:bCs/>
                <w:color w:val="17365D"/>
                <w:sz w:val="20"/>
                <w:szCs w:val="20"/>
              </w:rPr>
            </w:pPr>
            <w:r w:rsidRPr="00B36A61">
              <w:rPr>
                <w:b/>
                <w:bCs/>
                <w:color w:val="17365D"/>
                <w:sz w:val="20"/>
                <w:szCs w:val="20"/>
              </w:rPr>
              <w:t>1.0.</w:t>
            </w:r>
          </w:p>
        </w:tc>
        <w:tc>
          <w:tcPr>
            <w:tcW w:w="2575" w:type="dxa"/>
            <w:tcBorders>
              <w:top w:val="single" w:sz="4" w:space="0" w:color="17365D"/>
              <w:left w:val="nil"/>
              <w:bottom w:val="single" w:sz="4" w:space="0" w:color="17365D"/>
              <w:right w:val="nil"/>
            </w:tcBorders>
            <w:shd w:val="clear" w:color="000000" w:fill="FFFFFF"/>
            <w:vAlign w:val="center"/>
          </w:tcPr>
          <w:p w14:paraId="70EC2D5C" w14:textId="77777777" w:rsidR="00AA4177" w:rsidRPr="00B36A61" w:rsidRDefault="00AA4177" w:rsidP="00AA4177">
            <w:pPr>
              <w:pStyle w:val="Pamatteksts"/>
              <w:spacing w:before="40" w:after="40"/>
              <w:ind w:firstLine="0"/>
              <w:rPr>
                <w:b/>
                <w:color w:val="17365D"/>
                <w:sz w:val="20"/>
                <w:szCs w:val="20"/>
              </w:rPr>
            </w:pPr>
            <w:r w:rsidRPr="00B36A61">
              <w:rPr>
                <w:b/>
                <w:bCs/>
                <w:color w:val="17365D"/>
                <w:sz w:val="20"/>
                <w:szCs w:val="20"/>
              </w:rPr>
              <w:t>Uzturēšanas izdevumi</w:t>
            </w:r>
          </w:p>
        </w:tc>
        <w:tc>
          <w:tcPr>
            <w:tcW w:w="1475" w:type="dxa"/>
            <w:tcBorders>
              <w:top w:val="single" w:sz="4" w:space="0" w:color="17365D"/>
              <w:left w:val="nil"/>
              <w:bottom w:val="single" w:sz="4" w:space="0" w:color="17365D"/>
              <w:right w:val="nil"/>
            </w:tcBorders>
            <w:shd w:val="clear" w:color="000000" w:fill="FFFFFF"/>
            <w:vAlign w:val="center"/>
          </w:tcPr>
          <w:p w14:paraId="034FA2D5" w14:textId="6FCA0F5D" w:rsidR="00AA4177" w:rsidRPr="00B36A61" w:rsidRDefault="00AA4177" w:rsidP="00AA4177">
            <w:pPr>
              <w:pStyle w:val="Pamatteksts"/>
              <w:spacing w:before="40" w:after="40"/>
              <w:ind w:firstLine="0"/>
              <w:jc w:val="right"/>
              <w:rPr>
                <w:b/>
                <w:bCs/>
                <w:color w:val="17365D"/>
                <w:sz w:val="20"/>
                <w:szCs w:val="20"/>
              </w:rPr>
            </w:pPr>
            <w:r w:rsidRPr="00B36A61">
              <w:rPr>
                <w:b/>
                <w:color w:val="17365D"/>
                <w:sz w:val="20"/>
                <w:szCs w:val="20"/>
              </w:rPr>
              <w:t>3 587 602 369</w:t>
            </w:r>
          </w:p>
        </w:tc>
        <w:tc>
          <w:tcPr>
            <w:tcW w:w="1475" w:type="dxa"/>
            <w:tcBorders>
              <w:top w:val="single" w:sz="4" w:space="0" w:color="17365D"/>
              <w:left w:val="nil"/>
              <w:bottom w:val="single" w:sz="4" w:space="0" w:color="17365D"/>
              <w:right w:val="nil"/>
            </w:tcBorders>
            <w:shd w:val="clear" w:color="auto" w:fill="auto"/>
            <w:vAlign w:val="center"/>
          </w:tcPr>
          <w:p w14:paraId="2126818C" w14:textId="17BE0F32" w:rsidR="00AA4177" w:rsidRPr="00B36A61" w:rsidRDefault="00AA4177" w:rsidP="00AA4177">
            <w:pPr>
              <w:pStyle w:val="Pamatteksts"/>
              <w:spacing w:before="40" w:after="40"/>
              <w:ind w:firstLine="0"/>
              <w:jc w:val="right"/>
              <w:rPr>
                <w:b/>
                <w:bCs/>
                <w:color w:val="17365D"/>
                <w:sz w:val="20"/>
                <w:szCs w:val="20"/>
              </w:rPr>
            </w:pPr>
            <w:r w:rsidRPr="00B36A61">
              <w:rPr>
                <w:b/>
                <w:color w:val="17365D"/>
                <w:sz w:val="20"/>
                <w:szCs w:val="20"/>
              </w:rPr>
              <w:t>3 207 911 963</w:t>
            </w:r>
          </w:p>
        </w:tc>
        <w:tc>
          <w:tcPr>
            <w:tcW w:w="1624" w:type="dxa"/>
            <w:tcBorders>
              <w:top w:val="single" w:sz="4" w:space="0" w:color="17365D"/>
              <w:left w:val="nil"/>
              <w:bottom w:val="single" w:sz="4" w:space="0" w:color="17365D"/>
              <w:right w:val="nil"/>
            </w:tcBorders>
            <w:shd w:val="clear" w:color="000000" w:fill="FFFFFF"/>
            <w:vAlign w:val="center"/>
          </w:tcPr>
          <w:p w14:paraId="5D44AC3B" w14:textId="15E5E693" w:rsidR="00AA4177" w:rsidRPr="00B36A61" w:rsidRDefault="00AA4177" w:rsidP="00AA4177">
            <w:pPr>
              <w:pStyle w:val="Pamatteksts"/>
              <w:spacing w:before="60" w:after="60"/>
              <w:ind w:left="-107" w:right="-105" w:firstLine="0"/>
              <w:jc w:val="right"/>
              <w:rPr>
                <w:b/>
                <w:bCs/>
                <w:color w:val="17365D"/>
                <w:sz w:val="20"/>
                <w:szCs w:val="20"/>
              </w:rPr>
            </w:pPr>
            <w:r w:rsidRPr="00B36A61">
              <w:rPr>
                <w:b/>
                <w:color w:val="17365D"/>
                <w:sz w:val="20"/>
                <w:szCs w:val="20"/>
              </w:rPr>
              <w:t>379 690 406</w:t>
            </w:r>
          </w:p>
        </w:tc>
        <w:tc>
          <w:tcPr>
            <w:tcW w:w="1327" w:type="dxa"/>
            <w:tcBorders>
              <w:top w:val="single" w:sz="4" w:space="0" w:color="17365D"/>
              <w:left w:val="nil"/>
              <w:bottom w:val="single" w:sz="4" w:space="0" w:color="17365D"/>
              <w:right w:val="nil"/>
            </w:tcBorders>
            <w:shd w:val="clear" w:color="000000" w:fill="FFFFFF"/>
            <w:vAlign w:val="center"/>
          </w:tcPr>
          <w:p w14:paraId="2E903225" w14:textId="25082DCA" w:rsidR="00AA4177" w:rsidRPr="00B36A61" w:rsidRDefault="00AA4177" w:rsidP="00AA4177">
            <w:pPr>
              <w:pStyle w:val="Pamatteksts"/>
              <w:spacing w:before="40" w:after="40"/>
              <w:ind w:firstLine="0"/>
              <w:jc w:val="right"/>
              <w:rPr>
                <w:b/>
                <w:bCs/>
                <w:color w:val="17365D"/>
                <w:sz w:val="20"/>
                <w:szCs w:val="20"/>
              </w:rPr>
            </w:pPr>
            <w:r w:rsidRPr="00B36A61">
              <w:rPr>
                <w:b/>
                <w:color w:val="17365D"/>
                <w:sz w:val="20"/>
                <w:szCs w:val="20"/>
              </w:rPr>
              <w:t>11.8</w:t>
            </w:r>
          </w:p>
        </w:tc>
      </w:tr>
      <w:tr w:rsidR="00B36A61" w:rsidRPr="00B36A61" w14:paraId="418D01F3" w14:textId="77777777" w:rsidTr="00F5680C">
        <w:trPr>
          <w:cantSplit/>
          <w:trHeight w:val="284"/>
        </w:trPr>
        <w:tc>
          <w:tcPr>
            <w:tcW w:w="898" w:type="dxa"/>
            <w:tcBorders>
              <w:top w:val="single" w:sz="4" w:space="0" w:color="17365D"/>
              <w:left w:val="nil"/>
              <w:bottom w:val="single" w:sz="4" w:space="0" w:color="17365D"/>
              <w:right w:val="nil"/>
            </w:tcBorders>
            <w:vAlign w:val="center"/>
          </w:tcPr>
          <w:p w14:paraId="7B8FA9B9" w14:textId="092E8267" w:rsidR="00AA4177" w:rsidRPr="00B36A61" w:rsidRDefault="00AA4177" w:rsidP="00AA4177">
            <w:pPr>
              <w:pStyle w:val="Pamatteksts"/>
              <w:spacing w:before="40" w:after="40"/>
              <w:ind w:firstLine="0"/>
              <w:jc w:val="left"/>
              <w:rPr>
                <w:color w:val="17365D"/>
                <w:sz w:val="20"/>
                <w:szCs w:val="20"/>
              </w:rPr>
            </w:pPr>
            <w:r w:rsidRPr="00B36A61">
              <w:rPr>
                <w:color w:val="17365D"/>
                <w:sz w:val="20"/>
                <w:szCs w:val="20"/>
              </w:rPr>
              <w:t>1.1.</w:t>
            </w:r>
          </w:p>
        </w:tc>
        <w:tc>
          <w:tcPr>
            <w:tcW w:w="2575" w:type="dxa"/>
            <w:tcBorders>
              <w:top w:val="single" w:sz="4" w:space="0" w:color="17365D"/>
              <w:left w:val="nil"/>
              <w:bottom w:val="single" w:sz="4" w:space="0" w:color="17365D"/>
              <w:right w:val="nil"/>
            </w:tcBorders>
            <w:shd w:val="clear" w:color="000000" w:fill="FFFFFF"/>
            <w:vAlign w:val="center"/>
          </w:tcPr>
          <w:p w14:paraId="516F2B4C" w14:textId="77777777" w:rsidR="00AA4177" w:rsidRPr="00B36A61" w:rsidRDefault="00AA4177" w:rsidP="00AA4177">
            <w:pPr>
              <w:pStyle w:val="Pamatteksts"/>
              <w:spacing w:before="40" w:after="40"/>
              <w:ind w:firstLine="0"/>
              <w:rPr>
                <w:color w:val="17365D"/>
                <w:sz w:val="20"/>
                <w:szCs w:val="20"/>
              </w:rPr>
            </w:pPr>
            <w:r w:rsidRPr="00B36A61">
              <w:rPr>
                <w:bCs/>
                <w:color w:val="17365D"/>
                <w:sz w:val="20"/>
                <w:szCs w:val="20"/>
              </w:rPr>
              <w:t>Kārtējie izdevumi</w:t>
            </w:r>
          </w:p>
        </w:tc>
        <w:tc>
          <w:tcPr>
            <w:tcW w:w="1475" w:type="dxa"/>
            <w:tcBorders>
              <w:top w:val="single" w:sz="4" w:space="0" w:color="17365D"/>
              <w:left w:val="nil"/>
              <w:bottom w:val="single" w:sz="4" w:space="0" w:color="17365D"/>
              <w:right w:val="nil"/>
            </w:tcBorders>
            <w:shd w:val="clear" w:color="000000" w:fill="FFFFFF"/>
            <w:vAlign w:val="center"/>
          </w:tcPr>
          <w:p w14:paraId="5F32286A" w14:textId="0FE135AD"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23 344 674</w:t>
            </w:r>
          </w:p>
        </w:tc>
        <w:tc>
          <w:tcPr>
            <w:tcW w:w="1475" w:type="dxa"/>
            <w:tcBorders>
              <w:top w:val="single" w:sz="4" w:space="0" w:color="17365D"/>
              <w:left w:val="nil"/>
              <w:bottom w:val="single" w:sz="4" w:space="0" w:color="17365D"/>
              <w:right w:val="nil"/>
            </w:tcBorders>
            <w:shd w:val="clear" w:color="auto" w:fill="auto"/>
            <w:vAlign w:val="center"/>
          </w:tcPr>
          <w:p w14:paraId="22456518" w14:textId="7B30FAAF"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22 893 809</w:t>
            </w:r>
          </w:p>
        </w:tc>
        <w:tc>
          <w:tcPr>
            <w:tcW w:w="1624" w:type="dxa"/>
            <w:tcBorders>
              <w:top w:val="single" w:sz="4" w:space="0" w:color="17365D"/>
              <w:left w:val="nil"/>
              <w:bottom w:val="single" w:sz="4" w:space="0" w:color="17365D"/>
              <w:right w:val="nil"/>
            </w:tcBorders>
            <w:shd w:val="clear" w:color="000000" w:fill="FFFFFF"/>
            <w:vAlign w:val="center"/>
          </w:tcPr>
          <w:p w14:paraId="5B44037D" w14:textId="305180C9" w:rsidR="00AA4177" w:rsidRPr="00B36A61" w:rsidRDefault="00AA4177" w:rsidP="00AA4177">
            <w:pPr>
              <w:pStyle w:val="Pamatteksts"/>
              <w:spacing w:before="60" w:after="60"/>
              <w:ind w:left="-107" w:right="-105" w:firstLine="0"/>
              <w:jc w:val="right"/>
              <w:rPr>
                <w:bCs/>
                <w:color w:val="17365D"/>
                <w:sz w:val="20"/>
                <w:szCs w:val="20"/>
              </w:rPr>
            </w:pPr>
            <w:r w:rsidRPr="00B36A61">
              <w:rPr>
                <w:color w:val="17365D"/>
                <w:sz w:val="20"/>
                <w:szCs w:val="20"/>
              </w:rPr>
              <w:t>450 865</w:t>
            </w:r>
          </w:p>
        </w:tc>
        <w:tc>
          <w:tcPr>
            <w:tcW w:w="1327" w:type="dxa"/>
            <w:tcBorders>
              <w:top w:val="single" w:sz="4" w:space="0" w:color="17365D"/>
              <w:left w:val="nil"/>
              <w:bottom w:val="single" w:sz="4" w:space="0" w:color="17365D"/>
              <w:right w:val="nil"/>
            </w:tcBorders>
            <w:shd w:val="clear" w:color="000000" w:fill="FFFFFF"/>
            <w:vAlign w:val="center"/>
          </w:tcPr>
          <w:p w14:paraId="5B46ADF9" w14:textId="756249BD"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2.0</w:t>
            </w:r>
          </w:p>
        </w:tc>
      </w:tr>
      <w:tr w:rsidR="00B36A61" w:rsidRPr="00B36A61" w14:paraId="710AF588" w14:textId="77777777" w:rsidTr="00F5680C">
        <w:trPr>
          <w:cantSplit/>
          <w:trHeight w:val="284"/>
        </w:trPr>
        <w:tc>
          <w:tcPr>
            <w:tcW w:w="898" w:type="dxa"/>
            <w:tcBorders>
              <w:top w:val="single" w:sz="4" w:space="0" w:color="17365D"/>
              <w:left w:val="nil"/>
              <w:bottom w:val="single" w:sz="4" w:space="0" w:color="17365D"/>
              <w:right w:val="nil"/>
            </w:tcBorders>
            <w:vAlign w:val="center"/>
          </w:tcPr>
          <w:p w14:paraId="211E86E6" w14:textId="6685149E" w:rsidR="00AA4177" w:rsidRPr="00B36A61" w:rsidRDefault="00AA4177" w:rsidP="00AA4177">
            <w:pPr>
              <w:pStyle w:val="Pamatteksts"/>
              <w:spacing w:before="40" w:after="40"/>
              <w:ind w:firstLine="0"/>
              <w:jc w:val="left"/>
              <w:rPr>
                <w:color w:val="17365D"/>
                <w:sz w:val="20"/>
                <w:szCs w:val="20"/>
              </w:rPr>
            </w:pPr>
            <w:r w:rsidRPr="00B36A61">
              <w:rPr>
                <w:color w:val="17365D"/>
                <w:sz w:val="20"/>
                <w:szCs w:val="20"/>
              </w:rPr>
              <w:t>1.3.</w:t>
            </w:r>
          </w:p>
        </w:tc>
        <w:tc>
          <w:tcPr>
            <w:tcW w:w="2575" w:type="dxa"/>
            <w:tcBorders>
              <w:top w:val="single" w:sz="4" w:space="0" w:color="17365D"/>
              <w:left w:val="nil"/>
              <w:bottom w:val="single" w:sz="4" w:space="0" w:color="17365D"/>
              <w:right w:val="nil"/>
            </w:tcBorders>
            <w:shd w:val="clear" w:color="000000" w:fill="FFFFFF"/>
            <w:vAlign w:val="center"/>
          </w:tcPr>
          <w:p w14:paraId="2B29F9B3" w14:textId="77777777" w:rsidR="00AA4177" w:rsidRPr="00B36A61" w:rsidRDefault="00AA4177" w:rsidP="00F5680C">
            <w:pPr>
              <w:pStyle w:val="Pamatteksts"/>
              <w:spacing w:before="40" w:after="40"/>
              <w:ind w:firstLine="0"/>
              <w:jc w:val="left"/>
              <w:rPr>
                <w:color w:val="17365D"/>
                <w:sz w:val="20"/>
                <w:szCs w:val="20"/>
              </w:rPr>
            </w:pPr>
            <w:r w:rsidRPr="00B36A61">
              <w:rPr>
                <w:bCs/>
                <w:color w:val="17365D"/>
                <w:sz w:val="20"/>
                <w:szCs w:val="20"/>
              </w:rPr>
              <w:t>Subsīdijas, dotācijas un sociālie pabalsti</w:t>
            </w:r>
          </w:p>
        </w:tc>
        <w:tc>
          <w:tcPr>
            <w:tcW w:w="1475" w:type="dxa"/>
            <w:tcBorders>
              <w:top w:val="single" w:sz="4" w:space="0" w:color="17365D"/>
              <w:left w:val="nil"/>
              <w:bottom w:val="single" w:sz="4" w:space="0" w:color="17365D"/>
              <w:right w:val="nil"/>
            </w:tcBorders>
            <w:shd w:val="clear" w:color="000000" w:fill="FFFFFF"/>
            <w:vAlign w:val="center"/>
          </w:tcPr>
          <w:p w14:paraId="3F1D512A" w14:textId="4B05BB46"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3 559 921 222</w:t>
            </w:r>
          </w:p>
        </w:tc>
        <w:tc>
          <w:tcPr>
            <w:tcW w:w="1475" w:type="dxa"/>
            <w:tcBorders>
              <w:top w:val="single" w:sz="4" w:space="0" w:color="17365D"/>
              <w:left w:val="nil"/>
              <w:bottom w:val="single" w:sz="4" w:space="0" w:color="17365D"/>
              <w:right w:val="nil"/>
            </w:tcBorders>
            <w:shd w:val="clear" w:color="auto" w:fill="auto"/>
            <w:vAlign w:val="center"/>
          </w:tcPr>
          <w:p w14:paraId="62BF831C" w14:textId="0FC5C55B"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3 180 459 261</w:t>
            </w:r>
          </w:p>
        </w:tc>
        <w:tc>
          <w:tcPr>
            <w:tcW w:w="1624" w:type="dxa"/>
            <w:tcBorders>
              <w:top w:val="single" w:sz="4" w:space="0" w:color="17365D"/>
              <w:left w:val="nil"/>
              <w:bottom w:val="single" w:sz="4" w:space="0" w:color="17365D"/>
              <w:right w:val="nil"/>
            </w:tcBorders>
            <w:shd w:val="clear" w:color="000000" w:fill="FFFFFF"/>
            <w:vAlign w:val="center"/>
          </w:tcPr>
          <w:p w14:paraId="6815B49E" w14:textId="3CEA1C09" w:rsidR="00AA4177" w:rsidRPr="00B36A61" w:rsidRDefault="00AA4177" w:rsidP="00AA4177">
            <w:pPr>
              <w:pStyle w:val="Pamatteksts"/>
              <w:spacing w:before="60" w:after="60"/>
              <w:ind w:left="-107" w:right="-105" w:firstLine="0"/>
              <w:jc w:val="right"/>
              <w:rPr>
                <w:bCs/>
                <w:color w:val="17365D"/>
                <w:sz w:val="20"/>
                <w:szCs w:val="20"/>
              </w:rPr>
            </w:pPr>
            <w:r w:rsidRPr="00B36A61">
              <w:rPr>
                <w:color w:val="17365D"/>
                <w:sz w:val="20"/>
                <w:szCs w:val="20"/>
              </w:rPr>
              <w:t>379 461 961</w:t>
            </w:r>
          </w:p>
        </w:tc>
        <w:tc>
          <w:tcPr>
            <w:tcW w:w="1327" w:type="dxa"/>
            <w:tcBorders>
              <w:top w:val="single" w:sz="4" w:space="0" w:color="17365D"/>
              <w:left w:val="nil"/>
              <w:bottom w:val="single" w:sz="4" w:space="0" w:color="17365D"/>
              <w:right w:val="nil"/>
            </w:tcBorders>
            <w:shd w:val="clear" w:color="000000" w:fill="FFFFFF"/>
            <w:vAlign w:val="center"/>
          </w:tcPr>
          <w:p w14:paraId="23BEFD5F" w14:textId="19502675"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11.9</w:t>
            </w:r>
          </w:p>
        </w:tc>
      </w:tr>
      <w:tr w:rsidR="00B36A61" w:rsidRPr="00B36A61" w14:paraId="4E54E84E" w14:textId="77777777" w:rsidTr="00F5680C">
        <w:trPr>
          <w:cantSplit/>
          <w:trHeight w:val="284"/>
        </w:trPr>
        <w:tc>
          <w:tcPr>
            <w:tcW w:w="898" w:type="dxa"/>
            <w:tcBorders>
              <w:top w:val="single" w:sz="4" w:space="0" w:color="17365D"/>
              <w:left w:val="nil"/>
              <w:bottom w:val="single" w:sz="4" w:space="0" w:color="17365D"/>
              <w:right w:val="nil"/>
            </w:tcBorders>
            <w:vAlign w:val="center"/>
          </w:tcPr>
          <w:p w14:paraId="4C7A624F" w14:textId="77777777" w:rsidR="00AA4177" w:rsidRPr="00B36A61" w:rsidRDefault="00AA4177" w:rsidP="00AA4177">
            <w:pPr>
              <w:pStyle w:val="Pamatteksts"/>
              <w:spacing w:before="40" w:after="40"/>
              <w:ind w:firstLine="0"/>
              <w:jc w:val="left"/>
              <w:rPr>
                <w:color w:val="17365D"/>
                <w:sz w:val="20"/>
                <w:szCs w:val="20"/>
              </w:rPr>
            </w:pPr>
            <w:r w:rsidRPr="00B36A61">
              <w:rPr>
                <w:color w:val="17365D"/>
                <w:sz w:val="20"/>
                <w:szCs w:val="20"/>
              </w:rPr>
              <w:t>7000</w:t>
            </w:r>
          </w:p>
        </w:tc>
        <w:tc>
          <w:tcPr>
            <w:tcW w:w="2575" w:type="dxa"/>
            <w:tcBorders>
              <w:top w:val="single" w:sz="4" w:space="0" w:color="17365D"/>
              <w:left w:val="nil"/>
              <w:bottom w:val="single" w:sz="4" w:space="0" w:color="17365D"/>
              <w:right w:val="nil"/>
            </w:tcBorders>
            <w:shd w:val="clear" w:color="000000" w:fill="FFFFFF"/>
            <w:vAlign w:val="center"/>
          </w:tcPr>
          <w:p w14:paraId="0E1A4CF0" w14:textId="77777777" w:rsidR="00AA4177" w:rsidRPr="00B36A61" w:rsidRDefault="00AA4177" w:rsidP="00F5680C">
            <w:pPr>
              <w:pStyle w:val="Pamatteksts"/>
              <w:spacing w:before="40" w:after="40"/>
              <w:ind w:firstLine="0"/>
              <w:jc w:val="left"/>
              <w:rPr>
                <w:color w:val="17365D"/>
                <w:sz w:val="20"/>
                <w:szCs w:val="20"/>
              </w:rPr>
            </w:pPr>
            <w:r w:rsidRPr="00B36A61">
              <w:rPr>
                <w:color w:val="17365D"/>
                <w:sz w:val="20"/>
                <w:szCs w:val="20"/>
              </w:rPr>
              <w:t xml:space="preserve">Transferti, uzturēšanas izdevumu transferti, pašu resursu maksājumi, starptautiskā sadarbība </w:t>
            </w:r>
          </w:p>
        </w:tc>
        <w:tc>
          <w:tcPr>
            <w:tcW w:w="1475" w:type="dxa"/>
            <w:tcBorders>
              <w:top w:val="single" w:sz="4" w:space="0" w:color="17365D"/>
              <w:left w:val="nil"/>
              <w:bottom w:val="single" w:sz="4" w:space="0" w:color="17365D"/>
              <w:right w:val="nil"/>
            </w:tcBorders>
            <w:shd w:val="clear" w:color="000000" w:fill="FFFFFF"/>
            <w:vAlign w:val="center"/>
          </w:tcPr>
          <w:p w14:paraId="783486C8" w14:textId="5BC2C7A0"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4 336 473</w:t>
            </w:r>
          </w:p>
        </w:tc>
        <w:tc>
          <w:tcPr>
            <w:tcW w:w="1475" w:type="dxa"/>
            <w:tcBorders>
              <w:top w:val="single" w:sz="4" w:space="0" w:color="17365D"/>
              <w:left w:val="nil"/>
              <w:bottom w:val="single" w:sz="4" w:space="0" w:color="17365D"/>
              <w:right w:val="nil"/>
            </w:tcBorders>
            <w:shd w:val="clear" w:color="auto" w:fill="auto"/>
            <w:vAlign w:val="center"/>
          </w:tcPr>
          <w:p w14:paraId="12239B2C" w14:textId="422DAAD9"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4 558 893</w:t>
            </w:r>
          </w:p>
        </w:tc>
        <w:tc>
          <w:tcPr>
            <w:tcW w:w="1624" w:type="dxa"/>
            <w:tcBorders>
              <w:top w:val="single" w:sz="4" w:space="0" w:color="17365D"/>
              <w:left w:val="nil"/>
              <w:bottom w:val="single" w:sz="4" w:space="0" w:color="17365D"/>
              <w:right w:val="nil"/>
            </w:tcBorders>
            <w:shd w:val="clear" w:color="000000" w:fill="FFFFFF"/>
            <w:vAlign w:val="center"/>
          </w:tcPr>
          <w:p w14:paraId="7B04ABD7" w14:textId="3A50E861" w:rsidR="00AA4177" w:rsidRPr="00B36A61" w:rsidRDefault="00AA4177" w:rsidP="00AA4177">
            <w:pPr>
              <w:pStyle w:val="Pamatteksts"/>
              <w:spacing w:before="60" w:after="60"/>
              <w:ind w:left="-107" w:right="-105" w:firstLine="0"/>
              <w:jc w:val="right"/>
              <w:rPr>
                <w:bCs/>
                <w:color w:val="17365D"/>
                <w:sz w:val="20"/>
                <w:szCs w:val="20"/>
              </w:rPr>
            </w:pPr>
            <w:r w:rsidRPr="00B36A61">
              <w:rPr>
                <w:color w:val="17365D"/>
                <w:sz w:val="20"/>
                <w:szCs w:val="20"/>
              </w:rPr>
              <w:t>-222 420</w:t>
            </w:r>
          </w:p>
        </w:tc>
        <w:tc>
          <w:tcPr>
            <w:tcW w:w="1327" w:type="dxa"/>
            <w:tcBorders>
              <w:top w:val="single" w:sz="4" w:space="0" w:color="17365D"/>
              <w:left w:val="nil"/>
              <w:bottom w:val="single" w:sz="4" w:space="0" w:color="17365D"/>
              <w:right w:val="nil"/>
            </w:tcBorders>
            <w:shd w:val="clear" w:color="000000" w:fill="FFFFFF"/>
            <w:vAlign w:val="center"/>
          </w:tcPr>
          <w:p w14:paraId="7D415488" w14:textId="20D677B3"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-4.9</w:t>
            </w:r>
          </w:p>
        </w:tc>
      </w:tr>
      <w:tr w:rsidR="00B36A61" w:rsidRPr="00B36A61" w14:paraId="47E398A1" w14:textId="77777777" w:rsidTr="00F5680C">
        <w:trPr>
          <w:cantSplit/>
          <w:trHeight w:val="284"/>
        </w:trPr>
        <w:tc>
          <w:tcPr>
            <w:tcW w:w="898" w:type="dxa"/>
            <w:tcBorders>
              <w:top w:val="single" w:sz="4" w:space="0" w:color="17365D"/>
              <w:left w:val="nil"/>
              <w:bottom w:val="single" w:sz="4" w:space="0" w:color="17365D"/>
              <w:right w:val="nil"/>
            </w:tcBorders>
            <w:vAlign w:val="center"/>
          </w:tcPr>
          <w:p w14:paraId="2A60DEC4" w14:textId="77777777" w:rsidR="00AA4177" w:rsidRPr="00B36A61" w:rsidRDefault="00AA4177" w:rsidP="00AA4177">
            <w:pPr>
              <w:pStyle w:val="Pamatteksts"/>
              <w:spacing w:before="40" w:after="40"/>
              <w:ind w:firstLine="0"/>
              <w:jc w:val="left"/>
              <w:rPr>
                <w:color w:val="17365D"/>
                <w:sz w:val="20"/>
                <w:szCs w:val="20"/>
              </w:rPr>
            </w:pPr>
            <w:r w:rsidRPr="00B36A61">
              <w:rPr>
                <w:color w:val="17365D"/>
                <w:sz w:val="20"/>
                <w:szCs w:val="20"/>
              </w:rPr>
              <w:t>1.4.</w:t>
            </w:r>
          </w:p>
        </w:tc>
        <w:tc>
          <w:tcPr>
            <w:tcW w:w="2575" w:type="dxa"/>
            <w:tcBorders>
              <w:top w:val="single" w:sz="4" w:space="0" w:color="17365D"/>
              <w:left w:val="nil"/>
              <w:bottom w:val="single" w:sz="4" w:space="0" w:color="17365D"/>
              <w:right w:val="nil"/>
            </w:tcBorders>
            <w:shd w:val="clear" w:color="000000" w:fill="FFFFFF"/>
            <w:vAlign w:val="center"/>
          </w:tcPr>
          <w:p w14:paraId="614EC44B" w14:textId="77777777" w:rsidR="00AA4177" w:rsidRPr="00B36A61" w:rsidRDefault="00AA4177" w:rsidP="00F5680C">
            <w:pPr>
              <w:pStyle w:val="Pamatteksts"/>
              <w:spacing w:before="40" w:after="40"/>
              <w:ind w:firstLine="0"/>
              <w:jc w:val="left"/>
              <w:rPr>
                <w:color w:val="17365D"/>
                <w:sz w:val="20"/>
                <w:szCs w:val="20"/>
              </w:rPr>
            </w:pPr>
            <w:r w:rsidRPr="00B36A61">
              <w:rPr>
                <w:bCs/>
                <w:color w:val="17365D"/>
                <w:sz w:val="20"/>
                <w:szCs w:val="20"/>
              </w:rPr>
              <w:t>Kārtējie maksājumi Eiropas Savienības budžetā un starptautiskā sadarbība</w:t>
            </w:r>
          </w:p>
        </w:tc>
        <w:tc>
          <w:tcPr>
            <w:tcW w:w="1475" w:type="dxa"/>
            <w:tcBorders>
              <w:top w:val="single" w:sz="4" w:space="0" w:color="17365D"/>
              <w:left w:val="nil"/>
              <w:bottom w:val="single" w:sz="4" w:space="0" w:color="17365D"/>
              <w:right w:val="nil"/>
            </w:tcBorders>
            <w:shd w:val="clear" w:color="000000" w:fill="FFFFFF"/>
            <w:vAlign w:val="center"/>
          </w:tcPr>
          <w:p w14:paraId="1B9D566E" w14:textId="401C66D3"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21 270</w:t>
            </w:r>
          </w:p>
        </w:tc>
        <w:tc>
          <w:tcPr>
            <w:tcW w:w="1475" w:type="dxa"/>
            <w:tcBorders>
              <w:top w:val="single" w:sz="4" w:space="0" w:color="17365D"/>
              <w:left w:val="nil"/>
              <w:bottom w:val="single" w:sz="4" w:space="0" w:color="17365D"/>
              <w:right w:val="nil"/>
            </w:tcBorders>
            <w:shd w:val="clear" w:color="auto" w:fill="auto"/>
            <w:vAlign w:val="center"/>
          </w:tcPr>
          <w:p w14:paraId="7E097CF2" w14:textId="7C805821"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19 724</w:t>
            </w:r>
          </w:p>
        </w:tc>
        <w:tc>
          <w:tcPr>
            <w:tcW w:w="1624" w:type="dxa"/>
            <w:tcBorders>
              <w:top w:val="single" w:sz="4" w:space="0" w:color="17365D"/>
              <w:left w:val="nil"/>
              <w:bottom w:val="single" w:sz="4" w:space="0" w:color="17365D"/>
              <w:right w:val="nil"/>
            </w:tcBorders>
            <w:shd w:val="clear" w:color="000000" w:fill="FFFFFF"/>
            <w:vAlign w:val="center"/>
          </w:tcPr>
          <w:p w14:paraId="4D0B3897" w14:textId="45B7DABC" w:rsidR="00AA4177" w:rsidRPr="00B36A61" w:rsidRDefault="00AA4177" w:rsidP="00AA4177">
            <w:pPr>
              <w:pStyle w:val="Pamatteksts"/>
              <w:spacing w:before="60" w:after="60"/>
              <w:ind w:left="-107" w:right="-105" w:firstLine="0"/>
              <w:jc w:val="right"/>
              <w:rPr>
                <w:bCs/>
                <w:color w:val="17365D"/>
                <w:sz w:val="20"/>
                <w:szCs w:val="20"/>
              </w:rPr>
            </w:pPr>
            <w:r w:rsidRPr="00B36A61">
              <w:rPr>
                <w:color w:val="17365D"/>
                <w:sz w:val="20"/>
                <w:szCs w:val="20"/>
              </w:rPr>
              <w:t>1 546</w:t>
            </w:r>
          </w:p>
        </w:tc>
        <w:tc>
          <w:tcPr>
            <w:tcW w:w="1327" w:type="dxa"/>
            <w:tcBorders>
              <w:top w:val="single" w:sz="4" w:space="0" w:color="17365D"/>
              <w:left w:val="nil"/>
              <w:bottom w:val="single" w:sz="4" w:space="0" w:color="17365D"/>
              <w:right w:val="nil"/>
            </w:tcBorders>
            <w:shd w:val="clear" w:color="000000" w:fill="FFFFFF"/>
            <w:vAlign w:val="center"/>
          </w:tcPr>
          <w:p w14:paraId="4286C941" w14:textId="30573ACF"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7.8</w:t>
            </w:r>
          </w:p>
        </w:tc>
      </w:tr>
      <w:tr w:rsidR="00B36A61" w:rsidRPr="00B36A61" w14:paraId="5FBD43A5" w14:textId="77777777" w:rsidTr="00F5680C">
        <w:trPr>
          <w:cantSplit/>
          <w:trHeight w:val="284"/>
        </w:trPr>
        <w:tc>
          <w:tcPr>
            <w:tcW w:w="898" w:type="dxa"/>
            <w:tcBorders>
              <w:top w:val="single" w:sz="4" w:space="0" w:color="17365D"/>
              <w:left w:val="nil"/>
              <w:bottom w:val="single" w:sz="4" w:space="0" w:color="17365D"/>
              <w:right w:val="nil"/>
            </w:tcBorders>
            <w:vAlign w:val="center"/>
          </w:tcPr>
          <w:p w14:paraId="0163466A" w14:textId="77777777" w:rsidR="00AA4177" w:rsidRPr="00B36A61" w:rsidRDefault="00AA4177" w:rsidP="00AA4177">
            <w:pPr>
              <w:pStyle w:val="Pamatteksts"/>
              <w:spacing w:before="40" w:after="40"/>
              <w:ind w:firstLine="0"/>
              <w:jc w:val="left"/>
              <w:rPr>
                <w:color w:val="17365D"/>
                <w:sz w:val="20"/>
                <w:szCs w:val="20"/>
              </w:rPr>
            </w:pPr>
            <w:r w:rsidRPr="00B36A61">
              <w:rPr>
                <w:color w:val="17365D"/>
                <w:sz w:val="20"/>
                <w:szCs w:val="20"/>
              </w:rPr>
              <w:t>1.5.</w:t>
            </w:r>
          </w:p>
        </w:tc>
        <w:tc>
          <w:tcPr>
            <w:tcW w:w="2575" w:type="dxa"/>
            <w:tcBorders>
              <w:top w:val="single" w:sz="4" w:space="0" w:color="17365D"/>
              <w:left w:val="nil"/>
              <w:bottom w:val="single" w:sz="4" w:space="0" w:color="17365D"/>
              <w:right w:val="nil"/>
            </w:tcBorders>
            <w:shd w:val="clear" w:color="000000" w:fill="FFFFFF"/>
            <w:vAlign w:val="center"/>
          </w:tcPr>
          <w:p w14:paraId="5890EF87" w14:textId="77777777" w:rsidR="00AA4177" w:rsidRPr="00B36A61" w:rsidRDefault="00AA4177" w:rsidP="00F5680C">
            <w:pPr>
              <w:pStyle w:val="Pamatteksts"/>
              <w:spacing w:before="40" w:after="40"/>
              <w:ind w:firstLine="0"/>
              <w:jc w:val="left"/>
              <w:rPr>
                <w:color w:val="17365D"/>
                <w:sz w:val="20"/>
                <w:szCs w:val="20"/>
              </w:rPr>
            </w:pPr>
            <w:r w:rsidRPr="00B36A61">
              <w:rPr>
                <w:bCs/>
                <w:color w:val="17365D"/>
                <w:sz w:val="20"/>
                <w:szCs w:val="20"/>
              </w:rPr>
              <w:t xml:space="preserve">Transferti viena budžeta veida ietvaros un uzturēšanas izdevumu transferti starp budžeta veidiem </w:t>
            </w:r>
          </w:p>
        </w:tc>
        <w:tc>
          <w:tcPr>
            <w:tcW w:w="1475" w:type="dxa"/>
            <w:tcBorders>
              <w:top w:val="single" w:sz="4" w:space="0" w:color="17365D"/>
              <w:left w:val="nil"/>
              <w:bottom w:val="single" w:sz="4" w:space="0" w:color="17365D"/>
              <w:right w:val="nil"/>
            </w:tcBorders>
            <w:shd w:val="clear" w:color="000000" w:fill="FFFFFF"/>
            <w:vAlign w:val="center"/>
          </w:tcPr>
          <w:p w14:paraId="72297461" w14:textId="1BBA9194"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4 315 203</w:t>
            </w:r>
          </w:p>
        </w:tc>
        <w:tc>
          <w:tcPr>
            <w:tcW w:w="1475" w:type="dxa"/>
            <w:tcBorders>
              <w:top w:val="single" w:sz="4" w:space="0" w:color="17365D"/>
              <w:left w:val="nil"/>
              <w:bottom w:val="single" w:sz="4" w:space="0" w:color="17365D"/>
              <w:right w:val="nil"/>
            </w:tcBorders>
            <w:shd w:val="clear" w:color="auto" w:fill="auto"/>
            <w:vAlign w:val="center"/>
          </w:tcPr>
          <w:p w14:paraId="3B6290F8" w14:textId="55A81295"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4 539 169</w:t>
            </w:r>
          </w:p>
        </w:tc>
        <w:tc>
          <w:tcPr>
            <w:tcW w:w="1624" w:type="dxa"/>
            <w:tcBorders>
              <w:top w:val="single" w:sz="4" w:space="0" w:color="17365D"/>
              <w:left w:val="nil"/>
              <w:bottom w:val="single" w:sz="4" w:space="0" w:color="17365D"/>
              <w:right w:val="nil"/>
            </w:tcBorders>
            <w:shd w:val="clear" w:color="000000" w:fill="FFFFFF"/>
            <w:vAlign w:val="center"/>
          </w:tcPr>
          <w:p w14:paraId="4F604AF1" w14:textId="75B08233" w:rsidR="00AA4177" w:rsidRPr="00B36A61" w:rsidRDefault="00AA4177" w:rsidP="00AA4177">
            <w:pPr>
              <w:pStyle w:val="Pamatteksts"/>
              <w:spacing w:before="60" w:after="60"/>
              <w:ind w:left="-107" w:right="-105" w:firstLine="0"/>
              <w:jc w:val="right"/>
              <w:rPr>
                <w:bCs/>
                <w:color w:val="17365D"/>
                <w:sz w:val="20"/>
                <w:szCs w:val="20"/>
              </w:rPr>
            </w:pPr>
            <w:r w:rsidRPr="00B36A61">
              <w:rPr>
                <w:color w:val="17365D"/>
                <w:sz w:val="20"/>
                <w:szCs w:val="20"/>
              </w:rPr>
              <w:t>-223 966</w:t>
            </w:r>
          </w:p>
        </w:tc>
        <w:tc>
          <w:tcPr>
            <w:tcW w:w="1327" w:type="dxa"/>
            <w:tcBorders>
              <w:top w:val="single" w:sz="4" w:space="0" w:color="17365D"/>
              <w:left w:val="nil"/>
              <w:bottom w:val="single" w:sz="4" w:space="0" w:color="17365D"/>
              <w:right w:val="nil"/>
            </w:tcBorders>
            <w:shd w:val="clear" w:color="000000" w:fill="FFFFFF"/>
            <w:vAlign w:val="center"/>
          </w:tcPr>
          <w:p w14:paraId="3C27D904" w14:textId="370963AF" w:rsidR="00AA4177" w:rsidRPr="00B36A61" w:rsidRDefault="00AA4177" w:rsidP="00AA4177">
            <w:pPr>
              <w:pStyle w:val="Pamatteksts"/>
              <w:spacing w:before="40" w:after="40"/>
              <w:ind w:firstLine="0"/>
              <w:jc w:val="right"/>
              <w:rPr>
                <w:bCs/>
                <w:color w:val="17365D"/>
                <w:sz w:val="20"/>
                <w:szCs w:val="20"/>
              </w:rPr>
            </w:pPr>
            <w:r w:rsidRPr="00B36A61">
              <w:rPr>
                <w:color w:val="17365D"/>
                <w:sz w:val="20"/>
                <w:szCs w:val="20"/>
              </w:rPr>
              <w:t>-4.9</w:t>
            </w:r>
          </w:p>
        </w:tc>
      </w:tr>
      <w:tr w:rsidR="00B36A61" w:rsidRPr="00B36A61" w14:paraId="6B2FA6E1" w14:textId="77777777" w:rsidTr="00F5680C">
        <w:trPr>
          <w:cantSplit/>
          <w:trHeight w:val="284"/>
        </w:trPr>
        <w:tc>
          <w:tcPr>
            <w:tcW w:w="898" w:type="dxa"/>
            <w:tcBorders>
              <w:top w:val="single" w:sz="4" w:space="0" w:color="17365D"/>
              <w:left w:val="nil"/>
              <w:bottom w:val="single" w:sz="4" w:space="0" w:color="17365D"/>
              <w:right w:val="nil"/>
            </w:tcBorders>
            <w:vAlign w:val="center"/>
          </w:tcPr>
          <w:p w14:paraId="7AD8FEEF" w14:textId="77777777" w:rsidR="00AA4177" w:rsidRPr="00B36A61" w:rsidRDefault="00AA4177" w:rsidP="00AA4177">
            <w:pPr>
              <w:pStyle w:val="Pamatteksts"/>
              <w:spacing w:before="40" w:after="40"/>
              <w:ind w:firstLine="0"/>
              <w:jc w:val="left"/>
              <w:rPr>
                <w:b/>
                <w:color w:val="17365D"/>
                <w:sz w:val="20"/>
                <w:szCs w:val="20"/>
              </w:rPr>
            </w:pPr>
            <w:r w:rsidRPr="00B36A61">
              <w:rPr>
                <w:b/>
                <w:color w:val="17365D"/>
                <w:sz w:val="20"/>
                <w:szCs w:val="20"/>
              </w:rPr>
              <w:t>2.0.</w:t>
            </w:r>
          </w:p>
        </w:tc>
        <w:tc>
          <w:tcPr>
            <w:tcW w:w="2575" w:type="dxa"/>
            <w:tcBorders>
              <w:top w:val="single" w:sz="4" w:space="0" w:color="17365D"/>
              <w:left w:val="nil"/>
              <w:bottom w:val="single" w:sz="4" w:space="0" w:color="17365D"/>
              <w:right w:val="nil"/>
            </w:tcBorders>
            <w:shd w:val="clear" w:color="000000" w:fill="FFFFFF"/>
            <w:vAlign w:val="center"/>
          </w:tcPr>
          <w:p w14:paraId="71B90989" w14:textId="77777777" w:rsidR="00AA4177" w:rsidRPr="00B36A61" w:rsidRDefault="00AA4177" w:rsidP="00F5680C">
            <w:pPr>
              <w:pStyle w:val="Pamatteksts"/>
              <w:spacing w:before="40" w:after="40"/>
              <w:ind w:firstLine="0"/>
              <w:jc w:val="left"/>
              <w:rPr>
                <w:b/>
                <w:bCs/>
                <w:color w:val="17365D"/>
                <w:sz w:val="20"/>
                <w:szCs w:val="20"/>
              </w:rPr>
            </w:pPr>
            <w:r w:rsidRPr="00B36A61">
              <w:rPr>
                <w:b/>
                <w:bCs/>
                <w:color w:val="17365D"/>
                <w:sz w:val="20"/>
                <w:szCs w:val="20"/>
              </w:rPr>
              <w:t>Kapitālie izdevumi</w:t>
            </w:r>
          </w:p>
        </w:tc>
        <w:tc>
          <w:tcPr>
            <w:tcW w:w="1475" w:type="dxa"/>
            <w:tcBorders>
              <w:top w:val="single" w:sz="4" w:space="0" w:color="17365D"/>
              <w:left w:val="nil"/>
              <w:bottom w:val="single" w:sz="4" w:space="0" w:color="17365D"/>
              <w:right w:val="nil"/>
            </w:tcBorders>
            <w:shd w:val="clear" w:color="000000" w:fill="FFFFFF"/>
            <w:vAlign w:val="center"/>
          </w:tcPr>
          <w:p w14:paraId="142E0C01" w14:textId="46CCF3B9" w:rsidR="00AA4177" w:rsidRPr="00B36A61" w:rsidRDefault="00AA4177" w:rsidP="00AA4177">
            <w:pPr>
              <w:pStyle w:val="Pamatteksts"/>
              <w:spacing w:before="40" w:after="40"/>
              <w:ind w:firstLine="0"/>
              <w:jc w:val="right"/>
              <w:rPr>
                <w:b/>
                <w:bCs/>
                <w:color w:val="17365D"/>
                <w:sz w:val="20"/>
                <w:szCs w:val="20"/>
              </w:rPr>
            </w:pPr>
            <w:r w:rsidRPr="00B36A61">
              <w:rPr>
                <w:b/>
                <w:color w:val="17365D"/>
                <w:sz w:val="20"/>
                <w:szCs w:val="20"/>
              </w:rPr>
              <w:t>2 028 111</w:t>
            </w:r>
          </w:p>
        </w:tc>
        <w:tc>
          <w:tcPr>
            <w:tcW w:w="1475" w:type="dxa"/>
            <w:tcBorders>
              <w:top w:val="single" w:sz="4" w:space="0" w:color="17365D"/>
              <w:left w:val="nil"/>
              <w:bottom w:val="single" w:sz="4" w:space="0" w:color="17365D"/>
              <w:right w:val="nil"/>
            </w:tcBorders>
            <w:shd w:val="clear" w:color="auto" w:fill="auto"/>
            <w:vAlign w:val="center"/>
          </w:tcPr>
          <w:p w14:paraId="458F3816" w14:textId="31A51365" w:rsidR="00AA4177" w:rsidRPr="00B36A61" w:rsidRDefault="00AA4177" w:rsidP="00AA4177">
            <w:pPr>
              <w:pStyle w:val="Pamatteksts"/>
              <w:spacing w:before="40" w:after="40"/>
              <w:ind w:firstLine="0"/>
              <w:jc w:val="right"/>
              <w:rPr>
                <w:b/>
                <w:bCs/>
                <w:color w:val="17365D"/>
                <w:sz w:val="20"/>
                <w:szCs w:val="20"/>
              </w:rPr>
            </w:pPr>
            <w:r w:rsidRPr="00B36A61">
              <w:rPr>
                <w:b/>
                <w:color w:val="17365D"/>
                <w:sz w:val="20"/>
                <w:szCs w:val="20"/>
              </w:rPr>
              <w:t>1 675 218</w:t>
            </w:r>
          </w:p>
        </w:tc>
        <w:tc>
          <w:tcPr>
            <w:tcW w:w="1624" w:type="dxa"/>
            <w:tcBorders>
              <w:top w:val="single" w:sz="4" w:space="0" w:color="17365D"/>
              <w:left w:val="nil"/>
              <w:bottom w:val="single" w:sz="4" w:space="0" w:color="17365D"/>
              <w:right w:val="nil"/>
            </w:tcBorders>
            <w:shd w:val="clear" w:color="000000" w:fill="FFFFFF"/>
            <w:vAlign w:val="center"/>
          </w:tcPr>
          <w:p w14:paraId="226786E6" w14:textId="2114B891" w:rsidR="00AA4177" w:rsidRPr="00B36A61" w:rsidRDefault="00AA4177" w:rsidP="00AA4177">
            <w:pPr>
              <w:pStyle w:val="Pamatteksts"/>
              <w:spacing w:before="60" w:after="60"/>
              <w:ind w:left="-107" w:right="-105" w:firstLine="0"/>
              <w:jc w:val="right"/>
              <w:rPr>
                <w:b/>
                <w:bCs/>
                <w:color w:val="17365D"/>
                <w:sz w:val="20"/>
                <w:szCs w:val="20"/>
              </w:rPr>
            </w:pPr>
            <w:r w:rsidRPr="00B36A61">
              <w:rPr>
                <w:b/>
                <w:color w:val="17365D"/>
                <w:sz w:val="20"/>
                <w:szCs w:val="20"/>
              </w:rPr>
              <w:t>352 893</w:t>
            </w:r>
          </w:p>
        </w:tc>
        <w:tc>
          <w:tcPr>
            <w:tcW w:w="1327" w:type="dxa"/>
            <w:tcBorders>
              <w:top w:val="single" w:sz="4" w:space="0" w:color="17365D"/>
              <w:left w:val="nil"/>
              <w:bottom w:val="single" w:sz="4" w:space="0" w:color="17365D"/>
              <w:right w:val="nil"/>
            </w:tcBorders>
            <w:shd w:val="clear" w:color="000000" w:fill="FFFFFF"/>
            <w:vAlign w:val="center"/>
          </w:tcPr>
          <w:p w14:paraId="78AEF666" w14:textId="2021D68C" w:rsidR="00AA4177" w:rsidRPr="00B36A61" w:rsidRDefault="00AA4177" w:rsidP="00AA4177">
            <w:pPr>
              <w:pStyle w:val="Pamatteksts"/>
              <w:spacing w:before="40" w:after="40"/>
              <w:ind w:firstLine="0"/>
              <w:jc w:val="right"/>
              <w:rPr>
                <w:b/>
                <w:bCs/>
                <w:color w:val="17365D"/>
                <w:sz w:val="20"/>
                <w:szCs w:val="20"/>
              </w:rPr>
            </w:pPr>
            <w:r w:rsidRPr="00B36A61">
              <w:rPr>
                <w:b/>
                <w:color w:val="17365D"/>
                <w:sz w:val="20"/>
                <w:szCs w:val="20"/>
              </w:rPr>
              <w:t>21.1</w:t>
            </w:r>
          </w:p>
        </w:tc>
      </w:tr>
      <w:tr w:rsidR="00B36A61" w:rsidRPr="00B36A61" w14:paraId="6B86AA0B" w14:textId="77777777" w:rsidTr="00F5680C">
        <w:trPr>
          <w:cantSplit/>
          <w:trHeight w:val="284"/>
        </w:trPr>
        <w:tc>
          <w:tcPr>
            <w:tcW w:w="898" w:type="dxa"/>
            <w:tcBorders>
              <w:top w:val="single" w:sz="4" w:space="0" w:color="17365D"/>
              <w:left w:val="nil"/>
              <w:bottom w:val="nil"/>
              <w:right w:val="nil"/>
            </w:tcBorders>
            <w:vAlign w:val="center"/>
          </w:tcPr>
          <w:p w14:paraId="1E220173" w14:textId="2B4575F4" w:rsidR="009A25F9" w:rsidRPr="00B36A61" w:rsidRDefault="009A25F9" w:rsidP="009A25F9">
            <w:pPr>
              <w:pStyle w:val="Pamatteksts"/>
              <w:spacing w:before="40" w:after="40"/>
              <w:ind w:firstLine="0"/>
              <w:jc w:val="left"/>
              <w:rPr>
                <w:color w:val="17365D"/>
                <w:sz w:val="20"/>
                <w:szCs w:val="20"/>
              </w:rPr>
            </w:pPr>
            <w:r w:rsidRPr="00B36A61">
              <w:rPr>
                <w:color w:val="17365D"/>
                <w:sz w:val="20"/>
                <w:szCs w:val="20"/>
              </w:rPr>
              <w:t>2.1.</w:t>
            </w:r>
          </w:p>
        </w:tc>
        <w:tc>
          <w:tcPr>
            <w:tcW w:w="2575" w:type="dxa"/>
            <w:tcBorders>
              <w:top w:val="single" w:sz="4" w:space="0" w:color="17365D"/>
              <w:left w:val="nil"/>
              <w:bottom w:val="nil"/>
              <w:right w:val="nil"/>
            </w:tcBorders>
            <w:shd w:val="clear" w:color="000000" w:fill="FFFFFF"/>
            <w:vAlign w:val="center"/>
          </w:tcPr>
          <w:p w14:paraId="199E480F" w14:textId="77777777" w:rsidR="009A25F9" w:rsidRPr="00B36A61" w:rsidRDefault="009A25F9" w:rsidP="00F5680C">
            <w:pPr>
              <w:pStyle w:val="Pamatteksts"/>
              <w:spacing w:before="40" w:after="40"/>
              <w:ind w:firstLine="0"/>
              <w:jc w:val="left"/>
              <w:rPr>
                <w:color w:val="17365D"/>
                <w:sz w:val="20"/>
                <w:szCs w:val="20"/>
              </w:rPr>
            </w:pPr>
            <w:r w:rsidRPr="00B36A61">
              <w:rPr>
                <w:bCs/>
                <w:color w:val="17365D"/>
                <w:sz w:val="20"/>
                <w:szCs w:val="20"/>
              </w:rPr>
              <w:t>Pamatkapitāla veidošana</w:t>
            </w:r>
          </w:p>
        </w:tc>
        <w:tc>
          <w:tcPr>
            <w:tcW w:w="1475" w:type="dxa"/>
            <w:tcBorders>
              <w:top w:val="single" w:sz="4" w:space="0" w:color="17365D"/>
              <w:left w:val="nil"/>
              <w:bottom w:val="nil"/>
              <w:right w:val="nil"/>
            </w:tcBorders>
            <w:shd w:val="clear" w:color="000000" w:fill="FFFFFF"/>
            <w:vAlign w:val="center"/>
          </w:tcPr>
          <w:p w14:paraId="2EB8F584" w14:textId="367B2E10" w:rsidR="009A25F9" w:rsidRPr="00B36A61" w:rsidRDefault="009A25F9" w:rsidP="009A25F9">
            <w:pPr>
              <w:pStyle w:val="Pamatteksts"/>
              <w:spacing w:before="40" w:after="40"/>
              <w:ind w:firstLine="0"/>
              <w:jc w:val="right"/>
              <w:rPr>
                <w:bCs/>
                <w:color w:val="17365D"/>
                <w:sz w:val="20"/>
                <w:szCs w:val="20"/>
              </w:rPr>
            </w:pPr>
            <w:r w:rsidRPr="00B36A61">
              <w:rPr>
                <w:color w:val="17365D"/>
                <w:sz w:val="20"/>
                <w:szCs w:val="20"/>
              </w:rPr>
              <w:t>2 028 111</w:t>
            </w:r>
          </w:p>
        </w:tc>
        <w:tc>
          <w:tcPr>
            <w:tcW w:w="1475" w:type="dxa"/>
            <w:tcBorders>
              <w:top w:val="single" w:sz="4" w:space="0" w:color="17365D"/>
              <w:left w:val="nil"/>
              <w:bottom w:val="nil"/>
              <w:right w:val="nil"/>
            </w:tcBorders>
            <w:shd w:val="clear" w:color="auto" w:fill="auto"/>
            <w:vAlign w:val="center"/>
          </w:tcPr>
          <w:p w14:paraId="08AF9A1B" w14:textId="3B8BE6CA" w:rsidR="009A25F9" w:rsidRPr="00B36A61" w:rsidRDefault="009A25F9" w:rsidP="009A25F9">
            <w:pPr>
              <w:pStyle w:val="Pamatteksts"/>
              <w:spacing w:before="40" w:after="40"/>
              <w:ind w:firstLine="0"/>
              <w:jc w:val="right"/>
              <w:rPr>
                <w:bCs/>
                <w:color w:val="17365D"/>
                <w:sz w:val="20"/>
                <w:szCs w:val="20"/>
              </w:rPr>
            </w:pPr>
            <w:r w:rsidRPr="00B36A61">
              <w:rPr>
                <w:color w:val="17365D"/>
                <w:sz w:val="20"/>
                <w:szCs w:val="20"/>
              </w:rPr>
              <w:t>1 675 218</w:t>
            </w:r>
          </w:p>
        </w:tc>
        <w:tc>
          <w:tcPr>
            <w:tcW w:w="1624" w:type="dxa"/>
            <w:tcBorders>
              <w:top w:val="single" w:sz="4" w:space="0" w:color="17365D"/>
              <w:left w:val="nil"/>
              <w:bottom w:val="nil"/>
              <w:right w:val="nil"/>
            </w:tcBorders>
            <w:shd w:val="clear" w:color="000000" w:fill="FFFFFF"/>
            <w:vAlign w:val="center"/>
          </w:tcPr>
          <w:p w14:paraId="53B7A66B" w14:textId="04EAEAC7" w:rsidR="009A25F9" w:rsidRPr="00B36A61" w:rsidRDefault="009A25F9" w:rsidP="009A25F9">
            <w:pPr>
              <w:pStyle w:val="Pamatteksts"/>
              <w:spacing w:before="60" w:after="60"/>
              <w:ind w:left="-107" w:right="-105" w:firstLine="0"/>
              <w:jc w:val="right"/>
              <w:rPr>
                <w:bCs/>
                <w:color w:val="17365D"/>
                <w:sz w:val="20"/>
                <w:szCs w:val="20"/>
              </w:rPr>
            </w:pPr>
            <w:r w:rsidRPr="00B36A61">
              <w:rPr>
                <w:color w:val="17365D"/>
                <w:sz w:val="20"/>
                <w:szCs w:val="20"/>
              </w:rPr>
              <w:t>352 893</w:t>
            </w:r>
          </w:p>
        </w:tc>
        <w:tc>
          <w:tcPr>
            <w:tcW w:w="1327" w:type="dxa"/>
            <w:tcBorders>
              <w:top w:val="single" w:sz="4" w:space="0" w:color="17365D"/>
              <w:left w:val="nil"/>
              <w:bottom w:val="nil"/>
              <w:right w:val="nil"/>
            </w:tcBorders>
            <w:shd w:val="clear" w:color="000000" w:fill="FFFFFF"/>
            <w:vAlign w:val="center"/>
          </w:tcPr>
          <w:p w14:paraId="477841F2" w14:textId="2B96E1D7" w:rsidR="009A25F9" w:rsidRPr="00B36A61" w:rsidRDefault="009A25F9" w:rsidP="009A25F9">
            <w:pPr>
              <w:pStyle w:val="Pamatteksts"/>
              <w:spacing w:before="40" w:after="40"/>
              <w:ind w:firstLine="0"/>
              <w:jc w:val="right"/>
              <w:rPr>
                <w:bCs/>
                <w:color w:val="17365D"/>
                <w:sz w:val="20"/>
                <w:szCs w:val="20"/>
              </w:rPr>
            </w:pPr>
            <w:r w:rsidRPr="00B36A61">
              <w:rPr>
                <w:color w:val="17365D"/>
                <w:sz w:val="20"/>
                <w:szCs w:val="20"/>
              </w:rPr>
              <w:t>21.1</w:t>
            </w:r>
          </w:p>
        </w:tc>
      </w:tr>
      <w:tr w:rsidR="00B36A61" w:rsidRPr="00B36A61" w14:paraId="6AE4B017" w14:textId="77777777" w:rsidTr="00437740">
        <w:trPr>
          <w:cantSplit/>
          <w:trHeight w:val="284"/>
        </w:trPr>
        <w:tc>
          <w:tcPr>
            <w:tcW w:w="898" w:type="dxa"/>
            <w:tcBorders>
              <w:top w:val="nil"/>
              <w:left w:val="nil"/>
              <w:bottom w:val="nil"/>
              <w:right w:val="nil"/>
            </w:tcBorders>
            <w:shd w:val="clear" w:color="auto" w:fill="B9CDE5"/>
            <w:vAlign w:val="center"/>
          </w:tcPr>
          <w:p w14:paraId="673E7C91" w14:textId="77777777" w:rsidR="007D4D91" w:rsidRPr="00B36A61" w:rsidRDefault="007D4D91" w:rsidP="00AE4765">
            <w:pPr>
              <w:pStyle w:val="Pamatteksts"/>
              <w:spacing w:before="40" w:after="40"/>
              <w:ind w:firstLine="0"/>
              <w:jc w:val="left"/>
              <w:rPr>
                <w:color w:val="17365D"/>
                <w:sz w:val="20"/>
                <w:szCs w:val="20"/>
              </w:rPr>
            </w:pPr>
          </w:p>
        </w:tc>
        <w:tc>
          <w:tcPr>
            <w:tcW w:w="2575" w:type="dxa"/>
            <w:tcBorders>
              <w:top w:val="nil"/>
              <w:left w:val="nil"/>
              <w:bottom w:val="nil"/>
              <w:right w:val="nil"/>
            </w:tcBorders>
            <w:shd w:val="clear" w:color="auto" w:fill="B9CDE5"/>
            <w:vAlign w:val="center"/>
          </w:tcPr>
          <w:p w14:paraId="633DB09F" w14:textId="77777777" w:rsidR="007D4D91" w:rsidRPr="00B36A61" w:rsidRDefault="007D4D91" w:rsidP="00AE4765">
            <w:pPr>
              <w:pStyle w:val="Pamatteksts"/>
              <w:spacing w:before="40" w:after="40"/>
              <w:ind w:firstLine="0"/>
              <w:rPr>
                <w:bCs/>
                <w:color w:val="17365D"/>
                <w:sz w:val="20"/>
                <w:szCs w:val="20"/>
              </w:rPr>
            </w:pPr>
          </w:p>
        </w:tc>
        <w:tc>
          <w:tcPr>
            <w:tcW w:w="1475" w:type="dxa"/>
            <w:tcBorders>
              <w:top w:val="nil"/>
              <w:left w:val="nil"/>
              <w:bottom w:val="nil"/>
              <w:right w:val="nil"/>
            </w:tcBorders>
            <w:shd w:val="clear" w:color="auto" w:fill="B9CDE5"/>
            <w:vAlign w:val="center"/>
          </w:tcPr>
          <w:p w14:paraId="50ADBDD2" w14:textId="77777777" w:rsidR="007D4D91" w:rsidRPr="00B36A61" w:rsidRDefault="007D4D91" w:rsidP="00AE4765">
            <w:pPr>
              <w:pStyle w:val="Pamatteksts"/>
              <w:spacing w:before="40" w:after="40"/>
              <w:ind w:firstLine="0"/>
              <w:jc w:val="right"/>
              <w:rPr>
                <w:bCs/>
                <w:color w:val="17365D"/>
                <w:sz w:val="20"/>
                <w:szCs w:val="20"/>
              </w:rPr>
            </w:pPr>
          </w:p>
        </w:tc>
        <w:tc>
          <w:tcPr>
            <w:tcW w:w="1475" w:type="dxa"/>
            <w:tcBorders>
              <w:top w:val="nil"/>
              <w:left w:val="nil"/>
              <w:bottom w:val="nil"/>
              <w:right w:val="nil"/>
            </w:tcBorders>
            <w:shd w:val="clear" w:color="auto" w:fill="B9CDE5"/>
            <w:vAlign w:val="center"/>
          </w:tcPr>
          <w:p w14:paraId="3457F702" w14:textId="77777777" w:rsidR="007D4D91" w:rsidRPr="00B36A61" w:rsidRDefault="007D4D91" w:rsidP="00AE4765">
            <w:pPr>
              <w:pStyle w:val="Pamatteksts"/>
              <w:spacing w:before="40" w:after="40"/>
              <w:ind w:firstLine="0"/>
              <w:jc w:val="right"/>
              <w:rPr>
                <w:bCs/>
                <w:color w:val="17365D"/>
                <w:sz w:val="20"/>
                <w:szCs w:val="20"/>
              </w:rPr>
            </w:pPr>
          </w:p>
        </w:tc>
        <w:tc>
          <w:tcPr>
            <w:tcW w:w="1624" w:type="dxa"/>
            <w:tcBorders>
              <w:top w:val="nil"/>
              <w:left w:val="nil"/>
              <w:bottom w:val="nil"/>
              <w:right w:val="nil"/>
            </w:tcBorders>
            <w:shd w:val="clear" w:color="auto" w:fill="B9CDE5"/>
            <w:vAlign w:val="center"/>
          </w:tcPr>
          <w:p w14:paraId="2DABD9C6" w14:textId="77777777" w:rsidR="007D4D91" w:rsidRPr="00B36A61" w:rsidRDefault="007D4D91" w:rsidP="00AE4765">
            <w:pPr>
              <w:pStyle w:val="Pamatteksts"/>
              <w:spacing w:before="60" w:after="60"/>
              <w:ind w:left="-107" w:right="-105" w:firstLine="0"/>
              <w:jc w:val="right"/>
              <w:rPr>
                <w:bCs/>
                <w:color w:val="17365D"/>
                <w:sz w:val="20"/>
                <w:szCs w:val="20"/>
              </w:rPr>
            </w:pPr>
          </w:p>
        </w:tc>
        <w:tc>
          <w:tcPr>
            <w:tcW w:w="1327" w:type="dxa"/>
            <w:tcBorders>
              <w:top w:val="nil"/>
              <w:left w:val="nil"/>
              <w:bottom w:val="nil"/>
              <w:right w:val="nil"/>
            </w:tcBorders>
            <w:shd w:val="clear" w:color="auto" w:fill="B9CDE5"/>
            <w:vAlign w:val="center"/>
          </w:tcPr>
          <w:p w14:paraId="34CE56CC" w14:textId="77777777" w:rsidR="007D4D91" w:rsidRPr="00B36A61" w:rsidRDefault="007D4D91" w:rsidP="00AE4765">
            <w:pPr>
              <w:pStyle w:val="Pamatteksts"/>
              <w:spacing w:before="40" w:after="40"/>
              <w:ind w:firstLine="0"/>
              <w:jc w:val="right"/>
              <w:rPr>
                <w:bCs/>
                <w:color w:val="17365D"/>
                <w:sz w:val="20"/>
                <w:szCs w:val="20"/>
              </w:rPr>
            </w:pPr>
          </w:p>
        </w:tc>
      </w:tr>
    </w:tbl>
    <w:p w14:paraId="4E264E31" w14:textId="633E8704" w:rsidR="0099642C" w:rsidRPr="00B36A61" w:rsidRDefault="0099642C" w:rsidP="0099642C">
      <w:pPr>
        <w:pStyle w:val="Pamatteksts"/>
        <w:rPr>
          <w:noProof w:val="0"/>
          <w:color w:val="17365D"/>
        </w:rPr>
      </w:pPr>
    </w:p>
    <w:p w14:paraId="04307DCB" w14:textId="3B66C127" w:rsidR="00051E0E" w:rsidRPr="00B36A61" w:rsidRDefault="00413AE2" w:rsidP="0075754C">
      <w:pPr>
        <w:pStyle w:val="Pamatteksts"/>
        <w:rPr>
          <w:bCs/>
          <w:noProof w:val="0"/>
          <w:color w:val="17365D"/>
        </w:rPr>
      </w:pPr>
      <w:r w:rsidRPr="00B36A61">
        <w:rPr>
          <w:bCs/>
          <w:noProof w:val="0"/>
          <w:color w:val="17365D"/>
        </w:rPr>
        <w:t>20</w:t>
      </w:r>
      <w:r w:rsidR="00537944" w:rsidRPr="00B36A61">
        <w:rPr>
          <w:bCs/>
          <w:noProof w:val="0"/>
          <w:color w:val="17365D"/>
        </w:rPr>
        <w:t>2</w:t>
      </w:r>
      <w:r w:rsidR="00AF155B" w:rsidRPr="00B36A61">
        <w:rPr>
          <w:bCs/>
          <w:noProof w:val="0"/>
          <w:color w:val="17365D"/>
        </w:rPr>
        <w:t>2</w:t>
      </w:r>
      <w:r w:rsidRPr="00B36A61">
        <w:rPr>
          <w:bCs/>
          <w:noProof w:val="0"/>
          <w:color w:val="17365D"/>
        </w:rPr>
        <w:t>.</w:t>
      </w:r>
      <w:r w:rsidR="00FB2437" w:rsidRPr="00B36A61">
        <w:rPr>
          <w:bCs/>
          <w:noProof w:val="0"/>
          <w:color w:val="17365D"/>
        </w:rPr>
        <w:t> </w:t>
      </w:r>
      <w:r w:rsidRPr="00B36A61">
        <w:rPr>
          <w:bCs/>
          <w:noProof w:val="0"/>
          <w:color w:val="17365D"/>
        </w:rPr>
        <w:t xml:space="preserve">gadā valsts sociālās apdrošināšanas speciālā budžeta ieņēmumi pārsniedza izdevumus, veidojot </w:t>
      </w:r>
      <w:r w:rsidRPr="00B36A61">
        <w:rPr>
          <w:bCs/>
          <w:noProof w:val="0"/>
          <w:color w:val="17365D"/>
          <w:u w:val="single"/>
        </w:rPr>
        <w:t>finansiālās bilances pārpalikumu</w:t>
      </w:r>
      <w:r w:rsidRPr="00B36A61">
        <w:rPr>
          <w:bCs/>
          <w:noProof w:val="0"/>
          <w:color w:val="17365D"/>
        </w:rPr>
        <w:t xml:space="preserve"> </w:t>
      </w:r>
      <w:r w:rsidR="00AF155B" w:rsidRPr="00B36A61">
        <w:rPr>
          <w:bCs/>
          <w:noProof w:val="0"/>
          <w:color w:val="17365D"/>
        </w:rPr>
        <w:t>343</w:t>
      </w:r>
      <w:r w:rsidRPr="00B36A61">
        <w:rPr>
          <w:bCs/>
          <w:noProof w:val="0"/>
          <w:color w:val="17365D"/>
        </w:rPr>
        <w:t>,</w:t>
      </w:r>
      <w:r w:rsidR="00D53325" w:rsidRPr="00B36A61">
        <w:rPr>
          <w:bCs/>
          <w:noProof w:val="0"/>
          <w:color w:val="17365D"/>
        </w:rPr>
        <w:t>5</w:t>
      </w:r>
      <w:r w:rsidR="004B35F9" w:rsidRPr="00B36A61">
        <w:rPr>
          <w:bCs/>
          <w:noProof w:val="0"/>
          <w:color w:val="17365D"/>
        </w:rPr>
        <w:t> </w:t>
      </w:r>
      <w:r w:rsidRPr="00B36A61">
        <w:rPr>
          <w:bCs/>
          <w:noProof w:val="0"/>
          <w:color w:val="17365D"/>
        </w:rPr>
        <w:t>milj.</w:t>
      </w:r>
      <w:r w:rsidR="00121F08" w:rsidRPr="00B36A61">
        <w:rPr>
          <w:bCs/>
          <w:noProof w:val="0"/>
          <w:color w:val="17365D"/>
        </w:rPr>
        <w:t> </w:t>
      </w:r>
      <w:r w:rsidRPr="00B36A61">
        <w:rPr>
          <w:bCs/>
          <w:i/>
          <w:noProof w:val="0"/>
          <w:color w:val="17365D"/>
        </w:rPr>
        <w:t>euro</w:t>
      </w:r>
      <w:r w:rsidRPr="00B36A61">
        <w:rPr>
          <w:bCs/>
          <w:noProof w:val="0"/>
          <w:color w:val="17365D"/>
        </w:rPr>
        <w:t>, kas salīdzinājumā ar 20</w:t>
      </w:r>
      <w:r w:rsidR="00D53325" w:rsidRPr="00B36A61">
        <w:rPr>
          <w:bCs/>
          <w:noProof w:val="0"/>
          <w:color w:val="17365D"/>
        </w:rPr>
        <w:t>2</w:t>
      </w:r>
      <w:r w:rsidR="00AF155B" w:rsidRPr="00B36A61">
        <w:rPr>
          <w:bCs/>
          <w:noProof w:val="0"/>
          <w:color w:val="17365D"/>
        </w:rPr>
        <w:t>1</w:t>
      </w:r>
      <w:r w:rsidRPr="00B36A61">
        <w:rPr>
          <w:bCs/>
          <w:noProof w:val="0"/>
          <w:color w:val="17365D"/>
        </w:rPr>
        <w:t>.</w:t>
      </w:r>
      <w:r w:rsidR="004B35F9" w:rsidRPr="00B36A61">
        <w:rPr>
          <w:color w:val="17365D"/>
        </w:rPr>
        <w:t> </w:t>
      </w:r>
      <w:r w:rsidRPr="00B36A61">
        <w:rPr>
          <w:bCs/>
          <w:noProof w:val="0"/>
          <w:color w:val="17365D"/>
        </w:rPr>
        <w:t xml:space="preserve">gadu </w:t>
      </w:r>
      <w:r w:rsidR="00D53325" w:rsidRPr="00B36A61">
        <w:rPr>
          <w:bCs/>
          <w:noProof w:val="0"/>
          <w:color w:val="17365D"/>
        </w:rPr>
        <w:t>palieli</w:t>
      </w:r>
      <w:r w:rsidR="00537944" w:rsidRPr="00B36A61">
        <w:rPr>
          <w:bCs/>
          <w:noProof w:val="0"/>
          <w:color w:val="17365D"/>
        </w:rPr>
        <w:t>nājās</w:t>
      </w:r>
      <w:r w:rsidRPr="00B36A61">
        <w:rPr>
          <w:bCs/>
          <w:noProof w:val="0"/>
          <w:color w:val="17365D"/>
        </w:rPr>
        <w:t xml:space="preserve"> par </w:t>
      </w:r>
      <w:r w:rsidR="00D53325" w:rsidRPr="00B36A61">
        <w:rPr>
          <w:bCs/>
          <w:noProof w:val="0"/>
          <w:color w:val="17365D"/>
        </w:rPr>
        <w:t>1</w:t>
      </w:r>
      <w:r w:rsidR="00AF155B" w:rsidRPr="00B36A61">
        <w:rPr>
          <w:bCs/>
          <w:noProof w:val="0"/>
          <w:color w:val="17365D"/>
        </w:rPr>
        <w:t>43</w:t>
      </w:r>
      <w:r w:rsidRPr="00B36A61">
        <w:rPr>
          <w:bCs/>
          <w:noProof w:val="0"/>
          <w:color w:val="17365D"/>
        </w:rPr>
        <w:t>,</w:t>
      </w:r>
      <w:r w:rsidR="00AF155B" w:rsidRPr="00B36A61">
        <w:rPr>
          <w:bCs/>
          <w:noProof w:val="0"/>
          <w:color w:val="17365D"/>
        </w:rPr>
        <w:t>0</w:t>
      </w:r>
      <w:r w:rsidR="004B35F9" w:rsidRPr="00B36A61">
        <w:rPr>
          <w:bCs/>
          <w:noProof w:val="0"/>
          <w:color w:val="17365D"/>
        </w:rPr>
        <w:t> </w:t>
      </w:r>
      <w:r w:rsidRPr="00B36A61">
        <w:rPr>
          <w:bCs/>
          <w:noProof w:val="0"/>
          <w:color w:val="17365D"/>
        </w:rPr>
        <w:t xml:space="preserve">milj. </w:t>
      </w:r>
      <w:r w:rsidRPr="00B36A61">
        <w:rPr>
          <w:bCs/>
          <w:i/>
          <w:noProof w:val="0"/>
          <w:color w:val="17365D"/>
        </w:rPr>
        <w:t>euro</w:t>
      </w:r>
      <w:r w:rsidRPr="00B36A61">
        <w:rPr>
          <w:bCs/>
          <w:noProof w:val="0"/>
          <w:color w:val="17365D"/>
        </w:rPr>
        <w:t>.</w:t>
      </w:r>
      <w:bookmarkEnd w:id="0"/>
    </w:p>
    <w:p w14:paraId="4830FF02" w14:textId="58AC2832" w:rsidR="003A4341" w:rsidRPr="00B36A61" w:rsidRDefault="00112728" w:rsidP="00B556DF">
      <w:pPr>
        <w:pStyle w:val="Heading1"/>
        <w:rPr>
          <w:rFonts w:cs="Times New Roman"/>
          <w:noProof w:val="0"/>
          <w:color w:val="17365D"/>
        </w:rPr>
      </w:pPr>
      <w:r w:rsidRPr="00B36A61">
        <w:rPr>
          <w:rFonts w:cs="Times New Roman"/>
          <w:noProof w:val="0"/>
          <w:color w:val="17365D"/>
        </w:rPr>
        <w:t>Valsts konsolidēt</w:t>
      </w:r>
      <w:r w:rsidR="00E25224" w:rsidRPr="00B36A61">
        <w:rPr>
          <w:rFonts w:cs="Times New Roman"/>
          <w:noProof w:val="0"/>
          <w:color w:val="17365D"/>
        </w:rPr>
        <w:t>ā</w:t>
      </w:r>
      <w:r w:rsidRPr="00B36A61">
        <w:rPr>
          <w:rFonts w:cs="Times New Roman"/>
          <w:noProof w:val="0"/>
          <w:color w:val="17365D"/>
        </w:rPr>
        <w:t xml:space="preserve"> </w:t>
      </w:r>
      <w:r w:rsidR="003A4341" w:rsidRPr="00B36A61">
        <w:rPr>
          <w:rFonts w:cs="Times New Roman"/>
          <w:noProof w:val="0"/>
          <w:color w:val="17365D"/>
        </w:rPr>
        <w:t xml:space="preserve">ziedojumu un dāvinājumu </w:t>
      </w:r>
      <w:r w:rsidR="00E25224" w:rsidRPr="00B36A61">
        <w:rPr>
          <w:rFonts w:cs="Times New Roman"/>
          <w:noProof w:val="0"/>
          <w:color w:val="17365D"/>
        </w:rPr>
        <w:t>izpilde</w:t>
      </w:r>
      <w:r w:rsidR="003A4341" w:rsidRPr="00B36A61">
        <w:rPr>
          <w:rFonts w:cs="Times New Roman"/>
          <w:noProof w:val="0"/>
          <w:color w:val="17365D"/>
        </w:rPr>
        <w:t xml:space="preserve"> </w:t>
      </w:r>
    </w:p>
    <w:p w14:paraId="3B032EAD" w14:textId="1291B200" w:rsidR="00344ABF" w:rsidRPr="00B36A61" w:rsidRDefault="00B556DF" w:rsidP="001C4BD9">
      <w:pPr>
        <w:pStyle w:val="Pamatteksts"/>
        <w:spacing w:after="0"/>
        <w:rPr>
          <w:noProof w:val="0"/>
          <w:color w:val="17365D"/>
        </w:rPr>
      </w:pPr>
      <w:r w:rsidRPr="00B36A61">
        <w:rPr>
          <w:b/>
          <w:color w:val="17365D"/>
        </w:rPr>
        <mc:AlternateContent>
          <mc:Choice Requires="wps">
            <w:drawing>
              <wp:anchor distT="0" distB="0" distL="114300" distR="114300" simplePos="0" relativeHeight="251654656" behindDoc="1" locked="0" layoutInCell="1" allowOverlap="1" wp14:anchorId="7A88531F" wp14:editId="53744E37">
                <wp:simplePos x="0" y="0"/>
                <wp:positionH relativeFrom="column">
                  <wp:posOffset>4244340</wp:posOffset>
                </wp:positionH>
                <wp:positionV relativeFrom="paragraph">
                  <wp:posOffset>66040</wp:posOffset>
                </wp:positionV>
                <wp:extent cx="1680845" cy="1029600"/>
                <wp:effectExtent l="0" t="0" r="14605" b="18415"/>
                <wp:wrapThrough wrapText="bothSides">
                  <wp:wrapPolygon edited="0">
                    <wp:start x="0" y="0"/>
                    <wp:lineTo x="0" y="21587"/>
                    <wp:lineTo x="21543" y="21587"/>
                    <wp:lineTo x="21543" y="0"/>
                    <wp:lineTo x="0" y="0"/>
                  </wp:wrapPolygon>
                </wp:wrapThrough>
                <wp:docPr id="35" name="Rectangle 35"/>
                <wp:cNvGraphicFramePr/>
                <a:graphic xmlns:a="http://schemas.openxmlformats.org/drawingml/2006/main">
                  <a:graphicData uri="http://schemas.microsoft.com/office/word/2010/wordprocessingShape">
                    <wps:wsp>
                      <wps:cNvSpPr/>
                      <wps:spPr>
                        <a:xfrm>
                          <a:off x="0" y="0"/>
                          <a:ext cx="1680845" cy="1029600"/>
                        </a:xfrm>
                        <a:prstGeom prst="rect">
                          <a:avLst/>
                        </a:prstGeom>
                        <a:solidFill>
                          <a:sysClr val="window" lastClr="FFFFFF"/>
                        </a:solidFill>
                        <a:ln w="25400" cap="flat" cmpd="sng" algn="ctr">
                          <a:solidFill>
                            <a:srgbClr val="17365D"/>
                          </a:solidFill>
                          <a:prstDash val="sysDot"/>
                        </a:ln>
                        <a:effectLst/>
                      </wps:spPr>
                      <wps:txbx>
                        <w:txbxContent>
                          <w:p w14:paraId="55BE94B8" w14:textId="77777777" w:rsidR="00B36A61" w:rsidRPr="00815A40" w:rsidRDefault="00B36A61" w:rsidP="004B1D14">
                            <w:pPr>
                              <w:ind w:firstLine="0"/>
                              <w:jc w:val="center"/>
                              <w:rPr>
                                <w:color w:val="17365D"/>
                              </w:rPr>
                            </w:pPr>
                            <w:r w:rsidRPr="00815A40">
                              <w:rPr>
                                <w:color w:val="17365D"/>
                              </w:rPr>
                              <w:t>Saņemti ziedojumi un dāvinājumi</w:t>
                            </w:r>
                            <w:r w:rsidRPr="00815A40">
                              <w:rPr>
                                <w:rFonts w:eastAsiaTheme="minorHAnsi"/>
                                <w:color w:val="17365D"/>
                                <w:lang w:eastAsia="en-US"/>
                              </w:rPr>
                              <w:t xml:space="preserve"> </w:t>
                            </w:r>
                            <w:r w:rsidRPr="00815A40">
                              <w:rPr>
                                <w:color w:val="17365D"/>
                              </w:rPr>
                              <w:t>–</w:t>
                            </w:r>
                          </w:p>
                          <w:p w14:paraId="0B5C48D0" w14:textId="651E11CE" w:rsidR="00B36A61" w:rsidRPr="00815A40" w:rsidRDefault="00B36A61" w:rsidP="004B1D14">
                            <w:pPr>
                              <w:ind w:firstLine="0"/>
                              <w:jc w:val="center"/>
                              <w:rPr>
                                <w:color w:val="17365D"/>
                              </w:rPr>
                            </w:pPr>
                            <w:r w:rsidRPr="00EA16B2">
                              <w:rPr>
                                <w:b/>
                                <w:color w:val="17365D"/>
                              </w:rPr>
                              <w:t>839</w:t>
                            </w:r>
                            <w:r>
                              <w:rPr>
                                <w:b/>
                                <w:color w:val="17365D"/>
                              </w:rPr>
                              <w:t xml:space="preserve"> </w:t>
                            </w:r>
                            <w:r w:rsidRPr="00EA16B2">
                              <w:rPr>
                                <w:b/>
                                <w:color w:val="17365D"/>
                              </w:rPr>
                              <w:t xml:space="preserve">318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8531F" id="Rectangle 35" o:spid="_x0000_s1032" style="position:absolute;left:0;text-align:left;margin-left:334.2pt;margin-top:5.2pt;width:132.35pt;height:8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" fillcolor="window" strokecolor="#17365d" strokeweight="2pt">
                <v:stroke dashstyle="1 1"/>
                <v:textbox>
                  <w:txbxContent>
                    <w:p w14:paraId="55BE94B8" w14:textId="77777777" w:rsidR="00B36A61" w:rsidRPr="00815A40" w:rsidRDefault="00B36A61" w:rsidP="004B1D14">
                      <w:pPr>
                        <w:ind w:firstLine="0"/>
                        <w:jc w:val="center"/>
                        <w:rPr>
                          <w:color w:val="17365D"/>
                        </w:rPr>
                      </w:pPr>
                      <w:r w:rsidRPr="00815A40">
                        <w:rPr>
                          <w:color w:val="17365D"/>
                        </w:rPr>
                        <w:t>Saņemti ziedojumi un dāvinājumi</w:t>
                      </w:r>
                      <w:r w:rsidRPr="00815A40">
                        <w:rPr>
                          <w:rFonts w:eastAsiaTheme="minorHAnsi"/>
                          <w:color w:val="17365D"/>
                          <w:lang w:eastAsia="en-US"/>
                        </w:rPr>
                        <w:t xml:space="preserve"> </w:t>
                      </w:r>
                      <w:r w:rsidRPr="00815A40">
                        <w:rPr>
                          <w:color w:val="17365D"/>
                        </w:rPr>
                        <w:t>–</w:t>
                      </w:r>
                    </w:p>
                    <w:p w14:paraId="0B5C48D0" w14:textId="651E11CE" w:rsidR="00B36A61" w:rsidRPr="00815A40" w:rsidRDefault="00B36A61" w:rsidP="004B1D14">
                      <w:pPr>
                        <w:ind w:firstLine="0"/>
                        <w:jc w:val="center"/>
                        <w:rPr>
                          <w:color w:val="17365D"/>
                        </w:rPr>
                      </w:pPr>
                      <w:r w:rsidRPr="00EA16B2">
                        <w:rPr>
                          <w:b/>
                          <w:color w:val="17365D"/>
                        </w:rPr>
                        <w:t>839</w:t>
                      </w:r>
                      <w:r>
                        <w:rPr>
                          <w:b/>
                          <w:color w:val="17365D"/>
                        </w:rPr>
                        <w:t xml:space="preserve"> </w:t>
                      </w:r>
                      <w:r w:rsidRPr="00EA16B2">
                        <w:rPr>
                          <w:b/>
                          <w:color w:val="17365D"/>
                        </w:rPr>
                        <w:t xml:space="preserve">318 </w:t>
                      </w:r>
                      <w:r w:rsidRPr="00815A40">
                        <w:rPr>
                          <w:i/>
                          <w:color w:val="17365D"/>
                        </w:rPr>
                        <w:t>euro</w:t>
                      </w:r>
                    </w:p>
                  </w:txbxContent>
                </v:textbox>
                <w10:wrap type="through"/>
              </v:rect>
            </w:pict>
          </mc:Fallback>
        </mc:AlternateContent>
      </w:r>
      <w:r w:rsidR="003A4341" w:rsidRPr="00B36A61">
        <w:rPr>
          <w:noProof w:val="0"/>
          <w:color w:val="17365D"/>
        </w:rPr>
        <w:t xml:space="preserve">Valsts budžetā </w:t>
      </w:r>
      <w:r w:rsidR="000C7B2D" w:rsidRPr="00B36A61">
        <w:rPr>
          <w:noProof w:val="0"/>
          <w:color w:val="17365D"/>
        </w:rPr>
        <w:t>20</w:t>
      </w:r>
      <w:r w:rsidR="001D6C0C" w:rsidRPr="00B36A61">
        <w:rPr>
          <w:noProof w:val="0"/>
          <w:color w:val="17365D"/>
        </w:rPr>
        <w:t>2</w:t>
      </w:r>
      <w:r w:rsidR="00EA16B2" w:rsidRPr="00B36A61">
        <w:rPr>
          <w:noProof w:val="0"/>
          <w:color w:val="17365D"/>
        </w:rPr>
        <w:t>2</w:t>
      </w:r>
      <w:r w:rsidR="000C7B2D" w:rsidRPr="00B36A61">
        <w:rPr>
          <w:noProof w:val="0"/>
          <w:color w:val="17365D"/>
        </w:rPr>
        <w:t>.</w:t>
      </w:r>
      <w:r w:rsidR="00C57BB0" w:rsidRPr="00B36A61">
        <w:rPr>
          <w:noProof w:val="0"/>
          <w:color w:val="17365D"/>
        </w:rPr>
        <w:t> </w:t>
      </w:r>
      <w:r w:rsidR="000C7B2D" w:rsidRPr="00B36A61">
        <w:rPr>
          <w:noProof w:val="0"/>
          <w:color w:val="17365D"/>
        </w:rPr>
        <w:t xml:space="preserve">gadā </w:t>
      </w:r>
      <w:r w:rsidR="003A4341" w:rsidRPr="00B36A61">
        <w:rPr>
          <w:b/>
          <w:bCs/>
          <w:noProof w:val="0"/>
          <w:color w:val="17365D"/>
        </w:rPr>
        <w:t xml:space="preserve">saņemti </w:t>
      </w:r>
      <w:r w:rsidR="003A4341" w:rsidRPr="00B36A61">
        <w:rPr>
          <w:bCs/>
          <w:noProof w:val="0"/>
          <w:color w:val="17365D"/>
        </w:rPr>
        <w:t>ziedojumi un dāvinājumi</w:t>
      </w:r>
      <w:r w:rsidR="003A4341" w:rsidRPr="00B36A61">
        <w:rPr>
          <w:noProof w:val="0"/>
          <w:color w:val="17365D"/>
        </w:rPr>
        <w:t xml:space="preserve"> </w:t>
      </w:r>
      <w:r w:rsidR="00EA16B2" w:rsidRPr="00B36A61">
        <w:rPr>
          <w:noProof w:val="0"/>
          <w:color w:val="17365D"/>
        </w:rPr>
        <w:t>0</w:t>
      </w:r>
      <w:r w:rsidR="003A4341" w:rsidRPr="00B36A61">
        <w:rPr>
          <w:noProof w:val="0"/>
          <w:color w:val="17365D"/>
        </w:rPr>
        <w:t>,</w:t>
      </w:r>
      <w:r w:rsidR="00EA16B2" w:rsidRPr="00B36A61">
        <w:rPr>
          <w:noProof w:val="0"/>
          <w:color w:val="17365D"/>
        </w:rPr>
        <w:t>8</w:t>
      </w:r>
      <w:r w:rsidR="00A23577" w:rsidRPr="00B36A61">
        <w:rPr>
          <w:noProof w:val="0"/>
          <w:color w:val="17365D"/>
        </w:rPr>
        <w:t> </w:t>
      </w:r>
      <w:r w:rsidR="003A4341" w:rsidRPr="00B36A61">
        <w:rPr>
          <w:noProof w:val="0"/>
          <w:color w:val="17365D"/>
        </w:rPr>
        <w:t>milj</w:t>
      </w:r>
      <w:r w:rsidR="008B1F5D" w:rsidRPr="00B36A61">
        <w:rPr>
          <w:noProof w:val="0"/>
          <w:color w:val="17365D"/>
        </w:rPr>
        <w:t>. </w:t>
      </w:r>
      <w:r w:rsidR="00EF7B9A" w:rsidRPr="00B36A61">
        <w:rPr>
          <w:i/>
          <w:noProof w:val="0"/>
          <w:color w:val="17365D"/>
        </w:rPr>
        <w:t>euro</w:t>
      </w:r>
      <w:r w:rsidR="003A4341" w:rsidRPr="00B36A61">
        <w:rPr>
          <w:noProof w:val="0"/>
          <w:color w:val="17365D"/>
        </w:rPr>
        <w:t xml:space="preserve"> vērtībā, kas</w:t>
      </w:r>
      <w:r w:rsidR="009213CE" w:rsidRPr="00B36A61">
        <w:rPr>
          <w:noProof w:val="0"/>
          <w:color w:val="17365D"/>
        </w:rPr>
        <w:t>,</w:t>
      </w:r>
      <w:r w:rsidR="003A4341" w:rsidRPr="00B36A61">
        <w:rPr>
          <w:noProof w:val="0"/>
          <w:color w:val="17365D"/>
        </w:rPr>
        <w:t xml:space="preserve"> </w:t>
      </w:r>
      <w:r w:rsidR="0011526D" w:rsidRPr="00B36A61">
        <w:rPr>
          <w:noProof w:val="0"/>
          <w:color w:val="17365D"/>
        </w:rPr>
        <w:t xml:space="preserve">salīdzinot </w:t>
      </w:r>
      <w:r w:rsidR="008864BD" w:rsidRPr="00B36A61">
        <w:rPr>
          <w:noProof w:val="0"/>
          <w:color w:val="17365D"/>
        </w:rPr>
        <w:t xml:space="preserve">ar </w:t>
      </w:r>
      <w:r w:rsidR="0011526D" w:rsidRPr="00B36A61">
        <w:rPr>
          <w:noProof w:val="0"/>
          <w:color w:val="17365D"/>
        </w:rPr>
        <w:t>20</w:t>
      </w:r>
      <w:r w:rsidR="00D53325" w:rsidRPr="00B36A61">
        <w:rPr>
          <w:noProof w:val="0"/>
          <w:color w:val="17365D"/>
        </w:rPr>
        <w:t>2</w:t>
      </w:r>
      <w:r w:rsidR="00EA16B2" w:rsidRPr="00B36A61">
        <w:rPr>
          <w:noProof w:val="0"/>
          <w:color w:val="17365D"/>
        </w:rPr>
        <w:t>1</w:t>
      </w:r>
      <w:r w:rsidR="0011526D" w:rsidRPr="00B36A61">
        <w:rPr>
          <w:noProof w:val="0"/>
          <w:color w:val="17365D"/>
        </w:rPr>
        <w:t>. gadu</w:t>
      </w:r>
      <w:r w:rsidR="009213CE" w:rsidRPr="00B36A61">
        <w:rPr>
          <w:noProof w:val="0"/>
          <w:color w:val="17365D"/>
        </w:rPr>
        <w:t>,</w:t>
      </w:r>
      <w:r w:rsidR="0011526D" w:rsidRPr="00B36A61">
        <w:rPr>
          <w:noProof w:val="0"/>
          <w:color w:val="17365D"/>
        </w:rPr>
        <w:t xml:space="preserve"> </w:t>
      </w:r>
      <w:r w:rsidR="003A4341" w:rsidRPr="00B36A61">
        <w:rPr>
          <w:noProof w:val="0"/>
          <w:color w:val="17365D"/>
        </w:rPr>
        <w:t xml:space="preserve">ir par </w:t>
      </w:r>
      <w:r w:rsidR="00EA16B2" w:rsidRPr="00B36A61">
        <w:rPr>
          <w:noProof w:val="0"/>
          <w:color w:val="17365D"/>
        </w:rPr>
        <w:t>1</w:t>
      </w:r>
      <w:r w:rsidR="003A4341" w:rsidRPr="00B36A61">
        <w:rPr>
          <w:noProof w:val="0"/>
          <w:color w:val="17365D"/>
        </w:rPr>
        <w:t>,</w:t>
      </w:r>
      <w:r w:rsidR="00EA16B2" w:rsidRPr="00B36A61">
        <w:rPr>
          <w:noProof w:val="0"/>
          <w:color w:val="17365D"/>
        </w:rPr>
        <w:t>7</w:t>
      </w:r>
      <w:r w:rsidR="005F0515" w:rsidRPr="00B36A61">
        <w:rPr>
          <w:noProof w:val="0"/>
          <w:color w:val="17365D"/>
        </w:rPr>
        <w:t> </w:t>
      </w:r>
      <w:r w:rsidR="003A4341" w:rsidRPr="00B36A61">
        <w:rPr>
          <w:noProof w:val="0"/>
          <w:color w:val="17365D"/>
        </w:rPr>
        <w:t>milj</w:t>
      </w:r>
      <w:r w:rsidR="008B1F5D" w:rsidRPr="00B36A61">
        <w:rPr>
          <w:noProof w:val="0"/>
          <w:color w:val="17365D"/>
        </w:rPr>
        <w:t>. </w:t>
      </w:r>
      <w:r w:rsidR="00EF7B9A" w:rsidRPr="00B36A61">
        <w:rPr>
          <w:i/>
          <w:noProof w:val="0"/>
          <w:color w:val="17365D"/>
        </w:rPr>
        <w:t>euro</w:t>
      </w:r>
      <w:r w:rsidR="008B1F5D" w:rsidRPr="00B36A61">
        <w:rPr>
          <w:noProof w:val="0"/>
          <w:color w:val="17365D"/>
        </w:rPr>
        <w:t xml:space="preserve"> </w:t>
      </w:r>
      <w:r w:rsidR="003A4341" w:rsidRPr="00B36A61">
        <w:rPr>
          <w:noProof w:val="0"/>
          <w:color w:val="17365D"/>
        </w:rPr>
        <w:t xml:space="preserve">jeb </w:t>
      </w:r>
      <w:r w:rsidR="00EA16B2" w:rsidRPr="00B36A61">
        <w:rPr>
          <w:noProof w:val="0"/>
          <w:color w:val="17365D"/>
        </w:rPr>
        <w:t>67</w:t>
      </w:r>
      <w:r w:rsidR="003A4341" w:rsidRPr="00B36A61">
        <w:rPr>
          <w:noProof w:val="0"/>
          <w:color w:val="17365D"/>
        </w:rPr>
        <w:t>,</w:t>
      </w:r>
      <w:r w:rsidR="00EA16B2" w:rsidRPr="00B36A61">
        <w:rPr>
          <w:noProof w:val="0"/>
          <w:color w:val="17365D"/>
        </w:rPr>
        <w:t>5</w:t>
      </w:r>
      <w:r w:rsidR="006A7956" w:rsidRPr="00B36A61">
        <w:rPr>
          <w:noProof w:val="0"/>
          <w:color w:val="17365D"/>
        </w:rPr>
        <w:t> %</w:t>
      </w:r>
      <w:r w:rsidR="003A4341" w:rsidRPr="00B36A61">
        <w:rPr>
          <w:noProof w:val="0"/>
          <w:color w:val="17365D"/>
        </w:rPr>
        <w:t xml:space="preserve"> </w:t>
      </w:r>
      <w:r w:rsidR="00EA16B2" w:rsidRPr="00B36A61">
        <w:rPr>
          <w:noProof w:val="0"/>
          <w:color w:val="17365D"/>
        </w:rPr>
        <w:t>mazāk</w:t>
      </w:r>
      <w:r w:rsidR="003A4341" w:rsidRPr="00B36A61">
        <w:rPr>
          <w:noProof w:val="0"/>
          <w:color w:val="17365D"/>
        </w:rPr>
        <w:t xml:space="preserve">. </w:t>
      </w:r>
      <w:r w:rsidR="004079A0" w:rsidRPr="00B36A61">
        <w:rPr>
          <w:noProof w:val="0"/>
          <w:color w:val="17365D"/>
        </w:rPr>
        <w:t>Detalizēta informācija skatāma 20</w:t>
      </w:r>
      <w:r w:rsidR="001D6C0C" w:rsidRPr="00B36A61">
        <w:rPr>
          <w:noProof w:val="0"/>
          <w:color w:val="17365D"/>
        </w:rPr>
        <w:t>2</w:t>
      </w:r>
      <w:r w:rsidR="00344ABF" w:rsidRPr="00B36A61">
        <w:rPr>
          <w:noProof w:val="0"/>
          <w:color w:val="17365D"/>
        </w:rPr>
        <w:t>2</w:t>
      </w:r>
      <w:r w:rsidR="004079A0" w:rsidRPr="00B36A61">
        <w:rPr>
          <w:noProof w:val="0"/>
          <w:color w:val="17365D"/>
        </w:rPr>
        <w:t>. gada pārskata 3.1.13. pielikumā “</w:t>
      </w:r>
      <w:r w:rsidR="004079A0" w:rsidRPr="00B36A61">
        <w:rPr>
          <w:color w:val="17365D"/>
        </w:rPr>
        <w:t>Valsts konsolidētā ziedojumu un dāvinājumu izpilde</w:t>
      </w:r>
      <w:r w:rsidR="004079A0" w:rsidRPr="00B36A61">
        <w:rPr>
          <w:noProof w:val="0"/>
          <w:color w:val="17365D"/>
        </w:rPr>
        <w:t>”</w:t>
      </w:r>
      <w:r w:rsidRPr="00B36A61">
        <w:rPr>
          <w:noProof w:val="0"/>
          <w:color w:val="17365D"/>
        </w:rPr>
        <w:t>.</w:t>
      </w:r>
      <w:r w:rsidR="004079A0" w:rsidRPr="00B36A61">
        <w:rPr>
          <w:noProof w:val="0"/>
          <w:color w:val="17365D"/>
        </w:rPr>
        <w:t xml:space="preserve"> </w:t>
      </w:r>
      <w:r w:rsidR="005957E5" w:rsidRPr="00B36A61">
        <w:rPr>
          <w:noProof w:val="0"/>
          <w:color w:val="17365D"/>
        </w:rPr>
        <w:t xml:space="preserve">(skatīt </w:t>
      </w:r>
      <w:r w:rsidR="00026D5A" w:rsidRPr="00B36A61">
        <w:rPr>
          <w:noProof w:val="0"/>
          <w:color w:val="17365D"/>
        </w:rPr>
        <w:t>6</w:t>
      </w:r>
      <w:r w:rsidR="005957E5" w:rsidRPr="00B36A61">
        <w:rPr>
          <w:noProof w:val="0"/>
          <w:color w:val="17365D"/>
        </w:rPr>
        <w:t>.</w:t>
      </w:r>
      <w:r w:rsidR="00395AC6" w:rsidRPr="00B36A61">
        <w:rPr>
          <w:noProof w:val="0"/>
          <w:color w:val="17365D"/>
        </w:rPr>
        <w:t> </w:t>
      </w:r>
      <w:r w:rsidR="005957E5" w:rsidRPr="00B36A61">
        <w:rPr>
          <w:noProof w:val="0"/>
          <w:color w:val="17365D"/>
        </w:rPr>
        <w:t>tabulu)</w:t>
      </w:r>
      <w:r w:rsidR="000872BB" w:rsidRPr="00B36A61">
        <w:rPr>
          <w:noProof w:val="0"/>
          <w:color w:val="17365D"/>
        </w:rPr>
        <w:t>. L</w:t>
      </w:r>
      <w:r w:rsidR="005957E5" w:rsidRPr="00B36A61">
        <w:rPr>
          <w:noProof w:val="0"/>
          <w:color w:val="17365D"/>
        </w:rPr>
        <w:t>ielākās ziedojumu un dāvinājumu summas 20</w:t>
      </w:r>
      <w:r w:rsidR="007952F1" w:rsidRPr="00B36A61">
        <w:rPr>
          <w:noProof w:val="0"/>
          <w:color w:val="17365D"/>
        </w:rPr>
        <w:t>2</w:t>
      </w:r>
      <w:r w:rsidR="00344ABF" w:rsidRPr="00B36A61">
        <w:rPr>
          <w:noProof w:val="0"/>
          <w:color w:val="17365D"/>
        </w:rPr>
        <w:t>2</w:t>
      </w:r>
      <w:r w:rsidR="007C254D" w:rsidRPr="00B36A61">
        <w:rPr>
          <w:noProof w:val="0"/>
          <w:color w:val="17365D"/>
        </w:rPr>
        <w:t>. </w:t>
      </w:r>
      <w:r w:rsidR="005957E5" w:rsidRPr="00B36A61">
        <w:rPr>
          <w:noProof w:val="0"/>
          <w:color w:val="17365D"/>
        </w:rPr>
        <w:t>gadā saņēmu</w:t>
      </w:r>
      <w:r w:rsidR="00920EE3" w:rsidRPr="00B36A61">
        <w:rPr>
          <w:noProof w:val="0"/>
          <w:color w:val="17365D"/>
        </w:rPr>
        <w:t>si</w:t>
      </w:r>
      <w:r w:rsidR="005957E5" w:rsidRPr="00B36A61">
        <w:rPr>
          <w:noProof w:val="0"/>
          <w:color w:val="17365D"/>
        </w:rPr>
        <w:t xml:space="preserve"> </w:t>
      </w:r>
      <w:r w:rsidR="00344ABF" w:rsidRPr="00B36A61">
        <w:rPr>
          <w:noProof w:val="0"/>
          <w:color w:val="17365D"/>
        </w:rPr>
        <w:t xml:space="preserve">Izglītības un zinātnes ministrija </w:t>
      </w:r>
      <w:r w:rsidR="00CD3F4F" w:rsidRPr="00B36A61">
        <w:rPr>
          <w:noProof w:val="0"/>
          <w:color w:val="17365D"/>
        </w:rPr>
        <w:t>0,4 milj. </w:t>
      </w:r>
      <w:r w:rsidR="00CD3F4F" w:rsidRPr="00B36A61">
        <w:rPr>
          <w:i/>
          <w:noProof w:val="0"/>
          <w:color w:val="17365D"/>
        </w:rPr>
        <w:t>euro</w:t>
      </w:r>
      <w:r w:rsidR="00CD3F4F" w:rsidRPr="00B36A61">
        <w:rPr>
          <w:noProof w:val="0"/>
          <w:color w:val="17365D"/>
        </w:rPr>
        <w:t xml:space="preserve"> </w:t>
      </w:r>
      <w:r w:rsidR="000872BB" w:rsidRPr="00B36A61">
        <w:rPr>
          <w:noProof w:val="0"/>
          <w:color w:val="17365D"/>
        </w:rPr>
        <w:t xml:space="preserve">vērtībā, t.sk. saņemti naudas līdzekļi no ārvalstu organizācijas </w:t>
      </w:r>
      <w:r w:rsidR="00B11377" w:rsidRPr="00B36A61">
        <w:rPr>
          <w:noProof w:val="0"/>
          <w:color w:val="17365D"/>
        </w:rPr>
        <w:t>“The British Council”</w:t>
      </w:r>
      <w:r w:rsidR="000872BB" w:rsidRPr="00B36A61">
        <w:rPr>
          <w:noProof w:val="0"/>
          <w:color w:val="17365D"/>
        </w:rPr>
        <w:t xml:space="preserve"> pārstāvniecības</w:t>
      </w:r>
      <w:r w:rsidR="00153E32" w:rsidRPr="00B36A61">
        <w:rPr>
          <w:noProof w:val="0"/>
          <w:color w:val="17365D"/>
        </w:rPr>
        <w:t>,</w:t>
      </w:r>
      <w:r w:rsidR="00344ABF" w:rsidRPr="00B36A61">
        <w:rPr>
          <w:noProof w:val="0"/>
          <w:color w:val="17365D"/>
        </w:rPr>
        <w:t xml:space="preserve"> AS SEB banka</w:t>
      </w:r>
      <w:r w:rsidR="00153E32" w:rsidRPr="00B36A61">
        <w:rPr>
          <w:noProof w:val="0"/>
          <w:color w:val="17365D"/>
        </w:rPr>
        <w:t>s</w:t>
      </w:r>
      <w:r w:rsidR="00344ABF" w:rsidRPr="00B36A61">
        <w:rPr>
          <w:noProof w:val="0"/>
          <w:color w:val="17365D"/>
        </w:rPr>
        <w:t xml:space="preserve"> un European Grants International Academy</w:t>
      </w:r>
      <w:r w:rsidR="000872BB" w:rsidRPr="00B36A61">
        <w:rPr>
          <w:noProof w:val="0"/>
          <w:color w:val="17365D"/>
        </w:rPr>
        <w:t xml:space="preserve">. No </w:t>
      </w:r>
      <w:r w:rsidR="00344ABF" w:rsidRPr="00B36A61">
        <w:rPr>
          <w:noProof w:val="0"/>
          <w:color w:val="17365D"/>
        </w:rPr>
        <w:t xml:space="preserve"> SIA </w:t>
      </w:r>
      <w:r w:rsidR="00153E32" w:rsidRPr="00B36A61">
        <w:rPr>
          <w:noProof w:val="0"/>
          <w:color w:val="17365D"/>
        </w:rPr>
        <w:t xml:space="preserve">“Moduls Engineering” </w:t>
      </w:r>
      <w:r w:rsidR="000872BB" w:rsidRPr="00B36A61">
        <w:rPr>
          <w:noProof w:val="0"/>
          <w:color w:val="17365D"/>
        </w:rPr>
        <w:t>saņemti</w:t>
      </w:r>
      <w:r w:rsidR="00344ABF" w:rsidRPr="00B36A61">
        <w:rPr>
          <w:noProof w:val="0"/>
          <w:color w:val="17365D"/>
        </w:rPr>
        <w:t xml:space="preserve"> gaisa kvalitātes mērītāj</w:t>
      </w:r>
      <w:r w:rsidR="000872BB" w:rsidRPr="00B36A61">
        <w:rPr>
          <w:noProof w:val="0"/>
          <w:color w:val="17365D"/>
        </w:rPr>
        <w:t>i</w:t>
      </w:r>
      <w:r w:rsidR="00344ABF" w:rsidRPr="00B36A61">
        <w:rPr>
          <w:noProof w:val="0"/>
          <w:color w:val="17365D"/>
        </w:rPr>
        <w:t xml:space="preserve">, </w:t>
      </w:r>
      <w:r w:rsidR="000872BB" w:rsidRPr="00B36A61">
        <w:rPr>
          <w:noProof w:val="0"/>
          <w:color w:val="17365D"/>
        </w:rPr>
        <w:t xml:space="preserve">no </w:t>
      </w:r>
      <w:r w:rsidR="00344ABF" w:rsidRPr="00B36A61">
        <w:rPr>
          <w:noProof w:val="0"/>
          <w:color w:val="17365D"/>
        </w:rPr>
        <w:t>RTU attīstības fond</w:t>
      </w:r>
      <w:r w:rsidR="000872BB" w:rsidRPr="00B36A61">
        <w:rPr>
          <w:noProof w:val="0"/>
          <w:color w:val="17365D"/>
        </w:rPr>
        <w:t>a saņemti</w:t>
      </w:r>
      <w:r w:rsidR="00344ABF" w:rsidRPr="00B36A61">
        <w:rPr>
          <w:noProof w:val="0"/>
          <w:color w:val="17365D"/>
        </w:rPr>
        <w:t xml:space="preserve"> dažād</w:t>
      </w:r>
      <w:r w:rsidR="000872BB" w:rsidRPr="00B36A61">
        <w:rPr>
          <w:noProof w:val="0"/>
          <w:color w:val="17365D"/>
        </w:rPr>
        <w:t>i</w:t>
      </w:r>
      <w:r w:rsidR="00344ABF" w:rsidRPr="00B36A61">
        <w:rPr>
          <w:noProof w:val="0"/>
          <w:color w:val="17365D"/>
        </w:rPr>
        <w:t xml:space="preserve"> </w:t>
      </w:r>
      <w:r w:rsidR="00153E32" w:rsidRPr="00B36A61">
        <w:rPr>
          <w:noProof w:val="0"/>
          <w:color w:val="17365D"/>
        </w:rPr>
        <w:t>materiāl</w:t>
      </w:r>
      <w:r w:rsidR="000872BB" w:rsidRPr="00B36A61">
        <w:rPr>
          <w:noProof w:val="0"/>
          <w:color w:val="17365D"/>
        </w:rPr>
        <w:t>i</w:t>
      </w:r>
      <w:r w:rsidR="00153E32" w:rsidRPr="00B36A61">
        <w:rPr>
          <w:noProof w:val="0"/>
          <w:color w:val="17365D"/>
        </w:rPr>
        <w:t xml:space="preserve"> mācību un zinātniskiem mērķiem un </w:t>
      </w:r>
      <w:r w:rsidR="000872BB" w:rsidRPr="00B36A61">
        <w:rPr>
          <w:noProof w:val="0"/>
          <w:color w:val="17365D"/>
        </w:rPr>
        <w:t xml:space="preserve">no </w:t>
      </w:r>
      <w:r w:rsidR="00153E32" w:rsidRPr="00B36A61">
        <w:rPr>
          <w:noProof w:val="0"/>
          <w:color w:val="17365D"/>
        </w:rPr>
        <w:t>biedrība</w:t>
      </w:r>
      <w:r w:rsidR="00121F08" w:rsidRPr="00B36A61">
        <w:rPr>
          <w:noProof w:val="0"/>
          <w:color w:val="17365D"/>
        </w:rPr>
        <w:t>s</w:t>
      </w:r>
      <w:r w:rsidR="00153E32" w:rsidRPr="00B36A61">
        <w:rPr>
          <w:noProof w:val="0"/>
          <w:color w:val="17365D"/>
        </w:rPr>
        <w:t xml:space="preserve"> “Rīgas Starptautiskā Bienālle” </w:t>
      </w:r>
      <w:r w:rsidR="000872BB" w:rsidRPr="00B36A61">
        <w:rPr>
          <w:noProof w:val="0"/>
          <w:color w:val="17365D"/>
        </w:rPr>
        <w:t>saņemts</w:t>
      </w:r>
      <w:r w:rsidR="00153E32" w:rsidRPr="00B36A61">
        <w:rPr>
          <w:noProof w:val="0"/>
          <w:color w:val="17365D"/>
        </w:rPr>
        <w:t xml:space="preserve"> Heinca Franka mākslas darb</w:t>
      </w:r>
      <w:r w:rsidR="000872BB" w:rsidRPr="00B36A61">
        <w:rPr>
          <w:noProof w:val="0"/>
          <w:color w:val="17365D"/>
        </w:rPr>
        <w:t>s</w:t>
      </w:r>
      <w:r w:rsidR="00153E32" w:rsidRPr="00B36A61">
        <w:rPr>
          <w:noProof w:val="0"/>
          <w:color w:val="17365D"/>
        </w:rPr>
        <w:t xml:space="preserve"> “Pūķdegunradzis pēc būtības ir degunradzis jeb otrādi”.</w:t>
      </w:r>
    </w:p>
    <w:p w14:paraId="7131E7DA" w14:textId="7FC2ACBB" w:rsidR="000872BB" w:rsidRPr="00B36A61" w:rsidRDefault="005957E5" w:rsidP="001C4BD9">
      <w:pPr>
        <w:pStyle w:val="Pamatteksts"/>
        <w:spacing w:after="0"/>
        <w:rPr>
          <w:color w:val="17365D"/>
        </w:rPr>
      </w:pPr>
      <w:r w:rsidRPr="00B36A61">
        <w:rPr>
          <w:noProof w:val="0"/>
          <w:color w:val="17365D"/>
        </w:rPr>
        <w:t>Kultūras ministrija</w:t>
      </w:r>
      <w:r w:rsidR="000872BB" w:rsidRPr="00B36A61">
        <w:rPr>
          <w:noProof w:val="0"/>
          <w:color w:val="17365D"/>
        </w:rPr>
        <w:t xml:space="preserve"> saņēmusi</w:t>
      </w:r>
      <w:r w:rsidRPr="00B36A61">
        <w:rPr>
          <w:noProof w:val="0"/>
          <w:color w:val="17365D"/>
        </w:rPr>
        <w:t xml:space="preserve"> </w:t>
      </w:r>
      <w:r w:rsidR="00CD3F4F" w:rsidRPr="00B36A61">
        <w:rPr>
          <w:noProof w:val="0"/>
          <w:color w:val="17365D"/>
        </w:rPr>
        <w:t>0,3 milj. </w:t>
      </w:r>
      <w:r w:rsidR="00CD3F4F" w:rsidRPr="00B36A61">
        <w:rPr>
          <w:i/>
          <w:noProof w:val="0"/>
          <w:color w:val="17365D"/>
        </w:rPr>
        <w:t>euro</w:t>
      </w:r>
      <w:r w:rsidR="00CD3F4F" w:rsidRPr="00B36A61">
        <w:rPr>
          <w:noProof w:val="0"/>
          <w:color w:val="17365D"/>
        </w:rPr>
        <w:t xml:space="preserve"> </w:t>
      </w:r>
      <w:r w:rsidR="008864BD" w:rsidRPr="00B36A61">
        <w:rPr>
          <w:color w:val="17365D"/>
        </w:rPr>
        <w:t>mērķziedojum</w:t>
      </w:r>
      <w:r w:rsidR="000872BB" w:rsidRPr="00B36A61">
        <w:rPr>
          <w:color w:val="17365D"/>
        </w:rPr>
        <w:t>u</w:t>
      </w:r>
      <w:r w:rsidR="008864BD" w:rsidRPr="00B36A61">
        <w:rPr>
          <w:noProof w:val="0"/>
          <w:color w:val="17365D"/>
        </w:rPr>
        <w:t xml:space="preserve"> n</w:t>
      </w:r>
      <w:r w:rsidR="00920EE3" w:rsidRPr="00B36A61">
        <w:rPr>
          <w:noProof w:val="0"/>
          <w:color w:val="17365D"/>
        </w:rPr>
        <w:t xml:space="preserve">o </w:t>
      </w:r>
      <w:r w:rsidR="007952F1" w:rsidRPr="00B36A61">
        <w:rPr>
          <w:noProof w:val="0"/>
          <w:color w:val="17365D"/>
        </w:rPr>
        <w:t>SIA “</w:t>
      </w:r>
      <w:r w:rsidR="00153E32" w:rsidRPr="00B36A61">
        <w:rPr>
          <w:noProof w:val="0"/>
          <w:color w:val="17365D"/>
        </w:rPr>
        <w:t>Alfor</w:t>
      </w:r>
      <w:r w:rsidR="007952F1" w:rsidRPr="00B36A61">
        <w:rPr>
          <w:noProof w:val="0"/>
          <w:color w:val="17365D"/>
        </w:rPr>
        <w:t>”</w:t>
      </w:r>
      <w:r w:rsidR="00153E32" w:rsidRPr="00B36A61">
        <w:rPr>
          <w:noProof w:val="0"/>
          <w:color w:val="17365D"/>
        </w:rPr>
        <w:t>,</w:t>
      </w:r>
      <w:r w:rsidR="003B0DF3" w:rsidRPr="00B36A61">
        <w:rPr>
          <w:noProof w:val="0"/>
          <w:color w:val="17365D"/>
        </w:rPr>
        <w:t xml:space="preserve"> </w:t>
      </w:r>
      <w:r w:rsidR="003B0DF3" w:rsidRPr="00B36A61">
        <w:rPr>
          <w:color w:val="17365D"/>
        </w:rPr>
        <w:t>SIA “Admirāļu klubs”</w:t>
      </w:r>
      <w:r w:rsidR="00153E32" w:rsidRPr="00B36A61">
        <w:rPr>
          <w:color w:val="17365D"/>
        </w:rPr>
        <w:t>, Nākotnes atbalsta fond</w:t>
      </w:r>
      <w:r w:rsidR="00121F08" w:rsidRPr="00B36A61">
        <w:rPr>
          <w:color w:val="17365D"/>
        </w:rPr>
        <w:t>a</w:t>
      </w:r>
      <w:r w:rsidR="003B0DF3" w:rsidRPr="00B36A61">
        <w:rPr>
          <w:color w:val="17365D"/>
        </w:rPr>
        <w:t xml:space="preserve"> </w:t>
      </w:r>
      <w:r w:rsidR="00153E32" w:rsidRPr="00B36A61">
        <w:rPr>
          <w:color w:val="17365D"/>
        </w:rPr>
        <w:t xml:space="preserve">un SIA “URALKALI TRADING” </w:t>
      </w:r>
      <w:r w:rsidR="00C64169" w:rsidRPr="00B36A61">
        <w:rPr>
          <w:color w:val="17365D"/>
        </w:rPr>
        <w:t>dažādiem</w:t>
      </w:r>
      <w:r w:rsidR="009C3EFD" w:rsidRPr="00B36A61">
        <w:rPr>
          <w:color w:val="17365D"/>
        </w:rPr>
        <w:t xml:space="preserve"> kultūras pasākumiem</w:t>
      </w:r>
      <w:r w:rsidR="00121F08" w:rsidRPr="00B36A61">
        <w:rPr>
          <w:color w:val="17365D"/>
        </w:rPr>
        <w:t>,</w:t>
      </w:r>
      <w:r w:rsidR="009C3EFD" w:rsidRPr="00B36A61">
        <w:rPr>
          <w:color w:val="17365D"/>
        </w:rPr>
        <w:t xml:space="preserve"> un </w:t>
      </w:r>
      <w:r w:rsidR="000872BB" w:rsidRPr="00B36A61">
        <w:rPr>
          <w:color w:val="17365D"/>
        </w:rPr>
        <w:t>no</w:t>
      </w:r>
      <w:r w:rsidR="009C3EFD" w:rsidRPr="00B36A61">
        <w:rPr>
          <w:color w:val="17365D"/>
        </w:rPr>
        <w:t xml:space="preserve"> SIA “Moduls Engineering”</w:t>
      </w:r>
      <w:r w:rsidR="000872BB" w:rsidRPr="00B36A61">
        <w:rPr>
          <w:color w:val="17365D"/>
        </w:rPr>
        <w:t xml:space="preserve"> saņēmusi</w:t>
      </w:r>
      <w:r w:rsidR="009C3EFD" w:rsidRPr="00B36A61">
        <w:rPr>
          <w:color w:val="17365D"/>
        </w:rPr>
        <w:t xml:space="preserve"> gaisa kvalitātes mērītājus.</w:t>
      </w:r>
    </w:p>
    <w:p w14:paraId="5040C058" w14:textId="5CF50304" w:rsidR="00112728" w:rsidRPr="00B36A61" w:rsidRDefault="00026D5A" w:rsidP="004E28A8">
      <w:pPr>
        <w:spacing w:before="240" w:after="0"/>
        <w:ind w:firstLine="0"/>
        <w:jc w:val="right"/>
        <w:rPr>
          <w:rFonts w:eastAsia="Arial Unicode MS"/>
          <w:i/>
          <w:color w:val="17365D"/>
          <w:sz w:val="20"/>
        </w:rPr>
      </w:pPr>
      <w:r w:rsidRPr="00B36A61">
        <w:rPr>
          <w:rFonts w:eastAsia="Arial Unicode MS"/>
          <w:i/>
          <w:color w:val="17365D"/>
          <w:sz w:val="20"/>
        </w:rPr>
        <w:t>6</w:t>
      </w:r>
      <w:r w:rsidR="00112728" w:rsidRPr="00B36A61">
        <w:rPr>
          <w:rFonts w:eastAsia="Arial Unicode MS"/>
          <w:i/>
          <w:color w:val="17365D"/>
          <w:sz w:val="20"/>
        </w:rPr>
        <w:t xml:space="preserve">. tabula. </w:t>
      </w:r>
      <w:r w:rsidR="00B556DF" w:rsidRPr="00B36A61">
        <w:rPr>
          <w:rFonts w:eastAsia="Arial Unicode MS"/>
          <w:i/>
          <w:color w:val="17365D"/>
          <w:sz w:val="20"/>
        </w:rPr>
        <w:t>Z</w:t>
      </w:r>
      <w:r w:rsidR="00112728" w:rsidRPr="00B36A61">
        <w:rPr>
          <w:bCs/>
          <w:i/>
          <w:color w:val="17365D"/>
          <w:sz w:val="20"/>
          <w:szCs w:val="20"/>
        </w:rPr>
        <w:t>iedojum</w:t>
      </w:r>
      <w:r w:rsidR="00B556DF" w:rsidRPr="00B36A61">
        <w:rPr>
          <w:bCs/>
          <w:i/>
          <w:color w:val="17365D"/>
          <w:sz w:val="20"/>
          <w:szCs w:val="20"/>
        </w:rPr>
        <w:t>u</w:t>
      </w:r>
      <w:r w:rsidR="00112728" w:rsidRPr="00B36A61">
        <w:rPr>
          <w:bCs/>
          <w:i/>
          <w:color w:val="17365D"/>
          <w:sz w:val="20"/>
          <w:szCs w:val="20"/>
        </w:rPr>
        <w:t xml:space="preserve"> un dāvinājum</w:t>
      </w:r>
      <w:r w:rsidR="00B556DF" w:rsidRPr="00B36A61">
        <w:rPr>
          <w:bCs/>
          <w:i/>
          <w:color w:val="17365D"/>
          <w:sz w:val="20"/>
          <w:szCs w:val="20"/>
        </w:rPr>
        <w:t>u ieņēmumu izmaiņas</w:t>
      </w:r>
      <w:r w:rsidR="00112728" w:rsidRPr="00B36A61">
        <w:rPr>
          <w:bCs/>
          <w:i/>
          <w:color w:val="17365D"/>
          <w:sz w:val="20"/>
          <w:szCs w:val="20"/>
        </w:rPr>
        <w:t xml:space="preserve"> (</w:t>
      </w:r>
      <w:r w:rsidR="00112728" w:rsidRPr="00B36A61">
        <w:rPr>
          <w:i/>
          <w:color w:val="17365D"/>
          <w:sz w:val="20"/>
        </w:rPr>
        <w:t>euro)</w:t>
      </w:r>
    </w:p>
    <w:tbl>
      <w:tblPr>
        <w:tblStyle w:val="TableGrid"/>
        <w:tblW w:w="9365" w:type="dxa"/>
        <w:tblInd w:w="-5" w:type="dxa"/>
        <w:tblBorders>
          <w:top w:val="none" w:sz="0" w:space="0" w:color="auto"/>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883"/>
        <w:gridCol w:w="2569"/>
        <w:gridCol w:w="1483"/>
        <w:gridCol w:w="1483"/>
        <w:gridCol w:w="1619"/>
        <w:gridCol w:w="1328"/>
      </w:tblGrid>
      <w:tr w:rsidR="00B36A61" w:rsidRPr="00B36A61" w14:paraId="6023C814" w14:textId="77777777" w:rsidTr="0060589F">
        <w:trPr>
          <w:trHeight w:val="284"/>
          <w:tblHeader/>
        </w:trPr>
        <w:tc>
          <w:tcPr>
            <w:tcW w:w="883" w:type="dxa"/>
            <w:vMerge w:val="restart"/>
            <w:tcBorders>
              <w:top w:val="nil"/>
            </w:tcBorders>
            <w:shd w:val="clear" w:color="auto" w:fill="B9CDE5"/>
            <w:vAlign w:val="center"/>
          </w:tcPr>
          <w:p w14:paraId="5F1FD0ED" w14:textId="0AC3F351" w:rsidR="00B1217F" w:rsidRPr="00B36A61" w:rsidRDefault="00B1217F" w:rsidP="009C3BBA">
            <w:pPr>
              <w:pStyle w:val="Pamatteksts"/>
              <w:spacing w:before="60" w:after="60"/>
              <w:ind w:firstLine="0"/>
              <w:jc w:val="center"/>
              <w:rPr>
                <w:b/>
                <w:color w:val="17365D"/>
                <w:sz w:val="20"/>
                <w:szCs w:val="20"/>
              </w:rPr>
            </w:pPr>
            <w:r w:rsidRPr="00B36A61">
              <w:rPr>
                <w:b/>
                <w:color w:val="17365D"/>
                <w:sz w:val="20"/>
                <w:szCs w:val="20"/>
              </w:rPr>
              <w:t>Klasifi-kācijas kods</w:t>
            </w:r>
          </w:p>
        </w:tc>
        <w:tc>
          <w:tcPr>
            <w:tcW w:w="2569" w:type="dxa"/>
            <w:vMerge w:val="restart"/>
            <w:tcBorders>
              <w:top w:val="nil"/>
            </w:tcBorders>
            <w:shd w:val="clear" w:color="auto" w:fill="B9CDE5"/>
            <w:vAlign w:val="center"/>
          </w:tcPr>
          <w:p w14:paraId="629EEF95" w14:textId="77777777" w:rsidR="00B1217F" w:rsidRPr="00B36A61" w:rsidRDefault="00B1217F" w:rsidP="009C3BBA">
            <w:pPr>
              <w:pStyle w:val="Pamatteksts"/>
              <w:spacing w:before="60" w:after="60"/>
              <w:ind w:firstLine="0"/>
              <w:jc w:val="center"/>
              <w:rPr>
                <w:b/>
                <w:color w:val="17365D"/>
                <w:sz w:val="20"/>
                <w:szCs w:val="20"/>
              </w:rPr>
            </w:pPr>
            <w:r w:rsidRPr="00B36A61">
              <w:rPr>
                <w:b/>
                <w:color w:val="17365D"/>
                <w:sz w:val="20"/>
                <w:szCs w:val="20"/>
              </w:rPr>
              <w:t>Posteņa nosaukums</w:t>
            </w:r>
          </w:p>
        </w:tc>
        <w:tc>
          <w:tcPr>
            <w:tcW w:w="2966" w:type="dxa"/>
            <w:gridSpan w:val="2"/>
            <w:tcBorders>
              <w:top w:val="nil"/>
              <w:bottom w:val="single" w:sz="4" w:space="0" w:color="17365D"/>
            </w:tcBorders>
            <w:shd w:val="clear" w:color="auto" w:fill="B9CDE5"/>
            <w:vAlign w:val="center"/>
          </w:tcPr>
          <w:p w14:paraId="4A64A7E8" w14:textId="77777777" w:rsidR="00B1217F" w:rsidRPr="00B36A61" w:rsidRDefault="00B1217F" w:rsidP="009C3BBA">
            <w:pPr>
              <w:pStyle w:val="Pamatteksts"/>
              <w:spacing w:before="60" w:after="60"/>
              <w:ind w:firstLine="0"/>
              <w:jc w:val="center"/>
              <w:rPr>
                <w:b/>
                <w:color w:val="17365D"/>
                <w:sz w:val="20"/>
                <w:szCs w:val="20"/>
              </w:rPr>
            </w:pPr>
            <w:r w:rsidRPr="00B36A61">
              <w:rPr>
                <w:b/>
                <w:color w:val="17365D"/>
                <w:sz w:val="20"/>
                <w:szCs w:val="20"/>
              </w:rPr>
              <w:t>Budžeta izpilde</w:t>
            </w:r>
          </w:p>
        </w:tc>
        <w:tc>
          <w:tcPr>
            <w:tcW w:w="1619" w:type="dxa"/>
            <w:vMerge w:val="restart"/>
            <w:tcBorders>
              <w:top w:val="nil"/>
            </w:tcBorders>
            <w:shd w:val="clear" w:color="auto" w:fill="B9CDE5"/>
            <w:vAlign w:val="center"/>
          </w:tcPr>
          <w:p w14:paraId="60C26B94" w14:textId="2BCD78D3" w:rsidR="00B1217F" w:rsidRPr="00B36A61" w:rsidRDefault="00B1217F" w:rsidP="004E28A8">
            <w:pPr>
              <w:pStyle w:val="Pamatteksts"/>
              <w:spacing w:before="60" w:after="60"/>
              <w:ind w:left="-107" w:right="-105" w:firstLine="0"/>
              <w:jc w:val="center"/>
              <w:rPr>
                <w:b/>
                <w:color w:val="17365D"/>
                <w:sz w:val="20"/>
                <w:szCs w:val="20"/>
              </w:rPr>
            </w:pPr>
            <w:r w:rsidRPr="00B36A61">
              <w:rPr>
                <w:b/>
                <w:color w:val="17365D"/>
                <w:sz w:val="20"/>
                <w:szCs w:val="20"/>
              </w:rPr>
              <w:t>Palielinājums (+), samazinājums (–)</w:t>
            </w:r>
          </w:p>
          <w:p w14:paraId="128A45C0" w14:textId="337BEEBC" w:rsidR="00B1217F" w:rsidRPr="00B36A61" w:rsidRDefault="00B1217F" w:rsidP="004E28A8">
            <w:pPr>
              <w:pStyle w:val="Pamatteksts"/>
              <w:spacing w:before="60" w:after="60"/>
              <w:ind w:left="-107" w:right="-105" w:firstLine="0"/>
              <w:jc w:val="center"/>
              <w:rPr>
                <w:b/>
                <w:color w:val="17365D"/>
                <w:sz w:val="20"/>
                <w:szCs w:val="20"/>
              </w:rPr>
            </w:pPr>
            <w:r w:rsidRPr="00B36A61">
              <w:rPr>
                <w:b/>
                <w:color w:val="17365D"/>
                <w:sz w:val="20"/>
                <w:szCs w:val="20"/>
              </w:rPr>
              <w:t>(1</w:t>
            </w:r>
            <w:r w:rsidR="00E65C60" w:rsidRPr="00B36A61">
              <w:rPr>
                <w:b/>
                <w:color w:val="17365D"/>
                <w:sz w:val="20"/>
                <w:szCs w:val="20"/>
              </w:rPr>
              <w:t>.</w:t>
            </w:r>
            <w:r w:rsidRPr="00B36A61">
              <w:rPr>
                <w:b/>
                <w:color w:val="17365D"/>
                <w:sz w:val="20"/>
                <w:szCs w:val="20"/>
              </w:rPr>
              <w:t>–2</w:t>
            </w:r>
            <w:r w:rsidR="00E65C60" w:rsidRPr="00B36A61">
              <w:rPr>
                <w:b/>
                <w:color w:val="17365D"/>
                <w:sz w:val="20"/>
                <w:szCs w:val="20"/>
              </w:rPr>
              <w:t>.</w:t>
            </w:r>
            <w:r w:rsidRPr="00B36A61">
              <w:rPr>
                <w:b/>
                <w:color w:val="17365D"/>
                <w:sz w:val="20"/>
                <w:szCs w:val="20"/>
              </w:rPr>
              <w:t>)</w:t>
            </w:r>
          </w:p>
        </w:tc>
        <w:tc>
          <w:tcPr>
            <w:tcW w:w="1328" w:type="dxa"/>
            <w:vMerge w:val="restart"/>
            <w:tcBorders>
              <w:top w:val="nil"/>
            </w:tcBorders>
            <w:shd w:val="clear" w:color="auto" w:fill="B9CDE5"/>
            <w:vAlign w:val="center"/>
          </w:tcPr>
          <w:p w14:paraId="5DA2A1C0" w14:textId="77777777" w:rsidR="00B1217F" w:rsidRPr="00B36A61" w:rsidRDefault="00B1217F" w:rsidP="009C3BBA">
            <w:pPr>
              <w:pStyle w:val="Pamatteksts"/>
              <w:spacing w:before="60" w:after="60"/>
              <w:ind w:firstLine="0"/>
              <w:jc w:val="center"/>
              <w:rPr>
                <w:b/>
                <w:color w:val="17365D"/>
                <w:sz w:val="20"/>
                <w:szCs w:val="20"/>
              </w:rPr>
            </w:pPr>
            <w:r w:rsidRPr="00B36A61">
              <w:rPr>
                <w:b/>
                <w:color w:val="17365D"/>
                <w:sz w:val="20"/>
                <w:szCs w:val="20"/>
              </w:rPr>
              <w:t>Procentuālās izmaiņas</w:t>
            </w:r>
          </w:p>
          <w:p w14:paraId="43243C22" w14:textId="5F10BC34" w:rsidR="00B1217F" w:rsidRPr="00B36A61" w:rsidRDefault="00B1217F" w:rsidP="00FF21FE">
            <w:pPr>
              <w:pStyle w:val="Pamatteksts"/>
              <w:spacing w:before="60" w:after="60"/>
              <w:ind w:firstLine="0"/>
              <w:jc w:val="center"/>
              <w:rPr>
                <w:b/>
                <w:color w:val="17365D"/>
                <w:sz w:val="20"/>
                <w:szCs w:val="20"/>
              </w:rPr>
            </w:pPr>
            <w:r w:rsidRPr="00B36A61">
              <w:rPr>
                <w:b/>
                <w:color w:val="17365D"/>
                <w:sz w:val="20"/>
                <w:szCs w:val="20"/>
              </w:rPr>
              <w:t>(</w:t>
            </w:r>
            <w:r w:rsidR="00FF21FE" w:rsidRPr="00B36A61">
              <w:rPr>
                <w:b/>
                <w:color w:val="17365D"/>
                <w:sz w:val="20"/>
                <w:szCs w:val="20"/>
              </w:rPr>
              <w:t>3</w:t>
            </w:r>
            <w:r w:rsidR="00E65C60" w:rsidRPr="00B36A61">
              <w:rPr>
                <w:b/>
                <w:color w:val="17365D"/>
                <w:sz w:val="20"/>
                <w:szCs w:val="20"/>
              </w:rPr>
              <w:t>.</w:t>
            </w:r>
            <w:r w:rsidRPr="00B36A61">
              <w:rPr>
                <w:b/>
                <w:color w:val="17365D"/>
                <w:sz w:val="20"/>
                <w:szCs w:val="20"/>
              </w:rPr>
              <w:t>/2</w:t>
            </w:r>
            <w:r w:rsidR="00E65C60" w:rsidRPr="00B36A61">
              <w:rPr>
                <w:b/>
                <w:color w:val="17365D"/>
                <w:sz w:val="20"/>
                <w:szCs w:val="20"/>
              </w:rPr>
              <w:t>.</w:t>
            </w:r>
            <w:r w:rsidRPr="00B36A61">
              <w:rPr>
                <w:b/>
                <w:color w:val="17365D"/>
                <w:sz w:val="20"/>
                <w:szCs w:val="20"/>
              </w:rPr>
              <w:t xml:space="preserve"> x 100)</w:t>
            </w:r>
          </w:p>
        </w:tc>
      </w:tr>
      <w:tr w:rsidR="00B36A61" w:rsidRPr="00B36A61" w14:paraId="0FAFB95C" w14:textId="77777777" w:rsidTr="00856306">
        <w:trPr>
          <w:trHeight w:val="284"/>
          <w:tblHeader/>
        </w:trPr>
        <w:tc>
          <w:tcPr>
            <w:tcW w:w="883" w:type="dxa"/>
            <w:vMerge/>
            <w:tcBorders>
              <w:bottom w:val="nil"/>
            </w:tcBorders>
            <w:vAlign w:val="center"/>
          </w:tcPr>
          <w:p w14:paraId="57BF9E67" w14:textId="77777777" w:rsidR="00B1217F" w:rsidRPr="00B36A61" w:rsidRDefault="00B1217F" w:rsidP="00B556DF">
            <w:pPr>
              <w:pStyle w:val="Pamatteksts"/>
              <w:spacing w:after="0"/>
              <w:ind w:firstLine="0"/>
              <w:rPr>
                <w:color w:val="17365D"/>
                <w:sz w:val="20"/>
                <w:szCs w:val="20"/>
              </w:rPr>
            </w:pPr>
          </w:p>
        </w:tc>
        <w:tc>
          <w:tcPr>
            <w:tcW w:w="2569" w:type="dxa"/>
            <w:vMerge/>
            <w:tcBorders>
              <w:bottom w:val="nil"/>
            </w:tcBorders>
          </w:tcPr>
          <w:p w14:paraId="6D2CA7E9" w14:textId="77777777" w:rsidR="00B1217F" w:rsidRPr="00B36A61" w:rsidRDefault="00B1217F" w:rsidP="00B556DF">
            <w:pPr>
              <w:pStyle w:val="Pamatteksts"/>
              <w:spacing w:after="0"/>
              <w:ind w:firstLine="0"/>
              <w:rPr>
                <w:color w:val="17365D"/>
                <w:sz w:val="20"/>
                <w:szCs w:val="20"/>
              </w:rPr>
            </w:pPr>
          </w:p>
        </w:tc>
        <w:tc>
          <w:tcPr>
            <w:tcW w:w="1483" w:type="dxa"/>
            <w:tcBorders>
              <w:top w:val="single" w:sz="4" w:space="0" w:color="17365D"/>
              <w:bottom w:val="nil"/>
            </w:tcBorders>
            <w:shd w:val="clear" w:color="auto" w:fill="B9CDE5"/>
            <w:vAlign w:val="center"/>
          </w:tcPr>
          <w:p w14:paraId="29278405" w14:textId="77777777" w:rsidR="00B1217F" w:rsidRPr="00B36A61" w:rsidRDefault="00B1217F" w:rsidP="00433F94">
            <w:pPr>
              <w:spacing w:before="60" w:after="60"/>
              <w:ind w:firstLine="0"/>
              <w:jc w:val="center"/>
              <w:rPr>
                <w:b/>
                <w:noProof/>
                <w:color w:val="17365D"/>
                <w:sz w:val="20"/>
                <w:szCs w:val="20"/>
              </w:rPr>
            </w:pPr>
            <w:r w:rsidRPr="00B36A61">
              <w:rPr>
                <w:b/>
                <w:noProof/>
                <w:color w:val="17365D"/>
                <w:sz w:val="20"/>
                <w:szCs w:val="20"/>
              </w:rPr>
              <w:t>pārskata periodā</w:t>
            </w:r>
          </w:p>
        </w:tc>
        <w:tc>
          <w:tcPr>
            <w:tcW w:w="1483" w:type="dxa"/>
            <w:tcBorders>
              <w:top w:val="single" w:sz="4" w:space="0" w:color="17365D"/>
              <w:bottom w:val="nil"/>
            </w:tcBorders>
            <w:shd w:val="clear" w:color="auto" w:fill="B9CDE5"/>
            <w:vAlign w:val="center"/>
          </w:tcPr>
          <w:p w14:paraId="6C007F6B" w14:textId="77777777" w:rsidR="00B1217F" w:rsidRPr="00B36A61" w:rsidRDefault="00B1217F" w:rsidP="00433F94">
            <w:pPr>
              <w:spacing w:before="60" w:after="60"/>
              <w:ind w:firstLine="0"/>
              <w:jc w:val="center"/>
              <w:rPr>
                <w:b/>
                <w:noProof/>
                <w:color w:val="17365D"/>
                <w:sz w:val="20"/>
                <w:szCs w:val="20"/>
              </w:rPr>
            </w:pPr>
            <w:r w:rsidRPr="00B36A61">
              <w:rPr>
                <w:b/>
                <w:color w:val="17365D"/>
                <w:sz w:val="20"/>
                <w:szCs w:val="20"/>
              </w:rPr>
              <w:t>iepriekšējā pārskata periodā</w:t>
            </w:r>
          </w:p>
        </w:tc>
        <w:tc>
          <w:tcPr>
            <w:tcW w:w="1619" w:type="dxa"/>
            <w:vMerge/>
            <w:tcBorders>
              <w:bottom w:val="nil"/>
            </w:tcBorders>
          </w:tcPr>
          <w:p w14:paraId="6A251046" w14:textId="77777777" w:rsidR="00B1217F" w:rsidRPr="00B36A61" w:rsidRDefault="00B1217F" w:rsidP="004E28A8">
            <w:pPr>
              <w:pStyle w:val="Pamatteksts"/>
              <w:spacing w:before="60" w:after="60"/>
              <w:ind w:left="-107" w:right="-105" w:firstLine="0"/>
              <w:jc w:val="center"/>
              <w:rPr>
                <w:b/>
                <w:color w:val="17365D"/>
                <w:sz w:val="20"/>
                <w:szCs w:val="20"/>
              </w:rPr>
            </w:pPr>
          </w:p>
        </w:tc>
        <w:tc>
          <w:tcPr>
            <w:tcW w:w="1328" w:type="dxa"/>
            <w:vMerge/>
            <w:tcBorders>
              <w:bottom w:val="nil"/>
            </w:tcBorders>
          </w:tcPr>
          <w:p w14:paraId="2AEE368E" w14:textId="77777777" w:rsidR="00B1217F" w:rsidRPr="00B36A61" w:rsidRDefault="00B1217F" w:rsidP="00B556DF">
            <w:pPr>
              <w:spacing w:after="0"/>
              <w:ind w:firstLine="0"/>
              <w:rPr>
                <w:color w:val="17365D"/>
                <w:sz w:val="20"/>
                <w:szCs w:val="20"/>
              </w:rPr>
            </w:pPr>
          </w:p>
        </w:tc>
      </w:tr>
      <w:tr w:rsidR="00B36A61" w:rsidRPr="00B36A61" w14:paraId="30E1154C" w14:textId="77777777" w:rsidTr="009C3EFD">
        <w:trPr>
          <w:trHeight w:val="284"/>
          <w:tblHeader/>
        </w:trPr>
        <w:tc>
          <w:tcPr>
            <w:tcW w:w="883" w:type="dxa"/>
            <w:tcBorders>
              <w:top w:val="nil"/>
              <w:bottom w:val="single" w:sz="4" w:space="0" w:color="17365D"/>
            </w:tcBorders>
            <w:vAlign w:val="center"/>
          </w:tcPr>
          <w:p w14:paraId="6366B4BE" w14:textId="77777777" w:rsidR="00B1217F" w:rsidRPr="00B36A61" w:rsidRDefault="00B1217F" w:rsidP="00433F94">
            <w:pPr>
              <w:pStyle w:val="Pamatteksts"/>
              <w:spacing w:before="40" w:after="40"/>
              <w:ind w:firstLine="0"/>
              <w:jc w:val="center"/>
              <w:rPr>
                <w:b/>
                <w:color w:val="17365D"/>
                <w:sz w:val="20"/>
                <w:szCs w:val="20"/>
              </w:rPr>
            </w:pPr>
            <w:r w:rsidRPr="00B36A61">
              <w:rPr>
                <w:b/>
                <w:color w:val="17365D"/>
                <w:sz w:val="20"/>
                <w:szCs w:val="20"/>
              </w:rPr>
              <w:t>A</w:t>
            </w:r>
          </w:p>
        </w:tc>
        <w:tc>
          <w:tcPr>
            <w:tcW w:w="2569" w:type="dxa"/>
            <w:tcBorders>
              <w:top w:val="nil"/>
              <w:bottom w:val="single" w:sz="4" w:space="0" w:color="17365D"/>
            </w:tcBorders>
            <w:vAlign w:val="center"/>
          </w:tcPr>
          <w:p w14:paraId="7630D14F" w14:textId="77777777" w:rsidR="00B1217F" w:rsidRPr="00B36A61" w:rsidRDefault="00B1217F" w:rsidP="00433F94">
            <w:pPr>
              <w:pStyle w:val="Pamatteksts"/>
              <w:spacing w:before="40" w:after="40"/>
              <w:ind w:firstLine="0"/>
              <w:jc w:val="center"/>
              <w:rPr>
                <w:b/>
                <w:color w:val="17365D"/>
                <w:sz w:val="20"/>
                <w:szCs w:val="20"/>
              </w:rPr>
            </w:pPr>
            <w:r w:rsidRPr="00B36A61">
              <w:rPr>
                <w:b/>
                <w:color w:val="17365D"/>
                <w:sz w:val="20"/>
                <w:szCs w:val="20"/>
              </w:rPr>
              <w:t>B</w:t>
            </w:r>
          </w:p>
        </w:tc>
        <w:tc>
          <w:tcPr>
            <w:tcW w:w="1483" w:type="dxa"/>
            <w:tcBorders>
              <w:top w:val="nil"/>
              <w:bottom w:val="single" w:sz="4" w:space="0" w:color="17365D"/>
            </w:tcBorders>
            <w:vAlign w:val="center"/>
          </w:tcPr>
          <w:p w14:paraId="5461ED5D" w14:textId="1A57ED1B" w:rsidR="00B1217F" w:rsidRPr="00B36A61" w:rsidRDefault="00B1217F" w:rsidP="00433F94">
            <w:pPr>
              <w:pStyle w:val="Pamatteksts"/>
              <w:spacing w:before="40" w:after="40"/>
              <w:ind w:firstLine="0"/>
              <w:jc w:val="center"/>
              <w:rPr>
                <w:b/>
                <w:color w:val="17365D"/>
                <w:sz w:val="20"/>
                <w:szCs w:val="20"/>
              </w:rPr>
            </w:pPr>
            <w:r w:rsidRPr="00B36A61">
              <w:rPr>
                <w:b/>
                <w:color w:val="17365D"/>
                <w:sz w:val="20"/>
                <w:szCs w:val="20"/>
              </w:rPr>
              <w:t>1</w:t>
            </w:r>
          </w:p>
        </w:tc>
        <w:tc>
          <w:tcPr>
            <w:tcW w:w="1483" w:type="dxa"/>
            <w:tcBorders>
              <w:top w:val="nil"/>
              <w:bottom w:val="single" w:sz="4" w:space="0" w:color="17365D"/>
            </w:tcBorders>
            <w:vAlign w:val="center"/>
          </w:tcPr>
          <w:p w14:paraId="4BDBE745" w14:textId="6AFA2FF3" w:rsidR="00B1217F" w:rsidRPr="00B36A61" w:rsidRDefault="00B1217F" w:rsidP="00433F94">
            <w:pPr>
              <w:pStyle w:val="Pamatteksts"/>
              <w:spacing w:before="40" w:after="40"/>
              <w:ind w:firstLine="0"/>
              <w:jc w:val="center"/>
              <w:rPr>
                <w:b/>
                <w:color w:val="17365D"/>
                <w:sz w:val="20"/>
                <w:szCs w:val="20"/>
              </w:rPr>
            </w:pPr>
            <w:r w:rsidRPr="00B36A61">
              <w:rPr>
                <w:b/>
                <w:color w:val="17365D"/>
                <w:sz w:val="20"/>
                <w:szCs w:val="20"/>
              </w:rPr>
              <w:t>2</w:t>
            </w:r>
          </w:p>
        </w:tc>
        <w:tc>
          <w:tcPr>
            <w:tcW w:w="1619" w:type="dxa"/>
            <w:tcBorders>
              <w:top w:val="nil"/>
              <w:bottom w:val="single" w:sz="4" w:space="0" w:color="17365D"/>
            </w:tcBorders>
            <w:vAlign w:val="center"/>
          </w:tcPr>
          <w:p w14:paraId="4E441DC7" w14:textId="4EE76DE9" w:rsidR="00B1217F" w:rsidRPr="00B36A61" w:rsidRDefault="00B1217F" w:rsidP="004E28A8">
            <w:pPr>
              <w:pStyle w:val="Pamatteksts"/>
              <w:spacing w:before="60" w:after="60"/>
              <w:ind w:left="-107" w:right="-105" w:firstLine="0"/>
              <w:jc w:val="center"/>
              <w:rPr>
                <w:b/>
                <w:color w:val="17365D"/>
                <w:sz w:val="20"/>
                <w:szCs w:val="20"/>
              </w:rPr>
            </w:pPr>
            <w:r w:rsidRPr="00B36A61">
              <w:rPr>
                <w:b/>
                <w:color w:val="17365D"/>
                <w:sz w:val="20"/>
                <w:szCs w:val="20"/>
              </w:rPr>
              <w:t>3</w:t>
            </w:r>
          </w:p>
        </w:tc>
        <w:tc>
          <w:tcPr>
            <w:tcW w:w="1328" w:type="dxa"/>
            <w:tcBorders>
              <w:top w:val="nil"/>
              <w:bottom w:val="single" w:sz="4" w:space="0" w:color="17365D"/>
            </w:tcBorders>
            <w:vAlign w:val="center"/>
          </w:tcPr>
          <w:p w14:paraId="263741B9" w14:textId="42CAFC10" w:rsidR="00B1217F" w:rsidRPr="00B36A61" w:rsidRDefault="00B1217F" w:rsidP="00433F94">
            <w:pPr>
              <w:pStyle w:val="Pamatteksts"/>
              <w:spacing w:before="40" w:after="40"/>
              <w:ind w:firstLine="0"/>
              <w:jc w:val="center"/>
              <w:rPr>
                <w:b/>
                <w:color w:val="17365D"/>
                <w:sz w:val="20"/>
                <w:szCs w:val="20"/>
              </w:rPr>
            </w:pPr>
            <w:r w:rsidRPr="00B36A61">
              <w:rPr>
                <w:b/>
                <w:color w:val="17365D"/>
                <w:sz w:val="20"/>
                <w:szCs w:val="20"/>
              </w:rPr>
              <w:t>4</w:t>
            </w:r>
          </w:p>
        </w:tc>
      </w:tr>
      <w:tr w:rsidR="00B36A61" w:rsidRPr="00B36A61" w14:paraId="0499C4D1" w14:textId="77777777" w:rsidTr="00856306">
        <w:trPr>
          <w:trHeight w:val="284"/>
        </w:trPr>
        <w:tc>
          <w:tcPr>
            <w:tcW w:w="883" w:type="dxa"/>
            <w:tcBorders>
              <w:top w:val="single" w:sz="4" w:space="0" w:color="17365D"/>
              <w:bottom w:val="single" w:sz="4" w:space="0" w:color="17365D"/>
            </w:tcBorders>
            <w:vAlign w:val="center"/>
          </w:tcPr>
          <w:p w14:paraId="45FADC33" w14:textId="77777777" w:rsidR="009C3EFD" w:rsidRPr="00B36A61" w:rsidRDefault="009C3EFD" w:rsidP="009C3EFD">
            <w:pPr>
              <w:pStyle w:val="Pamatteksts"/>
              <w:spacing w:before="40" w:after="40"/>
              <w:ind w:firstLine="0"/>
              <w:jc w:val="left"/>
              <w:rPr>
                <w:b/>
                <w:color w:val="17365D"/>
                <w:sz w:val="20"/>
                <w:szCs w:val="20"/>
              </w:rPr>
            </w:pPr>
            <w:r w:rsidRPr="00B36A61">
              <w:rPr>
                <w:b/>
                <w:color w:val="17365D"/>
                <w:sz w:val="20"/>
                <w:szCs w:val="20"/>
              </w:rPr>
              <w:t>I.</w:t>
            </w:r>
          </w:p>
        </w:tc>
        <w:tc>
          <w:tcPr>
            <w:tcW w:w="2569" w:type="dxa"/>
            <w:tcBorders>
              <w:top w:val="single" w:sz="4" w:space="0" w:color="17365D"/>
              <w:bottom w:val="single" w:sz="4" w:space="0" w:color="17365D"/>
            </w:tcBorders>
            <w:shd w:val="clear" w:color="000000" w:fill="FFFFFF"/>
            <w:vAlign w:val="center"/>
          </w:tcPr>
          <w:p w14:paraId="43DE7754" w14:textId="77777777" w:rsidR="009C3EFD" w:rsidRPr="00B36A61" w:rsidRDefault="009C3EFD" w:rsidP="009C3EFD">
            <w:pPr>
              <w:pStyle w:val="Pamatteksts"/>
              <w:spacing w:before="40" w:after="40"/>
              <w:ind w:firstLine="0"/>
              <w:rPr>
                <w:b/>
                <w:color w:val="17365D"/>
                <w:sz w:val="20"/>
                <w:szCs w:val="20"/>
              </w:rPr>
            </w:pPr>
            <w:r w:rsidRPr="00B36A61">
              <w:rPr>
                <w:b/>
                <w:bCs/>
                <w:color w:val="17365D"/>
                <w:sz w:val="20"/>
                <w:szCs w:val="20"/>
              </w:rPr>
              <w:t>IEŅĒMUMI KOPĀ</w:t>
            </w:r>
          </w:p>
        </w:tc>
        <w:tc>
          <w:tcPr>
            <w:tcW w:w="1483" w:type="dxa"/>
            <w:tcBorders>
              <w:top w:val="single" w:sz="4" w:space="0" w:color="17365D"/>
              <w:left w:val="nil"/>
              <w:bottom w:val="single" w:sz="4" w:space="0" w:color="17365D"/>
              <w:right w:val="nil"/>
            </w:tcBorders>
            <w:shd w:val="clear" w:color="000000" w:fill="FFFFFF"/>
            <w:vAlign w:val="center"/>
          </w:tcPr>
          <w:p w14:paraId="3AAAF284" w14:textId="33171041" w:rsidR="009C3EFD" w:rsidRPr="00B36A61" w:rsidRDefault="009C3EFD" w:rsidP="009C3EFD">
            <w:pPr>
              <w:pStyle w:val="Pamatteksts"/>
              <w:spacing w:before="40" w:after="40"/>
              <w:ind w:firstLine="0"/>
              <w:jc w:val="right"/>
              <w:rPr>
                <w:b/>
                <w:color w:val="17365D"/>
                <w:sz w:val="20"/>
                <w:szCs w:val="20"/>
              </w:rPr>
            </w:pPr>
            <w:r w:rsidRPr="00B36A61">
              <w:rPr>
                <w:b/>
                <w:bCs/>
                <w:color w:val="17365D"/>
                <w:sz w:val="20"/>
                <w:szCs w:val="20"/>
              </w:rPr>
              <w:t>839 318</w:t>
            </w:r>
          </w:p>
        </w:tc>
        <w:tc>
          <w:tcPr>
            <w:tcW w:w="1483" w:type="dxa"/>
            <w:tcBorders>
              <w:top w:val="single" w:sz="4" w:space="0" w:color="17365D"/>
              <w:left w:val="nil"/>
              <w:bottom w:val="single" w:sz="4" w:space="0" w:color="17365D"/>
              <w:right w:val="nil"/>
            </w:tcBorders>
            <w:shd w:val="clear" w:color="000000" w:fill="FFFFFF"/>
            <w:vAlign w:val="center"/>
          </w:tcPr>
          <w:p w14:paraId="4B268247" w14:textId="5F1ED087" w:rsidR="009C3EFD" w:rsidRPr="00B36A61" w:rsidRDefault="009C3EFD" w:rsidP="009C3EFD">
            <w:pPr>
              <w:pStyle w:val="Pamatteksts"/>
              <w:spacing w:before="40" w:after="40"/>
              <w:ind w:firstLine="0"/>
              <w:jc w:val="right"/>
              <w:rPr>
                <w:b/>
                <w:color w:val="17365D"/>
                <w:sz w:val="20"/>
                <w:szCs w:val="20"/>
              </w:rPr>
            </w:pPr>
            <w:r w:rsidRPr="00B36A61">
              <w:rPr>
                <w:b/>
                <w:bCs/>
                <w:color w:val="17365D"/>
                <w:sz w:val="20"/>
                <w:szCs w:val="20"/>
              </w:rPr>
              <w:t>2 587 137</w:t>
            </w:r>
          </w:p>
        </w:tc>
        <w:tc>
          <w:tcPr>
            <w:tcW w:w="1619" w:type="dxa"/>
            <w:tcBorders>
              <w:top w:val="single" w:sz="4" w:space="0" w:color="17365D"/>
              <w:left w:val="nil"/>
              <w:bottom w:val="single" w:sz="4" w:space="0" w:color="17365D"/>
              <w:right w:val="nil"/>
            </w:tcBorders>
            <w:shd w:val="clear" w:color="auto" w:fill="auto"/>
            <w:vAlign w:val="bottom"/>
          </w:tcPr>
          <w:p w14:paraId="1F60ACD8" w14:textId="01F9F517" w:rsidR="009C3EFD" w:rsidRPr="00856306" w:rsidRDefault="009C3EFD" w:rsidP="009C3EFD">
            <w:pPr>
              <w:pStyle w:val="Pamatteksts"/>
              <w:spacing w:before="60" w:after="60"/>
              <w:ind w:left="-107" w:right="-105" w:firstLine="0"/>
              <w:jc w:val="right"/>
              <w:rPr>
                <w:b/>
                <w:color w:val="17365D"/>
                <w:sz w:val="20"/>
                <w:szCs w:val="20"/>
              </w:rPr>
            </w:pPr>
            <w:r w:rsidRPr="00856306">
              <w:rPr>
                <w:b/>
                <w:color w:val="17365D"/>
                <w:sz w:val="20"/>
                <w:szCs w:val="20"/>
              </w:rPr>
              <w:t>-1 747 819</w:t>
            </w:r>
          </w:p>
        </w:tc>
        <w:tc>
          <w:tcPr>
            <w:tcW w:w="1328" w:type="dxa"/>
            <w:tcBorders>
              <w:top w:val="single" w:sz="4" w:space="0" w:color="17365D"/>
              <w:left w:val="nil"/>
              <w:bottom w:val="single" w:sz="4" w:space="0" w:color="17365D"/>
              <w:right w:val="nil"/>
            </w:tcBorders>
            <w:shd w:val="clear" w:color="auto" w:fill="auto"/>
            <w:vAlign w:val="center"/>
          </w:tcPr>
          <w:p w14:paraId="5AD3A625" w14:textId="38DE1D37" w:rsidR="009C3EFD" w:rsidRPr="00856306" w:rsidRDefault="009C3EFD" w:rsidP="009C3EFD">
            <w:pPr>
              <w:pStyle w:val="Pamatteksts"/>
              <w:spacing w:before="40" w:after="40"/>
              <w:ind w:firstLine="0"/>
              <w:jc w:val="right"/>
              <w:rPr>
                <w:b/>
                <w:color w:val="17365D"/>
                <w:sz w:val="20"/>
                <w:szCs w:val="20"/>
              </w:rPr>
            </w:pPr>
            <w:r w:rsidRPr="00856306">
              <w:rPr>
                <w:b/>
                <w:color w:val="17365D"/>
                <w:sz w:val="20"/>
                <w:szCs w:val="20"/>
              </w:rPr>
              <w:t>-67.6</w:t>
            </w:r>
          </w:p>
        </w:tc>
      </w:tr>
      <w:tr w:rsidR="00B36A61" w:rsidRPr="00B36A61" w14:paraId="648D66AC" w14:textId="77777777" w:rsidTr="00856306">
        <w:trPr>
          <w:trHeight w:val="284"/>
        </w:trPr>
        <w:tc>
          <w:tcPr>
            <w:tcW w:w="883" w:type="dxa"/>
            <w:tcBorders>
              <w:top w:val="single" w:sz="4" w:space="0" w:color="17365D"/>
              <w:bottom w:val="single" w:sz="4" w:space="0" w:color="17365D"/>
            </w:tcBorders>
            <w:vAlign w:val="center"/>
          </w:tcPr>
          <w:p w14:paraId="62F342D2" w14:textId="25118767" w:rsidR="009C3EFD" w:rsidRPr="00B36A61" w:rsidRDefault="009C3EFD" w:rsidP="009C3EFD">
            <w:pPr>
              <w:spacing w:before="40" w:after="40"/>
              <w:ind w:firstLine="0"/>
              <w:jc w:val="left"/>
              <w:rPr>
                <w:bCs/>
                <w:color w:val="17365D"/>
                <w:sz w:val="20"/>
                <w:szCs w:val="20"/>
              </w:rPr>
            </w:pPr>
            <w:r w:rsidRPr="00B36A61">
              <w:rPr>
                <w:bCs/>
                <w:color w:val="17365D"/>
                <w:sz w:val="20"/>
                <w:szCs w:val="20"/>
              </w:rPr>
              <w:t>1.5.</w:t>
            </w:r>
          </w:p>
        </w:tc>
        <w:tc>
          <w:tcPr>
            <w:tcW w:w="2569" w:type="dxa"/>
            <w:tcBorders>
              <w:top w:val="single" w:sz="4" w:space="0" w:color="17365D"/>
              <w:bottom w:val="single" w:sz="4" w:space="0" w:color="17365D"/>
            </w:tcBorders>
            <w:shd w:val="clear" w:color="000000" w:fill="FFFFFF"/>
            <w:vAlign w:val="center"/>
          </w:tcPr>
          <w:p w14:paraId="29574B75" w14:textId="3D2C816B" w:rsidR="009C3EFD" w:rsidRPr="00B36A61" w:rsidRDefault="009C3EFD" w:rsidP="009C3EFD">
            <w:pPr>
              <w:pStyle w:val="Pamatteksts"/>
              <w:spacing w:before="40" w:after="40"/>
              <w:ind w:firstLine="0"/>
              <w:rPr>
                <w:color w:val="17365D"/>
                <w:sz w:val="20"/>
                <w:szCs w:val="20"/>
              </w:rPr>
            </w:pPr>
            <w:r w:rsidRPr="00B36A61">
              <w:rPr>
                <w:bCs/>
                <w:color w:val="17365D"/>
                <w:sz w:val="20"/>
                <w:szCs w:val="20"/>
              </w:rPr>
              <w:t>Transferti</w:t>
            </w:r>
          </w:p>
        </w:tc>
        <w:tc>
          <w:tcPr>
            <w:tcW w:w="1483" w:type="dxa"/>
            <w:tcBorders>
              <w:top w:val="single" w:sz="4" w:space="0" w:color="17365D"/>
              <w:left w:val="nil"/>
              <w:bottom w:val="single" w:sz="4" w:space="0" w:color="17365D"/>
              <w:right w:val="nil"/>
            </w:tcBorders>
            <w:shd w:val="clear" w:color="000000" w:fill="FFFFFF"/>
            <w:vAlign w:val="center"/>
          </w:tcPr>
          <w:p w14:paraId="05DFAE6C" w14:textId="589763C1" w:rsidR="009C3EFD" w:rsidRPr="00B36A61" w:rsidRDefault="009C3EFD" w:rsidP="009C3EFD">
            <w:pPr>
              <w:pStyle w:val="Pamatteksts"/>
              <w:spacing w:before="40" w:after="40"/>
              <w:ind w:firstLine="0"/>
              <w:jc w:val="right"/>
              <w:rPr>
                <w:color w:val="17365D"/>
                <w:sz w:val="20"/>
                <w:szCs w:val="20"/>
              </w:rPr>
            </w:pPr>
            <w:r w:rsidRPr="00B36A61">
              <w:rPr>
                <w:color w:val="17365D"/>
                <w:sz w:val="20"/>
                <w:szCs w:val="20"/>
              </w:rPr>
              <w:t>13 409</w:t>
            </w:r>
          </w:p>
        </w:tc>
        <w:tc>
          <w:tcPr>
            <w:tcW w:w="1483" w:type="dxa"/>
            <w:tcBorders>
              <w:top w:val="single" w:sz="4" w:space="0" w:color="17365D"/>
              <w:left w:val="nil"/>
              <w:bottom w:val="single" w:sz="4" w:space="0" w:color="17365D"/>
              <w:right w:val="nil"/>
            </w:tcBorders>
            <w:shd w:val="clear" w:color="000000" w:fill="FFFFFF"/>
            <w:vAlign w:val="center"/>
          </w:tcPr>
          <w:p w14:paraId="71332A51" w14:textId="5B98796F" w:rsidR="009C3EFD" w:rsidRPr="00B36A61" w:rsidRDefault="009C3EFD" w:rsidP="009C3EFD">
            <w:pPr>
              <w:pStyle w:val="Pamatteksts"/>
              <w:spacing w:before="40" w:after="40"/>
              <w:ind w:firstLine="0"/>
              <w:jc w:val="right"/>
              <w:rPr>
                <w:color w:val="17365D"/>
                <w:sz w:val="20"/>
                <w:szCs w:val="20"/>
              </w:rPr>
            </w:pPr>
            <w:r w:rsidRPr="00B36A61">
              <w:rPr>
                <w:color w:val="17365D"/>
                <w:sz w:val="20"/>
                <w:szCs w:val="20"/>
              </w:rPr>
              <w:t>0</w:t>
            </w:r>
          </w:p>
        </w:tc>
        <w:tc>
          <w:tcPr>
            <w:tcW w:w="1619" w:type="dxa"/>
            <w:tcBorders>
              <w:top w:val="single" w:sz="4" w:space="0" w:color="17365D"/>
              <w:left w:val="nil"/>
              <w:bottom w:val="single" w:sz="4" w:space="0" w:color="17365D"/>
              <w:right w:val="nil"/>
            </w:tcBorders>
            <w:shd w:val="clear" w:color="auto" w:fill="auto"/>
            <w:vAlign w:val="bottom"/>
          </w:tcPr>
          <w:p w14:paraId="52EB5166" w14:textId="198A9AEE" w:rsidR="009C3EFD" w:rsidRPr="00856306" w:rsidRDefault="009C3EFD" w:rsidP="009C3EFD">
            <w:pPr>
              <w:pStyle w:val="Pamatteksts"/>
              <w:spacing w:before="60" w:after="60"/>
              <w:ind w:left="-107" w:right="-105" w:firstLine="0"/>
              <w:jc w:val="right"/>
              <w:rPr>
                <w:color w:val="17365D"/>
                <w:sz w:val="20"/>
                <w:szCs w:val="20"/>
              </w:rPr>
            </w:pPr>
            <w:r w:rsidRPr="00856306">
              <w:rPr>
                <w:color w:val="17365D"/>
                <w:sz w:val="20"/>
                <w:szCs w:val="20"/>
              </w:rPr>
              <w:t>13 409</w:t>
            </w:r>
          </w:p>
        </w:tc>
        <w:tc>
          <w:tcPr>
            <w:tcW w:w="1328" w:type="dxa"/>
            <w:tcBorders>
              <w:top w:val="single" w:sz="4" w:space="0" w:color="17365D"/>
              <w:left w:val="nil"/>
              <w:bottom w:val="single" w:sz="4" w:space="0" w:color="17365D"/>
              <w:right w:val="nil"/>
            </w:tcBorders>
            <w:shd w:val="clear" w:color="auto" w:fill="auto"/>
            <w:vAlign w:val="center"/>
          </w:tcPr>
          <w:p w14:paraId="289E8628" w14:textId="741D98F0" w:rsidR="009C3EFD" w:rsidRPr="00856306" w:rsidRDefault="009C3EFD" w:rsidP="009C3EFD">
            <w:pPr>
              <w:pStyle w:val="Pamatteksts"/>
              <w:spacing w:before="40" w:after="40"/>
              <w:ind w:firstLine="0"/>
              <w:jc w:val="right"/>
              <w:rPr>
                <w:color w:val="17365D"/>
                <w:sz w:val="20"/>
                <w:szCs w:val="20"/>
              </w:rPr>
            </w:pPr>
            <w:r w:rsidRPr="00856306">
              <w:rPr>
                <w:color w:val="17365D"/>
                <w:sz w:val="20"/>
                <w:szCs w:val="20"/>
              </w:rPr>
              <w:t>0.0</w:t>
            </w:r>
          </w:p>
        </w:tc>
      </w:tr>
      <w:tr w:rsidR="00B36A61" w:rsidRPr="00B36A61" w14:paraId="43277BF7" w14:textId="77777777" w:rsidTr="00856306">
        <w:trPr>
          <w:trHeight w:val="284"/>
        </w:trPr>
        <w:tc>
          <w:tcPr>
            <w:tcW w:w="883" w:type="dxa"/>
            <w:tcBorders>
              <w:top w:val="single" w:sz="4" w:space="0" w:color="17365D"/>
              <w:bottom w:val="nil"/>
            </w:tcBorders>
            <w:vAlign w:val="center"/>
          </w:tcPr>
          <w:p w14:paraId="1FA8D2E4" w14:textId="5554109F" w:rsidR="009C3EFD" w:rsidRPr="00B36A61" w:rsidRDefault="009C3EFD" w:rsidP="009C3EFD">
            <w:pPr>
              <w:spacing w:before="40" w:after="40"/>
              <w:ind w:firstLine="0"/>
              <w:jc w:val="left"/>
              <w:rPr>
                <w:bCs/>
                <w:color w:val="17365D"/>
                <w:sz w:val="20"/>
                <w:szCs w:val="20"/>
              </w:rPr>
            </w:pPr>
            <w:r w:rsidRPr="00B36A61">
              <w:rPr>
                <w:bCs/>
                <w:color w:val="17365D"/>
                <w:sz w:val="20"/>
                <w:szCs w:val="20"/>
              </w:rPr>
              <w:t>6.0.</w:t>
            </w:r>
          </w:p>
        </w:tc>
        <w:tc>
          <w:tcPr>
            <w:tcW w:w="2569" w:type="dxa"/>
            <w:tcBorders>
              <w:top w:val="single" w:sz="4" w:space="0" w:color="17365D"/>
              <w:bottom w:val="nil"/>
            </w:tcBorders>
            <w:shd w:val="clear" w:color="000000" w:fill="FFFFFF"/>
            <w:vAlign w:val="center"/>
          </w:tcPr>
          <w:p w14:paraId="2AAF38B7" w14:textId="4080D81E" w:rsidR="009C3EFD" w:rsidRPr="00B36A61" w:rsidRDefault="009C3EFD" w:rsidP="009C3EFD">
            <w:pPr>
              <w:pStyle w:val="Pamatteksts"/>
              <w:spacing w:before="40" w:after="40"/>
              <w:ind w:firstLine="0"/>
              <w:rPr>
                <w:bCs/>
                <w:color w:val="17365D"/>
                <w:sz w:val="20"/>
                <w:szCs w:val="20"/>
              </w:rPr>
            </w:pPr>
            <w:r w:rsidRPr="00B36A61">
              <w:rPr>
                <w:color w:val="17365D"/>
                <w:sz w:val="20"/>
                <w:szCs w:val="20"/>
              </w:rPr>
              <w:t>Ziedojumi un dāvinājumi</w:t>
            </w:r>
          </w:p>
        </w:tc>
        <w:tc>
          <w:tcPr>
            <w:tcW w:w="1483" w:type="dxa"/>
            <w:tcBorders>
              <w:top w:val="single" w:sz="4" w:space="0" w:color="17365D"/>
              <w:left w:val="nil"/>
              <w:bottom w:val="nil"/>
              <w:right w:val="nil"/>
            </w:tcBorders>
            <w:shd w:val="clear" w:color="000000" w:fill="FFFFFF"/>
            <w:vAlign w:val="center"/>
          </w:tcPr>
          <w:p w14:paraId="35A89188" w14:textId="2CECE21C" w:rsidR="009C3EFD" w:rsidRPr="00B36A61" w:rsidRDefault="009C3EFD" w:rsidP="009C3EFD">
            <w:pPr>
              <w:pStyle w:val="Pamatteksts"/>
              <w:spacing w:before="40" w:after="40"/>
              <w:ind w:firstLine="0"/>
              <w:jc w:val="right"/>
              <w:rPr>
                <w:color w:val="17365D"/>
                <w:sz w:val="20"/>
                <w:szCs w:val="20"/>
              </w:rPr>
            </w:pPr>
            <w:r w:rsidRPr="00B36A61">
              <w:rPr>
                <w:color w:val="17365D"/>
                <w:sz w:val="20"/>
                <w:szCs w:val="20"/>
              </w:rPr>
              <w:t>825 909</w:t>
            </w:r>
          </w:p>
        </w:tc>
        <w:tc>
          <w:tcPr>
            <w:tcW w:w="1483" w:type="dxa"/>
            <w:tcBorders>
              <w:top w:val="single" w:sz="4" w:space="0" w:color="17365D"/>
              <w:left w:val="nil"/>
              <w:bottom w:val="nil"/>
              <w:right w:val="nil"/>
            </w:tcBorders>
            <w:shd w:val="clear" w:color="000000" w:fill="FFFFFF"/>
            <w:vAlign w:val="center"/>
          </w:tcPr>
          <w:p w14:paraId="1EE3D631" w14:textId="3F0930D2" w:rsidR="009C3EFD" w:rsidRPr="00B36A61" w:rsidRDefault="009C3EFD" w:rsidP="009C3EFD">
            <w:pPr>
              <w:pStyle w:val="Pamatteksts"/>
              <w:spacing w:before="40" w:after="40"/>
              <w:ind w:firstLine="0"/>
              <w:jc w:val="right"/>
              <w:rPr>
                <w:color w:val="17365D"/>
                <w:sz w:val="20"/>
                <w:szCs w:val="20"/>
              </w:rPr>
            </w:pPr>
            <w:r w:rsidRPr="00B36A61">
              <w:rPr>
                <w:color w:val="17365D"/>
                <w:sz w:val="20"/>
                <w:szCs w:val="20"/>
              </w:rPr>
              <w:t>2 587 137</w:t>
            </w:r>
          </w:p>
        </w:tc>
        <w:tc>
          <w:tcPr>
            <w:tcW w:w="1619" w:type="dxa"/>
            <w:tcBorders>
              <w:top w:val="single" w:sz="4" w:space="0" w:color="17365D"/>
              <w:left w:val="nil"/>
              <w:bottom w:val="nil"/>
              <w:right w:val="nil"/>
            </w:tcBorders>
            <w:shd w:val="clear" w:color="auto" w:fill="auto"/>
            <w:vAlign w:val="bottom"/>
          </w:tcPr>
          <w:p w14:paraId="259CC9BA" w14:textId="272904B4" w:rsidR="009C3EFD" w:rsidRPr="00856306" w:rsidRDefault="009C3EFD" w:rsidP="009C3EFD">
            <w:pPr>
              <w:pStyle w:val="Pamatteksts"/>
              <w:spacing w:before="60" w:after="60"/>
              <w:ind w:left="-107" w:right="-105" w:firstLine="0"/>
              <w:jc w:val="right"/>
              <w:rPr>
                <w:color w:val="17365D"/>
                <w:sz w:val="20"/>
                <w:szCs w:val="20"/>
              </w:rPr>
            </w:pPr>
            <w:r w:rsidRPr="00856306">
              <w:rPr>
                <w:color w:val="17365D"/>
                <w:sz w:val="20"/>
                <w:szCs w:val="20"/>
              </w:rPr>
              <w:t>-1 761 228</w:t>
            </w:r>
          </w:p>
        </w:tc>
        <w:tc>
          <w:tcPr>
            <w:tcW w:w="1328" w:type="dxa"/>
            <w:tcBorders>
              <w:top w:val="single" w:sz="4" w:space="0" w:color="17365D"/>
              <w:left w:val="nil"/>
              <w:bottom w:val="nil"/>
              <w:right w:val="nil"/>
            </w:tcBorders>
            <w:shd w:val="clear" w:color="auto" w:fill="auto"/>
            <w:vAlign w:val="center"/>
          </w:tcPr>
          <w:p w14:paraId="0AF3B9B1" w14:textId="60C04560" w:rsidR="009C3EFD" w:rsidRPr="00856306" w:rsidRDefault="009C3EFD" w:rsidP="009C3EFD">
            <w:pPr>
              <w:pStyle w:val="Pamatteksts"/>
              <w:spacing w:before="40" w:after="40"/>
              <w:ind w:firstLine="0"/>
              <w:jc w:val="right"/>
              <w:rPr>
                <w:color w:val="17365D"/>
                <w:sz w:val="20"/>
                <w:szCs w:val="20"/>
              </w:rPr>
            </w:pPr>
            <w:r w:rsidRPr="00856306">
              <w:rPr>
                <w:color w:val="17365D"/>
                <w:sz w:val="20"/>
                <w:szCs w:val="20"/>
              </w:rPr>
              <w:t>-68.1</w:t>
            </w:r>
          </w:p>
        </w:tc>
      </w:tr>
      <w:tr w:rsidR="00B36A61" w:rsidRPr="00B36A61" w14:paraId="6222F5AC" w14:textId="77777777" w:rsidTr="00437740">
        <w:trPr>
          <w:trHeight w:val="284"/>
        </w:trPr>
        <w:tc>
          <w:tcPr>
            <w:tcW w:w="883" w:type="dxa"/>
            <w:tcBorders>
              <w:top w:val="nil"/>
              <w:bottom w:val="nil"/>
            </w:tcBorders>
            <w:shd w:val="clear" w:color="auto" w:fill="B9CDE5"/>
            <w:vAlign w:val="center"/>
          </w:tcPr>
          <w:p w14:paraId="496DEB02" w14:textId="77777777" w:rsidR="007D4D91" w:rsidRPr="00B36A61" w:rsidRDefault="007D4D91" w:rsidP="001D6C0C">
            <w:pPr>
              <w:spacing w:before="40" w:after="40"/>
              <w:ind w:firstLine="0"/>
              <w:jc w:val="left"/>
              <w:rPr>
                <w:bCs/>
                <w:color w:val="17365D"/>
                <w:sz w:val="20"/>
                <w:szCs w:val="20"/>
              </w:rPr>
            </w:pPr>
          </w:p>
        </w:tc>
        <w:tc>
          <w:tcPr>
            <w:tcW w:w="2569" w:type="dxa"/>
            <w:tcBorders>
              <w:top w:val="nil"/>
              <w:bottom w:val="nil"/>
            </w:tcBorders>
            <w:shd w:val="clear" w:color="auto" w:fill="B9CDE5"/>
            <w:vAlign w:val="center"/>
          </w:tcPr>
          <w:p w14:paraId="18DD7E13" w14:textId="77777777" w:rsidR="007D4D91" w:rsidRPr="00B36A61" w:rsidRDefault="007D4D91" w:rsidP="001D6C0C">
            <w:pPr>
              <w:pStyle w:val="Pamatteksts"/>
              <w:spacing w:before="40" w:after="40"/>
              <w:ind w:firstLine="0"/>
              <w:rPr>
                <w:color w:val="17365D"/>
                <w:sz w:val="20"/>
                <w:szCs w:val="20"/>
              </w:rPr>
            </w:pPr>
          </w:p>
        </w:tc>
        <w:tc>
          <w:tcPr>
            <w:tcW w:w="1483" w:type="dxa"/>
            <w:tcBorders>
              <w:top w:val="nil"/>
              <w:bottom w:val="nil"/>
            </w:tcBorders>
            <w:shd w:val="clear" w:color="auto" w:fill="B9CDE5"/>
            <w:vAlign w:val="center"/>
          </w:tcPr>
          <w:p w14:paraId="043A6A49" w14:textId="77777777" w:rsidR="007D4D91" w:rsidRPr="00B36A61" w:rsidRDefault="007D4D91" w:rsidP="001D6C0C">
            <w:pPr>
              <w:pStyle w:val="Pamatteksts"/>
              <w:spacing w:before="40" w:after="40"/>
              <w:ind w:firstLine="0"/>
              <w:jc w:val="right"/>
              <w:rPr>
                <w:color w:val="17365D"/>
                <w:sz w:val="20"/>
                <w:szCs w:val="20"/>
              </w:rPr>
            </w:pPr>
          </w:p>
        </w:tc>
        <w:tc>
          <w:tcPr>
            <w:tcW w:w="1483" w:type="dxa"/>
            <w:tcBorders>
              <w:top w:val="nil"/>
              <w:bottom w:val="nil"/>
            </w:tcBorders>
            <w:shd w:val="clear" w:color="auto" w:fill="B9CDE5"/>
            <w:vAlign w:val="center"/>
          </w:tcPr>
          <w:p w14:paraId="500C1BA8" w14:textId="77777777" w:rsidR="007D4D91" w:rsidRPr="00B36A61" w:rsidRDefault="007D4D91" w:rsidP="001D6C0C">
            <w:pPr>
              <w:pStyle w:val="Pamatteksts"/>
              <w:spacing w:before="40" w:after="40"/>
              <w:ind w:firstLine="0"/>
              <w:jc w:val="right"/>
              <w:rPr>
                <w:color w:val="17365D"/>
                <w:sz w:val="20"/>
                <w:szCs w:val="20"/>
              </w:rPr>
            </w:pPr>
          </w:p>
        </w:tc>
        <w:tc>
          <w:tcPr>
            <w:tcW w:w="1619" w:type="dxa"/>
            <w:tcBorders>
              <w:top w:val="nil"/>
              <w:bottom w:val="nil"/>
            </w:tcBorders>
            <w:shd w:val="clear" w:color="auto" w:fill="B9CDE5"/>
            <w:vAlign w:val="center"/>
          </w:tcPr>
          <w:p w14:paraId="7B8DCB27" w14:textId="77777777" w:rsidR="007D4D91" w:rsidRPr="00B36A61" w:rsidRDefault="007D4D91" w:rsidP="001D6C0C">
            <w:pPr>
              <w:pStyle w:val="Pamatteksts"/>
              <w:spacing w:before="60" w:after="60"/>
              <w:ind w:left="-107" w:right="-105" w:firstLine="0"/>
              <w:jc w:val="right"/>
              <w:rPr>
                <w:color w:val="17365D"/>
                <w:sz w:val="20"/>
                <w:szCs w:val="20"/>
              </w:rPr>
            </w:pPr>
          </w:p>
        </w:tc>
        <w:tc>
          <w:tcPr>
            <w:tcW w:w="1328" w:type="dxa"/>
            <w:tcBorders>
              <w:top w:val="nil"/>
              <w:bottom w:val="nil"/>
            </w:tcBorders>
            <w:shd w:val="clear" w:color="auto" w:fill="B9CDE5"/>
            <w:vAlign w:val="bottom"/>
          </w:tcPr>
          <w:p w14:paraId="09B7902E" w14:textId="77777777" w:rsidR="007D4D91" w:rsidRPr="00B36A61" w:rsidRDefault="007D4D91" w:rsidP="001D6C0C">
            <w:pPr>
              <w:pStyle w:val="Pamatteksts"/>
              <w:spacing w:before="40" w:after="40"/>
              <w:ind w:firstLine="0"/>
              <w:jc w:val="right"/>
              <w:rPr>
                <w:color w:val="17365D"/>
                <w:sz w:val="20"/>
                <w:szCs w:val="20"/>
              </w:rPr>
            </w:pPr>
          </w:p>
        </w:tc>
      </w:tr>
    </w:tbl>
    <w:p w14:paraId="376E3745" w14:textId="1ADC4658" w:rsidR="00112728" w:rsidRPr="00B36A61" w:rsidRDefault="00817A43" w:rsidP="00920EE3">
      <w:pPr>
        <w:pStyle w:val="Pamatteksts"/>
        <w:ind w:firstLine="0"/>
        <w:rPr>
          <w:noProof w:val="0"/>
          <w:color w:val="17365D"/>
        </w:rPr>
      </w:pPr>
      <w:r w:rsidRPr="00B36A61">
        <w:rPr>
          <w:b/>
          <w:color w:val="17365D"/>
        </w:rPr>
        <mc:AlternateContent>
          <mc:Choice Requires="wps">
            <w:drawing>
              <wp:anchor distT="0" distB="0" distL="114300" distR="114300" simplePos="0" relativeHeight="251658752" behindDoc="1" locked="0" layoutInCell="1" allowOverlap="1" wp14:anchorId="0C7738E8" wp14:editId="78685A5F">
                <wp:simplePos x="0" y="0"/>
                <wp:positionH relativeFrom="column">
                  <wp:posOffset>4262755</wp:posOffset>
                </wp:positionH>
                <wp:positionV relativeFrom="paragraph">
                  <wp:posOffset>200660</wp:posOffset>
                </wp:positionV>
                <wp:extent cx="1680845" cy="723600"/>
                <wp:effectExtent l="0" t="0" r="14605" b="19685"/>
                <wp:wrapSquare wrapText="bothSides"/>
                <wp:docPr id="15" name="Rectangle 15"/>
                <wp:cNvGraphicFramePr/>
                <a:graphic xmlns:a="http://schemas.openxmlformats.org/drawingml/2006/main">
                  <a:graphicData uri="http://schemas.microsoft.com/office/word/2010/wordprocessingShape">
                    <wps:wsp>
                      <wps:cNvSpPr/>
                      <wps:spPr>
                        <a:xfrm>
                          <a:off x="0" y="0"/>
                          <a:ext cx="1680845" cy="723600"/>
                        </a:xfrm>
                        <a:prstGeom prst="rect">
                          <a:avLst/>
                        </a:prstGeom>
                        <a:solidFill>
                          <a:sysClr val="window" lastClr="FFFFFF"/>
                        </a:solidFill>
                        <a:ln w="25400" cap="flat" cmpd="sng" algn="ctr">
                          <a:solidFill>
                            <a:srgbClr val="17365D"/>
                          </a:solidFill>
                          <a:prstDash val="sysDot"/>
                        </a:ln>
                        <a:effectLst/>
                      </wps:spPr>
                      <wps:txbx>
                        <w:txbxContent>
                          <w:p w14:paraId="4501F648" w14:textId="77777777" w:rsidR="00B36A61" w:rsidRPr="00815A40" w:rsidRDefault="00B36A61" w:rsidP="003E5058">
                            <w:pPr>
                              <w:ind w:firstLine="0"/>
                              <w:jc w:val="center"/>
                              <w:rPr>
                                <w:color w:val="17365D"/>
                              </w:rPr>
                            </w:pPr>
                            <w:r w:rsidRPr="00815A40">
                              <w:rPr>
                                <w:color w:val="17365D"/>
                              </w:rPr>
                              <w:t>Izlietoti ziedojumi un dāvinājumi</w:t>
                            </w:r>
                            <w:r w:rsidRPr="00815A40">
                              <w:rPr>
                                <w:rFonts w:eastAsiaTheme="minorHAnsi"/>
                                <w:color w:val="17365D"/>
                                <w:lang w:eastAsia="en-US"/>
                              </w:rPr>
                              <w:t xml:space="preserve"> </w:t>
                            </w:r>
                            <w:r w:rsidRPr="00815A40">
                              <w:rPr>
                                <w:color w:val="17365D"/>
                              </w:rPr>
                              <w:t>–</w:t>
                            </w:r>
                          </w:p>
                          <w:p w14:paraId="77521194" w14:textId="46B71D2C" w:rsidR="00B36A61" w:rsidRPr="00815A40" w:rsidRDefault="00B36A61" w:rsidP="003E5058">
                            <w:pPr>
                              <w:ind w:firstLine="0"/>
                              <w:jc w:val="center"/>
                              <w:rPr>
                                <w:color w:val="17365D"/>
                              </w:rPr>
                            </w:pPr>
                            <w:r w:rsidRPr="002B6739">
                              <w:rPr>
                                <w:b/>
                                <w:color w:val="17365D"/>
                              </w:rPr>
                              <w:t>2</w:t>
                            </w:r>
                            <w:r>
                              <w:rPr>
                                <w:b/>
                                <w:color w:val="17365D"/>
                              </w:rPr>
                              <w:t xml:space="preserve"> </w:t>
                            </w:r>
                            <w:r w:rsidRPr="002B6739">
                              <w:rPr>
                                <w:b/>
                                <w:color w:val="17365D"/>
                              </w:rPr>
                              <w:t>491</w:t>
                            </w:r>
                            <w:r>
                              <w:rPr>
                                <w:b/>
                                <w:color w:val="17365D"/>
                              </w:rPr>
                              <w:t xml:space="preserve"> </w:t>
                            </w:r>
                            <w:r w:rsidRPr="002B6739">
                              <w:rPr>
                                <w:b/>
                                <w:color w:val="17365D"/>
                              </w:rPr>
                              <w:t>375</w:t>
                            </w:r>
                            <w:r>
                              <w:rPr>
                                <w:b/>
                                <w:color w:val="17365D"/>
                              </w:rPr>
                              <w:t>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738E8" id="Rectangle 15" o:spid="_x0000_s1033" style="position:absolute;left:0;text-align:left;margin-left:335.65pt;margin-top:15.8pt;width:132.35pt;height: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" fillcolor="window" strokecolor="#17365d" strokeweight="2pt">
                <v:stroke dashstyle="1 1"/>
                <v:textbox>
                  <w:txbxContent>
                    <w:p w14:paraId="4501F648" w14:textId="77777777" w:rsidR="00B36A61" w:rsidRPr="00815A40" w:rsidRDefault="00B36A61" w:rsidP="003E5058">
                      <w:pPr>
                        <w:ind w:firstLine="0"/>
                        <w:jc w:val="center"/>
                        <w:rPr>
                          <w:color w:val="17365D"/>
                        </w:rPr>
                      </w:pPr>
                      <w:r w:rsidRPr="00815A40">
                        <w:rPr>
                          <w:color w:val="17365D"/>
                        </w:rPr>
                        <w:t>Izlietoti ziedojumi un dāvinājumi</w:t>
                      </w:r>
                      <w:r w:rsidRPr="00815A40">
                        <w:rPr>
                          <w:rFonts w:eastAsiaTheme="minorHAnsi"/>
                          <w:color w:val="17365D"/>
                          <w:lang w:eastAsia="en-US"/>
                        </w:rPr>
                        <w:t xml:space="preserve"> </w:t>
                      </w:r>
                      <w:r w:rsidRPr="00815A40">
                        <w:rPr>
                          <w:color w:val="17365D"/>
                        </w:rPr>
                        <w:t>–</w:t>
                      </w:r>
                    </w:p>
                    <w:p w14:paraId="77521194" w14:textId="46B71D2C" w:rsidR="00B36A61" w:rsidRPr="00815A40" w:rsidRDefault="00B36A61" w:rsidP="003E5058">
                      <w:pPr>
                        <w:ind w:firstLine="0"/>
                        <w:jc w:val="center"/>
                        <w:rPr>
                          <w:color w:val="17365D"/>
                        </w:rPr>
                      </w:pPr>
                      <w:r w:rsidRPr="002B6739">
                        <w:rPr>
                          <w:b/>
                          <w:color w:val="17365D"/>
                        </w:rPr>
                        <w:t>2</w:t>
                      </w:r>
                      <w:r>
                        <w:rPr>
                          <w:b/>
                          <w:color w:val="17365D"/>
                        </w:rPr>
                        <w:t xml:space="preserve"> </w:t>
                      </w:r>
                      <w:r w:rsidRPr="002B6739">
                        <w:rPr>
                          <w:b/>
                          <w:color w:val="17365D"/>
                        </w:rPr>
                        <w:t>491</w:t>
                      </w:r>
                      <w:r>
                        <w:rPr>
                          <w:b/>
                          <w:color w:val="17365D"/>
                        </w:rPr>
                        <w:t xml:space="preserve"> </w:t>
                      </w:r>
                      <w:r w:rsidRPr="002B6739">
                        <w:rPr>
                          <w:b/>
                          <w:color w:val="17365D"/>
                        </w:rPr>
                        <w:t>375</w:t>
                      </w:r>
                      <w:r>
                        <w:rPr>
                          <w:b/>
                          <w:color w:val="17365D"/>
                        </w:rPr>
                        <w:t> </w:t>
                      </w:r>
                      <w:r w:rsidRPr="00815A40">
                        <w:rPr>
                          <w:i/>
                          <w:color w:val="17365D"/>
                        </w:rPr>
                        <w:t>euro</w:t>
                      </w:r>
                    </w:p>
                  </w:txbxContent>
                </v:textbox>
                <w10:wrap type="square"/>
              </v:rect>
            </w:pict>
          </mc:Fallback>
        </mc:AlternateContent>
      </w:r>
    </w:p>
    <w:p w14:paraId="4B2343BA" w14:textId="3036C5BB" w:rsidR="001C4BD9" w:rsidRPr="00B36A61" w:rsidRDefault="00943193" w:rsidP="001C4BD9">
      <w:pPr>
        <w:pStyle w:val="Bullets"/>
        <w:numPr>
          <w:ilvl w:val="0"/>
          <w:numId w:val="0"/>
        </w:numPr>
        <w:ind w:firstLine="567"/>
        <w:rPr>
          <w:i/>
          <w:color w:val="17365D"/>
        </w:rPr>
      </w:pPr>
      <w:r w:rsidRPr="00B36A61">
        <w:rPr>
          <w:noProof w:val="0"/>
          <w:color w:val="17365D"/>
        </w:rPr>
        <w:t>Valsts budžet</w:t>
      </w:r>
      <w:r w:rsidR="008864BD" w:rsidRPr="00B36A61">
        <w:rPr>
          <w:noProof w:val="0"/>
          <w:color w:val="17365D"/>
        </w:rPr>
        <w:t>ā</w:t>
      </w:r>
      <w:r w:rsidRPr="00B36A61">
        <w:rPr>
          <w:noProof w:val="0"/>
          <w:color w:val="17365D"/>
        </w:rPr>
        <w:t xml:space="preserve"> saņemto </w:t>
      </w:r>
      <w:r w:rsidRPr="00B36A61">
        <w:rPr>
          <w:bCs/>
          <w:noProof w:val="0"/>
          <w:color w:val="17365D"/>
        </w:rPr>
        <w:t>ziedojumu un dāvinājumu</w:t>
      </w:r>
      <w:r w:rsidRPr="00B36A61">
        <w:rPr>
          <w:b/>
          <w:bCs/>
          <w:noProof w:val="0"/>
          <w:color w:val="17365D"/>
        </w:rPr>
        <w:t xml:space="preserve"> izlietojums</w:t>
      </w:r>
      <w:r w:rsidRPr="00B36A61">
        <w:rPr>
          <w:noProof w:val="0"/>
          <w:color w:val="17365D"/>
        </w:rPr>
        <w:t xml:space="preserve"> pārskata gadā ir </w:t>
      </w:r>
      <w:r w:rsidR="005447B8" w:rsidRPr="00B36A61">
        <w:rPr>
          <w:noProof w:val="0"/>
          <w:color w:val="17365D"/>
        </w:rPr>
        <w:t>2</w:t>
      </w:r>
      <w:r w:rsidRPr="00B36A61">
        <w:rPr>
          <w:noProof w:val="0"/>
          <w:color w:val="17365D"/>
        </w:rPr>
        <w:t>,</w:t>
      </w:r>
      <w:r w:rsidR="002B6739" w:rsidRPr="00B36A61">
        <w:rPr>
          <w:noProof w:val="0"/>
          <w:color w:val="17365D"/>
        </w:rPr>
        <w:t>5</w:t>
      </w:r>
      <w:r w:rsidR="00373787" w:rsidRPr="00B36A61">
        <w:rPr>
          <w:noProof w:val="0"/>
          <w:color w:val="17365D"/>
        </w:rPr>
        <w:t> </w:t>
      </w:r>
      <w:r w:rsidR="00392A1F" w:rsidRPr="00B36A61">
        <w:rPr>
          <w:noProof w:val="0"/>
          <w:color w:val="17365D"/>
        </w:rPr>
        <w:t>milj. </w:t>
      </w:r>
      <w:r w:rsidR="00EF7B9A" w:rsidRPr="00B36A61">
        <w:rPr>
          <w:i/>
          <w:noProof w:val="0"/>
          <w:color w:val="17365D"/>
        </w:rPr>
        <w:t>euro</w:t>
      </w:r>
      <w:r w:rsidR="00B07BC5" w:rsidRPr="00B36A61">
        <w:rPr>
          <w:i/>
          <w:noProof w:val="0"/>
          <w:color w:val="17365D"/>
        </w:rPr>
        <w:t xml:space="preserve"> </w:t>
      </w:r>
      <w:r w:rsidR="00B07BC5" w:rsidRPr="00B36A61">
        <w:rPr>
          <w:noProof w:val="0"/>
          <w:color w:val="17365D"/>
        </w:rPr>
        <w:t>vērtībā</w:t>
      </w:r>
      <w:r w:rsidRPr="00B36A61">
        <w:rPr>
          <w:noProof w:val="0"/>
          <w:color w:val="17365D"/>
        </w:rPr>
        <w:t>,</w:t>
      </w:r>
      <w:r w:rsidR="00392A1F" w:rsidRPr="00B36A61">
        <w:rPr>
          <w:noProof w:val="0"/>
          <w:color w:val="17365D"/>
        </w:rPr>
        <w:t xml:space="preserve"> </w:t>
      </w:r>
      <w:r w:rsidRPr="00B36A61">
        <w:rPr>
          <w:noProof w:val="0"/>
          <w:color w:val="17365D"/>
        </w:rPr>
        <w:t>kas</w:t>
      </w:r>
      <w:r w:rsidR="00916378" w:rsidRPr="00B36A61">
        <w:rPr>
          <w:noProof w:val="0"/>
          <w:color w:val="17365D"/>
        </w:rPr>
        <w:t>,</w:t>
      </w:r>
      <w:r w:rsidRPr="00B36A61">
        <w:rPr>
          <w:noProof w:val="0"/>
          <w:color w:val="17365D"/>
        </w:rPr>
        <w:t xml:space="preserve"> salīdzinot ar </w:t>
      </w:r>
      <w:r w:rsidR="008F2503" w:rsidRPr="00B36A61">
        <w:rPr>
          <w:noProof w:val="0"/>
          <w:color w:val="17365D"/>
        </w:rPr>
        <w:t>20</w:t>
      </w:r>
      <w:r w:rsidR="003B0DF3" w:rsidRPr="00B36A61">
        <w:rPr>
          <w:noProof w:val="0"/>
          <w:color w:val="17365D"/>
        </w:rPr>
        <w:t>2</w:t>
      </w:r>
      <w:r w:rsidR="002B6739" w:rsidRPr="00B36A61">
        <w:rPr>
          <w:noProof w:val="0"/>
          <w:color w:val="17365D"/>
        </w:rPr>
        <w:t>1</w:t>
      </w:r>
      <w:r w:rsidR="008F2503" w:rsidRPr="00B36A61">
        <w:rPr>
          <w:noProof w:val="0"/>
          <w:color w:val="17365D"/>
        </w:rPr>
        <w:t>. </w:t>
      </w:r>
      <w:r w:rsidR="006F4AF2" w:rsidRPr="00B36A61">
        <w:rPr>
          <w:noProof w:val="0"/>
          <w:color w:val="17365D"/>
        </w:rPr>
        <w:t>gadu</w:t>
      </w:r>
      <w:r w:rsidR="00916378" w:rsidRPr="00B36A61">
        <w:rPr>
          <w:noProof w:val="0"/>
          <w:color w:val="17365D"/>
        </w:rPr>
        <w:t>,</w:t>
      </w:r>
      <w:r w:rsidRPr="00B36A61">
        <w:rPr>
          <w:noProof w:val="0"/>
          <w:color w:val="17365D"/>
        </w:rPr>
        <w:t xml:space="preserve"> </w:t>
      </w:r>
      <w:r w:rsidR="00B36A61" w:rsidRPr="00B36A61">
        <w:rPr>
          <w:noProof w:val="0"/>
          <w:color w:val="17365D"/>
        </w:rPr>
        <w:t>pielielinājies</w:t>
      </w:r>
      <w:r w:rsidRPr="00B36A61">
        <w:rPr>
          <w:noProof w:val="0"/>
          <w:color w:val="17365D"/>
        </w:rPr>
        <w:t xml:space="preserve"> par 0,</w:t>
      </w:r>
      <w:r w:rsidR="002B6739" w:rsidRPr="00B36A61">
        <w:rPr>
          <w:noProof w:val="0"/>
          <w:color w:val="17365D"/>
        </w:rPr>
        <w:t>1</w:t>
      </w:r>
      <w:r w:rsidR="005F0515" w:rsidRPr="00B36A61">
        <w:rPr>
          <w:noProof w:val="0"/>
          <w:color w:val="17365D"/>
        </w:rPr>
        <w:t> </w:t>
      </w:r>
      <w:r w:rsidRPr="00B36A61">
        <w:rPr>
          <w:noProof w:val="0"/>
          <w:color w:val="17365D"/>
        </w:rPr>
        <w:t>milj</w:t>
      </w:r>
      <w:r w:rsidR="00392A1F" w:rsidRPr="00B36A61">
        <w:rPr>
          <w:noProof w:val="0"/>
          <w:color w:val="17365D"/>
        </w:rPr>
        <w:t>. </w:t>
      </w:r>
      <w:r w:rsidR="00EF7B9A" w:rsidRPr="00B36A61">
        <w:rPr>
          <w:i/>
          <w:noProof w:val="0"/>
          <w:color w:val="17365D"/>
        </w:rPr>
        <w:t>euro</w:t>
      </w:r>
      <w:r w:rsidR="00392A1F" w:rsidRPr="00B36A61">
        <w:rPr>
          <w:noProof w:val="0"/>
          <w:color w:val="17365D"/>
        </w:rPr>
        <w:t xml:space="preserve"> </w:t>
      </w:r>
      <w:r w:rsidRPr="00B36A61">
        <w:rPr>
          <w:noProof w:val="0"/>
          <w:color w:val="17365D"/>
        </w:rPr>
        <w:t xml:space="preserve">jeb </w:t>
      </w:r>
      <w:r w:rsidR="002B6739" w:rsidRPr="00B36A61">
        <w:rPr>
          <w:noProof w:val="0"/>
          <w:color w:val="17365D"/>
        </w:rPr>
        <w:t>4</w:t>
      </w:r>
      <w:r w:rsidRPr="00B36A61">
        <w:rPr>
          <w:noProof w:val="0"/>
          <w:color w:val="17365D"/>
        </w:rPr>
        <w:t>,</w:t>
      </w:r>
      <w:r w:rsidR="002B6739" w:rsidRPr="00B36A61">
        <w:rPr>
          <w:noProof w:val="0"/>
          <w:color w:val="17365D"/>
        </w:rPr>
        <w:t>2</w:t>
      </w:r>
      <w:r w:rsidR="006A7956" w:rsidRPr="00B36A61">
        <w:rPr>
          <w:noProof w:val="0"/>
          <w:color w:val="17365D"/>
        </w:rPr>
        <w:t> %</w:t>
      </w:r>
      <w:r w:rsidRPr="00B36A61">
        <w:rPr>
          <w:noProof w:val="0"/>
          <w:color w:val="17365D"/>
        </w:rPr>
        <w:t xml:space="preserve">. </w:t>
      </w:r>
      <w:r w:rsidR="00780F43" w:rsidRPr="00B36A61">
        <w:rPr>
          <w:noProof w:val="0"/>
          <w:color w:val="17365D"/>
        </w:rPr>
        <w:t xml:space="preserve">(skatīt </w:t>
      </w:r>
      <w:r w:rsidR="00026D5A" w:rsidRPr="00B36A61">
        <w:rPr>
          <w:noProof w:val="0"/>
          <w:color w:val="17365D"/>
        </w:rPr>
        <w:t>7</w:t>
      </w:r>
      <w:r w:rsidR="00F62054" w:rsidRPr="00B36A61">
        <w:rPr>
          <w:noProof w:val="0"/>
          <w:color w:val="17365D"/>
        </w:rPr>
        <w:t>.</w:t>
      </w:r>
      <w:r w:rsidR="00FB4468" w:rsidRPr="00B36A61">
        <w:rPr>
          <w:noProof w:val="0"/>
          <w:color w:val="17365D"/>
        </w:rPr>
        <w:t> </w:t>
      </w:r>
      <w:r w:rsidR="00F62054" w:rsidRPr="00B36A61">
        <w:rPr>
          <w:noProof w:val="0"/>
          <w:color w:val="17365D"/>
        </w:rPr>
        <w:t>tabul</w:t>
      </w:r>
      <w:r w:rsidR="00780F43" w:rsidRPr="00B36A61">
        <w:rPr>
          <w:noProof w:val="0"/>
          <w:color w:val="17365D"/>
        </w:rPr>
        <w:t>u),</w:t>
      </w:r>
      <w:r w:rsidR="00F62054" w:rsidRPr="00B36A61">
        <w:rPr>
          <w:noProof w:val="0"/>
          <w:color w:val="17365D"/>
        </w:rPr>
        <w:t xml:space="preserve"> lielākie izdevumi </w:t>
      </w:r>
      <w:r w:rsidR="003B6FC2" w:rsidRPr="00B36A61">
        <w:rPr>
          <w:noProof w:val="0"/>
          <w:color w:val="17365D"/>
        </w:rPr>
        <w:t>2</w:t>
      </w:r>
      <w:r w:rsidR="00F62054" w:rsidRPr="00B36A61">
        <w:rPr>
          <w:noProof w:val="0"/>
          <w:color w:val="17365D"/>
        </w:rPr>
        <w:t>,</w:t>
      </w:r>
      <w:r w:rsidR="00091010" w:rsidRPr="00B36A61">
        <w:rPr>
          <w:noProof w:val="0"/>
          <w:color w:val="17365D"/>
        </w:rPr>
        <w:t>4</w:t>
      </w:r>
      <w:r w:rsidR="00F62054" w:rsidRPr="00B36A61">
        <w:rPr>
          <w:noProof w:val="0"/>
          <w:color w:val="17365D"/>
        </w:rPr>
        <w:t> milj. </w:t>
      </w:r>
      <w:r w:rsidR="00F62054" w:rsidRPr="00B36A61">
        <w:rPr>
          <w:i/>
          <w:noProof w:val="0"/>
          <w:color w:val="17365D"/>
        </w:rPr>
        <w:t>euro</w:t>
      </w:r>
      <w:r w:rsidR="00F62054" w:rsidRPr="00B36A61">
        <w:rPr>
          <w:noProof w:val="0"/>
          <w:color w:val="17365D"/>
        </w:rPr>
        <w:t xml:space="preserve"> </w:t>
      </w:r>
      <w:r w:rsidR="00415009" w:rsidRPr="00B36A61">
        <w:rPr>
          <w:noProof w:val="0"/>
          <w:color w:val="17365D"/>
        </w:rPr>
        <w:t xml:space="preserve">pārskata gadā </w:t>
      </w:r>
      <w:r w:rsidR="00F62054" w:rsidRPr="00B36A61">
        <w:rPr>
          <w:noProof w:val="0"/>
          <w:color w:val="17365D"/>
        </w:rPr>
        <w:t xml:space="preserve">veikti </w:t>
      </w:r>
      <w:r w:rsidR="00091010" w:rsidRPr="00B36A61">
        <w:rPr>
          <w:noProof w:val="0"/>
          <w:color w:val="17365D"/>
        </w:rPr>
        <w:t>uzturēšanas</w:t>
      </w:r>
      <w:r w:rsidR="003B6FC2" w:rsidRPr="00B36A61">
        <w:rPr>
          <w:noProof w:val="0"/>
          <w:color w:val="17365D"/>
        </w:rPr>
        <w:t xml:space="preserve"> izdevumiem</w:t>
      </w:r>
      <w:r w:rsidR="00732ED7" w:rsidRPr="00B36A61">
        <w:rPr>
          <w:noProof w:val="0"/>
          <w:color w:val="17365D"/>
        </w:rPr>
        <w:t>.</w:t>
      </w:r>
      <w:r w:rsidR="00780F43" w:rsidRPr="00B36A61">
        <w:rPr>
          <w:noProof w:val="0"/>
          <w:color w:val="17365D"/>
        </w:rPr>
        <w:t xml:space="preserve"> </w:t>
      </w:r>
      <w:r w:rsidR="00BC5339" w:rsidRPr="00B36A61">
        <w:rPr>
          <w:noProof w:val="0"/>
          <w:color w:val="17365D"/>
        </w:rPr>
        <w:t xml:space="preserve">Lielākos izdevumus veica </w:t>
      </w:r>
      <w:r w:rsidR="00EA59C1" w:rsidRPr="00B36A61">
        <w:rPr>
          <w:noProof w:val="0"/>
          <w:color w:val="17365D"/>
        </w:rPr>
        <w:t>Kultūras ministrija 1,</w:t>
      </w:r>
      <w:r w:rsidR="003B6FC2" w:rsidRPr="00B36A61">
        <w:rPr>
          <w:noProof w:val="0"/>
          <w:color w:val="17365D"/>
        </w:rPr>
        <w:t>1</w:t>
      </w:r>
      <w:r w:rsidR="00E07A2F" w:rsidRPr="00B36A61">
        <w:rPr>
          <w:noProof w:val="0"/>
          <w:color w:val="17365D"/>
        </w:rPr>
        <w:t> </w:t>
      </w:r>
      <w:r w:rsidR="00EA59C1" w:rsidRPr="00B36A61">
        <w:rPr>
          <w:color w:val="17365D"/>
        </w:rPr>
        <w:t xml:space="preserve">milj. </w:t>
      </w:r>
      <w:r w:rsidR="00EA59C1" w:rsidRPr="00B36A61">
        <w:rPr>
          <w:i/>
          <w:color w:val="17365D"/>
        </w:rPr>
        <w:t>euro</w:t>
      </w:r>
      <w:r w:rsidR="00EA59C1" w:rsidRPr="00B36A61">
        <w:rPr>
          <w:color w:val="17365D"/>
        </w:rPr>
        <w:t xml:space="preserve"> un </w:t>
      </w:r>
      <w:r w:rsidR="00BC5339" w:rsidRPr="00B36A61">
        <w:rPr>
          <w:color w:val="17365D"/>
        </w:rPr>
        <w:t>Zemkopības ministrija</w:t>
      </w:r>
      <w:r w:rsidR="00BC5339" w:rsidRPr="00B36A61">
        <w:rPr>
          <w:i/>
          <w:color w:val="17365D"/>
        </w:rPr>
        <w:t xml:space="preserve"> </w:t>
      </w:r>
      <w:r w:rsidR="00EA59C1" w:rsidRPr="00B36A61">
        <w:rPr>
          <w:color w:val="17365D"/>
        </w:rPr>
        <w:t>0</w:t>
      </w:r>
      <w:r w:rsidR="00BC5339" w:rsidRPr="00B36A61">
        <w:rPr>
          <w:color w:val="17365D"/>
        </w:rPr>
        <w:t>,</w:t>
      </w:r>
      <w:r w:rsidR="003B6FC2" w:rsidRPr="00B36A61">
        <w:rPr>
          <w:color w:val="17365D"/>
        </w:rPr>
        <w:t>9</w:t>
      </w:r>
      <w:r w:rsidR="009957FA" w:rsidRPr="00B36A61">
        <w:rPr>
          <w:i/>
          <w:color w:val="17365D"/>
        </w:rPr>
        <w:t> </w:t>
      </w:r>
      <w:r w:rsidR="00BC5339" w:rsidRPr="00B36A61">
        <w:rPr>
          <w:color w:val="17365D"/>
        </w:rPr>
        <w:t>milj.</w:t>
      </w:r>
      <w:r w:rsidR="00817A43" w:rsidRPr="00B36A61">
        <w:rPr>
          <w:color w:val="17365D"/>
        </w:rPr>
        <w:t> </w:t>
      </w:r>
      <w:r w:rsidR="00EB5757" w:rsidRPr="00B36A61">
        <w:rPr>
          <w:i/>
          <w:color w:val="17365D"/>
        </w:rPr>
        <w:t xml:space="preserve">euro </w:t>
      </w:r>
      <w:r w:rsidR="00EB5757" w:rsidRPr="00B36A61">
        <w:rPr>
          <w:color w:val="17365D"/>
        </w:rPr>
        <w:t xml:space="preserve">subsīdiju un dotāciju </w:t>
      </w:r>
      <w:r w:rsidR="005A73EA" w:rsidRPr="00B36A61">
        <w:rPr>
          <w:color w:val="17365D"/>
        </w:rPr>
        <w:t xml:space="preserve">veidā </w:t>
      </w:r>
      <w:r w:rsidR="00EB5757" w:rsidRPr="00B36A61">
        <w:rPr>
          <w:color w:val="17365D"/>
        </w:rPr>
        <w:t>valsts un pašvaldības biedrībām un nodibinājumiem.</w:t>
      </w:r>
    </w:p>
    <w:p w14:paraId="76509919" w14:textId="64B5C21B" w:rsidR="00920EE3" w:rsidRPr="00B36A61" w:rsidRDefault="00026D5A" w:rsidP="004E28A8">
      <w:pPr>
        <w:spacing w:before="240" w:after="0"/>
        <w:ind w:firstLine="0"/>
        <w:jc w:val="right"/>
        <w:rPr>
          <w:rFonts w:eastAsia="Arial Unicode MS"/>
          <w:i/>
          <w:color w:val="17365D"/>
          <w:sz w:val="20"/>
        </w:rPr>
      </w:pPr>
      <w:r w:rsidRPr="00B36A61">
        <w:rPr>
          <w:rFonts w:eastAsia="Arial Unicode MS"/>
          <w:i/>
          <w:color w:val="17365D"/>
          <w:sz w:val="20"/>
        </w:rPr>
        <w:t>7</w:t>
      </w:r>
      <w:r w:rsidR="00920EE3" w:rsidRPr="00B36A61">
        <w:rPr>
          <w:rFonts w:eastAsia="Arial Unicode MS"/>
          <w:i/>
          <w:color w:val="17365D"/>
          <w:sz w:val="20"/>
        </w:rPr>
        <w:t xml:space="preserve">. tabula. </w:t>
      </w:r>
      <w:r w:rsidR="00E138F0" w:rsidRPr="00B36A61">
        <w:rPr>
          <w:rFonts w:eastAsia="Arial Unicode MS"/>
          <w:i/>
          <w:color w:val="17365D"/>
          <w:sz w:val="20"/>
        </w:rPr>
        <w:t>Z</w:t>
      </w:r>
      <w:r w:rsidR="00920EE3" w:rsidRPr="00B36A61">
        <w:rPr>
          <w:bCs/>
          <w:i/>
          <w:color w:val="17365D"/>
          <w:sz w:val="20"/>
          <w:szCs w:val="20"/>
        </w:rPr>
        <w:t>iedojum</w:t>
      </w:r>
      <w:r w:rsidR="00E138F0" w:rsidRPr="00B36A61">
        <w:rPr>
          <w:bCs/>
          <w:i/>
          <w:color w:val="17365D"/>
          <w:sz w:val="20"/>
          <w:szCs w:val="20"/>
        </w:rPr>
        <w:t>u</w:t>
      </w:r>
      <w:r w:rsidR="00920EE3" w:rsidRPr="00B36A61">
        <w:rPr>
          <w:bCs/>
          <w:i/>
          <w:color w:val="17365D"/>
          <w:sz w:val="20"/>
          <w:szCs w:val="20"/>
        </w:rPr>
        <w:t xml:space="preserve"> un dāvinājum</w:t>
      </w:r>
      <w:r w:rsidR="00E138F0" w:rsidRPr="00B36A61">
        <w:rPr>
          <w:bCs/>
          <w:i/>
          <w:color w:val="17365D"/>
          <w:sz w:val="20"/>
          <w:szCs w:val="20"/>
        </w:rPr>
        <w:t xml:space="preserve">u izlietojuma izmaiņas </w:t>
      </w:r>
      <w:r w:rsidR="00920EE3" w:rsidRPr="00B36A61">
        <w:rPr>
          <w:bCs/>
          <w:i/>
          <w:color w:val="17365D"/>
          <w:sz w:val="20"/>
          <w:szCs w:val="20"/>
        </w:rPr>
        <w:t>(</w:t>
      </w:r>
      <w:r w:rsidR="00920EE3" w:rsidRPr="00B36A61">
        <w:rPr>
          <w:i/>
          <w:color w:val="17365D"/>
          <w:sz w:val="20"/>
        </w:rPr>
        <w:t>euro)</w:t>
      </w:r>
    </w:p>
    <w:tbl>
      <w:tblPr>
        <w:tblStyle w:val="TableGrid"/>
        <w:tblW w:w="9385" w:type="dxa"/>
        <w:tblInd w:w="-5" w:type="dxa"/>
        <w:tblLayout w:type="fixed"/>
        <w:tblLook w:val="04A0" w:firstRow="1" w:lastRow="0" w:firstColumn="1" w:lastColumn="0" w:noHBand="0" w:noVBand="1"/>
      </w:tblPr>
      <w:tblGrid>
        <w:gridCol w:w="889"/>
        <w:gridCol w:w="2581"/>
        <w:gridCol w:w="1478"/>
        <w:gridCol w:w="1478"/>
        <w:gridCol w:w="1629"/>
        <w:gridCol w:w="1330"/>
      </w:tblGrid>
      <w:tr w:rsidR="00B36A61" w:rsidRPr="00B36A61" w14:paraId="754E5233" w14:textId="77777777" w:rsidTr="00E947C6">
        <w:trPr>
          <w:trHeight w:val="284"/>
        </w:trPr>
        <w:tc>
          <w:tcPr>
            <w:tcW w:w="889" w:type="dxa"/>
            <w:vMerge w:val="restart"/>
            <w:tcBorders>
              <w:top w:val="nil"/>
              <w:left w:val="nil"/>
              <w:bottom w:val="single" w:sz="4" w:space="0" w:color="17365D"/>
              <w:right w:val="nil"/>
            </w:tcBorders>
            <w:shd w:val="clear" w:color="auto" w:fill="B9CDE5"/>
            <w:vAlign w:val="center"/>
          </w:tcPr>
          <w:p w14:paraId="0D0E3FE8" w14:textId="0ECE6FE8" w:rsidR="00AE783D" w:rsidRPr="00B36A61" w:rsidRDefault="00AE783D" w:rsidP="009C3BBA">
            <w:pPr>
              <w:pStyle w:val="Pamatteksts"/>
              <w:spacing w:before="60" w:after="60"/>
              <w:ind w:firstLine="0"/>
              <w:jc w:val="center"/>
              <w:rPr>
                <w:b/>
                <w:color w:val="17365D"/>
                <w:sz w:val="20"/>
                <w:szCs w:val="20"/>
              </w:rPr>
            </w:pPr>
            <w:r w:rsidRPr="00B36A61">
              <w:rPr>
                <w:b/>
                <w:color w:val="17365D"/>
                <w:sz w:val="20"/>
                <w:szCs w:val="20"/>
              </w:rPr>
              <w:t>Klasifi-kācijas kods</w:t>
            </w:r>
          </w:p>
        </w:tc>
        <w:tc>
          <w:tcPr>
            <w:tcW w:w="2581" w:type="dxa"/>
            <w:vMerge w:val="restart"/>
            <w:tcBorders>
              <w:top w:val="nil"/>
              <w:left w:val="nil"/>
              <w:bottom w:val="single" w:sz="4" w:space="0" w:color="17365D"/>
              <w:right w:val="nil"/>
            </w:tcBorders>
            <w:shd w:val="clear" w:color="auto" w:fill="B9CDE5"/>
            <w:vAlign w:val="center"/>
          </w:tcPr>
          <w:p w14:paraId="76B66971" w14:textId="77777777" w:rsidR="00AE783D" w:rsidRPr="00B36A61" w:rsidRDefault="00AE783D" w:rsidP="009C3BBA">
            <w:pPr>
              <w:pStyle w:val="Pamatteksts"/>
              <w:spacing w:before="60" w:after="60"/>
              <w:ind w:firstLine="0"/>
              <w:jc w:val="center"/>
              <w:rPr>
                <w:b/>
                <w:color w:val="17365D"/>
                <w:sz w:val="20"/>
                <w:szCs w:val="20"/>
              </w:rPr>
            </w:pPr>
            <w:r w:rsidRPr="00B36A61">
              <w:rPr>
                <w:b/>
                <w:color w:val="17365D"/>
                <w:sz w:val="20"/>
                <w:szCs w:val="20"/>
              </w:rPr>
              <w:t>Posteņa nosaukums</w:t>
            </w:r>
          </w:p>
        </w:tc>
        <w:tc>
          <w:tcPr>
            <w:tcW w:w="2956" w:type="dxa"/>
            <w:gridSpan w:val="2"/>
            <w:tcBorders>
              <w:top w:val="nil"/>
              <w:left w:val="nil"/>
              <w:bottom w:val="single" w:sz="4" w:space="0" w:color="17365D"/>
              <w:right w:val="nil"/>
            </w:tcBorders>
            <w:shd w:val="clear" w:color="auto" w:fill="B9CDE5"/>
            <w:vAlign w:val="center"/>
          </w:tcPr>
          <w:p w14:paraId="1AAA1BEB" w14:textId="77777777" w:rsidR="00AE783D" w:rsidRPr="00B36A61" w:rsidRDefault="00AE783D" w:rsidP="009C3BBA">
            <w:pPr>
              <w:pStyle w:val="Pamatteksts"/>
              <w:spacing w:before="60" w:after="60"/>
              <w:ind w:firstLine="0"/>
              <w:jc w:val="center"/>
              <w:rPr>
                <w:b/>
                <w:color w:val="17365D"/>
                <w:sz w:val="20"/>
                <w:szCs w:val="20"/>
              </w:rPr>
            </w:pPr>
            <w:r w:rsidRPr="00B36A61">
              <w:rPr>
                <w:b/>
                <w:color w:val="17365D"/>
                <w:sz w:val="20"/>
                <w:szCs w:val="20"/>
              </w:rPr>
              <w:t>Budžeta izpilde</w:t>
            </w:r>
          </w:p>
        </w:tc>
        <w:tc>
          <w:tcPr>
            <w:tcW w:w="1629" w:type="dxa"/>
            <w:vMerge w:val="restart"/>
            <w:tcBorders>
              <w:top w:val="nil"/>
              <w:left w:val="nil"/>
              <w:bottom w:val="single" w:sz="4" w:space="0" w:color="17365D"/>
              <w:right w:val="nil"/>
            </w:tcBorders>
            <w:shd w:val="clear" w:color="auto" w:fill="B9CDE5"/>
            <w:vAlign w:val="center"/>
          </w:tcPr>
          <w:p w14:paraId="71A7A290" w14:textId="340FCC79" w:rsidR="00AE783D" w:rsidRPr="00B36A61" w:rsidRDefault="00AE783D" w:rsidP="004E28A8">
            <w:pPr>
              <w:pStyle w:val="Pamatteksts"/>
              <w:spacing w:before="60" w:after="60"/>
              <w:ind w:left="-107" w:right="-105" w:firstLine="0"/>
              <w:jc w:val="center"/>
              <w:rPr>
                <w:b/>
                <w:color w:val="17365D"/>
                <w:sz w:val="20"/>
                <w:szCs w:val="20"/>
              </w:rPr>
            </w:pPr>
            <w:r w:rsidRPr="00B36A61">
              <w:rPr>
                <w:b/>
                <w:color w:val="17365D"/>
                <w:sz w:val="20"/>
                <w:szCs w:val="20"/>
              </w:rPr>
              <w:t>Palielinājums (+), samazinājums (–)</w:t>
            </w:r>
          </w:p>
          <w:p w14:paraId="0AFDB8E0" w14:textId="72B2FADB" w:rsidR="00AE783D" w:rsidRPr="00B36A61" w:rsidRDefault="00AE783D" w:rsidP="004E28A8">
            <w:pPr>
              <w:pStyle w:val="Pamatteksts"/>
              <w:spacing w:before="60" w:after="60"/>
              <w:ind w:left="-107" w:right="-105" w:firstLine="0"/>
              <w:jc w:val="center"/>
              <w:rPr>
                <w:b/>
                <w:color w:val="17365D"/>
                <w:sz w:val="20"/>
                <w:szCs w:val="20"/>
              </w:rPr>
            </w:pPr>
            <w:r w:rsidRPr="00B36A61">
              <w:rPr>
                <w:b/>
                <w:color w:val="17365D"/>
                <w:sz w:val="20"/>
                <w:szCs w:val="20"/>
              </w:rPr>
              <w:t>(1.– 2.)</w:t>
            </w:r>
          </w:p>
        </w:tc>
        <w:tc>
          <w:tcPr>
            <w:tcW w:w="1330" w:type="dxa"/>
            <w:vMerge w:val="restart"/>
            <w:tcBorders>
              <w:top w:val="nil"/>
              <w:left w:val="nil"/>
              <w:bottom w:val="single" w:sz="4" w:space="0" w:color="17365D"/>
              <w:right w:val="nil"/>
            </w:tcBorders>
            <w:shd w:val="clear" w:color="auto" w:fill="B9CDE5"/>
            <w:vAlign w:val="center"/>
          </w:tcPr>
          <w:p w14:paraId="42AA2D2F" w14:textId="77777777" w:rsidR="00AE783D" w:rsidRPr="00B36A61" w:rsidRDefault="00AE783D" w:rsidP="009C3BBA">
            <w:pPr>
              <w:pStyle w:val="Pamatteksts"/>
              <w:spacing w:before="60" w:after="60"/>
              <w:ind w:firstLine="0"/>
              <w:jc w:val="center"/>
              <w:rPr>
                <w:b/>
                <w:color w:val="17365D"/>
                <w:sz w:val="20"/>
                <w:szCs w:val="20"/>
              </w:rPr>
            </w:pPr>
            <w:r w:rsidRPr="00B36A61">
              <w:rPr>
                <w:b/>
                <w:color w:val="17365D"/>
                <w:sz w:val="20"/>
                <w:szCs w:val="20"/>
              </w:rPr>
              <w:t>Procentuālās izmaiņas</w:t>
            </w:r>
          </w:p>
          <w:p w14:paraId="15944CAD" w14:textId="72BF51F4" w:rsidR="00AE783D" w:rsidRPr="00B36A61" w:rsidRDefault="00AE783D" w:rsidP="00FF21FE">
            <w:pPr>
              <w:pStyle w:val="Pamatteksts"/>
              <w:spacing w:before="60" w:after="60"/>
              <w:ind w:firstLine="0"/>
              <w:jc w:val="center"/>
              <w:rPr>
                <w:b/>
                <w:color w:val="17365D"/>
                <w:sz w:val="20"/>
                <w:szCs w:val="20"/>
              </w:rPr>
            </w:pPr>
            <w:r w:rsidRPr="00B36A61">
              <w:rPr>
                <w:b/>
                <w:color w:val="17365D"/>
                <w:sz w:val="20"/>
                <w:szCs w:val="20"/>
              </w:rPr>
              <w:t>(</w:t>
            </w:r>
            <w:r w:rsidR="00FF21FE" w:rsidRPr="00B36A61">
              <w:rPr>
                <w:b/>
                <w:color w:val="17365D"/>
                <w:sz w:val="20"/>
                <w:szCs w:val="20"/>
              </w:rPr>
              <w:t>3</w:t>
            </w:r>
            <w:r w:rsidRPr="00B36A61">
              <w:rPr>
                <w:b/>
                <w:color w:val="17365D"/>
                <w:sz w:val="20"/>
                <w:szCs w:val="20"/>
              </w:rPr>
              <w:t>./2. x 100)</w:t>
            </w:r>
          </w:p>
        </w:tc>
      </w:tr>
      <w:tr w:rsidR="00B36A61" w:rsidRPr="00B36A61" w14:paraId="36C8A5DF" w14:textId="77777777" w:rsidTr="00856306">
        <w:trPr>
          <w:trHeight w:val="284"/>
        </w:trPr>
        <w:tc>
          <w:tcPr>
            <w:tcW w:w="889" w:type="dxa"/>
            <w:vMerge/>
            <w:tcBorders>
              <w:top w:val="single" w:sz="4" w:space="0" w:color="17365D"/>
              <w:left w:val="nil"/>
              <w:bottom w:val="nil"/>
              <w:right w:val="nil"/>
            </w:tcBorders>
          </w:tcPr>
          <w:p w14:paraId="58B4680F" w14:textId="77777777" w:rsidR="00AE783D" w:rsidRPr="00B36A61" w:rsidRDefault="00AE783D" w:rsidP="00E138F0">
            <w:pPr>
              <w:pStyle w:val="Pamatteksts"/>
              <w:spacing w:after="0"/>
              <w:ind w:firstLine="0"/>
              <w:rPr>
                <w:color w:val="17365D"/>
                <w:sz w:val="20"/>
                <w:szCs w:val="20"/>
              </w:rPr>
            </w:pPr>
          </w:p>
        </w:tc>
        <w:tc>
          <w:tcPr>
            <w:tcW w:w="2581" w:type="dxa"/>
            <w:vMerge/>
            <w:tcBorders>
              <w:top w:val="single" w:sz="4" w:space="0" w:color="17365D"/>
              <w:left w:val="nil"/>
              <w:bottom w:val="nil"/>
              <w:right w:val="nil"/>
            </w:tcBorders>
          </w:tcPr>
          <w:p w14:paraId="1C08F945" w14:textId="77777777" w:rsidR="00AE783D" w:rsidRPr="00B36A61" w:rsidRDefault="00AE783D" w:rsidP="00E138F0">
            <w:pPr>
              <w:pStyle w:val="Pamatteksts"/>
              <w:spacing w:after="0"/>
              <w:ind w:firstLine="0"/>
              <w:rPr>
                <w:color w:val="17365D"/>
                <w:sz w:val="20"/>
                <w:szCs w:val="20"/>
              </w:rPr>
            </w:pPr>
          </w:p>
        </w:tc>
        <w:tc>
          <w:tcPr>
            <w:tcW w:w="1478" w:type="dxa"/>
            <w:tcBorders>
              <w:top w:val="single" w:sz="4" w:space="0" w:color="17365D"/>
              <w:left w:val="nil"/>
              <w:bottom w:val="nil"/>
              <w:right w:val="nil"/>
            </w:tcBorders>
            <w:shd w:val="clear" w:color="auto" w:fill="B9CDE5"/>
            <w:vAlign w:val="center"/>
          </w:tcPr>
          <w:p w14:paraId="19BDB2EF" w14:textId="77777777" w:rsidR="00AE783D" w:rsidRPr="00B36A61" w:rsidRDefault="00AE783D" w:rsidP="009C3BBA">
            <w:pPr>
              <w:spacing w:before="60" w:after="60"/>
              <w:ind w:firstLine="0"/>
              <w:jc w:val="center"/>
              <w:rPr>
                <w:b/>
                <w:noProof/>
                <w:color w:val="17365D"/>
                <w:sz w:val="20"/>
                <w:szCs w:val="20"/>
              </w:rPr>
            </w:pPr>
            <w:r w:rsidRPr="00B36A61">
              <w:rPr>
                <w:b/>
                <w:noProof/>
                <w:color w:val="17365D"/>
                <w:sz w:val="20"/>
                <w:szCs w:val="20"/>
              </w:rPr>
              <w:t>pārskata periodā</w:t>
            </w:r>
          </w:p>
        </w:tc>
        <w:tc>
          <w:tcPr>
            <w:tcW w:w="1478" w:type="dxa"/>
            <w:tcBorders>
              <w:top w:val="single" w:sz="4" w:space="0" w:color="17365D"/>
              <w:left w:val="nil"/>
              <w:bottom w:val="nil"/>
              <w:right w:val="nil"/>
            </w:tcBorders>
            <w:shd w:val="clear" w:color="auto" w:fill="B9CDE5"/>
            <w:vAlign w:val="center"/>
          </w:tcPr>
          <w:p w14:paraId="1D863831" w14:textId="77777777" w:rsidR="00AE783D" w:rsidRPr="00B36A61" w:rsidRDefault="00AE783D" w:rsidP="009C3BBA">
            <w:pPr>
              <w:spacing w:before="60" w:after="60"/>
              <w:ind w:firstLine="0"/>
              <w:jc w:val="center"/>
              <w:rPr>
                <w:b/>
                <w:noProof/>
                <w:color w:val="17365D"/>
                <w:sz w:val="20"/>
                <w:szCs w:val="20"/>
              </w:rPr>
            </w:pPr>
            <w:r w:rsidRPr="00B36A61">
              <w:rPr>
                <w:b/>
                <w:color w:val="17365D"/>
                <w:sz w:val="20"/>
                <w:szCs w:val="20"/>
              </w:rPr>
              <w:t>iepriekšējā pārskata periodā</w:t>
            </w:r>
          </w:p>
        </w:tc>
        <w:tc>
          <w:tcPr>
            <w:tcW w:w="1629" w:type="dxa"/>
            <w:vMerge/>
            <w:tcBorders>
              <w:top w:val="single" w:sz="4" w:space="0" w:color="17365D"/>
              <w:left w:val="nil"/>
              <w:bottom w:val="nil"/>
              <w:right w:val="nil"/>
            </w:tcBorders>
          </w:tcPr>
          <w:p w14:paraId="41268093" w14:textId="77777777" w:rsidR="00AE783D" w:rsidRPr="00B36A61" w:rsidRDefault="00AE783D" w:rsidP="004E28A8">
            <w:pPr>
              <w:pStyle w:val="Pamatteksts"/>
              <w:spacing w:before="60" w:after="60"/>
              <w:ind w:left="-107" w:right="-105" w:firstLine="0"/>
              <w:jc w:val="center"/>
              <w:rPr>
                <w:b/>
                <w:color w:val="17365D"/>
                <w:sz w:val="20"/>
                <w:szCs w:val="20"/>
              </w:rPr>
            </w:pPr>
          </w:p>
        </w:tc>
        <w:tc>
          <w:tcPr>
            <w:tcW w:w="1330" w:type="dxa"/>
            <w:vMerge/>
            <w:tcBorders>
              <w:top w:val="single" w:sz="4" w:space="0" w:color="17365D"/>
              <w:left w:val="nil"/>
              <w:bottom w:val="nil"/>
              <w:right w:val="nil"/>
            </w:tcBorders>
          </w:tcPr>
          <w:p w14:paraId="7D1F59E5" w14:textId="77777777" w:rsidR="00AE783D" w:rsidRPr="00B36A61" w:rsidRDefault="00AE783D" w:rsidP="00E138F0">
            <w:pPr>
              <w:spacing w:after="0"/>
              <w:ind w:firstLine="0"/>
              <w:rPr>
                <w:color w:val="17365D"/>
                <w:sz w:val="20"/>
                <w:szCs w:val="20"/>
              </w:rPr>
            </w:pPr>
          </w:p>
        </w:tc>
      </w:tr>
      <w:tr w:rsidR="00B36A61" w:rsidRPr="00B36A61" w14:paraId="04F7F4AB" w14:textId="77777777" w:rsidTr="003B6FC2">
        <w:trPr>
          <w:trHeight w:val="284"/>
        </w:trPr>
        <w:tc>
          <w:tcPr>
            <w:tcW w:w="889" w:type="dxa"/>
            <w:tcBorders>
              <w:top w:val="nil"/>
              <w:left w:val="nil"/>
              <w:bottom w:val="single" w:sz="4" w:space="0" w:color="17365D"/>
              <w:right w:val="nil"/>
            </w:tcBorders>
            <w:vAlign w:val="center"/>
          </w:tcPr>
          <w:p w14:paraId="4A902345" w14:textId="77777777" w:rsidR="00AE783D" w:rsidRPr="00B36A61" w:rsidRDefault="00AE783D" w:rsidP="009C3BBA">
            <w:pPr>
              <w:pStyle w:val="Pamatteksts"/>
              <w:spacing w:before="40" w:after="40"/>
              <w:ind w:firstLine="0"/>
              <w:jc w:val="center"/>
              <w:rPr>
                <w:b/>
                <w:color w:val="17365D"/>
                <w:sz w:val="20"/>
                <w:szCs w:val="20"/>
              </w:rPr>
            </w:pPr>
            <w:r w:rsidRPr="00B36A61">
              <w:rPr>
                <w:b/>
                <w:color w:val="17365D"/>
                <w:sz w:val="20"/>
                <w:szCs w:val="20"/>
              </w:rPr>
              <w:t>A</w:t>
            </w:r>
          </w:p>
        </w:tc>
        <w:tc>
          <w:tcPr>
            <w:tcW w:w="2581" w:type="dxa"/>
            <w:tcBorders>
              <w:top w:val="nil"/>
              <w:left w:val="nil"/>
              <w:bottom w:val="single" w:sz="4" w:space="0" w:color="17365D"/>
              <w:right w:val="nil"/>
            </w:tcBorders>
            <w:vAlign w:val="center"/>
          </w:tcPr>
          <w:p w14:paraId="16A5DDF1" w14:textId="77777777" w:rsidR="00AE783D" w:rsidRPr="00B36A61" w:rsidRDefault="00AE783D" w:rsidP="009C3BBA">
            <w:pPr>
              <w:pStyle w:val="Pamatteksts"/>
              <w:spacing w:before="40" w:after="40"/>
              <w:ind w:firstLine="0"/>
              <w:jc w:val="center"/>
              <w:rPr>
                <w:b/>
                <w:color w:val="17365D"/>
                <w:sz w:val="20"/>
                <w:szCs w:val="20"/>
              </w:rPr>
            </w:pPr>
            <w:r w:rsidRPr="00B36A61">
              <w:rPr>
                <w:b/>
                <w:color w:val="17365D"/>
                <w:sz w:val="20"/>
                <w:szCs w:val="20"/>
              </w:rPr>
              <w:t>B</w:t>
            </w:r>
          </w:p>
        </w:tc>
        <w:tc>
          <w:tcPr>
            <w:tcW w:w="1478" w:type="dxa"/>
            <w:tcBorders>
              <w:top w:val="nil"/>
              <w:left w:val="nil"/>
              <w:bottom w:val="single" w:sz="4" w:space="0" w:color="17365D"/>
              <w:right w:val="nil"/>
            </w:tcBorders>
            <w:vAlign w:val="center"/>
          </w:tcPr>
          <w:p w14:paraId="322A582A" w14:textId="0D769976" w:rsidR="00AE783D" w:rsidRPr="00B36A61" w:rsidRDefault="00AE783D" w:rsidP="009C3BBA">
            <w:pPr>
              <w:pStyle w:val="Pamatteksts"/>
              <w:spacing w:before="40" w:after="40"/>
              <w:ind w:firstLine="0"/>
              <w:jc w:val="center"/>
              <w:rPr>
                <w:b/>
                <w:color w:val="17365D"/>
                <w:sz w:val="20"/>
                <w:szCs w:val="20"/>
              </w:rPr>
            </w:pPr>
            <w:r w:rsidRPr="00B36A61">
              <w:rPr>
                <w:b/>
                <w:color w:val="17365D"/>
                <w:sz w:val="20"/>
                <w:szCs w:val="20"/>
              </w:rPr>
              <w:t>1</w:t>
            </w:r>
          </w:p>
        </w:tc>
        <w:tc>
          <w:tcPr>
            <w:tcW w:w="1478" w:type="dxa"/>
            <w:tcBorders>
              <w:top w:val="nil"/>
              <w:left w:val="nil"/>
              <w:bottom w:val="single" w:sz="4" w:space="0" w:color="17365D"/>
              <w:right w:val="nil"/>
            </w:tcBorders>
            <w:vAlign w:val="center"/>
          </w:tcPr>
          <w:p w14:paraId="1D851708" w14:textId="7577A25E" w:rsidR="00AE783D" w:rsidRPr="00B36A61" w:rsidRDefault="00AE783D" w:rsidP="009C3BBA">
            <w:pPr>
              <w:pStyle w:val="Pamatteksts"/>
              <w:spacing w:before="40" w:after="40"/>
              <w:ind w:firstLine="0"/>
              <w:jc w:val="center"/>
              <w:rPr>
                <w:b/>
                <w:color w:val="17365D"/>
                <w:sz w:val="20"/>
                <w:szCs w:val="20"/>
              </w:rPr>
            </w:pPr>
            <w:r w:rsidRPr="00B36A61">
              <w:rPr>
                <w:b/>
                <w:color w:val="17365D"/>
                <w:sz w:val="20"/>
                <w:szCs w:val="20"/>
              </w:rPr>
              <w:t>2</w:t>
            </w:r>
          </w:p>
        </w:tc>
        <w:tc>
          <w:tcPr>
            <w:tcW w:w="1629" w:type="dxa"/>
            <w:tcBorders>
              <w:top w:val="nil"/>
              <w:left w:val="nil"/>
              <w:bottom w:val="single" w:sz="4" w:space="0" w:color="17365D"/>
              <w:right w:val="nil"/>
            </w:tcBorders>
            <w:vAlign w:val="center"/>
          </w:tcPr>
          <w:p w14:paraId="15D1443B" w14:textId="1B62AE45" w:rsidR="00AE783D" w:rsidRPr="00B36A61" w:rsidRDefault="00AE783D" w:rsidP="004E28A8">
            <w:pPr>
              <w:pStyle w:val="Pamatteksts"/>
              <w:spacing w:before="60" w:after="60"/>
              <w:ind w:left="-107" w:right="-105" w:firstLine="0"/>
              <w:jc w:val="center"/>
              <w:rPr>
                <w:b/>
                <w:color w:val="17365D"/>
                <w:sz w:val="20"/>
                <w:szCs w:val="20"/>
              </w:rPr>
            </w:pPr>
            <w:r w:rsidRPr="00B36A61">
              <w:rPr>
                <w:b/>
                <w:color w:val="17365D"/>
                <w:sz w:val="20"/>
                <w:szCs w:val="20"/>
              </w:rPr>
              <w:t>3</w:t>
            </w:r>
          </w:p>
        </w:tc>
        <w:tc>
          <w:tcPr>
            <w:tcW w:w="1330" w:type="dxa"/>
            <w:tcBorders>
              <w:top w:val="nil"/>
              <w:left w:val="nil"/>
              <w:bottom w:val="single" w:sz="4" w:space="0" w:color="17365D"/>
              <w:right w:val="nil"/>
            </w:tcBorders>
            <w:vAlign w:val="center"/>
          </w:tcPr>
          <w:p w14:paraId="1833595D" w14:textId="796BE372" w:rsidR="00AE783D" w:rsidRPr="00B36A61" w:rsidRDefault="00AE783D" w:rsidP="009C3BBA">
            <w:pPr>
              <w:pStyle w:val="Pamatteksts"/>
              <w:spacing w:before="40" w:after="40"/>
              <w:ind w:firstLine="0"/>
              <w:jc w:val="center"/>
              <w:rPr>
                <w:b/>
                <w:color w:val="17365D"/>
                <w:sz w:val="20"/>
                <w:szCs w:val="20"/>
              </w:rPr>
            </w:pPr>
            <w:r w:rsidRPr="00B36A61">
              <w:rPr>
                <w:b/>
                <w:color w:val="17365D"/>
                <w:sz w:val="20"/>
                <w:szCs w:val="20"/>
              </w:rPr>
              <w:t>4</w:t>
            </w:r>
          </w:p>
        </w:tc>
      </w:tr>
      <w:tr w:rsidR="00B36A61" w:rsidRPr="00B36A61" w14:paraId="3A270706" w14:textId="77777777" w:rsidTr="00856306">
        <w:trPr>
          <w:trHeight w:val="284"/>
        </w:trPr>
        <w:tc>
          <w:tcPr>
            <w:tcW w:w="889" w:type="dxa"/>
            <w:tcBorders>
              <w:top w:val="single" w:sz="4" w:space="0" w:color="17365D"/>
              <w:left w:val="nil"/>
              <w:bottom w:val="single" w:sz="4" w:space="0" w:color="17365D"/>
              <w:right w:val="nil"/>
            </w:tcBorders>
            <w:vAlign w:val="center"/>
          </w:tcPr>
          <w:p w14:paraId="2A9915BB" w14:textId="4A07C4C6" w:rsidR="002B6739" w:rsidRPr="00B36A61" w:rsidRDefault="002B6739" w:rsidP="002B6739">
            <w:pPr>
              <w:pStyle w:val="Pamatteksts"/>
              <w:spacing w:before="40" w:after="40"/>
              <w:ind w:firstLine="0"/>
              <w:jc w:val="left"/>
              <w:rPr>
                <w:b/>
                <w:color w:val="17365D"/>
                <w:sz w:val="20"/>
                <w:szCs w:val="20"/>
              </w:rPr>
            </w:pPr>
            <w:r w:rsidRPr="00B36A61">
              <w:rPr>
                <w:b/>
                <w:color w:val="17365D"/>
                <w:sz w:val="20"/>
                <w:szCs w:val="20"/>
              </w:rPr>
              <w:t>II.</w:t>
            </w:r>
          </w:p>
        </w:tc>
        <w:tc>
          <w:tcPr>
            <w:tcW w:w="2581" w:type="dxa"/>
            <w:tcBorders>
              <w:top w:val="single" w:sz="4" w:space="0" w:color="17365D"/>
              <w:left w:val="nil"/>
              <w:bottom w:val="single" w:sz="4" w:space="0" w:color="17365D"/>
              <w:right w:val="nil"/>
            </w:tcBorders>
            <w:shd w:val="clear" w:color="000000" w:fill="FFFFFF"/>
            <w:vAlign w:val="center"/>
          </w:tcPr>
          <w:p w14:paraId="4DE3632D" w14:textId="77777777" w:rsidR="002B6739" w:rsidRPr="00B36A61" w:rsidRDefault="002B6739" w:rsidP="002B6739">
            <w:pPr>
              <w:pStyle w:val="Pamatteksts"/>
              <w:spacing w:before="40" w:after="40"/>
              <w:ind w:firstLine="0"/>
              <w:jc w:val="left"/>
              <w:rPr>
                <w:b/>
                <w:color w:val="17365D"/>
                <w:sz w:val="20"/>
                <w:szCs w:val="20"/>
              </w:rPr>
            </w:pPr>
            <w:r w:rsidRPr="00B36A61">
              <w:rPr>
                <w:b/>
                <w:bCs/>
                <w:color w:val="17365D"/>
                <w:sz w:val="20"/>
                <w:szCs w:val="20"/>
              </w:rPr>
              <w:t>IZDEVUMI</w:t>
            </w:r>
          </w:p>
        </w:tc>
        <w:tc>
          <w:tcPr>
            <w:tcW w:w="1478" w:type="dxa"/>
            <w:tcBorders>
              <w:top w:val="single" w:sz="4" w:space="0" w:color="17365D"/>
              <w:left w:val="nil"/>
              <w:bottom w:val="single" w:sz="4" w:space="0" w:color="17365D"/>
              <w:right w:val="nil"/>
            </w:tcBorders>
            <w:shd w:val="clear" w:color="000000" w:fill="FFFFFF"/>
            <w:vAlign w:val="center"/>
          </w:tcPr>
          <w:p w14:paraId="6CABAF5F" w14:textId="112B3BC9" w:rsidR="002B6739" w:rsidRPr="00B36A61" w:rsidRDefault="002B6739" w:rsidP="002B6739">
            <w:pPr>
              <w:pStyle w:val="Pamatteksts"/>
              <w:spacing w:before="40" w:after="40"/>
              <w:ind w:firstLine="0"/>
              <w:jc w:val="right"/>
              <w:rPr>
                <w:b/>
                <w:color w:val="17365D"/>
                <w:sz w:val="20"/>
                <w:szCs w:val="20"/>
              </w:rPr>
            </w:pPr>
            <w:r w:rsidRPr="00B36A61">
              <w:rPr>
                <w:b/>
                <w:bCs/>
                <w:color w:val="17365D"/>
                <w:sz w:val="20"/>
                <w:szCs w:val="20"/>
              </w:rPr>
              <w:t>2 491 375</w:t>
            </w:r>
          </w:p>
        </w:tc>
        <w:tc>
          <w:tcPr>
            <w:tcW w:w="1478" w:type="dxa"/>
            <w:tcBorders>
              <w:top w:val="single" w:sz="4" w:space="0" w:color="17365D"/>
              <w:left w:val="nil"/>
              <w:bottom w:val="single" w:sz="4" w:space="0" w:color="17365D"/>
              <w:right w:val="nil"/>
            </w:tcBorders>
            <w:shd w:val="clear" w:color="auto" w:fill="auto"/>
            <w:vAlign w:val="center"/>
          </w:tcPr>
          <w:p w14:paraId="1173CB99" w14:textId="431A8B9D" w:rsidR="002B6739" w:rsidRPr="00B36A61" w:rsidRDefault="002B6739" w:rsidP="002B6739">
            <w:pPr>
              <w:pStyle w:val="Pamatteksts"/>
              <w:spacing w:before="40" w:after="40"/>
              <w:ind w:firstLine="0"/>
              <w:jc w:val="right"/>
              <w:rPr>
                <w:b/>
                <w:color w:val="17365D"/>
                <w:sz w:val="20"/>
                <w:szCs w:val="20"/>
              </w:rPr>
            </w:pPr>
            <w:r w:rsidRPr="00B36A61">
              <w:rPr>
                <w:b/>
                <w:bCs/>
                <w:color w:val="17365D"/>
                <w:sz w:val="20"/>
                <w:szCs w:val="20"/>
              </w:rPr>
              <w:t>2 390 776</w:t>
            </w:r>
          </w:p>
        </w:tc>
        <w:tc>
          <w:tcPr>
            <w:tcW w:w="1629" w:type="dxa"/>
            <w:tcBorders>
              <w:top w:val="single" w:sz="4" w:space="0" w:color="17365D"/>
              <w:left w:val="nil"/>
              <w:bottom w:val="single" w:sz="4" w:space="0" w:color="17365D"/>
              <w:right w:val="nil"/>
            </w:tcBorders>
            <w:shd w:val="clear" w:color="auto" w:fill="auto"/>
            <w:vAlign w:val="center"/>
          </w:tcPr>
          <w:p w14:paraId="22565844" w14:textId="5BBC5ECE" w:rsidR="002B6739" w:rsidRPr="00B36A61" w:rsidRDefault="002B6739" w:rsidP="002B6739">
            <w:pPr>
              <w:pStyle w:val="Pamatteksts"/>
              <w:spacing w:before="60" w:after="60"/>
              <w:ind w:left="-107" w:right="-105" w:firstLine="0"/>
              <w:jc w:val="right"/>
              <w:rPr>
                <w:b/>
                <w:color w:val="17365D"/>
                <w:sz w:val="20"/>
                <w:szCs w:val="20"/>
              </w:rPr>
            </w:pPr>
            <w:r w:rsidRPr="00B36A61">
              <w:rPr>
                <w:b/>
                <w:color w:val="17365D"/>
                <w:sz w:val="20"/>
                <w:szCs w:val="20"/>
              </w:rPr>
              <w:t>100 599</w:t>
            </w:r>
          </w:p>
        </w:tc>
        <w:tc>
          <w:tcPr>
            <w:tcW w:w="1330" w:type="dxa"/>
            <w:tcBorders>
              <w:top w:val="single" w:sz="4" w:space="0" w:color="17365D"/>
              <w:left w:val="nil"/>
              <w:bottom w:val="single" w:sz="4" w:space="0" w:color="17365D"/>
              <w:right w:val="nil"/>
            </w:tcBorders>
            <w:shd w:val="clear" w:color="auto" w:fill="auto"/>
            <w:vAlign w:val="center"/>
          </w:tcPr>
          <w:p w14:paraId="6584FE92" w14:textId="3181E613" w:rsidR="002B6739" w:rsidRPr="00B36A61" w:rsidRDefault="002B6739" w:rsidP="002B6739">
            <w:pPr>
              <w:pStyle w:val="Pamatteksts"/>
              <w:spacing w:before="40" w:after="40"/>
              <w:ind w:firstLine="0"/>
              <w:jc w:val="right"/>
              <w:rPr>
                <w:b/>
                <w:color w:val="17365D"/>
                <w:sz w:val="20"/>
                <w:szCs w:val="20"/>
              </w:rPr>
            </w:pPr>
            <w:r w:rsidRPr="00B36A61">
              <w:rPr>
                <w:b/>
                <w:color w:val="17365D"/>
                <w:sz w:val="20"/>
                <w:szCs w:val="20"/>
              </w:rPr>
              <w:t>4.2</w:t>
            </w:r>
          </w:p>
        </w:tc>
      </w:tr>
      <w:tr w:rsidR="00B36A61" w:rsidRPr="00B36A61" w14:paraId="2782BCA1" w14:textId="77777777" w:rsidTr="00856306">
        <w:trPr>
          <w:trHeight w:val="284"/>
        </w:trPr>
        <w:tc>
          <w:tcPr>
            <w:tcW w:w="889" w:type="dxa"/>
            <w:tcBorders>
              <w:top w:val="single" w:sz="4" w:space="0" w:color="17365D"/>
              <w:left w:val="nil"/>
              <w:bottom w:val="single" w:sz="4" w:space="0" w:color="17365D"/>
              <w:right w:val="nil"/>
            </w:tcBorders>
            <w:vAlign w:val="center"/>
          </w:tcPr>
          <w:p w14:paraId="29874592" w14:textId="394B856E" w:rsidR="00E9709D" w:rsidRPr="00B36A61" w:rsidRDefault="00E9709D" w:rsidP="00E9709D">
            <w:pPr>
              <w:spacing w:before="40" w:after="40"/>
              <w:ind w:firstLine="0"/>
              <w:jc w:val="left"/>
              <w:rPr>
                <w:b/>
                <w:bCs/>
                <w:color w:val="17365D"/>
                <w:sz w:val="20"/>
                <w:szCs w:val="20"/>
              </w:rPr>
            </w:pPr>
            <w:r w:rsidRPr="00B36A61">
              <w:rPr>
                <w:b/>
                <w:bCs/>
                <w:color w:val="17365D"/>
                <w:sz w:val="20"/>
                <w:szCs w:val="20"/>
              </w:rPr>
              <w:t>1.0.</w:t>
            </w:r>
          </w:p>
        </w:tc>
        <w:tc>
          <w:tcPr>
            <w:tcW w:w="2581" w:type="dxa"/>
            <w:tcBorders>
              <w:top w:val="single" w:sz="4" w:space="0" w:color="17365D"/>
              <w:left w:val="nil"/>
              <w:bottom w:val="single" w:sz="4" w:space="0" w:color="17365D"/>
              <w:right w:val="nil"/>
            </w:tcBorders>
            <w:shd w:val="clear" w:color="000000" w:fill="FFFFFF"/>
            <w:vAlign w:val="center"/>
          </w:tcPr>
          <w:p w14:paraId="4584B89F" w14:textId="77777777" w:rsidR="00E9709D" w:rsidRPr="00B36A61" w:rsidRDefault="00E9709D" w:rsidP="00E9709D">
            <w:pPr>
              <w:pStyle w:val="Pamatteksts"/>
              <w:spacing w:before="40" w:after="40"/>
              <w:ind w:firstLine="0"/>
              <w:jc w:val="left"/>
              <w:rPr>
                <w:b/>
                <w:color w:val="17365D"/>
                <w:sz w:val="20"/>
                <w:szCs w:val="20"/>
              </w:rPr>
            </w:pPr>
            <w:r w:rsidRPr="00B36A61">
              <w:rPr>
                <w:b/>
                <w:bCs/>
                <w:color w:val="17365D"/>
                <w:sz w:val="20"/>
                <w:szCs w:val="20"/>
              </w:rPr>
              <w:t>Uzturēšanas izdevumi</w:t>
            </w:r>
          </w:p>
        </w:tc>
        <w:tc>
          <w:tcPr>
            <w:tcW w:w="1478" w:type="dxa"/>
            <w:tcBorders>
              <w:top w:val="single" w:sz="4" w:space="0" w:color="17365D"/>
              <w:left w:val="nil"/>
              <w:bottom w:val="single" w:sz="4" w:space="0" w:color="17365D"/>
              <w:right w:val="nil"/>
            </w:tcBorders>
            <w:shd w:val="clear" w:color="000000" w:fill="FFFFFF"/>
            <w:vAlign w:val="center"/>
          </w:tcPr>
          <w:p w14:paraId="37E37AE2" w14:textId="3504F3E1" w:rsidR="00E9709D" w:rsidRPr="00B36A61" w:rsidRDefault="00E9709D" w:rsidP="00E9709D">
            <w:pPr>
              <w:pStyle w:val="Pamatteksts"/>
              <w:spacing w:before="40" w:after="40"/>
              <w:ind w:firstLine="0"/>
              <w:jc w:val="right"/>
              <w:rPr>
                <w:b/>
                <w:color w:val="17365D"/>
                <w:sz w:val="20"/>
                <w:szCs w:val="20"/>
              </w:rPr>
            </w:pPr>
            <w:r w:rsidRPr="00B36A61">
              <w:rPr>
                <w:b/>
                <w:color w:val="17365D"/>
                <w:sz w:val="20"/>
                <w:szCs w:val="20"/>
              </w:rPr>
              <w:t>2 458 813</w:t>
            </w:r>
          </w:p>
        </w:tc>
        <w:tc>
          <w:tcPr>
            <w:tcW w:w="1478" w:type="dxa"/>
            <w:tcBorders>
              <w:top w:val="single" w:sz="4" w:space="0" w:color="17365D"/>
              <w:left w:val="nil"/>
              <w:bottom w:val="single" w:sz="4" w:space="0" w:color="17365D"/>
              <w:right w:val="nil"/>
            </w:tcBorders>
            <w:shd w:val="clear" w:color="auto" w:fill="auto"/>
            <w:vAlign w:val="center"/>
          </w:tcPr>
          <w:p w14:paraId="2CEE128F" w14:textId="27CC43F0" w:rsidR="00E9709D" w:rsidRPr="00B36A61" w:rsidRDefault="00E9709D" w:rsidP="00E9709D">
            <w:pPr>
              <w:pStyle w:val="Pamatteksts"/>
              <w:spacing w:before="40" w:after="40"/>
              <w:ind w:firstLine="0"/>
              <w:jc w:val="right"/>
              <w:rPr>
                <w:b/>
                <w:color w:val="17365D"/>
                <w:sz w:val="20"/>
                <w:szCs w:val="20"/>
              </w:rPr>
            </w:pPr>
            <w:r w:rsidRPr="00B36A61">
              <w:rPr>
                <w:b/>
                <w:color w:val="17365D"/>
                <w:sz w:val="20"/>
                <w:szCs w:val="20"/>
              </w:rPr>
              <w:t>2 322 858</w:t>
            </w:r>
          </w:p>
        </w:tc>
        <w:tc>
          <w:tcPr>
            <w:tcW w:w="1629" w:type="dxa"/>
            <w:tcBorders>
              <w:top w:val="single" w:sz="4" w:space="0" w:color="17365D"/>
              <w:left w:val="nil"/>
              <w:bottom w:val="single" w:sz="4" w:space="0" w:color="17365D"/>
              <w:right w:val="nil"/>
            </w:tcBorders>
            <w:shd w:val="clear" w:color="auto" w:fill="auto"/>
            <w:vAlign w:val="center"/>
          </w:tcPr>
          <w:p w14:paraId="444AC55A" w14:textId="0DB790E6" w:rsidR="00E9709D" w:rsidRPr="00B36A61" w:rsidRDefault="00E9709D" w:rsidP="00E9709D">
            <w:pPr>
              <w:pStyle w:val="Pamatteksts"/>
              <w:spacing w:before="60" w:after="60"/>
              <w:ind w:left="-107" w:right="-105" w:firstLine="0"/>
              <w:jc w:val="right"/>
              <w:rPr>
                <w:b/>
                <w:color w:val="17365D"/>
                <w:sz w:val="20"/>
                <w:szCs w:val="20"/>
              </w:rPr>
            </w:pPr>
            <w:r w:rsidRPr="00B36A61">
              <w:rPr>
                <w:b/>
                <w:color w:val="17365D"/>
                <w:sz w:val="20"/>
                <w:szCs w:val="20"/>
              </w:rPr>
              <w:t>135 955</w:t>
            </w:r>
          </w:p>
        </w:tc>
        <w:tc>
          <w:tcPr>
            <w:tcW w:w="1330" w:type="dxa"/>
            <w:tcBorders>
              <w:top w:val="single" w:sz="4" w:space="0" w:color="17365D"/>
              <w:left w:val="nil"/>
              <w:bottom w:val="single" w:sz="4" w:space="0" w:color="17365D"/>
              <w:right w:val="nil"/>
            </w:tcBorders>
            <w:shd w:val="clear" w:color="000000" w:fill="FFFFFF"/>
            <w:vAlign w:val="center"/>
          </w:tcPr>
          <w:p w14:paraId="0381D987" w14:textId="05052C9B" w:rsidR="00E9709D" w:rsidRPr="00B36A61" w:rsidRDefault="00E9709D" w:rsidP="00E9709D">
            <w:pPr>
              <w:pStyle w:val="Pamatteksts"/>
              <w:spacing w:before="40" w:after="40"/>
              <w:ind w:firstLine="0"/>
              <w:jc w:val="right"/>
              <w:rPr>
                <w:b/>
                <w:color w:val="17365D"/>
                <w:sz w:val="20"/>
                <w:szCs w:val="20"/>
              </w:rPr>
            </w:pPr>
            <w:r w:rsidRPr="00B36A61">
              <w:rPr>
                <w:b/>
                <w:color w:val="17365D"/>
                <w:sz w:val="20"/>
                <w:szCs w:val="20"/>
              </w:rPr>
              <w:t>5.9</w:t>
            </w:r>
          </w:p>
        </w:tc>
      </w:tr>
      <w:tr w:rsidR="00B36A61" w:rsidRPr="00B36A61" w14:paraId="6829203F" w14:textId="77777777" w:rsidTr="00856306">
        <w:trPr>
          <w:trHeight w:val="284"/>
        </w:trPr>
        <w:tc>
          <w:tcPr>
            <w:tcW w:w="889" w:type="dxa"/>
            <w:tcBorders>
              <w:top w:val="single" w:sz="4" w:space="0" w:color="17365D"/>
              <w:left w:val="nil"/>
              <w:bottom w:val="single" w:sz="4" w:space="0" w:color="17365D"/>
              <w:right w:val="nil"/>
            </w:tcBorders>
            <w:vAlign w:val="center"/>
          </w:tcPr>
          <w:p w14:paraId="5D8B22E2" w14:textId="72359075" w:rsidR="00E9709D" w:rsidRPr="00B36A61" w:rsidRDefault="00E9709D" w:rsidP="00E9709D">
            <w:pPr>
              <w:pStyle w:val="Pamatteksts"/>
              <w:spacing w:before="40" w:after="40"/>
              <w:ind w:firstLine="0"/>
              <w:jc w:val="left"/>
              <w:rPr>
                <w:color w:val="17365D"/>
                <w:sz w:val="20"/>
                <w:szCs w:val="20"/>
              </w:rPr>
            </w:pPr>
            <w:r w:rsidRPr="00B36A61">
              <w:rPr>
                <w:color w:val="17365D"/>
                <w:sz w:val="20"/>
                <w:szCs w:val="20"/>
              </w:rPr>
              <w:t>1.1.</w:t>
            </w:r>
          </w:p>
        </w:tc>
        <w:tc>
          <w:tcPr>
            <w:tcW w:w="2581" w:type="dxa"/>
            <w:tcBorders>
              <w:top w:val="single" w:sz="4" w:space="0" w:color="17365D"/>
              <w:left w:val="nil"/>
              <w:bottom w:val="single" w:sz="4" w:space="0" w:color="17365D"/>
              <w:right w:val="nil"/>
            </w:tcBorders>
            <w:shd w:val="clear" w:color="000000" w:fill="FFFFFF"/>
            <w:vAlign w:val="center"/>
          </w:tcPr>
          <w:p w14:paraId="3DC6335C" w14:textId="77777777" w:rsidR="00E9709D" w:rsidRPr="00B36A61" w:rsidRDefault="00E9709D" w:rsidP="00E9709D">
            <w:pPr>
              <w:pStyle w:val="Pamatteksts"/>
              <w:spacing w:before="40" w:after="40"/>
              <w:ind w:firstLine="0"/>
              <w:jc w:val="left"/>
              <w:rPr>
                <w:color w:val="17365D"/>
                <w:sz w:val="20"/>
                <w:szCs w:val="20"/>
              </w:rPr>
            </w:pPr>
            <w:r w:rsidRPr="00B36A61">
              <w:rPr>
                <w:bCs/>
                <w:color w:val="17365D"/>
                <w:sz w:val="20"/>
                <w:szCs w:val="20"/>
              </w:rPr>
              <w:t>Kārtējie izdevumi</w:t>
            </w:r>
          </w:p>
        </w:tc>
        <w:tc>
          <w:tcPr>
            <w:tcW w:w="1478" w:type="dxa"/>
            <w:tcBorders>
              <w:top w:val="single" w:sz="4" w:space="0" w:color="17365D"/>
              <w:left w:val="nil"/>
              <w:bottom w:val="single" w:sz="4" w:space="0" w:color="17365D"/>
              <w:right w:val="nil"/>
            </w:tcBorders>
            <w:shd w:val="clear" w:color="000000" w:fill="FFFFFF"/>
            <w:vAlign w:val="center"/>
          </w:tcPr>
          <w:p w14:paraId="1DA697D1" w14:textId="1E609EC7" w:rsidR="00E9709D" w:rsidRPr="00B36A61" w:rsidRDefault="00E9709D" w:rsidP="00E9709D">
            <w:pPr>
              <w:pStyle w:val="Pamatteksts"/>
              <w:spacing w:before="40" w:after="40"/>
              <w:ind w:firstLine="0"/>
              <w:jc w:val="right"/>
              <w:rPr>
                <w:color w:val="17365D"/>
                <w:sz w:val="20"/>
                <w:szCs w:val="20"/>
              </w:rPr>
            </w:pPr>
            <w:r w:rsidRPr="00B36A61">
              <w:rPr>
                <w:color w:val="17365D"/>
                <w:sz w:val="20"/>
                <w:szCs w:val="20"/>
              </w:rPr>
              <w:t>613 756</w:t>
            </w:r>
          </w:p>
        </w:tc>
        <w:tc>
          <w:tcPr>
            <w:tcW w:w="1478" w:type="dxa"/>
            <w:tcBorders>
              <w:top w:val="single" w:sz="4" w:space="0" w:color="17365D"/>
              <w:left w:val="nil"/>
              <w:bottom w:val="single" w:sz="4" w:space="0" w:color="17365D"/>
              <w:right w:val="nil"/>
            </w:tcBorders>
            <w:shd w:val="clear" w:color="auto" w:fill="auto"/>
            <w:vAlign w:val="center"/>
          </w:tcPr>
          <w:p w14:paraId="1B1B01E6" w14:textId="5B3B6676" w:rsidR="00E9709D" w:rsidRPr="00B36A61" w:rsidRDefault="00E9709D" w:rsidP="00E9709D">
            <w:pPr>
              <w:pStyle w:val="Pamatteksts"/>
              <w:spacing w:before="40" w:after="40"/>
              <w:ind w:firstLine="0"/>
              <w:jc w:val="right"/>
              <w:rPr>
                <w:color w:val="17365D"/>
                <w:sz w:val="20"/>
                <w:szCs w:val="20"/>
              </w:rPr>
            </w:pPr>
            <w:r w:rsidRPr="00B36A61">
              <w:rPr>
                <w:color w:val="17365D"/>
                <w:sz w:val="20"/>
                <w:szCs w:val="20"/>
              </w:rPr>
              <w:t>432 001</w:t>
            </w:r>
          </w:p>
        </w:tc>
        <w:tc>
          <w:tcPr>
            <w:tcW w:w="1629" w:type="dxa"/>
            <w:tcBorders>
              <w:top w:val="single" w:sz="4" w:space="0" w:color="17365D"/>
              <w:left w:val="nil"/>
              <w:bottom w:val="single" w:sz="4" w:space="0" w:color="17365D"/>
              <w:right w:val="nil"/>
            </w:tcBorders>
            <w:shd w:val="clear" w:color="auto" w:fill="auto"/>
            <w:vAlign w:val="center"/>
          </w:tcPr>
          <w:p w14:paraId="76248747" w14:textId="563E6FA4" w:rsidR="00E9709D" w:rsidRPr="00B36A61" w:rsidRDefault="00E9709D" w:rsidP="00E9709D">
            <w:pPr>
              <w:pStyle w:val="Pamatteksts"/>
              <w:spacing w:before="60" w:after="60"/>
              <w:ind w:left="-107" w:right="-105" w:firstLine="0"/>
              <w:jc w:val="right"/>
              <w:rPr>
                <w:color w:val="17365D"/>
                <w:sz w:val="20"/>
                <w:szCs w:val="20"/>
              </w:rPr>
            </w:pPr>
            <w:r w:rsidRPr="00B36A61">
              <w:rPr>
                <w:color w:val="17365D"/>
                <w:sz w:val="20"/>
                <w:szCs w:val="20"/>
              </w:rPr>
              <w:t>181 755</w:t>
            </w:r>
          </w:p>
        </w:tc>
        <w:tc>
          <w:tcPr>
            <w:tcW w:w="1330" w:type="dxa"/>
            <w:tcBorders>
              <w:top w:val="single" w:sz="4" w:space="0" w:color="17365D"/>
              <w:left w:val="nil"/>
              <w:bottom w:val="single" w:sz="4" w:space="0" w:color="17365D"/>
              <w:right w:val="nil"/>
            </w:tcBorders>
            <w:shd w:val="clear" w:color="000000" w:fill="FFFFFF"/>
            <w:vAlign w:val="center"/>
          </w:tcPr>
          <w:p w14:paraId="7266ADDE" w14:textId="328CF4A6" w:rsidR="00E9709D" w:rsidRPr="00B36A61" w:rsidRDefault="00E9709D" w:rsidP="00E9709D">
            <w:pPr>
              <w:pStyle w:val="Pamatteksts"/>
              <w:spacing w:before="40" w:after="40"/>
              <w:ind w:firstLine="0"/>
              <w:jc w:val="right"/>
              <w:rPr>
                <w:color w:val="17365D"/>
                <w:sz w:val="20"/>
                <w:szCs w:val="20"/>
              </w:rPr>
            </w:pPr>
            <w:r w:rsidRPr="00B36A61">
              <w:rPr>
                <w:color w:val="17365D"/>
                <w:sz w:val="20"/>
                <w:szCs w:val="20"/>
              </w:rPr>
              <w:t>42.1</w:t>
            </w:r>
          </w:p>
        </w:tc>
      </w:tr>
      <w:tr w:rsidR="00B36A61" w:rsidRPr="00B36A61" w14:paraId="3D9FCD22" w14:textId="77777777" w:rsidTr="00856306">
        <w:trPr>
          <w:trHeight w:val="284"/>
        </w:trPr>
        <w:tc>
          <w:tcPr>
            <w:tcW w:w="889" w:type="dxa"/>
            <w:tcBorders>
              <w:top w:val="single" w:sz="4" w:space="0" w:color="17365D"/>
              <w:left w:val="nil"/>
              <w:bottom w:val="single" w:sz="4" w:space="0" w:color="17365D"/>
              <w:right w:val="nil"/>
            </w:tcBorders>
            <w:vAlign w:val="center"/>
          </w:tcPr>
          <w:p w14:paraId="0CC701CF" w14:textId="57A32B79" w:rsidR="00E9709D" w:rsidRPr="00B36A61" w:rsidRDefault="00E9709D" w:rsidP="00E9709D">
            <w:pPr>
              <w:pStyle w:val="Pamatteksts"/>
              <w:spacing w:before="40" w:after="40"/>
              <w:ind w:firstLine="0"/>
              <w:jc w:val="left"/>
              <w:rPr>
                <w:color w:val="17365D"/>
                <w:sz w:val="20"/>
                <w:szCs w:val="20"/>
              </w:rPr>
            </w:pPr>
            <w:r w:rsidRPr="00B36A61">
              <w:rPr>
                <w:color w:val="17365D"/>
                <w:sz w:val="20"/>
                <w:szCs w:val="20"/>
              </w:rPr>
              <w:t>1.3.</w:t>
            </w:r>
          </w:p>
        </w:tc>
        <w:tc>
          <w:tcPr>
            <w:tcW w:w="2581" w:type="dxa"/>
            <w:tcBorders>
              <w:top w:val="single" w:sz="4" w:space="0" w:color="17365D"/>
              <w:left w:val="nil"/>
              <w:bottom w:val="single" w:sz="4" w:space="0" w:color="17365D"/>
              <w:right w:val="nil"/>
            </w:tcBorders>
            <w:shd w:val="clear" w:color="000000" w:fill="FFFFFF"/>
            <w:vAlign w:val="center"/>
          </w:tcPr>
          <w:p w14:paraId="499D0B69" w14:textId="77777777" w:rsidR="00E9709D" w:rsidRPr="00B36A61" w:rsidRDefault="00E9709D" w:rsidP="00E9709D">
            <w:pPr>
              <w:pStyle w:val="Pamatteksts"/>
              <w:spacing w:before="40" w:after="40"/>
              <w:ind w:firstLine="0"/>
              <w:jc w:val="left"/>
              <w:rPr>
                <w:color w:val="17365D"/>
                <w:sz w:val="20"/>
                <w:szCs w:val="20"/>
              </w:rPr>
            </w:pPr>
            <w:r w:rsidRPr="00B36A61">
              <w:rPr>
                <w:bCs/>
                <w:color w:val="17365D"/>
                <w:sz w:val="20"/>
                <w:szCs w:val="20"/>
              </w:rPr>
              <w:t>Subsīdijas, dotācijas un sociālie pabalsti</w:t>
            </w:r>
          </w:p>
        </w:tc>
        <w:tc>
          <w:tcPr>
            <w:tcW w:w="1478" w:type="dxa"/>
            <w:tcBorders>
              <w:top w:val="single" w:sz="4" w:space="0" w:color="17365D"/>
              <w:left w:val="nil"/>
              <w:bottom w:val="single" w:sz="4" w:space="0" w:color="17365D"/>
              <w:right w:val="nil"/>
            </w:tcBorders>
            <w:shd w:val="clear" w:color="000000" w:fill="FFFFFF"/>
            <w:vAlign w:val="center"/>
          </w:tcPr>
          <w:p w14:paraId="34EDE433" w14:textId="5195B154" w:rsidR="00E9709D" w:rsidRPr="00B36A61" w:rsidRDefault="00E9709D" w:rsidP="00E9709D">
            <w:pPr>
              <w:pStyle w:val="Pamatteksts"/>
              <w:spacing w:before="40" w:after="40"/>
              <w:ind w:firstLine="0"/>
              <w:jc w:val="right"/>
              <w:rPr>
                <w:color w:val="17365D"/>
                <w:sz w:val="20"/>
                <w:szCs w:val="20"/>
              </w:rPr>
            </w:pPr>
            <w:r w:rsidRPr="00B36A61">
              <w:rPr>
                <w:color w:val="17365D"/>
                <w:sz w:val="20"/>
                <w:szCs w:val="20"/>
              </w:rPr>
              <w:t>1 342 110</w:t>
            </w:r>
          </w:p>
        </w:tc>
        <w:tc>
          <w:tcPr>
            <w:tcW w:w="1478" w:type="dxa"/>
            <w:tcBorders>
              <w:top w:val="single" w:sz="4" w:space="0" w:color="17365D"/>
              <w:left w:val="nil"/>
              <w:bottom w:val="single" w:sz="4" w:space="0" w:color="17365D"/>
              <w:right w:val="nil"/>
            </w:tcBorders>
            <w:shd w:val="clear" w:color="auto" w:fill="auto"/>
            <w:vAlign w:val="center"/>
          </w:tcPr>
          <w:p w14:paraId="25585A63" w14:textId="5A66C6A7" w:rsidR="00E9709D" w:rsidRPr="00B36A61" w:rsidRDefault="00E9709D" w:rsidP="00E9709D">
            <w:pPr>
              <w:pStyle w:val="Pamatteksts"/>
              <w:spacing w:before="40" w:after="40"/>
              <w:ind w:firstLine="0"/>
              <w:jc w:val="right"/>
              <w:rPr>
                <w:color w:val="17365D"/>
                <w:sz w:val="20"/>
                <w:szCs w:val="20"/>
              </w:rPr>
            </w:pPr>
            <w:r w:rsidRPr="00B36A61">
              <w:rPr>
                <w:color w:val="17365D"/>
                <w:sz w:val="20"/>
                <w:szCs w:val="20"/>
              </w:rPr>
              <w:t>1 463 657</w:t>
            </w:r>
          </w:p>
        </w:tc>
        <w:tc>
          <w:tcPr>
            <w:tcW w:w="1629" w:type="dxa"/>
            <w:tcBorders>
              <w:top w:val="single" w:sz="4" w:space="0" w:color="17365D"/>
              <w:left w:val="nil"/>
              <w:bottom w:val="single" w:sz="4" w:space="0" w:color="17365D"/>
              <w:right w:val="nil"/>
            </w:tcBorders>
            <w:shd w:val="clear" w:color="auto" w:fill="auto"/>
            <w:vAlign w:val="center"/>
          </w:tcPr>
          <w:p w14:paraId="499043FB" w14:textId="344DC73D" w:rsidR="00E9709D" w:rsidRPr="00B36A61" w:rsidRDefault="00E9709D" w:rsidP="00E9709D">
            <w:pPr>
              <w:pStyle w:val="Pamatteksts"/>
              <w:spacing w:before="60" w:after="60"/>
              <w:ind w:left="-107" w:right="-105" w:firstLine="0"/>
              <w:jc w:val="right"/>
              <w:rPr>
                <w:color w:val="17365D"/>
                <w:sz w:val="20"/>
                <w:szCs w:val="20"/>
              </w:rPr>
            </w:pPr>
            <w:r w:rsidRPr="00B36A61">
              <w:rPr>
                <w:color w:val="17365D"/>
                <w:sz w:val="20"/>
                <w:szCs w:val="20"/>
              </w:rPr>
              <w:t>-121 547</w:t>
            </w:r>
          </w:p>
        </w:tc>
        <w:tc>
          <w:tcPr>
            <w:tcW w:w="1330" w:type="dxa"/>
            <w:tcBorders>
              <w:top w:val="single" w:sz="4" w:space="0" w:color="17365D"/>
              <w:left w:val="nil"/>
              <w:bottom w:val="single" w:sz="4" w:space="0" w:color="17365D"/>
              <w:right w:val="nil"/>
            </w:tcBorders>
            <w:shd w:val="clear" w:color="000000" w:fill="FFFFFF"/>
            <w:vAlign w:val="center"/>
          </w:tcPr>
          <w:p w14:paraId="3E8CE0FB" w14:textId="649262F0" w:rsidR="00E9709D" w:rsidRPr="00B36A61" w:rsidRDefault="00E9709D" w:rsidP="00E9709D">
            <w:pPr>
              <w:pStyle w:val="Pamatteksts"/>
              <w:spacing w:before="40" w:after="40"/>
              <w:ind w:firstLine="0"/>
              <w:jc w:val="right"/>
              <w:rPr>
                <w:color w:val="17365D"/>
                <w:sz w:val="20"/>
                <w:szCs w:val="20"/>
              </w:rPr>
            </w:pPr>
            <w:r w:rsidRPr="00B36A61">
              <w:rPr>
                <w:color w:val="17365D"/>
                <w:sz w:val="20"/>
                <w:szCs w:val="20"/>
              </w:rPr>
              <w:t>-8.3</w:t>
            </w:r>
          </w:p>
        </w:tc>
      </w:tr>
      <w:tr w:rsidR="00B36A61" w:rsidRPr="00B36A61" w14:paraId="074273DB" w14:textId="77777777" w:rsidTr="00856306">
        <w:trPr>
          <w:trHeight w:val="284"/>
        </w:trPr>
        <w:tc>
          <w:tcPr>
            <w:tcW w:w="889" w:type="dxa"/>
            <w:tcBorders>
              <w:top w:val="single" w:sz="4" w:space="0" w:color="17365D"/>
              <w:left w:val="nil"/>
              <w:bottom w:val="single" w:sz="4" w:space="0" w:color="17365D"/>
              <w:right w:val="nil"/>
            </w:tcBorders>
            <w:vAlign w:val="center"/>
          </w:tcPr>
          <w:p w14:paraId="368D63EC" w14:textId="77777777" w:rsidR="00E9709D" w:rsidRPr="00B36A61" w:rsidRDefault="00E9709D" w:rsidP="00E9709D">
            <w:pPr>
              <w:pStyle w:val="Pamatteksts"/>
              <w:spacing w:before="40" w:after="40"/>
              <w:ind w:firstLine="0"/>
              <w:jc w:val="left"/>
              <w:rPr>
                <w:color w:val="17365D"/>
                <w:sz w:val="20"/>
                <w:szCs w:val="20"/>
              </w:rPr>
            </w:pPr>
            <w:r w:rsidRPr="00B36A61">
              <w:rPr>
                <w:color w:val="17365D"/>
                <w:sz w:val="20"/>
                <w:szCs w:val="20"/>
              </w:rPr>
              <w:t>7000</w:t>
            </w:r>
          </w:p>
        </w:tc>
        <w:tc>
          <w:tcPr>
            <w:tcW w:w="2581" w:type="dxa"/>
            <w:tcBorders>
              <w:top w:val="single" w:sz="4" w:space="0" w:color="17365D"/>
              <w:left w:val="nil"/>
              <w:bottom w:val="single" w:sz="4" w:space="0" w:color="17365D"/>
              <w:right w:val="nil"/>
            </w:tcBorders>
            <w:shd w:val="clear" w:color="000000" w:fill="FFFFFF"/>
            <w:vAlign w:val="center"/>
          </w:tcPr>
          <w:p w14:paraId="693F3504" w14:textId="77777777" w:rsidR="00E9709D" w:rsidRPr="00B36A61" w:rsidRDefault="00E9709D" w:rsidP="00E9709D">
            <w:pPr>
              <w:pStyle w:val="Pamatteksts"/>
              <w:spacing w:before="40" w:after="40"/>
              <w:ind w:firstLine="0"/>
              <w:jc w:val="left"/>
              <w:rPr>
                <w:color w:val="17365D"/>
                <w:sz w:val="20"/>
                <w:szCs w:val="20"/>
              </w:rPr>
            </w:pPr>
            <w:r w:rsidRPr="00B36A61">
              <w:rPr>
                <w:color w:val="17365D"/>
                <w:sz w:val="20"/>
                <w:szCs w:val="20"/>
              </w:rPr>
              <w:t xml:space="preserve">Transferti, uzturēšanas izdevumu transferti, pašu resursu maksājumi, starptautiskā sadarbība </w:t>
            </w:r>
          </w:p>
        </w:tc>
        <w:tc>
          <w:tcPr>
            <w:tcW w:w="1478" w:type="dxa"/>
            <w:tcBorders>
              <w:top w:val="single" w:sz="4" w:space="0" w:color="17365D"/>
              <w:left w:val="nil"/>
              <w:bottom w:val="single" w:sz="4" w:space="0" w:color="17365D"/>
              <w:right w:val="nil"/>
            </w:tcBorders>
            <w:shd w:val="clear" w:color="000000" w:fill="FFFFFF"/>
            <w:vAlign w:val="center"/>
          </w:tcPr>
          <w:p w14:paraId="2397EDE9" w14:textId="63B28F16" w:rsidR="00E9709D" w:rsidRPr="00B36A61" w:rsidRDefault="00E9709D" w:rsidP="00E9709D">
            <w:pPr>
              <w:pStyle w:val="Pamatteksts"/>
              <w:spacing w:before="40" w:after="40"/>
              <w:ind w:firstLine="0"/>
              <w:jc w:val="right"/>
              <w:rPr>
                <w:color w:val="17365D"/>
                <w:sz w:val="20"/>
                <w:szCs w:val="20"/>
              </w:rPr>
            </w:pPr>
            <w:r w:rsidRPr="00B36A61">
              <w:rPr>
                <w:color w:val="17365D"/>
                <w:sz w:val="20"/>
                <w:szCs w:val="20"/>
              </w:rPr>
              <w:t>502 947</w:t>
            </w:r>
          </w:p>
        </w:tc>
        <w:tc>
          <w:tcPr>
            <w:tcW w:w="1478" w:type="dxa"/>
            <w:tcBorders>
              <w:top w:val="single" w:sz="4" w:space="0" w:color="17365D"/>
              <w:left w:val="nil"/>
              <w:bottom w:val="single" w:sz="4" w:space="0" w:color="17365D"/>
              <w:right w:val="nil"/>
            </w:tcBorders>
            <w:shd w:val="clear" w:color="000000" w:fill="FFFFFF"/>
            <w:vAlign w:val="center"/>
          </w:tcPr>
          <w:p w14:paraId="168ED372" w14:textId="213955F5" w:rsidR="00E9709D" w:rsidRPr="00B36A61" w:rsidRDefault="00E9709D" w:rsidP="00E9709D">
            <w:pPr>
              <w:pStyle w:val="Pamatteksts"/>
              <w:spacing w:before="40" w:after="40"/>
              <w:ind w:firstLine="0"/>
              <w:jc w:val="right"/>
              <w:rPr>
                <w:color w:val="17365D"/>
                <w:sz w:val="20"/>
                <w:szCs w:val="20"/>
              </w:rPr>
            </w:pPr>
            <w:r w:rsidRPr="00B36A61">
              <w:rPr>
                <w:color w:val="17365D"/>
                <w:sz w:val="20"/>
                <w:szCs w:val="20"/>
              </w:rPr>
              <w:t>427 200</w:t>
            </w:r>
          </w:p>
        </w:tc>
        <w:tc>
          <w:tcPr>
            <w:tcW w:w="1629" w:type="dxa"/>
            <w:tcBorders>
              <w:top w:val="single" w:sz="4" w:space="0" w:color="17365D"/>
              <w:left w:val="nil"/>
              <w:bottom w:val="single" w:sz="4" w:space="0" w:color="17365D"/>
              <w:right w:val="nil"/>
            </w:tcBorders>
            <w:shd w:val="clear" w:color="000000" w:fill="FFFFFF"/>
            <w:vAlign w:val="center"/>
          </w:tcPr>
          <w:p w14:paraId="0052810D" w14:textId="46B1A923" w:rsidR="00E9709D" w:rsidRPr="00B36A61" w:rsidRDefault="00E9709D" w:rsidP="00E9709D">
            <w:pPr>
              <w:pStyle w:val="Pamatteksts"/>
              <w:spacing w:before="60" w:after="60"/>
              <w:ind w:left="-107" w:right="-105" w:firstLine="0"/>
              <w:jc w:val="right"/>
              <w:rPr>
                <w:color w:val="17365D"/>
                <w:sz w:val="20"/>
                <w:szCs w:val="20"/>
              </w:rPr>
            </w:pPr>
            <w:r w:rsidRPr="00B36A61">
              <w:rPr>
                <w:color w:val="17365D"/>
                <w:sz w:val="20"/>
                <w:szCs w:val="20"/>
              </w:rPr>
              <w:t>75 747</w:t>
            </w:r>
          </w:p>
        </w:tc>
        <w:tc>
          <w:tcPr>
            <w:tcW w:w="1330" w:type="dxa"/>
            <w:tcBorders>
              <w:top w:val="single" w:sz="4" w:space="0" w:color="17365D"/>
              <w:left w:val="nil"/>
              <w:bottom w:val="single" w:sz="4" w:space="0" w:color="17365D"/>
              <w:right w:val="nil"/>
            </w:tcBorders>
            <w:shd w:val="clear" w:color="000000" w:fill="FFFFFF"/>
            <w:vAlign w:val="center"/>
          </w:tcPr>
          <w:p w14:paraId="782D91E2" w14:textId="6248451A" w:rsidR="00E9709D" w:rsidRPr="00B36A61" w:rsidRDefault="00E9709D" w:rsidP="00E9709D">
            <w:pPr>
              <w:pStyle w:val="Pamatteksts"/>
              <w:spacing w:before="40" w:after="40"/>
              <w:ind w:firstLine="0"/>
              <w:jc w:val="right"/>
              <w:rPr>
                <w:color w:val="17365D"/>
                <w:sz w:val="20"/>
                <w:szCs w:val="20"/>
              </w:rPr>
            </w:pPr>
            <w:r w:rsidRPr="00B36A61">
              <w:rPr>
                <w:color w:val="17365D"/>
                <w:sz w:val="20"/>
                <w:szCs w:val="20"/>
              </w:rPr>
              <w:t>17.7</w:t>
            </w:r>
          </w:p>
        </w:tc>
      </w:tr>
      <w:tr w:rsidR="00B36A61" w:rsidRPr="00B36A61" w14:paraId="7F90425C" w14:textId="77777777" w:rsidTr="00856306">
        <w:trPr>
          <w:trHeight w:val="284"/>
        </w:trPr>
        <w:tc>
          <w:tcPr>
            <w:tcW w:w="889" w:type="dxa"/>
            <w:tcBorders>
              <w:top w:val="single" w:sz="4" w:space="0" w:color="17365D"/>
              <w:left w:val="nil"/>
              <w:bottom w:val="single" w:sz="4" w:space="0" w:color="17365D"/>
              <w:right w:val="nil"/>
            </w:tcBorders>
            <w:vAlign w:val="center"/>
          </w:tcPr>
          <w:p w14:paraId="471B0A99" w14:textId="015446DC" w:rsidR="00A450DE" w:rsidRPr="00B36A61" w:rsidRDefault="00A450DE" w:rsidP="00A450DE">
            <w:pPr>
              <w:pStyle w:val="Pamatteksts"/>
              <w:spacing w:before="40" w:after="40"/>
              <w:ind w:firstLine="0"/>
              <w:jc w:val="left"/>
              <w:rPr>
                <w:color w:val="17365D"/>
                <w:sz w:val="20"/>
                <w:szCs w:val="20"/>
              </w:rPr>
            </w:pPr>
            <w:r w:rsidRPr="00B36A61">
              <w:rPr>
                <w:color w:val="17365D"/>
                <w:sz w:val="20"/>
                <w:szCs w:val="20"/>
              </w:rPr>
              <w:t>1.4.</w:t>
            </w:r>
          </w:p>
        </w:tc>
        <w:tc>
          <w:tcPr>
            <w:tcW w:w="2581" w:type="dxa"/>
            <w:tcBorders>
              <w:top w:val="single" w:sz="4" w:space="0" w:color="17365D"/>
              <w:left w:val="nil"/>
              <w:bottom w:val="single" w:sz="4" w:space="0" w:color="17365D"/>
              <w:right w:val="nil"/>
            </w:tcBorders>
            <w:shd w:val="clear" w:color="000000" w:fill="FFFFFF"/>
            <w:vAlign w:val="center"/>
          </w:tcPr>
          <w:p w14:paraId="73726EE3" w14:textId="14230B84" w:rsidR="00A450DE" w:rsidRPr="00B36A61" w:rsidRDefault="00A450DE" w:rsidP="00A450DE">
            <w:pPr>
              <w:spacing w:after="0"/>
              <w:ind w:firstLine="0"/>
              <w:jc w:val="left"/>
              <w:rPr>
                <w:color w:val="17365D"/>
                <w:sz w:val="20"/>
                <w:szCs w:val="20"/>
              </w:rPr>
            </w:pPr>
            <w:r w:rsidRPr="00B36A61">
              <w:rPr>
                <w:color w:val="17365D"/>
                <w:sz w:val="20"/>
                <w:szCs w:val="20"/>
              </w:rPr>
              <w:t>Kārtējie maksājumi Eiropas Savienības budžetā un starptautiskā sadarbība</w:t>
            </w:r>
          </w:p>
        </w:tc>
        <w:tc>
          <w:tcPr>
            <w:tcW w:w="1478" w:type="dxa"/>
            <w:tcBorders>
              <w:top w:val="single" w:sz="4" w:space="0" w:color="17365D"/>
              <w:left w:val="nil"/>
              <w:bottom w:val="single" w:sz="4" w:space="0" w:color="17365D"/>
              <w:right w:val="nil"/>
            </w:tcBorders>
            <w:shd w:val="clear" w:color="000000" w:fill="FFFFFF"/>
            <w:vAlign w:val="center"/>
          </w:tcPr>
          <w:p w14:paraId="0814FC78" w14:textId="0CAC323B" w:rsidR="00A450DE" w:rsidRPr="00B36A61" w:rsidRDefault="00A450DE" w:rsidP="00A450DE">
            <w:pPr>
              <w:pStyle w:val="Pamatteksts"/>
              <w:spacing w:before="40" w:after="40"/>
              <w:ind w:firstLine="0"/>
              <w:jc w:val="right"/>
              <w:rPr>
                <w:color w:val="17365D"/>
                <w:sz w:val="20"/>
                <w:szCs w:val="20"/>
              </w:rPr>
            </w:pPr>
            <w:r w:rsidRPr="00B36A61">
              <w:rPr>
                <w:color w:val="17365D"/>
                <w:sz w:val="20"/>
                <w:szCs w:val="20"/>
              </w:rPr>
              <w:t>305</w:t>
            </w:r>
          </w:p>
        </w:tc>
        <w:tc>
          <w:tcPr>
            <w:tcW w:w="1478" w:type="dxa"/>
            <w:tcBorders>
              <w:top w:val="single" w:sz="4" w:space="0" w:color="17365D"/>
              <w:left w:val="nil"/>
              <w:bottom w:val="single" w:sz="4" w:space="0" w:color="17365D"/>
              <w:right w:val="nil"/>
            </w:tcBorders>
            <w:shd w:val="clear" w:color="000000" w:fill="FFFFFF"/>
            <w:vAlign w:val="center"/>
          </w:tcPr>
          <w:p w14:paraId="282640C4" w14:textId="450FC89E" w:rsidR="00A450DE" w:rsidRPr="00B36A61" w:rsidRDefault="00A450DE" w:rsidP="00A450DE">
            <w:pPr>
              <w:pStyle w:val="Pamatteksts"/>
              <w:spacing w:before="40" w:after="40"/>
              <w:ind w:firstLine="0"/>
              <w:jc w:val="right"/>
              <w:rPr>
                <w:color w:val="17365D"/>
                <w:sz w:val="20"/>
                <w:szCs w:val="20"/>
              </w:rPr>
            </w:pPr>
            <w:r w:rsidRPr="00B36A61">
              <w:rPr>
                <w:color w:val="17365D"/>
                <w:sz w:val="20"/>
                <w:szCs w:val="20"/>
              </w:rPr>
              <w:t>0</w:t>
            </w:r>
          </w:p>
        </w:tc>
        <w:tc>
          <w:tcPr>
            <w:tcW w:w="1629" w:type="dxa"/>
            <w:tcBorders>
              <w:top w:val="single" w:sz="4" w:space="0" w:color="17365D"/>
              <w:left w:val="nil"/>
              <w:bottom w:val="single" w:sz="4" w:space="0" w:color="17365D"/>
              <w:right w:val="nil"/>
            </w:tcBorders>
            <w:shd w:val="clear" w:color="000000" w:fill="FFFFFF"/>
            <w:vAlign w:val="center"/>
          </w:tcPr>
          <w:p w14:paraId="5E8F6961" w14:textId="327C5573" w:rsidR="00A450DE" w:rsidRPr="00B36A61" w:rsidRDefault="00A450DE" w:rsidP="00A450DE">
            <w:pPr>
              <w:pStyle w:val="Pamatteksts"/>
              <w:spacing w:before="60" w:after="60"/>
              <w:ind w:left="-107" w:right="-105" w:firstLine="0"/>
              <w:jc w:val="right"/>
              <w:rPr>
                <w:color w:val="17365D"/>
                <w:sz w:val="20"/>
                <w:szCs w:val="20"/>
              </w:rPr>
            </w:pPr>
            <w:r w:rsidRPr="00B36A61">
              <w:rPr>
                <w:color w:val="17365D"/>
                <w:sz w:val="20"/>
                <w:szCs w:val="20"/>
              </w:rPr>
              <w:t>305</w:t>
            </w:r>
          </w:p>
        </w:tc>
        <w:tc>
          <w:tcPr>
            <w:tcW w:w="1330" w:type="dxa"/>
            <w:tcBorders>
              <w:top w:val="single" w:sz="4" w:space="0" w:color="17365D"/>
              <w:left w:val="nil"/>
              <w:bottom w:val="single" w:sz="4" w:space="0" w:color="17365D"/>
              <w:right w:val="nil"/>
            </w:tcBorders>
            <w:shd w:val="clear" w:color="000000" w:fill="FFFFFF"/>
            <w:vAlign w:val="center"/>
          </w:tcPr>
          <w:p w14:paraId="3ECAA7B3" w14:textId="443CAC55" w:rsidR="00A450DE" w:rsidRPr="00B36A61" w:rsidRDefault="00A450DE" w:rsidP="00A450DE">
            <w:pPr>
              <w:pStyle w:val="Pamatteksts"/>
              <w:spacing w:before="40" w:after="40"/>
              <w:ind w:firstLine="0"/>
              <w:jc w:val="right"/>
              <w:rPr>
                <w:color w:val="17365D"/>
                <w:sz w:val="20"/>
                <w:szCs w:val="20"/>
              </w:rPr>
            </w:pPr>
            <w:r w:rsidRPr="00B36A61">
              <w:rPr>
                <w:color w:val="17365D"/>
                <w:sz w:val="20"/>
                <w:szCs w:val="20"/>
              </w:rPr>
              <w:t>0.0</w:t>
            </w:r>
          </w:p>
        </w:tc>
      </w:tr>
      <w:tr w:rsidR="00B36A61" w:rsidRPr="00B36A61" w14:paraId="2C726AC3" w14:textId="77777777" w:rsidTr="00856306">
        <w:trPr>
          <w:trHeight w:val="284"/>
        </w:trPr>
        <w:tc>
          <w:tcPr>
            <w:tcW w:w="889" w:type="dxa"/>
            <w:tcBorders>
              <w:top w:val="single" w:sz="4" w:space="0" w:color="17365D"/>
              <w:left w:val="nil"/>
              <w:bottom w:val="single" w:sz="4" w:space="0" w:color="17365D"/>
              <w:right w:val="nil"/>
            </w:tcBorders>
            <w:vAlign w:val="center"/>
          </w:tcPr>
          <w:p w14:paraId="708B002F" w14:textId="77777777" w:rsidR="00A450DE" w:rsidRPr="00B36A61" w:rsidRDefault="00A450DE" w:rsidP="00A450DE">
            <w:pPr>
              <w:pStyle w:val="Pamatteksts"/>
              <w:spacing w:before="40" w:after="40"/>
              <w:ind w:firstLine="0"/>
              <w:jc w:val="left"/>
              <w:rPr>
                <w:color w:val="17365D"/>
                <w:sz w:val="20"/>
                <w:szCs w:val="20"/>
              </w:rPr>
            </w:pPr>
            <w:r w:rsidRPr="00B36A61">
              <w:rPr>
                <w:color w:val="17365D"/>
                <w:sz w:val="20"/>
                <w:szCs w:val="20"/>
              </w:rPr>
              <w:t>1.5.</w:t>
            </w:r>
          </w:p>
        </w:tc>
        <w:tc>
          <w:tcPr>
            <w:tcW w:w="2581" w:type="dxa"/>
            <w:tcBorders>
              <w:top w:val="single" w:sz="4" w:space="0" w:color="17365D"/>
              <w:left w:val="nil"/>
              <w:bottom w:val="single" w:sz="4" w:space="0" w:color="17365D"/>
              <w:right w:val="nil"/>
            </w:tcBorders>
            <w:shd w:val="clear" w:color="000000" w:fill="FFFFFF"/>
            <w:vAlign w:val="center"/>
          </w:tcPr>
          <w:p w14:paraId="1F92F480" w14:textId="77777777" w:rsidR="00A450DE" w:rsidRPr="00B36A61" w:rsidRDefault="00A450DE" w:rsidP="00A450DE">
            <w:pPr>
              <w:pStyle w:val="Pamatteksts"/>
              <w:spacing w:before="40" w:after="40"/>
              <w:ind w:firstLine="0"/>
              <w:jc w:val="left"/>
              <w:rPr>
                <w:color w:val="17365D"/>
                <w:sz w:val="20"/>
                <w:szCs w:val="20"/>
              </w:rPr>
            </w:pPr>
            <w:r w:rsidRPr="00B36A61">
              <w:rPr>
                <w:bCs/>
                <w:color w:val="17365D"/>
                <w:sz w:val="20"/>
                <w:szCs w:val="20"/>
              </w:rPr>
              <w:t xml:space="preserve">Transferti viena budžeta veida ietvaros un uzturēšanas izdevumu transferti starp budžeta veidiem </w:t>
            </w:r>
          </w:p>
        </w:tc>
        <w:tc>
          <w:tcPr>
            <w:tcW w:w="1478" w:type="dxa"/>
            <w:tcBorders>
              <w:top w:val="single" w:sz="4" w:space="0" w:color="17365D"/>
              <w:left w:val="nil"/>
              <w:bottom w:val="single" w:sz="4" w:space="0" w:color="17365D"/>
              <w:right w:val="nil"/>
            </w:tcBorders>
            <w:shd w:val="clear" w:color="000000" w:fill="FFFFFF"/>
            <w:vAlign w:val="center"/>
          </w:tcPr>
          <w:p w14:paraId="7808183C" w14:textId="7A82823E" w:rsidR="00A450DE" w:rsidRPr="00B36A61" w:rsidRDefault="00A450DE" w:rsidP="00A450DE">
            <w:pPr>
              <w:pStyle w:val="Pamatteksts"/>
              <w:spacing w:before="40" w:after="40"/>
              <w:ind w:firstLine="0"/>
              <w:jc w:val="right"/>
              <w:rPr>
                <w:color w:val="17365D"/>
                <w:sz w:val="20"/>
                <w:szCs w:val="20"/>
              </w:rPr>
            </w:pPr>
            <w:r w:rsidRPr="00B36A61">
              <w:rPr>
                <w:color w:val="17365D"/>
                <w:sz w:val="20"/>
                <w:szCs w:val="20"/>
              </w:rPr>
              <w:t>502 642</w:t>
            </w:r>
          </w:p>
        </w:tc>
        <w:tc>
          <w:tcPr>
            <w:tcW w:w="1478" w:type="dxa"/>
            <w:tcBorders>
              <w:top w:val="single" w:sz="4" w:space="0" w:color="17365D"/>
              <w:left w:val="nil"/>
              <w:bottom w:val="single" w:sz="4" w:space="0" w:color="17365D"/>
              <w:right w:val="nil"/>
            </w:tcBorders>
            <w:shd w:val="clear" w:color="000000" w:fill="FFFFFF"/>
            <w:vAlign w:val="center"/>
          </w:tcPr>
          <w:p w14:paraId="6996A4B0" w14:textId="480358A9" w:rsidR="00A450DE" w:rsidRPr="00B36A61" w:rsidRDefault="00A450DE" w:rsidP="00A450DE">
            <w:pPr>
              <w:pStyle w:val="Pamatteksts"/>
              <w:spacing w:before="40" w:after="40"/>
              <w:ind w:firstLine="0"/>
              <w:jc w:val="right"/>
              <w:rPr>
                <w:color w:val="17365D"/>
                <w:sz w:val="20"/>
                <w:szCs w:val="20"/>
              </w:rPr>
            </w:pPr>
            <w:r w:rsidRPr="00B36A61">
              <w:rPr>
                <w:color w:val="17365D"/>
                <w:sz w:val="20"/>
                <w:szCs w:val="20"/>
              </w:rPr>
              <w:t>427 200</w:t>
            </w:r>
          </w:p>
        </w:tc>
        <w:tc>
          <w:tcPr>
            <w:tcW w:w="1629" w:type="dxa"/>
            <w:tcBorders>
              <w:top w:val="single" w:sz="4" w:space="0" w:color="17365D"/>
              <w:left w:val="nil"/>
              <w:bottom w:val="single" w:sz="4" w:space="0" w:color="17365D"/>
              <w:right w:val="nil"/>
            </w:tcBorders>
            <w:shd w:val="clear" w:color="000000" w:fill="FFFFFF"/>
            <w:vAlign w:val="center"/>
          </w:tcPr>
          <w:p w14:paraId="5338ED8C" w14:textId="00EBF33B" w:rsidR="00A450DE" w:rsidRPr="00B36A61" w:rsidRDefault="00A450DE" w:rsidP="00A450DE">
            <w:pPr>
              <w:pStyle w:val="Pamatteksts"/>
              <w:spacing w:before="60" w:after="60"/>
              <w:ind w:left="-107" w:right="-105" w:firstLine="0"/>
              <w:jc w:val="right"/>
              <w:rPr>
                <w:color w:val="17365D"/>
                <w:sz w:val="20"/>
                <w:szCs w:val="20"/>
              </w:rPr>
            </w:pPr>
            <w:r w:rsidRPr="00B36A61">
              <w:rPr>
                <w:color w:val="17365D"/>
                <w:sz w:val="20"/>
                <w:szCs w:val="20"/>
              </w:rPr>
              <w:t>75 442</w:t>
            </w:r>
          </w:p>
        </w:tc>
        <w:tc>
          <w:tcPr>
            <w:tcW w:w="1330" w:type="dxa"/>
            <w:tcBorders>
              <w:top w:val="single" w:sz="4" w:space="0" w:color="17365D"/>
              <w:left w:val="nil"/>
              <w:bottom w:val="single" w:sz="4" w:space="0" w:color="17365D"/>
              <w:right w:val="nil"/>
            </w:tcBorders>
            <w:shd w:val="clear" w:color="000000" w:fill="FFFFFF"/>
            <w:vAlign w:val="center"/>
          </w:tcPr>
          <w:p w14:paraId="49FDE621" w14:textId="76DEE04B" w:rsidR="00A450DE" w:rsidRPr="00B36A61" w:rsidRDefault="00A450DE" w:rsidP="00A450DE">
            <w:pPr>
              <w:pStyle w:val="Pamatteksts"/>
              <w:spacing w:before="40" w:after="40"/>
              <w:ind w:firstLine="0"/>
              <w:jc w:val="right"/>
              <w:rPr>
                <w:color w:val="17365D"/>
                <w:sz w:val="20"/>
                <w:szCs w:val="20"/>
              </w:rPr>
            </w:pPr>
            <w:r w:rsidRPr="00B36A61">
              <w:rPr>
                <w:color w:val="17365D"/>
                <w:sz w:val="20"/>
                <w:szCs w:val="20"/>
              </w:rPr>
              <w:t>17.7</w:t>
            </w:r>
          </w:p>
        </w:tc>
      </w:tr>
      <w:tr w:rsidR="00B36A61" w:rsidRPr="00B36A61" w14:paraId="65116C00" w14:textId="77777777" w:rsidTr="00856306">
        <w:trPr>
          <w:trHeight w:val="284"/>
        </w:trPr>
        <w:tc>
          <w:tcPr>
            <w:tcW w:w="889" w:type="dxa"/>
            <w:tcBorders>
              <w:top w:val="single" w:sz="4" w:space="0" w:color="17365D"/>
              <w:left w:val="nil"/>
              <w:bottom w:val="single" w:sz="4" w:space="0" w:color="17365D"/>
              <w:right w:val="nil"/>
            </w:tcBorders>
            <w:vAlign w:val="center"/>
          </w:tcPr>
          <w:p w14:paraId="3C768E76" w14:textId="77777777" w:rsidR="00A450DE" w:rsidRPr="00B36A61" w:rsidRDefault="00A450DE" w:rsidP="00A450DE">
            <w:pPr>
              <w:pStyle w:val="Pamatteksts"/>
              <w:spacing w:before="40" w:after="40"/>
              <w:ind w:firstLine="0"/>
              <w:jc w:val="left"/>
              <w:rPr>
                <w:b/>
                <w:color w:val="17365D"/>
                <w:sz w:val="20"/>
                <w:szCs w:val="20"/>
              </w:rPr>
            </w:pPr>
            <w:r w:rsidRPr="00B36A61">
              <w:rPr>
                <w:b/>
                <w:color w:val="17365D"/>
                <w:sz w:val="20"/>
                <w:szCs w:val="20"/>
              </w:rPr>
              <w:t>2.0.</w:t>
            </w:r>
          </w:p>
        </w:tc>
        <w:tc>
          <w:tcPr>
            <w:tcW w:w="2581" w:type="dxa"/>
            <w:tcBorders>
              <w:top w:val="single" w:sz="4" w:space="0" w:color="17365D"/>
              <w:left w:val="nil"/>
              <w:bottom w:val="single" w:sz="4" w:space="0" w:color="17365D"/>
              <w:right w:val="nil"/>
            </w:tcBorders>
            <w:shd w:val="clear" w:color="000000" w:fill="FFFFFF"/>
            <w:vAlign w:val="center"/>
          </w:tcPr>
          <w:p w14:paraId="2B44139E" w14:textId="77777777" w:rsidR="00A450DE" w:rsidRPr="00B36A61" w:rsidRDefault="00A450DE" w:rsidP="00A450DE">
            <w:pPr>
              <w:pStyle w:val="Pamatteksts"/>
              <w:spacing w:before="40" w:after="40"/>
              <w:ind w:firstLine="0"/>
              <w:jc w:val="left"/>
              <w:rPr>
                <w:b/>
                <w:bCs/>
                <w:color w:val="17365D"/>
                <w:sz w:val="20"/>
                <w:szCs w:val="20"/>
              </w:rPr>
            </w:pPr>
            <w:r w:rsidRPr="00B36A61">
              <w:rPr>
                <w:b/>
                <w:bCs/>
                <w:color w:val="17365D"/>
                <w:sz w:val="20"/>
                <w:szCs w:val="20"/>
              </w:rPr>
              <w:t>Kapitālie izdevumi</w:t>
            </w:r>
          </w:p>
        </w:tc>
        <w:tc>
          <w:tcPr>
            <w:tcW w:w="1478" w:type="dxa"/>
            <w:tcBorders>
              <w:top w:val="single" w:sz="4" w:space="0" w:color="17365D"/>
              <w:left w:val="nil"/>
              <w:bottom w:val="single" w:sz="4" w:space="0" w:color="17365D"/>
              <w:right w:val="nil"/>
            </w:tcBorders>
            <w:shd w:val="clear" w:color="000000" w:fill="FFFFFF"/>
            <w:vAlign w:val="center"/>
          </w:tcPr>
          <w:p w14:paraId="498FDF33" w14:textId="7C90F3BE" w:rsidR="00A450DE" w:rsidRPr="00B36A61" w:rsidRDefault="00A450DE" w:rsidP="00A450DE">
            <w:pPr>
              <w:pStyle w:val="Pamatteksts"/>
              <w:spacing w:before="40" w:after="40"/>
              <w:ind w:firstLine="0"/>
              <w:jc w:val="right"/>
              <w:rPr>
                <w:b/>
                <w:color w:val="17365D"/>
                <w:sz w:val="20"/>
                <w:szCs w:val="20"/>
              </w:rPr>
            </w:pPr>
            <w:r w:rsidRPr="00B36A61">
              <w:rPr>
                <w:b/>
                <w:color w:val="17365D"/>
                <w:sz w:val="20"/>
                <w:szCs w:val="20"/>
              </w:rPr>
              <w:t>32 562</w:t>
            </w:r>
          </w:p>
        </w:tc>
        <w:tc>
          <w:tcPr>
            <w:tcW w:w="1478" w:type="dxa"/>
            <w:tcBorders>
              <w:top w:val="single" w:sz="4" w:space="0" w:color="17365D"/>
              <w:left w:val="nil"/>
              <w:bottom w:val="single" w:sz="4" w:space="0" w:color="17365D"/>
              <w:right w:val="nil"/>
            </w:tcBorders>
            <w:shd w:val="clear" w:color="000000" w:fill="FFFFFF"/>
            <w:vAlign w:val="center"/>
          </w:tcPr>
          <w:p w14:paraId="2F7290BA" w14:textId="3F4C8313" w:rsidR="00A450DE" w:rsidRPr="00B36A61" w:rsidRDefault="00A450DE" w:rsidP="00A450DE">
            <w:pPr>
              <w:pStyle w:val="Pamatteksts"/>
              <w:spacing w:before="40" w:after="40"/>
              <w:ind w:firstLine="0"/>
              <w:jc w:val="right"/>
              <w:rPr>
                <w:b/>
                <w:color w:val="17365D"/>
                <w:sz w:val="20"/>
                <w:szCs w:val="20"/>
              </w:rPr>
            </w:pPr>
            <w:r w:rsidRPr="00B36A61">
              <w:rPr>
                <w:b/>
                <w:color w:val="17365D"/>
                <w:sz w:val="20"/>
                <w:szCs w:val="20"/>
              </w:rPr>
              <w:t>67 918</w:t>
            </w:r>
          </w:p>
        </w:tc>
        <w:tc>
          <w:tcPr>
            <w:tcW w:w="1629" w:type="dxa"/>
            <w:tcBorders>
              <w:top w:val="single" w:sz="4" w:space="0" w:color="17365D"/>
              <w:left w:val="nil"/>
              <w:bottom w:val="single" w:sz="4" w:space="0" w:color="17365D"/>
              <w:right w:val="nil"/>
            </w:tcBorders>
            <w:shd w:val="clear" w:color="000000" w:fill="FFFFFF"/>
            <w:vAlign w:val="center"/>
          </w:tcPr>
          <w:p w14:paraId="59270A4F" w14:textId="592943F1" w:rsidR="00A450DE" w:rsidRPr="00B36A61" w:rsidRDefault="00A450DE" w:rsidP="00A450DE">
            <w:pPr>
              <w:pStyle w:val="Pamatteksts"/>
              <w:spacing w:before="60" w:after="60"/>
              <w:ind w:left="-107" w:right="-105" w:firstLine="0"/>
              <w:jc w:val="right"/>
              <w:rPr>
                <w:b/>
                <w:color w:val="17365D"/>
                <w:sz w:val="20"/>
                <w:szCs w:val="20"/>
              </w:rPr>
            </w:pPr>
            <w:r w:rsidRPr="00B36A61">
              <w:rPr>
                <w:b/>
                <w:color w:val="17365D"/>
                <w:sz w:val="20"/>
                <w:szCs w:val="20"/>
              </w:rPr>
              <w:t>-35 356</w:t>
            </w:r>
          </w:p>
        </w:tc>
        <w:tc>
          <w:tcPr>
            <w:tcW w:w="1330" w:type="dxa"/>
            <w:tcBorders>
              <w:top w:val="single" w:sz="4" w:space="0" w:color="17365D"/>
              <w:left w:val="nil"/>
              <w:bottom w:val="single" w:sz="4" w:space="0" w:color="17365D"/>
              <w:right w:val="nil"/>
            </w:tcBorders>
            <w:shd w:val="clear" w:color="000000" w:fill="FFFFFF"/>
            <w:vAlign w:val="center"/>
          </w:tcPr>
          <w:p w14:paraId="49C35144" w14:textId="35946231" w:rsidR="00A450DE" w:rsidRPr="00B36A61" w:rsidRDefault="00A450DE" w:rsidP="00A450DE">
            <w:pPr>
              <w:pStyle w:val="Pamatteksts"/>
              <w:spacing w:before="40" w:after="40"/>
              <w:ind w:firstLine="0"/>
              <w:jc w:val="right"/>
              <w:rPr>
                <w:b/>
                <w:color w:val="17365D"/>
                <w:sz w:val="20"/>
                <w:szCs w:val="20"/>
              </w:rPr>
            </w:pPr>
            <w:r w:rsidRPr="00B36A61">
              <w:rPr>
                <w:b/>
                <w:color w:val="17365D"/>
                <w:sz w:val="20"/>
                <w:szCs w:val="20"/>
              </w:rPr>
              <w:t>-52.1</w:t>
            </w:r>
          </w:p>
        </w:tc>
      </w:tr>
      <w:tr w:rsidR="00B36A61" w:rsidRPr="00B36A61" w14:paraId="12A03A56" w14:textId="77777777" w:rsidTr="00856306">
        <w:trPr>
          <w:trHeight w:val="284"/>
        </w:trPr>
        <w:tc>
          <w:tcPr>
            <w:tcW w:w="889" w:type="dxa"/>
            <w:tcBorders>
              <w:top w:val="single" w:sz="4" w:space="0" w:color="17365D"/>
              <w:left w:val="nil"/>
              <w:bottom w:val="nil"/>
              <w:right w:val="nil"/>
            </w:tcBorders>
            <w:vAlign w:val="center"/>
          </w:tcPr>
          <w:p w14:paraId="68693515" w14:textId="5B5378E9" w:rsidR="00A450DE" w:rsidRPr="00B36A61" w:rsidRDefault="00A450DE" w:rsidP="00A450DE">
            <w:pPr>
              <w:pStyle w:val="Pamatteksts"/>
              <w:spacing w:before="40" w:after="40"/>
              <w:ind w:firstLine="0"/>
              <w:jc w:val="left"/>
              <w:rPr>
                <w:color w:val="17365D"/>
                <w:sz w:val="20"/>
                <w:szCs w:val="20"/>
              </w:rPr>
            </w:pPr>
            <w:r w:rsidRPr="00B36A61">
              <w:rPr>
                <w:color w:val="17365D"/>
                <w:sz w:val="20"/>
                <w:szCs w:val="20"/>
              </w:rPr>
              <w:t>2.1.</w:t>
            </w:r>
          </w:p>
        </w:tc>
        <w:tc>
          <w:tcPr>
            <w:tcW w:w="2581" w:type="dxa"/>
            <w:tcBorders>
              <w:top w:val="single" w:sz="4" w:space="0" w:color="17365D"/>
              <w:left w:val="nil"/>
              <w:bottom w:val="nil"/>
              <w:right w:val="nil"/>
            </w:tcBorders>
            <w:shd w:val="clear" w:color="000000" w:fill="FFFFFF"/>
            <w:vAlign w:val="center"/>
          </w:tcPr>
          <w:p w14:paraId="272654DA" w14:textId="77777777" w:rsidR="00A450DE" w:rsidRPr="00B36A61" w:rsidRDefault="00A450DE" w:rsidP="00A450DE">
            <w:pPr>
              <w:pStyle w:val="Pamatteksts"/>
              <w:spacing w:before="40" w:after="40"/>
              <w:ind w:firstLine="0"/>
              <w:jc w:val="left"/>
              <w:rPr>
                <w:color w:val="17365D"/>
                <w:sz w:val="20"/>
                <w:szCs w:val="20"/>
              </w:rPr>
            </w:pPr>
            <w:r w:rsidRPr="00B36A61">
              <w:rPr>
                <w:bCs/>
                <w:color w:val="17365D"/>
                <w:sz w:val="20"/>
                <w:szCs w:val="20"/>
              </w:rPr>
              <w:t>Pamatkapitāla veidošana</w:t>
            </w:r>
          </w:p>
        </w:tc>
        <w:tc>
          <w:tcPr>
            <w:tcW w:w="1478" w:type="dxa"/>
            <w:tcBorders>
              <w:top w:val="single" w:sz="4" w:space="0" w:color="17365D"/>
              <w:left w:val="nil"/>
              <w:bottom w:val="nil"/>
              <w:right w:val="nil"/>
            </w:tcBorders>
            <w:shd w:val="clear" w:color="000000" w:fill="FFFFFF"/>
            <w:vAlign w:val="center"/>
          </w:tcPr>
          <w:p w14:paraId="40477519" w14:textId="33491638" w:rsidR="00A450DE" w:rsidRPr="00B36A61" w:rsidRDefault="00A450DE" w:rsidP="00A450DE">
            <w:pPr>
              <w:pStyle w:val="Pamatteksts"/>
              <w:spacing w:before="40" w:after="40"/>
              <w:ind w:firstLine="0"/>
              <w:jc w:val="right"/>
              <w:rPr>
                <w:color w:val="17365D"/>
                <w:sz w:val="20"/>
                <w:szCs w:val="20"/>
              </w:rPr>
            </w:pPr>
            <w:r w:rsidRPr="00B36A61">
              <w:rPr>
                <w:color w:val="17365D"/>
                <w:sz w:val="20"/>
                <w:szCs w:val="20"/>
              </w:rPr>
              <w:t>32 562</w:t>
            </w:r>
          </w:p>
        </w:tc>
        <w:tc>
          <w:tcPr>
            <w:tcW w:w="1478" w:type="dxa"/>
            <w:tcBorders>
              <w:top w:val="single" w:sz="4" w:space="0" w:color="17365D"/>
              <w:left w:val="nil"/>
              <w:bottom w:val="nil"/>
              <w:right w:val="nil"/>
            </w:tcBorders>
            <w:shd w:val="clear" w:color="000000" w:fill="FFFFFF"/>
            <w:vAlign w:val="center"/>
          </w:tcPr>
          <w:p w14:paraId="10640D09" w14:textId="3BA2B421" w:rsidR="00A450DE" w:rsidRPr="00B36A61" w:rsidRDefault="00A450DE" w:rsidP="00A450DE">
            <w:pPr>
              <w:pStyle w:val="Pamatteksts"/>
              <w:spacing w:before="40" w:after="40"/>
              <w:ind w:firstLine="0"/>
              <w:jc w:val="right"/>
              <w:rPr>
                <w:color w:val="17365D"/>
                <w:sz w:val="20"/>
                <w:szCs w:val="20"/>
              </w:rPr>
            </w:pPr>
            <w:r w:rsidRPr="00B36A61">
              <w:rPr>
                <w:color w:val="17365D"/>
                <w:sz w:val="20"/>
                <w:szCs w:val="20"/>
              </w:rPr>
              <w:t>67 918</w:t>
            </w:r>
          </w:p>
        </w:tc>
        <w:tc>
          <w:tcPr>
            <w:tcW w:w="1629" w:type="dxa"/>
            <w:tcBorders>
              <w:top w:val="single" w:sz="4" w:space="0" w:color="17365D"/>
              <w:left w:val="nil"/>
              <w:bottom w:val="nil"/>
              <w:right w:val="nil"/>
            </w:tcBorders>
            <w:shd w:val="clear" w:color="000000" w:fill="FFFFFF"/>
            <w:vAlign w:val="center"/>
          </w:tcPr>
          <w:p w14:paraId="6954DAA6" w14:textId="29A54665" w:rsidR="00A450DE" w:rsidRPr="00B36A61" w:rsidRDefault="00A450DE" w:rsidP="00A450DE">
            <w:pPr>
              <w:pStyle w:val="Pamatteksts"/>
              <w:spacing w:before="60" w:after="60"/>
              <w:ind w:left="-107" w:right="-105" w:firstLine="0"/>
              <w:jc w:val="right"/>
              <w:rPr>
                <w:color w:val="17365D"/>
                <w:sz w:val="20"/>
                <w:szCs w:val="20"/>
              </w:rPr>
            </w:pPr>
            <w:r w:rsidRPr="00B36A61">
              <w:rPr>
                <w:color w:val="17365D"/>
                <w:sz w:val="20"/>
                <w:szCs w:val="20"/>
              </w:rPr>
              <w:t>-35 356</w:t>
            </w:r>
          </w:p>
        </w:tc>
        <w:tc>
          <w:tcPr>
            <w:tcW w:w="1330" w:type="dxa"/>
            <w:tcBorders>
              <w:top w:val="single" w:sz="4" w:space="0" w:color="17365D"/>
              <w:left w:val="nil"/>
              <w:bottom w:val="nil"/>
              <w:right w:val="nil"/>
            </w:tcBorders>
            <w:shd w:val="clear" w:color="000000" w:fill="FFFFFF"/>
            <w:vAlign w:val="center"/>
          </w:tcPr>
          <w:p w14:paraId="7754FDF9" w14:textId="0965A047" w:rsidR="00A450DE" w:rsidRPr="00B36A61" w:rsidRDefault="00A450DE" w:rsidP="00A450DE">
            <w:pPr>
              <w:pStyle w:val="Pamatteksts"/>
              <w:spacing w:before="40" w:after="40"/>
              <w:ind w:firstLine="0"/>
              <w:jc w:val="right"/>
              <w:rPr>
                <w:color w:val="17365D"/>
                <w:sz w:val="20"/>
                <w:szCs w:val="20"/>
              </w:rPr>
            </w:pPr>
            <w:r w:rsidRPr="00B36A61">
              <w:rPr>
                <w:color w:val="17365D"/>
                <w:sz w:val="20"/>
                <w:szCs w:val="20"/>
              </w:rPr>
              <w:t>-52.1</w:t>
            </w:r>
          </w:p>
        </w:tc>
      </w:tr>
      <w:tr w:rsidR="00B36A61" w:rsidRPr="00B36A61" w14:paraId="0CFCC765" w14:textId="77777777" w:rsidTr="00437740">
        <w:trPr>
          <w:trHeight w:val="284"/>
        </w:trPr>
        <w:tc>
          <w:tcPr>
            <w:tcW w:w="889" w:type="dxa"/>
            <w:tcBorders>
              <w:top w:val="nil"/>
              <w:left w:val="nil"/>
              <w:bottom w:val="nil"/>
              <w:right w:val="nil"/>
            </w:tcBorders>
            <w:shd w:val="clear" w:color="auto" w:fill="B9CDE5"/>
            <w:vAlign w:val="center"/>
          </w:tcPr>
          <w:p w14:paraId="6895CFF4" w14:textId="77777777" w:rsidR="00A450DE" w:rsidRPr="00B36A61" w:rsidRDefault="00A450DE" w:rsidP="00A450DE">
            <w:pPr>
              <w:pStyle w:val="Pamatteksts"/>
              <w:spacing w:before="40" w:after="40"/>
              <w:ind w:firstLine="0"/>
              <w:jc w:val="left"/>
              <w:rPr>
                <w:color w:val="17365D"/>
                <w:sz w:val="20"/>
                <w:szCs w:val="20"/>
              </w:rPr>
            </w:pPr>
          </w:p>
        </w:tc>
        <w:tc>
          <w:tcPr>
            <w:tcW w:w="2581" w:type="dxa"/>
            <w:tcBorders>
              <w:top w:val="nil"/>
              <w:left w:val="nil"/>
              <w:bottom w:val="nil"/>
              <w:right w:val="nil"/>
            </w:tcBorders>
            <w:shd w:val="clear" w:color="auto" w:fill="B9CDE5"/>
            <w:vAlign w:val="center"/>
          </w:tcPr>
          <w:p w14:paraId="5657B1C9" w14:textId="77777777" w:rsidR="00A450DE" w:rsidRPr="00B36A61" w:rsidRDefault="00A450DE" w:rsidP="00A450DE">
            <w:pPr>
              <w:pStyle w:val="Pamatteksts"/>
              <w:spacing w:before="40" w:after="40"/>
              <w:ind w:firstLine="0"/>
              <w:jc w:val="left"/>
              <w:rPr>
                <w:bCs/>
                <w:color w:val="17365D"/>
                <w:sz w:val="20"/>
                <w:szCs w:val="20"/>
              </w:rPr>
            </w:pPr>
          </w:p>
        </w:tc>
        <w:tc>
          <w:tcPr>
            <w:tcW w:w="1478" w:type="dxa"/>
            <w:tcBorders>
              <w:top w:val="nil"/>
              <w:left w:val="nil"/>
              <w:bottom w:val="nil"/>
              <w:right w:val="nil"/>
            </w:tcBorders>
            <w:shd w:val="clear" w:color="auto" w:fill="B9CDE5"/>
            <w:vAlign w:val="center"/>
          </w:tcPr>
          <w:p w14:paraId="7D4C464E" w14:textId="77777777" w:rsidR="00A450DE" w:rsidRPr="00B36A61" w:rsidRDefault="00A450DE" w:rsidP="00A450DE">
            <w:pPr>
              <w:pStyle w:val="Pamatteksts"/>
              <w:spacing w:before="40" w:after="40"/>
              <w:ind w:firstLine="0"/>
              <w:jc w:val="right"/>
              <w:rPr>
                <w:color w:val="17365D"/>
                <w:sz w:val="20"/>
                <w:szCs w:val="20"/>
              </w:rPr>
            </w:pPr>
          </w:p>
        </w:tc>
        <w:tc>
          <w:tcPr>
            <w:tcW w:w="1478" w:type="dxa"/>
            <w:tcBorders>
              <w:top w:val="nil"/>
              <w:left w:val="nil"/>
              <w:bottom w:val="nil"/>
              <w:right w:val="nil"/>
            </w:tcBorders>
            <w:shd w:val="clear" w:color="auto" w:fill="B9CDE5"/>
            <w:vAlign w:val="center"/>
          </w:tcPr>
          <w:p w14:paraId="723219D1" w14:textId="77777777" w:rsidR="00A450DE" w:rsidRPr="00B36A61" w:rsidRDefault="00A450DE" w:rsidP="00A450DE">
            <w:pPr>
              <w:pStyle w:val="Pamatteksts"/>
              <w:spacing w:before="40" w:after="40"/>
              <w:ind w:firstLine="0"/>
              <w:jc w:val="right"/>
              <w:rPr>
                <w:color w:val="17365D"/>
                <w:sz w:val="20"/>
                <w:szCs w:val="20"/>
              </w:rPr>
            </w:pPr>
          </w:p>
        </w:tc>
        <w:tc>
          <w:tcPr>
            <w:tcW w:w="1629" w:type="dxa"/>
            <w:tcBorders>
              <w:top w:val="nil"/>
              <w:left w:val="nil"/>
              <w:bottom w:val="nil"/>
              <w:right w:val="nil"/>
            </w:tcBorders>
            <w:shd w:val="clear" w:color="auto" w:fill="B9CDE5"/>
            <w:vAlign w:val="center"/>
          </w:tcPr>
          <w:p w14:paraId="07154DF5" w14:textId="77777777" w:rsidR="00A450DE" w:rsidRPr="00B36A61" w:rsidRDefault="00A450DE" w:rsidP="00A450DE">
            <w:pPr>
              <w:pStyle w:val="Pamatteksts"/>
              <w:spacing w:before="60" w:after="60"/>
              <w:ind w:left="-107" w:right="-105" w:firstLine="0"/>
              <w:jc w:val="right"/>
              <w:rPr>
                <w:color w:val="17365D"/>
                <w:sz w:val="20"/>
                <w:szCs w:val="20"/>
              </w:rPr>
            </w:pPr>
          </w:p>
        </w:tc>
        <w:tc>
          <w:tcPr>
            <w:tcW w:w="1330" w:type="dxa"/>
            <w:tcBorders>
              <w:top w:val="nil"/>
              <w:left w:val="nil"/>
              <w:bottom w:val="nil"/>
              <w:right w:val="nil"/>
            </w:tcBorders>
            <w:shd w:val="clear" w:color="auto" w:fill="B9CDE5"/>
            <w:vAlign w:val="center"/>
          </w:tcPr>
          <w:p w14:paraId="575C5A30" w14:textId="77777777" w:rsidR="00A450DE" w:rsidRPr="00B36A61" w:rsidRDefault="00A450DE" w:rsidP="00A450DE">
            <w:pPr>
              <w:pStyle w:val="Pamatteksts"/>
              <w:spacing w:before="40" w:after="40"/>
              <w:ind w:firstLine="0"/>
              <w:jc w:val="right"/>
              <w:rPr>
                <w:color w:val="17365D"/>
                <w:sz w:val="20"/>
                <w:szCs w:val="20"/>
              </w:rPr>
            </w:pPr>
          </w:p>
        </w:tc>
      </w:tr>
    </w:tbl>
    <w:p w14:paraId="45F465D4" w14:textId="12928448" w:rsidR="00026D5A" w:rsidRPr="00B36A61" w:rsidRDefault="004A29E1" w:rsidP="00026D5A">
      <w:pPr>
        <w:pStyle w:val="Heading1"/>
        <w:rPr>
          <w:rFonts w:cs="Times New Roman"/>
          <w:noProof w:val="0"/>
          <w:color w:val="17365D"/>
        </w:rPr>
      </w:pPr>
      <w:r w:rsidRPr="00B36A61">
        <w:rPr>
          <w:b w:val="0"/>
          <w:color w:val="17365D"/>
        </w:rPr>
        <mc:AlternateContent>
          <mc:Choice Requires="wps">
            <w:drawing>
              <wp:anchor distT="0" distB="0" distL="114300" distR="114300" simplePos="0" relativeHeight="251648512" behindDoc="1" locked="0" layoutInCell="1" allowOverlap="1" wp14:anchorId="1CA63B6B" wp14:editId="49DB6DDF">
                <wp:simplePos x="0" y="0"/>
                <wp:positionH relativeFrom="column">
                  <wp:posOffset>4263390</wp:posOffset>
                </wp:positionH>
                <wp:positionV relativeFrom="paragraph">
                  <wp:posOffset>628015</wp:posOffset>
                </wp:positionV>
                <wp:extent cx="1680845" cy="666750"/>
                <wp:effectExtent l="0" t="0" r="14605" b="28575"/>
                <wp:wrapThrough wrapText="bothSides">
                  <wp:wrapPolygon edited="0">
                    <wp:start x="0" y="0"/>
                    <wp:lineTo x="0" y="21827"/>
                    <wp:lineTo x="21543" y="21827"/>
                    <wp:lineTo x="21543" y="0"/>
                    <wp:lineTo x="0" y="0"/>
                  </wp:wrapPolygon>
                </wp:wrapThrough>
                <wp:docPr id="36" name="Rectangle 36"/>
                <wp:cNvGraphicFramePr/>
                <a:graphic xmlns:a="http://schemas.openxmlformats.org/drawingml/2006/main">
                  <a:graphicData uri="http://schemas.microsoft.com/office/word/2010/wordprocessingShape">
                    <wps:wsp>
                      <wps:cNvSpPr/>
                      <wps:spPr>
                        <a:xfrm>
                          <a:off x="0" y="0"/>
                          <a:ext cx="1680845" cy="666750"/>
                        </a:xfrm>
                        <a:prstGeom prst="rect">
                          <a:avLst/>
                        </a:prstGeom>
                        <a:solidFill>
                          <a:sysClr val="window" lastClr="FFFFFF"/>
                        </a:solidFill>
                        <a:ln w="25400" cap="flat" cmpd="sng" algn="ctr">
                          <a:solidFill>
                            <a:srgbClr val="17365D"/>
                          </a:solidFill>
                          <a:prstDash val="sysDot"/>
                        </a:ln>
                        <a:effectLst/>
                      </wps:spPr>
                      <wps:txbx>
                        <w:txbxContent>
                          <w:p w14:paraId="22286A80" w14:textId="77777777" w:rsidR="00B36A61" w:rsidRPr="00815A40" w:rsidRDefault="00B36A61" w:rsidP="00E578DC">
                            <w:pPr>
                              <w:spacing w:after="0"/>
                              <w:ind w:firstLine="0"/>
                              <w:jc w:val="center"/>
                              <w:rPr>
                                <w:color w:val="17365D"/>
                              </w:rPr>
                            </w:pPr>
                            <w:r w:rsidRPr="00815A40">
                              <w:rPr>
                                <w:color w:val="17365D"/>
                              </w:rPr>
                              <w:t>Pamatdarbības ieņēmumi –</w:t>
                            </w:r>
                          </w:p>
                          <w:p w14:paraId="038A6780" w14:textId="3DC28319" w:rsidR="00B36A61" w:rsidRPr="00815A40" w:rsidRDefault="00B36A61" w:rsidP="00E578DC">
                            <w:pPr>
                              <w:spacing w:after="0"/>
                              <w:ind w:firstLine="0"/>
                              <w:jc w:val="center"/>
                              <w:rPr>
                                <w:color w:val="17365D"/>
                              </w:rPr>
                            </w:pPr>
                            <w:r w:rsidRPr="004714A8">
                              <w:rPr>
                                <w:b/>
                                <w:color w:val="17365D"/>
                              </w:rPr>
                              <w:t>563</w:t>
                            </w:r>
                            <w:r>
                              <w:rPr>
                                <w:b/>
                                <w:color w:val="17365D"/>
                              </w:rPr>
                              <w:t xml:space="preserve"> </w:t>
                            </w:r>
                            <w:r w:rsidRPr="004714A8">
                              <w:rPr>
                                <w:b/>
                                <w:color w:val="17365D"/>
                              </w:rPr>
                              <w:t>000</w:t>
                            </w:r>
                            <w:r>
                              <w:rPr>
                                <w:b/>
                                <w:color w:val="17365D"/>
                              </w:rPr>
                              <w:t xml:space="preserve"> </w:t>
                            </w:r>
                            <w:r w:rsidRPr="004714A8">
                              <w:rPr>
                                <w:b/>
                                <w:color w:val="17365D"/>
                              </w:rPr>
                              <w:t xml:space="preserve">081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63B6B" id="Rectangle 36" o:spid="_x0000_s1034" style="position:absolute;left:0;text-align:left;margin-left:335.7pt;margin-top:49.45pt;width:132.35pt;height:5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" fillcolor="window" strokecolor="#17365d" strokeweight="2pt">
                <v:stroke dashstyle="1 1"/>
                <v:textbox>
                  <w:txbxContent>
                    <w:p w14:paraId="22286A80" w14:textId="77777777" w:rsidR="00B36A61" w:rsidRPr="00815A40" w:rsidRDefault="00B36A61" w:rsidP="00E578DC">
                      <w:pPr>
                        <w:spacing w:after="0"/>
                        <w:ind w:firstLine="0"/>
                        <w:jc w:val="center"/>
                        <w:rPr>
                          <w:color w:val="17365D"/>
                        </w:rPr>
                      </w:pPr>
                      <w:r w:rsidRPr="00815A40">
                        <w:rPr>
                          <w:color w:val="17365D"/>
                        </w:rPr>
                        <w:t>Pamatdarbības ieņēmumi –</w:t>
                      </w:r>
                    </w:p>
                    <w:p w14:paraId="038A6780" w14:textId="3DC28319" w:rsidR="00B36A61" w:rsidRPr="00815A40" w:rsidRDefault="00B36A61" w:rsidP="00E578DC">
                      <w:pPr>
                        <w:spacing w:after="0"/>
                        <w:ind w:firstLine="0"/>
                        <w:jc w:val="center"/>
                        <w:rPr>
                          <w:color w:val="17365D"/>
                        </w:rPr>
                      </w:pPr>
                      <w:r w:rsidRPr="004714A8">
                        <w:rPr>
                          <w:b/>
                          <w:color w:val="17365D"/>
                        </w:rPr>
                        <w:t>563</w:t>
                      </w:r>
                      <w:r>
                        <w:rPr>
                          <w:b/>
                          <w:color w:val="17365D"/>
                        </w:rPr>
                        <w:t xml:space="preserve"> </w:t>
                      </w:r>
                      <w:r w:rsidRPr="004714A8">
                        <w:rPr>
                          <w:b/>
                          <w:color w:val="17365D"/>
                        </w:rPr>
                        <w:t>000</w:t>
                      </w:r>
                      <w:r>
                        <w:rPr>
                          <w:b/>
                          <w:color w:val="17365D"/>
                        </w:rPr>
                        <w:t xml:space="preserve"> </w:t>
                      </w:r>
                      <w:r w:rsidRPr="004714A8">
                        <w:rPr>
                          <w:b/>
                          <w:color w:val="17365D"/>
                        </w:rPr>
                        <w:t xml:space="preserve">081 </w:t>
                      </w:r>
                      <w:r w:rsidRPr="00815A40">
                        <w:rPr>
                          <w:i/>
                          <w:color w:val="17365D"/>
                        </w:rPr>
                        <w:t>euro</w:t>
                      </w:r>
                    </w:p>
                  </w:txbxContent>
                </v:textbox>
                <w10:wrap type="through"/>
              </v:rect>
            </w:pict>
          </mc:Fallback>
        </mc:AlternateContent>
      </w:r>
      <w:r w:rsidR="00026D5A" w:rsidRPr="00B36A61">
        <w:rPr>
          <w:rFonts w:cs="Times New Roman"/>
          <w:noProof w:val="0"/>
          <w:color w:val="17365D"/>
        </w:rPr>
        <w:t xml:space="preserve">No valsts budžeta daļēji finansētu atvasinātu publisku personu un budžeta nefinansētu iestāžu konsolidētā pamatdarbība </w:t>
      </w:r>
    </w:p>
    <w:p w14:paraId="054A22E6" w14:textId="544F5E3E" w:rsidR="00372032" w:rsidRPr="00B36A61" w:rsidRDefault="00026D5A" w:rsidP="00026D5A">
      <w:pPr>
        <w:pStyle w:val="Pamatteksts"/>
        <w:spacing w:before="40" w:after="40"/>
        <w:rPr>
          <w:noProof w:val="0"/>
          <w:color w:val="17365D"/>
        </w:rPr>
      </w:pPr>
      <w:r w:rsidRPr="00B36A61">
        <w:rPr>
          <w:noProof w:val="0"/>
          <w:color w:val="17365D"/>
        </w:rPr>
        <w:t>No valsts budžeta daļēji finansētu atvasinātu publisku personu un budžeta nefinansētu iestāžu pamatdarbības ieņēmumi ir 5</w:t>
      </w:r>
      <w:r w:rsidR="004714A8" w:rsidRPr="00B36A61">
        <w:rPr>
          <w:noProof w:val="0"/>
          <w:color w:val="17365D"/>
        </w:rPr>
        <w:t>63</w:t>
      </w:r>
      <w:r w:rsidRPr="00B36A61">
        <w:rPr>
          <w:noProof w:val="0"/>
          <w:color w:val="17365D"/>
        </w:rPr>
        <w:t>,</w:t>
      </w:r>
      <w:r w:rsidR="004714A8" w:rsidRPr="00B36A61">
        <w:rPr>
          <w:noProof w:val="0"/>
          <w:color w:val="17365D"/>
        </w:rPr>
        <w:t>0</w:t>
      </w:r>
      <w:r w:rsidRPr="00B36A61">
        <w:rPr>
          <w:noProof w:val="0"/>
          <w:color w:val="17365D"/>
        </w:rPr>
        <w:t> milj. </w:t>
      </w:r>
      <w:r w:rsidRPr="00B36A61">
        <w:rPr>
          <w:i/>
          <w:noProof w:val="0"/>
          <w:color w:val="17365D"/>
        </w:rPr>
        <w:t xml:space="preserve">euro </w:t>
      </w:r>
      <w:r w:rsidRPr="00B36A61">
        <w:rPr>
          <w:noProof w:val="0"/>
          <w:color w:val="17365D"/>
        </w:rPr>
        <w:t>vērtībā, kas salīdzinot ar 202</w:t>
      </w:r>
      <w:r w:rsidR="004714A8" w:rsidRPr="00B36A61">
        <w:rPr>
          <w:noProof w:val="0"/>
          <w:color w:val="17365D"/>
        </w:rPr>
        <w:t>1</w:t>
      </w:r>
      <w:r w:rsidRPr="00B36A61">
        <w:rPr>
          <w:noProof w:val="0"/>
          <w:color w:val="17365D"/>
        </w:rPr>
        <w:t xml:space="preserve">. gadu, palielinājušies par </w:t>
      </w:r>
      <w:r w:rsidR="004714A8" w:rsidRPr="00B36A61">
        <w:rPr>
          <w:noProof w:val="0"/>
          <w:color w:val="17365D"/>
        </w:rPr>
        <w:t>5</w:t>
      </w:r>
      <w:r w:rsidRPr="00B36A61">
        <w:rPr>
          <w:noProof w:val="0"/>
          <w:color w:val="17365D"/>
        </w:rPr>
        <w:t>7,</w:t>
      </w:r>
      <w:r w:rsidR="004714A8" w:rsidRPr="00B36A61">
        <w:rPr>
          <w:noProof w:val="0"/>
          <w:color w:val="17365D"/>
        </w:rPr>
        <w:t>5</w:t>
      </w:r>
      <w:r w:rsidRPr="00B36A61">
        <w:rPr>
          <w:noProof w:val="0"/>
          <w:color w:val="17365D"/>
        </w:rPr>
        <w:t> milj. </w:t>
      </w:r>
      <w:r w:rsidRPr="00B36A61">
        <w:rPr>
          <w:i/>
          <w:noProof w:val="0"/>
          <w:color w:val="17365D"/>
        </w:rPr>
        <w:t>euro</w:t>
      </w:r>
      <w:r w:rsidRPr="00B36A61">
        <w:rPr>
          <w:noProof w:val="0"/>
          <w:color w:val="17365D"/>
        </w:rPr>
        <w:t xml:space="preserve"> jeb 1</w:t>
      </w:r>
      <w:r w:rsidR="004714A8" w:rsidRPr="00B36A61">
        <w:rPr>
          <w:noProof w:val="0"/>
          <w:color w:val="17365D"/>
        </w:rPr>
        <w:t>1</w:t>
      </w:r>
      <w:r w:rsidRPr="00B36A61">
        <w:rPr>
          <w:noProof w:val="0"/>
          <w:color w:val="17365D"/>
        </w:rPr>
        <w:t>,</w:t>
      </w:r>
      <w:r w:rsidR="004714A8" w:rsidRPr="00B36A61">
        <w:rPr>
          <w:noProof w:val="0"/>
          <w:color w:val="17365D"/>
        </w:rPr>
        <w:t>4</w:t>
      </w:r>
      <w:r w:rsidRPr="00B36A61">
        <w:rPr>
          <w:noProof w:val="0"/>
          <w:color w:val="17365D"/>
        </w:rPr>
        <w:t> %. (skatīt 8. tabulu). Detalizēta informācija skatāma 202</w:t>
      </w:r>
      <w:r w:rsidR="004714A8" w:rsidRPr="00B36A61">
        <w:rPr>
          <w:noProof w:val="0"/>
          <w:color w:val="17365D"/>
        </w:rPr>
        <w:t>2</w:t>
      </w:r>
      <w:r w:rsidRPr="00B36A61">
        <w:rPr>
          <w:noProof w:val="0"/>
          <w:color w:val="17365D"/>
        </w:rPr>
        <w:t xml:space="preserve">. gada pārskata 3.1.14. pielikumā “No valsts budžeta daļēji finansētu atvasinātu publisku personu un budžeta nefinansētu iestāžu konsolidētā pamatdarbības izpilde”. </w:t>
      </w:r>
      <w:r w:rsidR="00CD3F4F" w:rsidRPr="00B36A61">
        <w:rPr>
          <w:noProof w:val="0"/>
          <w:color w:val="17365D"/>
        </w:rPr>
        <w:t>Lielākie ieņēmumi 371,2 milj. </w:t>
      </w:r>
      <w:r w:rsidR="00CD3F4F" w:rsidRPr="00B36A61">
        <w:rPr>
          <w:i/>
          <w:noProof w:val="0"/>
          <w:color w:val="17365D"/>
        </w:rPr>
        <w:t>euro</w:t>
      </w:r>
      <w:r w:rsidR="00CD3F4F" w:rsidRPr="00B36A61">
        <w:rPr>
          <w:noProof w:val="0"/>
          <w:color w:val="17365D"/>
        </w:rPr>
        <w:t xml:space="preserve"> pārskata gadā saņemti transfertos </w:t>
      </w:r>
      <w:r w:rsidR="00963877" w:rsidRPr="00B36A61">
        <w:rPr>
          <w:noProof w:val="0"/>
          <w:color w:val="17365D"/>
        </w:rPr>
        <w:t>valsts budžeta </w:t>
      </w:r>
      <w:r w:rsidR="005A73EA" w:rsidRPr="00B36A61">
        <w:rPr>
          <w:noProof w:val="0"/>
          <w:color w:val="17365D"/>
        </w:rPr>
        <w:t xml:space="preserve">finansētām </w:t>
      </w:r>
      <w:r w:rsidR="00963877" w:rsidRPr="00B36A61">
        <w:rPr>
          <w:noProof w:val="0"/>
          <w:color w:val="17365D"/>
        </w:rPr>
        <w:t>studijām, Latvijas zivrūpniecības nozares tirgus veicināšanai, materiālās bāzes pilnveidošanai zinātniskajiem pētījumiem un laboratorisko analīžu nodrošināšanai un rezidentūrai finansējums atbilstoši noslēgtajiem līgumiem.</w:t>
      </w:r>
    </w:p>
    <w:p w14:paraId="6AD7531D" w14:textId="4CDB2080" w:rsidR="00732ED7" w:rsidRPr="00B36A61" w:rsidRDefault="00372032" w:rsidP="00732ED7">
      <w:pPr>
        <w:spacing w:before="160" w:after="0"/>
        <w:ind w:firstLine="0"/>
        <w:jc w:val="right"/>
        <w:rPr>
          <w:rFonts w:eastAsia="Arial Unicode MS"/>
          <w:i/>
          <w:color w:val="17365D"/>
          <w:sz w:val="20"/>
        </w:rPr>
      </w:pPr>
      <w:r w:rsidRPr="00B36A61">
        <w:rPr>
          <w:rFonts w:eastAsia="Arial Unicode MS"/>
          <w:i/>
          <w:color w:val="17365D"/>
          <w:sz w:val="20"/>
        </w:rPr>
        <w:t>8</w:t>
      </w:r>
      <w:r w:rsidR="00732ED7" w:rsidRPr="00B36A61">
        <w:rPr>
          <w:rFonts w:eastAsia="Arial Unicode MS"/>
          <w:i/>
          <w:color w:val="17365D"/>
          <w:sz w:val="20"/>
        </w:rPr>
        <w:t xml:space="preserve">. tabula. </w:t>
      </w:r>
      <w:r w:rsidR="00732ED7" w:rsidRPr="00B36A61">
        <w:rPr>
          <w:bCs/>
          <w:i/>
          <w:color w:val="17365D"/>
          <w:sz w:val="20"/>
          <w:szCs w:val="20"/>
        </w:rPr>
        <w:t>Ieņēmum</w:t>
      </w:r>
      <w:r w:rsidR="00CE2F1C" w:rsidRPr="00B36A61">
        <w:rPr>
          <w:bCs/>
          <w:i/>
          <w:color w:val="17365D"/>
          <w:sz w:val="20"/>
          <w:szCs w:val="20"/>
        </w:rPr>
        <w:t>u</w:t>
      </w:r>
      <w:r w:rsidR="00732ED7" w:rsidRPr="00B36A61">
        <w:rPr>
          <w:bCs/>
          <w:i/>
          <w:color w:val="17365D"/>
          <w:sz w:val="20"/>
          <w:szCs w:val="20"/>
        </w:rPr>
        <w:t xml:space="preserve"> no pamat</w:t>
      </w:r>
      <w:r w:rsidR="00CD76C2" w:rsidRPr="00B36A61">
        <w:rPr>
          <w:bCs/>
          <w:i/>
          <w:color w:val="17365D"/>
          <w:sz w:val="20"/>
          <w:szCs w:val="20"/>
        </w:rPr>
        <w:t>darbības</w:t>
      </w:r>
      <w:r w:rsidR="00CE2F1C" w:rsidRPr="00B36A61">
        <w:rPr>
          <w:bCs/>
          <w:i/>
          <w:color w:val="17365D"/>
          <w:sz w:val="20"/>
          <w:szCs w:val="20"/>
        </w:rPr>
        <w:t xml:space="preserve"> izmaiņas</w:t>
      </w:r>
      <w:r w:rsidR="00CD76C2" w:rsidRPr="00B36A61">
        <w:rPr>
          <w:bCs/>
          <w:i/>
          <w:color w:val="17365D"/>
          <w:sz w:val="20"/>
          <w:szCs w:val="20"/>
        </w:rPr>
        <w:t xml:space="preserve"> </w:t>
      </w:r>
      <w:r w:rsidR="00732ED7" w:rsidRPr="00B36A61">
        <w:rPr>
          <w:bCs/>
          <w:i/>
          <w:color w:val="17365D"/>
          <w:sz w:val="20"/>
          <w:szCs w:val="20"/>
        </w:rPr>
        <w:t>(</w:t>
      </w:r>
      <w:r w:rsidR="00732ED7" w:rsidRPr="00B36A61">
        <w:rPr>
          <w:i/>
          <w:color w:val="17365D"/>
          <w:sz w:val="20"/>
        </w:rPr>
        <w:t>euro)</w:t>
      </w:r>
    </w:p>
    <w:tbl>
      <w:tblPr>
        <w:tblStyle w:val="TableGrid"/>
        <w:tblW w:w="9376" w:type="dxa"/>
        <w:tblInd w:w="-5" w:type="dxa"/>
        <w:tblLayout w:type="fixed"/>
        <w:tblLook w:val="04A0" w:firstRow="1" w:lastRow="0" w:firstColumn="1" w:lastColumn="0" w:noHBand="0" w:noVBand="1"/>
      </w:tblPr>
      <w:tblGrid>
        <w:gridCol w:w="884"/>
        <w:gridCol w:w="2578"/>
        <w:gridCol w:w="1480"/>
        <w:gridCol w:w="1480"/>
        <w:gridCol w:w="1626"/>
        <w:gridCol w:w="1328"/>
      </w:tblGrid>
      <w:tr w:rsidR="00B36A61" w:rsidRPr="00B36A61" w14:paraId="5A8ADC7E" w14:textId="77777777" w:rsidTr="00EF0C1E">
        <w:trPr>
          <w:trHeight w:val="295"/>
        </w:trPr>
        <w:tc>
          <w:tcPr>
            <w:tcW w:w="884" w:type="dxa"/>
            <w:vMerge w:val="restart"/>
            <w:tcBorders>
              <w:top w:val="nil"/>
              <w:left w:val="nil"/>
              <w:bottom w:val="single" w:sz="4" w:space="0" w:color="17365D"/>
              <w:right w:val="nil"/>
            </w:tcBorders>
            <w:shd w:val="clear" w:color="auto" w:fill="B9CDE5"/>
            <w:vAlign w:val="center"/>
          </w:tcPr>
          <w:p w14:paraId="619C72D9" w14:textId="2ABFDBB9" w:rsidR="00E65C60" w:rsidRPr="00B36A61" w:rsidRDefault="00E65C60" w:rsidP="004753B6">
            <w:pPr>
              <w:pStyle w:val="Pamatteksts"/>
              <w:spacing w:before="60" w:after="60"/>
              <w:ind w:firstLine="0"/>
              <w:jc w:val="center"/>
              <w:rPr>
                <w:b/>
                <w:color w:val="17365D"/>
                <w:sz w:val="20"/>
                <w:szCs w:val="20"/>
              </w:rPr>
            </w:pPr>
            <w:r w:rsidRPr="00B36A61">
              <w:rPr>
                <w:b/>
                <w:color w:val="17365D"/>
                <w:sz w:val="20"/>
                <w:szCs w:val="20"/>
              </w:rPr>
              <w:t>Klasifi-kācijas kods</w:t>
            </w:r>
          </w:p>
        </w:tc>
        <w:tc>
          <w:tcPr>
            <w:tcW w:w="2578" w:type="dxa"/>
            <w:vMerge w:val="restart"/>
            <w:tcBorders>
              <w:top w:val="nil"/>
              <w:left w:val="nil"/>
              <w:bottom w:val="single" w:sz="4" w:space="0" w:color="17365D"/>
              <w:right w:val="nil"/>
            </w:tcBorders>
            <w:shd w:val="clear" w:color="auto" w:fill="B9CDE5"/>
            <w:vAlign w:val="center"/>
          </w:tcPr>
          <w:p w14:paraId="49EEDDA7" w14:textId="77777777" w:rsidR="00E65C60" w:rsidRPr="00B36A61" w:rsidRDefault="00E65C60" w:rsidP="004753B6">
            <w:pPr>
              <w:pStyle w:val="Pamatteksts"/>
              <w:spacing w:before="60" w:after="60"/>
              <w:ind w:firstLine="0"/>
              <w:jc w:val="center"/>
              <w:rPr>
                <w:b/>
                <w:color w:val="17365D"/>
                <w:sz w:val="20"/>
                <w:szCs w:val="20"/>
              </w:rPr>
            </w:pPr>
            <w:r w:rsidRPr="00B36A61">
              <w:rPr>
                <w:b/>
                <w:color w:val="17365D"/>
                <w:sz w:val="20"/>
                <w:szCs w:val="20"/>
              </w:rPr>
              <w:t>Posteņa nosaukums</w:t>
            </w:r>
          </w:p>
        </w:tc>
        <w:tc>
          <w:tcPr>
            <w:tcW w:w="2960" w:type="dxa"/>
            <w:gridSpan w:val="2"/>
            <w:tcBorders>
              <w:top w:val="nil"/>
              <w:left w:val="nil"/>
              <w:bottom w:val="single" w:sz="4" w:space="0" w:color="17365D"/>
              <w:right w:val="nil"/>
            </w:tcBorders>
            <w:shd w:val="clear" w:color="auto" w:fill="B9CDE5"/>
            <w:vAlign w:val="center"/>
          </w:tcPr>
          <w:p w14:paraId="5DCEE94E" w14:textId="77777777" w:rsidR="00E65C60" w:rsidRPr="00B36A61" w:rsidRDefault="00E65C60" w:rsidP="004753B6">
            <w:pPr>
              <w:pStyle w:val="Pamatteksts"/>
              <w:spacing w:before="60" w:after="60"/>
              <w:ind w:firstLine="0"/>
              <w:jc w:val="center"/>
              <w:rPr>
                <w:b/>
                <w:color w:val="17365D"/>
                <w:sz w:val="20"/>
                <w:szCs w:val="20"/>
              </w:rPr>
            </w:pPr>
            <w:r w:rsidRPr="00B36A61">
              <w:rPr>
                <w:b/>
                <w:color w:val="17365D"/>
                <w:sz w:val="20"/>
                <w:szCs w:val="20"/>
              </w:rPr>
              <w:t>Budžeta izpilde</w:t>
            </w:r>
          </w:p>
        </w:tc>
        <w:tc>
          <w:tcPr>
            <w:tcW w:w="1626" w:type="dxa"/>
            <w:vMerge w:val="restart"/>
            <w:tcBorders>
              <w:top w:val="nil"/>
              <w:left w:val="nil"/>
              <w:bottom w:val="single" w:sz="4" w:space="0" w:color="17365D"/>
              <w:right w:val="nil"/>
            </w:tcBorders>
            <w:shd w:val="clear" w:color="auto" w:fill="B9CDE5"/>
            <w:vAlign w:val="center"/>
          </w:tcPr>
          <w:p w14:paraId="3EA1B700" w14:textId="07EF20F1" w:rsidR="00E65C60" w:rsidRPr="00B36A61" w:rsidRDefault="00E65C60" w:rsidP="004E28A8">
            <w:pPr>
              <w:pStyle w:val="Pamatteksts"/>
              <w:spacing w:before="60" w:after="60"/>
              <w:ind w:left="-107" w:right="-105" w:firstLine="0"/>
              <w:jc w:val="center"/>
              <w:rPr>
                <w:b/>
                <w:color w:val="17365D"/>
                <w:sz w:val="20"/>
                <w:szCs w:val="20"/>
              </w:rPr>
            </w:pPr>
            <w:r w:rsidRPr="00B36A61">
              <w:rPr>
                <w:b/>
                <w:color w:val="17365D"/>
                <w:sz w:val="20"/>
                <w:szCs w:val="20"/>
              </w:rPr>
              <w:t>Palielinājums (+), samazinājums (–)</w:t>
            </w:r>
          </w:p>
          <w:p w14:paraId="65D93FCF" w14:textId="0F1BD05F" w:rsidR="00E65C60" w:rsidRPr="00B36A61" w:rsidRDefault="00E65C60" w:rsidP="004E28A8">
            <w:pPr>
              <w:pStyle w:val="Pamatteksts"/>
              <w:spacing w:before="60" w:after="60"/>
              <w:ind w:left="-107" w:right="-105" w:firstLine="0"/>
              <w:jc w:val="center"/>
              <w:rPr>
                <w:b/>
                <w:color w:val="17365D"/>
                <w:sz w:val="20"/>
                <w:szCs w:val="20"/>
              </w:rPr>
            </w:pPr>
            <w:r w:rsidRPr="00B36A61">
              <w:rPr>
                <w:b/>
                <w:color w:val="17365D"/>
                <w:sz w:val="20"/>
                <w:szCs w:val="20"/>
              </w:rPr>
              <w:t>(1.– 2.)</w:t>
            </w:r>
          </w:p>
        </w:tc>
        <w:tc>
          <w:tcPr>
            <w:tcW w:w="1328" w:type="dxa"/>
            <w:vMerge w:val="restart"/>
            <w:tcBorders>
              <w:top w:val="nil"/>
              <w:left w:val="nil"/>
              <w:bottom w:val="single" w:sz="4" w:space="0" w:color="17365D"/>
              <w:right w:val="nil"/>
            </w:tcBorders>
            <w:shd w:val="clear" w:color="auto" w:fill="B9CDE5"/>
            <w:vAlign w:val="center"/>
          </w:tcPr>
          <w:p w14:paraId="5A71C64F" w14:textId="77777777" w:rsidR="00E65C60" w:rsidRPr="00B36A61" w:rsidRDefault="00E65C60" w:rsidP="004753B6">
            <w:pPr>
              <w:pStyle w:val="Pamatteksts"/>
              <w:spacing w:before="60" w:after="60"/>
              <w:ind w:firstLine="0"/>
              <w:jc w:val="center"/>
              <w:rPr>
                <w:b/>
                <w:color w:val="17365D"/>
                <w:sz w:val="20"/>
                <w:szCs w:val="20"/>
              </w:rPr>
            </w:pPr>
            <w:r w:rsidRPr="00B36A61">
              <w:rPr>
                <w:b/>
                <w:color w:val="17365D"/>
                <w:sz w:val="20"/>
                <w:szCs w:val="20"/>
              </w:rPr>
              <w:t>Procentuālās izmaiņas</w:t>
            </w:r>
          </w:p>
          <w:p w14:paraId="59D1A3EF" w14:textId="12D35FCD" w:rsidR="00E65C60" w:rsidRPr="00B36A61" w:rsidRDefault="00E65C60" w:rsidP="00FF21FE">
            <w:pPr>
              <w:pStyle w:val="Pamatteksts"/>
              <w:spacing w:before="60" w:after="60"/>
              <w:ind w:firstLine="0"/>
              <w:jc w:val="center"/>
              <w:rPr>
                <w:b/>
                <w:color w:val="17365D"/>
                <w:sz w:val="20"/>
                <w:szCs w:val="20"/>
              </w:rPr>
            </w:pPr>
            <w:r w:rsidRPr="00B36A61">
              <w:rPr>
                <w:b/>
                <w:color w:val="17365D"/>
                <w:sz w:val="20"/>
                <w:szCs w:val="20"/>
              </w:rPr>
              <w:t>(</w:t>
            </w:r>
            <w:r w:rsidR="00FF21FE" w:rsidRPr="00B36A61">
              <w:rPr>
                <w:b/>
                <w:color w:val="17365D"/>
                <w:sz w:val="20"/>
                <w:szCs w:val="20"/>
              </w:rPr>
              <w:t>3</w:t>
            </w:r>
            <w:r w:rsidRPr="00B36A61">
              <w:rPr>
                <w:b/>
                <w:color w:val="17365D"/>
                <w:sz w:val="20"/>
                <w:szCs w:val="20"/>
              </w:rPr>
              <w:t>./2. x 100)</w:t>
            </w:r>
          </w:p>
        </w:tc>
      </w:tr>
      <w:tr w:rsidR="00B36A61" w:rsidRPr="00B36A61" w14:paraId="43E19ADD" w14:textId="77777777" w:rsidTr="00856306">
        <w:trPr>
          <w:trHeight w:val="295"/>
        </w:trPr>
        <w:tc>
          <w:tcPr>
            <w:tcW w:w="884" w:type="dxa"/>
            <w:vMerge/>
            <w:tcBorders>
              <w:top w:val="single" w:sz="4" w:space="0" w:color="17365D"/>
              <w:left w:val="nil"/>
              <w:bottom w:val="nil"/>
              <w:right w:val="nil"/>
            </w:tcBorders>
            <w:vAlign w:val="center"/>
          </w:tcPr>
          <w:p w14:paraId="1C39B15B" w14:textId="77777777" w:rsidR="00E65C60" w:rsidRPr="00B36A61" w:rsidRDefault="00E65C60" w:rsidP="00CE2F1C">
            <w:pPr>
              <w:pStyle w:val="Pamatteksts"/>
              <w:spacing w:after="0"/>
              <w:ind w:firstLine="0"/>
              <w:jc w:val="center"/>
              <w:rPr>
                <w:color w:val="17365D"/>
                <w:sz w:val="20"/>
                <w:szCs w:val="20"/>
              </w:rPr>
            </w:pPr>
          </w:p>
        </w:tc>
        <w:tc>
          <w:tcPr>
            <w:tcW w:w="2578" w:type="dxa"/>
            <w:vMerge/>
            <w:tcBorders>
              <w:top w:val="single" w:sz="4" w:space="0" w:color="17365D"/>
              <w:left w:val="nil"/>
              <w:bottom w:val="nil"/>
              <w:right w:val="nil"/>
            </w:tcBorders>
            <w:vAlign w:val="center"/>
          </w:tcPr>
          <w:p w14:paraId="6C55B2E4" w14:textId="77777777" w:rsidR="00E65C60" w:rsidRPr="00B36A61" w:rsidRDefault="00E65C60" w:rsidP="00CE2F1C">
            <w:pPr>
              <w:pStyle w:val="Pamatteksts"/>
              <w:spacing w:after="0"/>
              <w:ind w:firstLine="0"/>
              <w:jc w:val="center"/>
              <w:rPr>
                <w:color w:val="17365D"/>
                <w:sz w:val="20"/>
                <w:szCs w:val="20"/>
              </w:rPr>
            </w:pPr>
          </w:p>
        </w:tc>
        <w:tc>
          <w:tcPr>
            <w:tcW w:w="1480" w:type="dxa"/>
            <w:tcBorders>
              <w:top w:val="single" w:sz="4" w:space="0" w:color="17365D"/>
              <w:left w:val="nil"/>
              <w:bottom w:val="nil"/>
              <w:right w:val="nil"/>
            </w:tcBorders>
            <w:shd w:val="clear" w:color="auto" w:fill="B9CDE5"/>
            <w:vAlign w:val="center"/>
          </w:tcPr>
          <w:p w14:paraId="35A68EB7" w14:textId="77777777" w:rsidR="00E65C60" w:rsidRPr="00B36A61" w:rsidRDefault="00E65C60" w:rsidP="009C3BBA">
            <w:pPr>
              <w:spacing w:before="60" w:after="60"/>
              <w:ind w:firstLine="0"/>
              <w:jc w:val="center"/>
              <w:rPr>
                <w:b/>
                <w:noProof/>
                <w:color w:val="17365D"/>
                <w:sz w:val="20"/>
                <w:szCs w:val="20"/>
              </w:rPr>
            </w:pPr>
            <w:r w:rsidRPr="00B36A61">
              <w:rPr>
                <w:b/>
                <w:noProof/>
                <w:color w:val="17365D"/>
                <w:sz w:val="20"/>
                <w:szCs w:val="20"/>
              </w:rPr>
              <w:t>pārskata periodā</w:t>
            </w:r>
          </w:p>
        </w:tc>
        <w:tc>
          <w:tcPr>
            <w:tcW w:w="1480" w:type="dxa"/>
            <w:tcBorders>
              <w:top w:val="single" w:sz="4" w:space="0" w:color="17365D"/>
              <w:left w:val="nil"/>
              <w:bottom w:val="nil"/>
              <w:right w:val="nil"/>
            </w:tcBorders>
            <w:shd w:val="clear" w:color="auto" w:fill="B9CDE5"/>
            <w:vAlign w:val="center"/>
          </w:tcPr>
          <w:p w14:paraId="51BDD114" w14:textId="77777777" w:rsidR="00E65C60" w:rsidRPr="00B36A61" w:rsidRDefault="00E65C60" w:rsidP="009C3BBA">
            <w:pPr>
              <w:spacing w:before="60" w:after="60"/>
              <w:ind w:firstLine="0"/>
              <w:jc w:val="center"/>
              <w:rPr>
                <w:b/>
                <w:noProof/>
                <w:color w:val="17365D"/>
                <w:sz w:val="20"/>
                <w:szCs w:val="20"/>
              </w:rPr>
            </w:pPr>
            <w:r w:rsidRPr="00B36A61">
              <w:rPr>
                <w:b/>
                <w:color w:val="17365D"/>
                <w:sz w:val="20"/>
                <w:szCs w:val="20"/>
              </w:rPr>
              <w:t>iepriekšējā pārskata periodā</w:t>
            </w:r>
          </w:p>
        </w:tc>
        <w:tc>
          <w:tcPr>
            <w:tcW w:w="1626" w:type="dxa"/>
            <w:vMerge/>
            <w:tcBorders>
              <w:top w:val="single" w:sz="4" w:space="0" w:color="17365D"/>
              <w:left w:val="nil"/>
              <w:bottom w:val="nil"/>
              <w:right w:val="nil"/>
            </w:tcBorders>
            <w:vAlign w:val="center"/>
          </w:tcPr>
          <w:p w14:paraId="7A0ADADB" w14:textId="77777777" w:rsidR="00E65C60" w:rsidRPr="00B36A61" w:rsidRDefault="00E65C60" w:rsidP="004E28A8">
            <w:pPr>
              <w:pStyle w:val="Pamatteksts"/>
              <w:spacing w:before="60" w:after="60"/>
              <w:ind w:left="-107" w:right="-105" w:firstLine="0"/>
              <w:jc w:val="center"/>
              <w:rPr>
                <w:b/>
                <w:color w:val="17365D"/>
                <w:sz w:val="20"/>
                <w:szCs w:val="20"/>
              </w:rPr>
            </w:pPr>
          </w:p>
        </w:tc>
        <w:tc>
          <w:tcPr>
            <w:tcW w:w="1328" w:type="dxa"/>
            <w:vMerge/>
            <w:tcBorders>
              <w:top w:val="single" w:sz="4" w:space="0" w:color="17365D"/>
              <w:left w:val="nil"/>
              <w:bottom w:val="nil"/>
              <w:right w:val="nil"/>
            </w:tcBorders>
            <w:vAlign w:val="center"/>
          </w:tcPr>
          <w:p w14:paraId="0D7B07A9" w14:textId="77777777" w:rsidR="00E65C60" w:rsidRPr="00B36A61" w:rsidRDefault="00E65C60" w:rsidP="00CE2F1C">
            <w:pPr>
              <w:spacing w:after="0"/>
              <w:ind w:firstLine="0"/>
              <w:jc w:val="center"/>
              <w:rPr>
                <w:color w:val="17365D"/>
                <w:sz w:val="20"/>
                <w:szCs w:val="20"/>
              </w:rPr>
            </w:pPr>
          </w:p>
        </w:tc>
      </w:tr>
      <w:tr w:rsidR="00B36A61" w:rsidRPr="00B36A61" w14:paraId="6A547004" w14:textId="77777777" w:rsidTr="00AE45C4">
        <w:trPr>
          <w:trHeight w:val="295"/>
        </w:trPr>
        <w:tc>
          <w:tcPr>
            <w:tcW w:w="884" w:type="dxa"/>
            <w:tcBorders>
              <w:top w:val="nil"/>
              <w:left w:val="nil"/>
              <w:bottom w:val="single" w:sz="4" w:space="0" w:color="17365D"/>
              <w:right w:val="nil"/>
            </w:tcBorders>
            <w:vAlign w:val="center"/>
          </w:tcPr>
          <w:p w14:paraId="40FEDA2A" w14:textId="77777777" w:rsidR="00E65C60" w:rsidRPr="00B36A61" w:rsidRDefault="00E65C60" w:rsidP="009C3BBA">
            <w:pPr>
              <w:pStyle w:val="Pamatteksts"/>
              <w:spacing w:before="40" w:after="40"/>
              <w:ind w:firstLine="0"/>
              <w:jc w:val="center"/>
              <w:rPr>
                <w:b/>
                <w:color w:val="17365D"/>
                <w:sz w:val="20"/>
                <w:szCs w:val="20"/>
              </w:rPr>
            </w:pPr>
            <w:r w:rsidRPr="00B36A61">
              <w:rPr>
                <w:b/>
                <w:color w:val="17365D"/>
                <w:sz w:val="20"/>
                <w:szCs w:val="20"/>
              </w:rPr>
              <w:t>A</w:t>
            </w:r>
          </w:p>
        </w:tc>
        <w:tc>
          <w:tcPr>
            <w:tcW w:w="2578" w:type="dxa"/>
            <w:tcBorders>
              <w:top w:val="nil"/>
              <w:left w:val="nil"/>
              <w:bottom w:val="single" w:sz="4" w:space="0" w:color="17365D"/>
              <w:right w:val="nil"/>
            </w:tcBorders>
            <w:vAlign w:val="center"/>
          </w:tcPr>
          <w:p w14:paraId="0C045AD9" w14:textId="77777777" w:rsidR="00E65C60" w:rsidRPr="00B36A61" w:rsidRDefault="00E65C60" w:rsidP="009C3BBA">
            <w:pPr>
              <w:pStyle w:val="Pamatteksts"/>
              <w:spacing w:before="40" w:after="40"/>
              <w:ind w:firstLine="0"/>
              <w:jc w:val="center"/>
              <w:rPr>
                <w:b/>
                <w:color w:val="17365D"/>
                <w:sz w:val="20"/>
                <w:szCs w:val="20"/>
              </w:rPr>
            </w:pPr>
            <w:r w:rsidRPr="00B36A61">
              <w:rPr>
                <w:b/>
                <w:color w:val="17365D"/>
                <w:sz w:val="20"/>
                <w:szCs w:val="20"/>
              </w:rPr>
              <w:t>B</w:t>
            </w:r>
          </w:p>
        </w:tc>
        <w:tc>
          <w:tcPr>
            <w:tcW w:w="1480" w:type="dxa"/>
            <w:tcBorders>
              <w:top w:val="nil"/>
              <w:left w:val="nil"/>
              <w:bottom w:val="single" w:sz="4" w:space="0" w:color="17365D"/>
              <w:right w:val="nil"/>
            </w:tcBorders>
            <w:vAlign w:val="center"/>
          </w:tcPr>
          <w:p w14:paraId="10D1213B" w14:textId="31863C04" w:rsidR="00E65C60" w:rsidRPr="00B36A61" w:rsidRDefault="00E65C60" w:rsidP="009C3BBA">
            <w:pPr>
              <w:pStyle w:val="Pamatteksts"/>
              <w:spacing w:before="40" w:after="40"/>
              <w:ind w:firstLine="0"/>
              <w:jc w:val="center"/>
              <w:rPr>
                <w:b/>
                <w:color w:val="17365D"/>
                <w:sz w:val="20"/>
                <w:szCs w:val="20"/>
              </w:rPr>
            </w:pPr>
            <w:r w:rsidRPr="00B36A61">
              <w:rPr>
                <w:b/>
                <w:color w:val="17365D"/>
                <w:sz w:val="20"/>
                <w:szCs w:val="20"/>
              </w:rPr>
              <w:t>1</w:t>
            </w:r>
          </w:p>
        </w:tc>
        <w:tc>
          <w:tcPr>
            <w:tcW w:w="1480" w:type="dxa"/>
            <w:tcBorders>
              <w:top w:val="nil"/>
              <w:left w:val="nil"/>
              <w:bottom w:val="single" w:sz="4" w:space="0" w:color="17365D"/>
              <w:right w:val="nil"/>
            </w:tcBorders>
            <w:vAlign w:val="center"/>
          </w:tcPr>
          <w:p w14:paraId="41F489B5" w14:textId="1562BE80" w:rsidR="00E65C60" w:rsidRPr="00B36A61" w:rsidRDefault="00E65C60" w:rsidP="009C3BBA">
            <w:pPr>
              <w:pStyle w:val="Pamatteksts"/>
              <w:spacing w:before="40" w:after="40"/>
              <w:ind w:firstLine="0"/>
              <w:jc w:val="center"/>
              <w:rPr>
                <w:b/>
                <w:color w:val="17365D"/>
                <w:sz w:val="20"/>
                <w:szCs w:val="20"/>
              </w:rPr>
            </w:pPr>
            <w:r w:rsidRPr="00B36A61">
              <w:rPr>
                <w:b/>
                <w:color w:val="17365D"/>
                <w:sz w:val="20"/>
                <w:szCs w:val="20"/>
              </w:rPr>
              <w:t>2</w:t>
            </w:r>
          </w:p>
        </w:tc>
        <w:tc>
          <w:tcPr>
            <w:tcW w:w="1626" w:type="dxa"/>
            <w:tcBorders>
              <w:top w:val="nil"/>
              <w:left w:val="nil"/>
              <w:bottom w:val="single" w:sz="4" w:space="0" w:color="17365D"/>
              <w:right w:val="nil"/>
            </w:tcBorders>
            <w:vAlign w:val="center"/>
          </w:tcPr>
          <w:p w14:paraId="5D53C436" w14:textId="408C95BF" w:rsidR="00E65C60" w:rsidRPr="00B36A61" w:rsidRDefault="00E65C60" w:rsidP="004E28A8">
            <w:pPr>
              <w:pStyle w:val="Pamatteksts"/>
              <w:spacing w:before="60" w:after="60"/>
              <w:ind w:left="-107" w:right="-105" w:firstLine="0"/>
              <w:jc w:val="center"/>
              <w:rPr>
                <w:b/>
                <w:color w:val="17365D"/>
                <w:sz w:val="20"/>
                <w:szCs w:val="20"/>
              </w:rPr>
            </w:pPr>
            <w:r w:rsidRPr="00B36A61">
              <w:rPr>
                <w:b/>
                <w:color w:val="17365D"/>
                <w:sz w:val="20"/>
                <w:szCs w:val="20"/>
              </w:rPr>
              <w:t>3</w:t>
            </w:r>
          </w:p>
        </w:tc>
        <w:tc>
          <w:tcPr>
            <w:tcW w:w="1328" w:type="dxa"/>
            <w:tcBorders>
              <w:top w:val="nil"/>
              <w:left w:val="nil"/>
              <w:bottom w:val="single" w:sz="4" w:space="0" w:color="17365D"/>
              <w:right w:val="nil"/>
            </w:tcBorders>
            <w:vAlign w:val="center"/>
          </w:tcPr>
          <w:p w14:paraId="719B3530" w14:textId="5031206D" w:rsidR="00E65C60" w:rsidRPr="00B36A61" w:rsidRDefault="00E65C60" w:rsidP="009C3BBA">
            <w:pPr>
              <w:pStyle w:val="Pamatteksts"/>
              <w:spacing w:before="40" w:after="40"/>
              <w:ind w:firstLine="0"/>
              <w:jc w:val="center"/>
              <w:rPr>
                <w:b/>
                <w:color w:val="17365D"/>
                <w:sz w:val="20"/>
                <w:szCs w:val="20"/>
              </w:rPr>
            </w:pPr>
            <w:r w:rsidRPr="00B36A61">
              <w:rPr>
                <w:b/>
                <w:color w:val="17365D"/>
                <w:sz w:val="20"/>
                <w:szCs w:val="20"/>
              </w:rPr>
              <w:t>4</w:t>
            </w:r>
          </w:p>
        </w:tc>
      </w:tr>
      <w:tr w:rsidR="00B36A61" w:rsidRPr="00B36A61" w14:paraId="1EF78E0C" w14:textId="77777777" w:rsidTr="00856306">
        <w:trPr>
          <w:trHeight w:val="295"/>
        </w:trPr>
        <w:tc>
          <w:tcPr>
            <w:tcW w:w="884" w:type="dxa"/>
            <w:tcBorders>
              <w:top w:val="single" w:sz="4" w:space="0" w:color="17365D"/>
              <w:left w:val="nil"/>
              <w:bottom w:val="single" w:sz="4" w:space="0" w:color="17365D"/>
              <w:right w:val="nil"/>
            </w:tcBorders>
            <w:vAlign w:val="center"/>
          </w:tcPr>
          <w:p w14:paraId="445A33C7" w14:textId="7D55872E" w:rsidR="00AE45C4" w:rsidRPr="00B36A61" w:rsidRDefault="00AE45C4" w:rsidP="00AE45C4">
            <w:pPr>
              <w:spacing w:before="40" w:after="40"/>
              <w:ind w:firstLine="0"/>
              <w:jc w:val="left"/>
              <w:rPr>
                <w:b/>
                <w:bCs/>
                <w:color w:val="17365D"/>
                <w:sz w:val="20"/>
                <w:szCs w:val="20"/>
              </w:rPr>
            </w:pPr>
            <w:r w:rsidRPr="00B36A61">
              <w:rPr>
                <w:b/>
                <w:bCs/>
                <w:color w:val="17365D"/>
                <w:sz w:val="20"/>
                <w:szCs w:val="20"/>
              </w:rPr>
              <w:t>I.</w:t>
            </w:r>
          </w:p>
        </w:tc>
        <w:tc>
          <w:tcPr>
            <w:tcW w:w="2578" w:type="dxa"/>
            <w:tcBorders>
              <w:top w:val="single" w:sz="4" w:space="0" w:color="17365D"/>
              <w:left w:val="nil"/>
              <w:bottom w:val="single" w:sz="4" w:space="0" w:color="17365D"/>
              <w:right w:val="nil"/>
            </w:tcBorders>
            <w:shd w:val="clear" w:color="auto" w:fill="auto"/>
            <w:vAlign w:val="center"/>
          </w:tcPr>
          <w:p w14:paraId="53812977" w14:textId="77777777" w:rsidR="00AE45C4" w:rsidRPr="00B36A61" w:rsidRDefault="00AE45C4" w:rsidP="00AE45C4">
            <w:pPr>
              <w:pStyle w:val="Pamatteksts"/>
              <w:spacing w:before="40" w:after="40"/>
              <w:ind w:firstLine="0"/>
              <w:rPr>
                <w:b/>
                <w:color w:val="17365D"/>
                <w:sz w:val="20"/>
                <w:szCs w:val="20"/>
              </w:rPr>
            </w:pPr>
            <w:r w:rsidRPr="00B36A61">
              <w:rPr>
                <w:b/>
                <w:bCs/>
                <w:color w:val="17365D"/>
                <w:sz w:val="20"/>
                <w:szCs w:val="20"/>
              </w:rPr>
              <w:t>IEŅĒMUMI KOPĀ</w:t>
            </w:r>
          </w:p>
        </w:tc>
        <w:tc>
          <w:tcPr>
            <w:tcW w:w="1480" w:type="dxa"/>
            <w:tcBorders>
              <w:top w:val="single" w:sz="4" w:space="0" w:color="17365D"/>
              <w:left w:val="nil"/>
              <w:bottom w:val="single" w:sz="4" w:space="0" w:color="17365D"/>
              <w:right w:val="nil"/>
            </w:tcBorders>
            <w:shd w:val="clear" w:color="000000" w:fill="FFFFFF"/>
            <w:vAlign w:val="center"/>
          </w:tcPr>
          <w:p w14:paraId="7B37611B" w14:textId="35446FF5" w:rsidR="00AE45C4" w:rsidRPr="00B36A61" w:rsidRDefault="00AE45C4" w:rsidP="00AE45C4">
            <w:pPr>
              <w:pStyle w:val="Pamatteksts"/>
              <w:spacing w:before="40" w:after="40"/>
              <w:ind w:firstLine="0"/>
              <w:jc w:val="right"/>
              <w:rPr>
                <w:b/>
                <w:color w:val="17365D"/>
                <w:sz w:val="20"/>
                <w:szCs w:val="20"/>
              </w:rPr>
            </w:pPr>
            <w:r w:rsidRPr="00B36A61">
              <w:rPr>
                <w:b/>
                <w:bCs/>
                <w:color w:val="17365D"/>
                <w:sz w:val="20"/>
                <w:szCs w:val="20"/>
              </w:rPr>
              <w:t>563 000 081</w:t>
            </w:r>
          </w:p>
        </w:tc>
        <w:tc>
          <w:tcPr>
            <w:tcW w:w="1480" w:type="dxa"/>
            <w:tcBorders>
              <w:top w:val="single" w:sz="4" w:space="0" w:color="17365D"/>
              <w:left w:val="nil"/>
              <w:bottom w:val="single" w:sz="4" w:space="0" w:color="17365D"/>
              <w:right w:val="nil"/>
            </w:tcBorders>
            <w:shd w:val="clear" w:color="auto" w:fill="auto"/>
            <w:vAlign w:val="center"/>
          </w:tcPr>
          <w:p w14:paraId="169534DC" w14:textId="000914FC" w:rsidR="00AE45C4" w:rsidRPr="00B36A61" w:rsidRDefault="00AE45C4" w:rsidP="00AE45C4">
            <w:pPr>
              <w:pStyle w:val="Pamatteksts"/>
              <w:spacing w:before="40" w:after="40"/>
              <w:ind w:firstLine="0"/>
              <w:jc w:val="right"/>
              <w:rPr>
                <w:b/>
                <w:color w:val="17365D"/>
                <w:sz w:val="20"/>
                <w:szCs w:val="20"/>
              </w:rPr>
            </w:pPr>
            <w:r w:rsidRPr="00B36A61">
              <w:rPr>
                <w:b/>
                <w:bCs/>
                <w:color w:val="17365D"/>
                <w:sz w:val="20"/>
                <w:szCs w:val="20"/>
              </w:rPr>
              <w:t>505 453 107</w:t>
            </w:r>
          </w:p>
        </w:tc>
        <w:tc>
          <w:tcPr>
            <w:tcW w:w="1626" w:type="dxa"/>
            <w:tcBorders>
              <w:top w:val="single" w:sz="4" w:space="0" w:color="17365D"/>
              <w:left w:val="nil"/>
              <w:bottom w:val="single" w:sz="4" w:space="0" w:color="17365D"/>
              <w:right w:val="nil"/>
            </w:tcBorders>
            <w:shd w:val="clear" w:color="auto" w:fill="auto"/>
            <w:vAlign w:val="center"/>
          </w:tcPr>
          <w:p w14:paraId="75198CB3" w14:textId="1DF7E920" w:rsidR="00AE45C4" w:rsidRPr="00B36A61" w:rsidRDefault="00AE45C4" w:rsidP="00AE45C4">
            <w:pPr>
              <w:pStyle w:val="Pamatteksts"/>
              <w:spacing w:before="60" w:after="60"/>
              <w:ind w:left="-107" w:right="-105" w:firstLine="0"/>
              <w:jc w:val="right"/>
              <w:rPr>
                <w:b/>
                <w:color w:val="17365D"/>
                <w:sz w:val="20"/>
                <w:szCs w:val="20"/>
              </w:rPr>
            </w:pPr>
            <w:r w:rsidRPr="00B36A61">
              <w:rPr>
                <w:b/>
                <w:bCs/>
                <w:color w:val="17365D"/>
                <w:sz w:val="20"/>
                <w:szCs w:val="20"/>
              </w:rPr>
              <w:t>57 546 974</w:t>
            </w:r>
          </w:p>
        </w:tc>
        <w:tc>
          <w:tcPr>
            <w:tcW w:w="1328" w:type="dxa"/>
            <w:tcBorders>
              <w:top w:val="single" w:sz="4" w:space="0" w:color="17365D"/>
              <w:left w:val="nil"/>
              <w:bottom w:val="single" w:sz="4" w:space="0" w:color="17365D"/>
              <w:right w:val="nil"/>
            </w:tcBorders>
            <w:shd w:val="clear" w:color="auto" w:fill="auto"/>
            <w:vAlign w:val="center"/>
          </w:tcPr>
          <w:p w14:paraId="70379261" w14:textId="4EE0B2AF" w:rsidR="00AE45C4" w:rsidRPr="00B36A61" w:rsidRDefault="00AE45C4" w:rsidP="00AE45C4">
            <w:pPr>
              <w:pStyle w:val="Pamatteksts"/>
              <w:spacing w:before="40" w:after="40"/>
              <w:ind w:firstLine="0"/>
              <w:jc w:val="right"/>
              <w:rPr>
                <w:b/>
                <w:color w:val="17365D"/>
                <w:sz w:val="20"/>
                <w:szCs w:val="20"/>
              </w:rPr>
            </w:pPr>
            <w:r w:rsidRPr="00B36A61">
              <w:rPr>
                <w:b/>
                <w:bCs/>
                <w:color w:val="17365D"/>
                <w:sz w:val="20"/>
                <w:szCs w:val="20"/>
              </w:rPr>
              <w:t>11.4</w:t>
            </w:r>
          </w:p>
        </w:tc>
      </w:tr>
      <w:tr w:rsidR="00B36A61" w:rsidRPr="00B36A61" w14:paraId="4EFBB9BD" w14:textId="77777777" w:rsidTr="00856306">
        <w:trPr>
          <w:trHeight w:val="295"/>
        </w:trPr>
        <w:tc>
          <w:tcPr>
            <w:tcW w:w="884" w:type="dxa"/>
            <w:tcBorders>
              <w:top w:val="single" w:sz="4" w:space="0" w:color="17365D"/>
              <w:left w:val="nil"/>
              <w:bottom w:val="single" w:sz="4" w:space="0" w:color="17365D"/>
              <w:right w:val="nil"/>
            </w:tcBorders>
            <w:vAlign w:val="center"/>
          </w:tcPr>
          <w:p w14:paraId="7371EFD8" w14:textId="77777777" w:rsidR="00AE45C4" w:rsidRPr="00B36A61" w:rsidRDefault="00AE45C4" w:rsidP="00AE45C4">
            <w:pPr>
              <w:pStyle w:val="Pamatteksts"/>
              <w:spacing w:before="40" w:after="40"/>
              <w:ind w:firstLine="0"/>
              <w:jc w:val="left"/>
              <w:rPr>
                <w:color w:val="17365D"/>
                <w:sz w:val="20"/>
                <w:szCs w:val="20"/>
              </w:rPr>
            </w:pPr>
            <w:r w:rsidRPr="00B36A61">
              <w:rPr>
                <w:color w:val="17365D"/>
                <w:sz w:val="20"/>
                <w:szCs w:val="20"/>
              </w:rPr>
              <w:t>3.0.</w:t>
            </w:r>
          </w:p>
        </w:tc>
        <w:tc>
          <w:tcPr>
            <w:tcW w:w="2578" w:type="dxa"/>
            <w:tcBorders>
              <w:top w:val="single" w:sz="4" w:space="0" w:color="17365D"/>
              <w:left w:val="nil"/>
              <w:bottom w:val="single" w:sz="4" w:space="0" w:color="17365D"/>
              <w:right w:val="nil"/>
            </w:tcBorders>
            <w:shd w:val="clear" w:color="auto" w:fill="auto"/>
            <w:vAlign w:val="center"/>
          </w:tcPr>
          <w:p w14:paraId="750B1CC4" w14:textId="77777777" w:rsidR="00AE45C4" w:rsidRPr="00B36A61" w:rsidRDefault="00AE45C4" w:rsidP="00AE45C4">
            <w:pPr>
              <w:pStyle w:val="Pamatteksts"/>
              <w:spacing w:before="40" w:after="40"/>
              <w:ind w:firstLine="0"/>
              <w:rPr>
                <w:color w:val="17365D"/>
                <w:sz w:val="20"/>
                <w:szCs w:val="20"/>
              </w:rPr>
            </w:pPr>
            <w:r w:rsidRPr="00B36A61">
              <w:rPr>
                <w:bCs/>
                <w:color w:val="17365D"/>
                <w:sz w:val="20"/>
                <w:szCs w:val="20"/>
              </w:rPr>
              <w:t>Maksas pakalpojumi un citi pašu ieņēmumi</w:t>
            </w:r>
          </w:p>
        </w:tc>
        <w:tc>
          <w:tcPr>
            <w:tcW w:w="1480" w:type="dxa"/>
            <w:tcBorders>
              <w:top w:val="single" w:sz="4" w:space="0" w:color="17365D"/>
              <w:left w:val="nil"/>
              <w:bottom w:val="single" w:sz="4" w:space="0" w:color="17365D"/>
              <w:right w:val="nil"/>
            </w:tcBorders>
            <w:shd w:val="clear" w:color="000000" w:fill="FFFFFF"/>
            <w:vAlign w:val="center"/>
          </w:tcPr>
          <w:p w14:paraId="1D2ABE6C" w14:textId="35659489" w:rsidR="00AE45C4" w:rsidRPr="00B36A61" w:rsidRDefault="00AE45C4" w:rsidP="00AE45C4">
            <w:pPr>
              <w:pStyle w:val="Pamatteksts"/>
              <w:spacing w:before="40" w:after="40"/>
              <w:ind w:firstLine="0"/>
              <w:jc w:val="right"/>
              <w:rPr>
                <w:color w:val="17365D"/>
                <w:sz w:val="20"/>
                <w:szCs w:val="20"/>
              </w:rPr>
            </w:pPr>
            <w:r w:rsidRPr="00B36A61">
              <w:rPr>
                <w:bCs/>
                <w:color w:val="17365D"/>
                <w:sz w:val="20"/>
                <w:szCs w:val="20"/>
              </w:rPr>
              <w:t>166 491 826</w:t>
            </w:r>
          </w:p>
        </w:tc>
        <w:tc>
          <w:tcPr>
            <w:tcW w:w="1480" w:type="dxa"/>
            <w:tcBorders>
              <w:top w:val="single" w:sz="4" w:space="0" w:color="17365D"/>
              <w:left w:val="nil"/>
              <w:bottom w:val="single" w:sz="4" w:space="0" w:color="17365D"/>
              <w:right w:val="nil"/>
            </w:tcBorders>
            <w:shd w:val="clear" w:color="auto" w:fill="auto"/>
            <w:vAlign w:val="center"/>
          </w:tcPr>
          <w:p w14:paraId="0BD8014A" w14:textId="3F8A9C0C" w:rsidR="00AE45C4" w:rsidRPr="00B36A61" w:rsidRDefault="00AE45C4" w:rsidP="00AE45C4">
            <w:pPr>
              <w:pStyle w:val="Pamatteksts"/>
              <w:spacing w:before="40" w:after="40"/>
              <w:ind w:firstLine="0"/>
              <w:jc w:val="right"/>
              <w:rPr>
                <w:color w:val="17365D"/>
                <w:sz w:val="20"/>
                <w:szCs w:val="20"/>
              </w:rPr>
            </w:pPr>
            <w:r w:rsidRPr="00B36A61">
              <w:rPr>
                <w:bCs/>
                <w:color w:val="17365D"/>
                <w:sz w:val="20"/>
                <w:szCs w:val="20"/>
              </w:rPr>
              <w:t>152 773 915</w:t>
            </w:r>
          </w:p>
        </w:tc>
        <w:tc>
          <w:tcPr>
            <w:tcW w:w="1626" w:type="dxa"/>
            <w:tcBorders>
              <w:top w:val="single" w:sz="4" w:space="0" w:color="17365D"/>
              <w:left w:val="nil"/>
              <w:bottom w:val="single" w:sz="4" w:space="0" w:color="17365D"/>
              <w:right w:val="nil"/>
            </w:tcBorders>
            <w:shd w:val="clear" w:color="auto" w:fill="auto"/>
            <w:vAlign w:val="center"/>
          </w:tcPr>
          <w:p w14:paraId="78B6355E" w14:textId="363400EB" w:rsidR="00AE45C4" w:rsidRPr="00B36A61" w:rsidRDefault="00AE45C4" w:rsidP="00AE45C4">
            <w:pPr>
              <w:pStyle w:val="Pamatteksts"/>
              <w:spacing w:before="60" w:after="60"/>
              <w:ind w:left="-107" w:right="-105" w:firstLine="0"/>
              <w:jc w:val="right"/>
              <w:rPr>
                <w:color w:val="17365D"/>
                <w:sz w:val="20"/>
                <w:szCs w:val="20"/>
              </w:rPr>
            </w:pPr>
            <w:r w:rsidRPr="00B36A61">
              <w:rPr>
                <w:bCs/>
                <w:color w:val="17365D"/>
                <w:sz w:val="20"/>
                <w:szCs w:val="20"/>
              </w:rPr>
              <w:t>13 717 911</w:t>
            </w:r>
          </w:p>
        </w:tc>
        <w:tc>
          <w:tcPr>
            <w:tcW w:w="1328" w:type="dxa"/>
            <w:tcBorders>
              <w:top w:val="single" w:sz="4" w:space="0" w:color="17365D"/>
              <w:left w:val="nil"/>
              <w:bottom w:val="single" w:sz="4" w:space="0" w:color="17365D"/>
              <w:right w:val="nil"/>
            </w:tcBorders>
            <w:shd w:val="clear" w:color="auto" w:fill="auto"/>
            <w:vAlign w:val="center"/>
          </w:tcPr>
          <w:p w14:paraId="012A4DEA" w14:textId="6837F7AC" w:rsidR="00AE45C4" w:rsidRPr="00B36A61" w:rsidRDefault="00AE45C4" w:rsidP="00AE45C4">
            <w:pPr>
              <w:pStyle w:val="Pamatteksts"/>
              <w:spacing w:before="40" w:after="40"/>
              <w:ind w:firstLine="0"/>
              <w:jc w:val="right"/>
              <w:rPr>
                <w:color w:val="17365D"/>
                <w:sz w:val="20"/>
                <w:szCs w:val="20"/>
              </w:rPr>
            </w:pPr>
            <w:r w:rsidRPr="00B36A61">
              <w:rPr>
                <w:bCs/>
                <w:color w:val="17365D"/>
                <w:sz w:val="20"/>
                <w:szCs w:val="20"/>
              </w:rPr>
              <w:t>9.0</w:t>
            </w:r>
          </w:p>
        </w:tc>
      </w:tr>
      <w:tr w:rsidR="00B36A61" w:rsidRPr="00B36A61" w14:paraId="26FC907C" w14:textId="77777777" w:rsidTr="00856306">
        <w:trPr>
          <w:trHeight w:val="295"/>
        </w:trPr>
        <w:tc>
          <w:tcPr>
            <w:tcW w:w="884" w:type="dxa"/>
            <w:tcBorders>
              <w:top w:val="single" w:sz="4" w:space="0" w:color="17365D"/>
              <w:left w:val="nil"/>
              <w:bottom w:val="single" w:sz="4" w:space="0" w:color="17365D"/>
              <w:right w:val="nil"/>
            </w:tcBorders>
            <w:vAlign w:val="center"/>
          </w:tcPr>
          <w:p w14:paraId="2A115630" w14:textId="77777777" w:rsidR="00AE45C4" w:rsidRPr="00B36A61" w:rsidRDefault="00AE45C4" w:rsidP="00AE45C4">
            <w:pPr>
              <w:pStyle w:val="Pamatteksts"/>
              <w:spacing w:before="40" w:after="40"/>
              <w:ind w:firstLine="0"/>
              <w:jc w:val="left"/>
              <w:rPr>
                <w:color w:val="17365D"/>
                <w:sz w:val="20"/>
                <w:szCs w:val="20"/>
              </w:rPr>
            </w:pPr>
            <w:r w:rsidRPr="00B36A61">
              <w:rPr>
                <w:color w:val="17365D"/>
                <w:sz w:val="20"/>
                <w:szCs w:val="20"/>
              </w:rPr>
              <w:t>4.0.</w:t>
            </w:r>
          </w:p>
        </w:tc>
        <w:tc>
          <w:tcPr>
            <w:tcW w:w="2578" w:type="dxa"/>
            <w:tcBorders>
              <w:top w:val="single" w:sz="4" w:space="0" w:color="17365D"/>
              <w:left w:val="nil"/>
              <w:bottom w:val="single" w:sz="4" w:space="0" w:color="17365D"/>
              <w:right w:val="nil"/>
            </w:tcBorders>
            <w:shd w:val="clear" w:color="auto" w:fill="auto"/>
            <w:vAlign w:val="center"/>
          </w:tcPr>
          <w:p w14:paraId="76243C29" w14:textId="77777777" w:rsidR="00AE45C4" w:rsidRPr="00B36A61" w:rsidRDefault="00AE45C4" w:rsidP="00AE45C4">
            <w:pPr>
              <w:pStyle w:val="Pamatteksts"/>
              <w:spacing w:before="40" w:after="40"/>
              <w:ind w:firstLine="0"/>
              <w:rPr>
                <w:bCs/>
                <w:color w:val="17365D"/>
                <w:sz w:val="20"/>
                <w:szCs w:val="20"/>
              </w:rPr>
            </w:pPr>
            <w:r w:rsidRPr="00B36A61">
              <w:rPr>
                <w:bCs/>
                <w:color w:val="17365D"/>
                <w:sz w:val="20"/>
                <w:szCs w:val="20"/>
              </w:rPr>
              <w:t>Ārvalstu finanšu palīdzība</w:t>
            </w:r>
            <w:r w:rsidRPr="00B36A61">
              <w:rPr>
                <w:bCs/>
                <w:color w:val="17365D"/>
                <w:sz w:val="20"/>
                <w:szCs w:val="20"/>
              </w:rPr>
              <w:tab/>
            </w:r>
          </w:p>
        </w:tc>
        <w:tc>
          <w:tcPr>
            <w:tcW w:w="1480" w:type="dxa"/>
            <w:tcBorders>
              <w:top w:val="single" w:sz="4" w:space="0" w:color="17365D"/>
              <w:left w:val="nil"/>
              <w:bottom w:val="single" w:sz="4" w:space="0" w:color="17365D"/>
              <w:right w:val="nil"/>
            </w:tcBorders>
            <w:shd w:val="clear" w:color="000000" w:fill="FFFFFF"/>
            <w:vAlign w:val="center"/>
          </w:tcPr>
          <w:p w14:paraId="767F2E5F" w14:textId="67DC62E3" w:rsidR="00AE45C4" w:rsidRPr="00B36A61" w:rsidRDefault="00AE45C4" w:rsidP="00AE45C4">
            <w:pPr>
              <w:pStyle w:val="Pamatteksts"/>
              <w:spacing w:before="40" w:after="40"/>
              <w:ind w:firstLine="0"/>
              <w:jc w:val="right"/>
              <w:rPr>
                <w:color w:val="17365D"/>
                <w:sz w:val="20"/>
                <w:szCs w:val="20"/>
              </w:rPr>
            </w:pPr>
            <w:r w:rsidRPr="00B36A61">
              <w:rPr>
                <w:color w:val="17365D"/>
                <w:sz w:val="20"/>
                <w:szCs w:val="20"/>
              </w:rPr>
              <w:t>25 271 871</w:t>
            </w:r>
          </w:p>
        </w:tc>
        <w:tc>
          <w:tcPr>
            <w:tcW w:w="1480" w:type="dxa"/>
            <w:tcBorders>
              <w:top w:val="single" w:sz="4" w:space="0" w:color="17365D"/>
              <w:left w:val="nil"/>
              <w:bottom w:val="single" w:sz="4" w:space="0" w:color="17365D"/>
              <w:right w:val="nil"/>
            </w:tcBorders>
            <w:shd w:val="clear" w:color="auto" w:fill="auto"/>
            <w:vAlign w:val="center"/>
          </w:tcPr>
          <w:p w14:paraId="0822E2FC" w14:textId="533BC30B" w:rsidR="00AE45C4" w:rsidRPr="00B36A61" w:rsidRDefault="00AE45C4" w:rsidP="00AE45C4">
            <w:pPr>
              <w:pStyle w:val="Pamatteksts"/>
              <w:spacing w:before="40" w:after="40"/>
              <w:ind w:firstLine="0"/>
              <w:jc w:val="right"/>
              <w:rPr>
                <w:color w:val="17365D"/>
                <w:sz w:val="20"/>
                <w:szCs w:val="20"/>
              </w:rPr>
            </w:pPr>
            <w:r w:rsidRPr="00B36A61">
              <w:rPr>
                <w:color w:val="17365D"/>
                <w:sz w:val="20"/>
                <w:szCs w:val="20"/>
              </w:rPr>
              <w:t>19 117 814</w:t>
            </w:r>
          </w:p>
        </w:tc>
        <w:tc>
          <w:tcPr>
            <w:tcW w:w="1626" w:type="dxa"/>
            <w:tcBorders>
              <w:top w:val="single" w:sz="4" w:space="0" w:color="17365D"/>
              <w:left w:val="nil"/>
              <w:bottom w:val="single" w:sz="4" w:space="0" w:color="17365D"/>
              <w:right w:val="nil"/>
            </w:tcBorders>
            <w:shd w:val="clear" w:color="auto" w:fill="auto"/>
            <w:vAlign w:val="center"/>
          </w:tcPr>
          <w:p w14:paraId="3D6A8363" w14:textId="0E19AB4D" w:rsidR="00AE45C4" w:rsidRPr="00B36A61" w:rsidRDefault="00AE45C4" w:rsidP="00AE45C4">
            <w:pPr>
              <w:pStyle w:val="Pamatteksts"/>
              <w:spacing w:before="60" w:after="60"/>
              <w:ind w:left="-107" w:right="-105" w:firstLine="0"/>
              <w:jc w:val="right"/>
              <w:rPr>
                <w:color w:val="17365D"/>
                <w:sz w:val="20"/>
                <w:szCs w:val="20"/>
              </w:rPr>
            </w:pPr>
            <w:r w:rsidRPr="00B36A61">
              <w:rPr>
                <w:color w:val="17365D"/>
                <w:sz w:val="20"/>
                <w:szCs w:val="20"/>
              </w:rPr>
              <w:t>6 154 057</w:t>
            </w:r>
          </w:p>
        </w:tc>
        <w:tc>
          <w:tcPr>
            <w:tcW w:w="1328" w:type="dxa"/>
            <w:tcBorders>
              <w:top w:val="single" w:sz="4" w:space="0" w:color="17365D"/>
              <w:left w:val="nil"/>
              <w:bottom w:val="single" w:sz="4" w:space="0" w:color="17365D"/>
              <w:right w:val="nil"/>
            </w:tcBorders>
            <w:shd w:val="clear" w:color="auto" w:fill="auto"/>
            <w:vAlign w:val="center"/>
          </w:tcPr>
          <w:p w14:paraId="3A3F3C64" w14:textId="26FB9979" w:rsidR="00AE45C4" w:rsidRPr="00B36A61" w:rsidRDefault="00AE45C4" w:rsidP="00AE45C4">
            <w:pPr>
              <w:pStyle w:val="Pamatteksts"/>
              <w:spacing w:before="40" w:after="40"/>
              <w:ind w:firstLine="0"/>
              <w:jc w:val="right"/>
              <w:rPr>
                <w:color w:val="17365D"/>
                <w:sz w:val="20"/>
                <w:szCs w:val="20"/>
              </w:rPr>
            </w:pPr>
            <w:r w:rsidRPr="00B36A61">
              <w:rPr>
                <w:color w:val="17365D"/>
                <w:sz w:val="20"/>
                <w:szCs w:val="20"/>
              </w:rPr>
              <w:t>32.2</w:t>
            </w:r>
          </w:p>
        </w:tc>
      </w:tr>
      <w:tr w:rsidR="00B36A61" w:rsidRPr="00B36A61" w14:paraId="543B8B79" w14:textId="77777777" w:rsidTr="00856306">
        <w:trPr>
          <w:trHeight w:val="295"/>
        </w:trPr>
        <w:tc>
          <w:tcPr>
            <w:tcW w:w="884" w:type="dxa"/>
            <w:tcBorders>
              <w:top w:val="single" w:sz="4" w:space="0" w:color="17365D"/>
              <w:left w:val="nil"/>
              <w:bottom w:val="nil"/>
              <w:right w:val="nil"/>
            </w:tcBorders>
            <w:vAlign w:val="center"/>
          </w:tcPr>
          <w:p w14:paraId="423FBBD0" w14:textId="77777777" w:rsidR="00AE45C4" w:rsidRPr="00B36A61" w:rsidRDefault="00AE45C4" w:rsidP="00AE45C4">
            <w:pPr>
              <w:pStyle w:val="Pamatteksts"/>
              <w:spacing w:before="40" w:after="40"/>
              <w:ind w:firstLine="0"/>
              <w:jc w:val="left"/>
              <w:rPr>
                <w:color w:val="17365D"/>
                <w:sz w:val="20"/>
                <w:szCs w:val="20"/>
              </w:rPr>
            </w:pPr>
            <w:r w:rsidRPr="00B36A61">
              <w:rPr>
                <w:color w:val="17365D"/>
                <w:sz w:val="20"/>
                <w:szCs w:val="20"/>
              </w:rPr>
              <w:t>5.0.</w:t>
            </w:r>
          </w:p>
        </w:tc>
        <w:tc>
          <w:tcPr>
            <w:tcW w:w="2578" w:type="dxa"/>
            <w:tcBorders>
              <w:top w:val="single" w:sz="4" w:space="0" w:color="17365D"/>
              <w:left w:val="nil"/>
              <w:bottom w:val="nil"/>
              <w:right w:val="nil"/>
            </w:tcBorders>
            <w:shd w:val="clear" w:color="auto" w:fill="auto"/>
            <w:vAlign w:val="center"/>
          </w:tcPr>
          <w:p w14:paraId="22150171" w14:textId="77777777" w:rsidR="00AE45C4" w:rsidRPr="00B36A61" w:rsidRDefault="00AE45C4" w:rsidP="00AE45C4">
            <w:pPr>
              <w:pStyle w:val="Pamatteksts"/>
              <w:spacing w:before="40" w:after="40"/>
              <w:ind w:firstLine="0"/>
              <w:rPr>
                <w:color w:val="17365D"/>
                <w:sz w:val="20"/>
                <w:szCs w:val="20"/>
              </w:rPr>
            </w:pPr>
            <w:r w:rsidRPr="00B36A61">
              <w:rPr>
                <w:bCs/>
                <w:color w:val="17365D"/>
                <w:sz w:val="20"/>
                <w:szCs w:val="20"/>
              </w:rPr>
              <w:t>Transferti</w:t>
            </w:r>
          </w:p>
        </w:tc>
        <w:tc>
          <w:tcPr>
            <w:tcW w:w="1480" w:type="dxa"/>
            <w:tcBorders>
              <w:top w:val="single" w:sz="4" w:space="0" w:color="17365D"/>
              <w:left w:val="nil"/>
              <w:bottom w:val="nil"/>
              <w:right w:val="nil"/>
            </w:tcBorders>
            <w:shd w:val="clear" w:color="000000" w:fill="FFFFFF"/>
            <w:vAlign w:val="center"/>
          </w:tcPr>
          <w:p w14:paraId="6249FCE4" w14:textId="23B23220" w:rsidR="00AE45C4" w:rsidRPr="00B36A61" w:rsidRDefault="00AE45C4" w:rsidP="00AE45C4">
            <w:pPr>
              <w:pStyle w:val="Pamatteksts"/>
              <w:spacing w:before="40" w:after="40"/>
              <w:ind w:firstLine="0"/>
              <w:jc w:val="right"/>
              <w:rPr>
                <w:color w:val="17365D"/>
                <w:sz w:val="20"/>
                <w:szCs w:val="20"/>
              </w:rPr>
            </w:pPr>
            <w:r w:rsidRPr="00B36A61">
              <w:rPr>
                <w:color w:val="17365D"/>
                <w:sz w:val="20"/>
                <w:szCs w:val="20"/>
              </w:rPr>
              <w:t>371 236 384</w:t>
            </w:r>
          </w:p>
        </w:tc>
        <w:tc>
          <w:tcPr>
            <w:tcW w:w="1480" w:type="dxa"/>
            <w:tcBorders>
              <w:top w:val="single" w:sz="4" w:space="0" w:color="17365D"/>
              <w:left w:val="nil"/>
              <w:bottom w:val="nil"/>
              <w:right w:val="nil"/>
            </w:tcBorders>
            <w:shd w:val="clear" w:color="auto" w:fill="auto"/>
            <w:vAlign w:val="center"/>
          </w:tcPr>
          <w:p w14:paraId="4B77A9FE" w14:textId="702CB8AE" w:rsidR="00AE45C4" w:rsidRPr="00B36A61" w:rsidRDefault="00AE45C4" w:rsidP="00AE45C4">
            <w:pPr>
              <w:pStyle w:val="Pamatteksts"/>
              <w:spacing w:before="40" w:after="40"/>
              <w:ind w:firstLine="0"/>
              <w:jc w:val="right"/>
              <w:rPr>
                <w:color w:val="17365D"/>
                <w:sz w:val="20"/>
                <w:szCs w:val="20"/>
              </w:rPr>
            </w:pPr>
            <w:r w:rsidRPr="00B36A61">
              <w:rPr>
                <w:color w:val="17365D"/>
                <w:sz w:val="20"/>
                <w:szCs w:val="20"/>
              </w:rPr>
              <w:t>333 561 378</w:t>
            </w:r>
          </w:p>
        </w:tc>
        <w:tc>
          <w:tcPr>
            <w:tcW w:w="1626" w:type="dxa"/>
            <w:tcBorders>
              <w:top w:val="single" w:sz="4" w:space="0" w:color="17365D"/>
              <w:left w:val="nil"/>
              <w:bottom w:val="nil"/>
              <w:right w:val="nil"/>
            </w:tcBorders>
            <w:shd w:val="clear" w:color="auto" w:fill="auto"/>
            <w:vAlign w:val="center"/>
          </w:tcPr>
          <w:p w14:paraId="48C15615" w14:textId="2185B0BE" w:rsidR="00AE45C4" w:rsidRPr="00B36A61" w:rsidRDefault="00AE45C4" w:rsidP="00AE45C4">
            <w:pPr>
              <w:pStyle w:val="Pamatteksts"/>
              <w:spacing w:before="60" w:after="60"/>
              <w:ind w:left="-107" w:right="-105" w:firstLine="0"/>
              <w:jc w:val="right"/>
              <w:rPr>
                <w:color w:val="17365D"/>
                <w:sz w:val="20"/>
                <w:szCs w:val="20"/>
              </w:rPr>
            </w:pPr>
            <w:r w:rsidRPr="00B36A61">
              <w:rPr>
                <w:color w:val="17365D"/>
                <w:sz w:val="20"/>
                <w:szCs w:val="20"/>
              </w:rPr>
              <w:t>37 675 006</w:t>
            </w:r>
          </w:p>
        </w:tc>
        <w:tc>
          <w:tcPr>
            <w:tcW w:w="1328" w:type="dxa"/>
            <w:tcBorders>
              <w:top w:val="single" w:sz="4" w:space="0" w:color="17365D"/>
              <w:left w:val="nil"/>
              <w:bottom w:val="nil"/>
              <w:right w:val="nil"/>
            </w:tcBorders>
            <w:shd w:val="clear" w:color="auto" w:fill="auto"/>
            <w:vAlign w:val="center"/>
          </w:tcPr>
          <w:p w14:paraId="3C10312E" w14:textId="113FF302" w:rsidR="00AE45C4" w:rsidRPr="00B36A61" w:rsidRDefault="00AE45C4" w:rsidP="00AE45C4">
            <w:pPr>
              <w:pStyle w:val="Pamatteksts"/>
              <w:spacing w:before="40" w:after="40"/>
              <w:ind w:firstLine="0"/>
              <w:jc w:val="right"/>
              <w:rPr>
                <w:color w:val="17365D"/>
                <w:sz w:val="20"/>
                <w:szCs w:val="20"/>
              </w:rPr>
            </w:pPr>
            <w:r w:rsidRPr="00B36A61">
              <w:rPr>
                <w:color w:val="17365D"/>
                <w:sz w:val="20"/>
                <w:szCs w:val="20"/>
              </w:rPr>
              <w:t>11.3</w:t>
            </w:r>
          </w:p>
        </w:tc>
      </w:tr>
      <w:tr w:rsidR="00B36A61" w:rsidRPr="00B36A61" w14:paraId="0A62E1EE" w14:textId="77777777" w:rsidTr="00437740">
        <w:trPr>
          <w:trHeight w:val="295"/>
        </w:trPr>
        <w:tc>
          <w:tcPr>
            <w:tcW w:w="884" w:type="dxa"/>
            <w:tcBorders>
              <w:top w:val="nil"/>
              <w:left w:val="nil"/>
              <w:bottom w:val="nil"/>
              <w:right w:val="nil"/>
            </w:tcBorders>
            <w:shd w:val="clear" w:color="auto" w:fill="B9CDE5"/>
            <w:vAlign w:val="center"/>
          </w:tcPr>
          <w:p w14:paraId="3AAE92F2" w14:textId="77777777" w:rsidR="00467DFA" w:rsidRPr="00B36A61" w:rsidRDefault="00467DFA" w:rsidP="00EF0C1E">
            <w:pPr>
              <w:pStyle w:val="Pamatteksts"/>
              <w:spacing w:before="40" w:after="40"/>
              <w:ind w:firstLine="0"/>
              <w:jc w:val="left"/>
              <w:rPr>
                <w:color w:val="17365D"/>
                <w:sz w:val="20"/>
                <w:szCs w:val="20"/>
              </w:rPr>
            </w:pPr>
          </w:p>
        </w:tc>
        <w:tc>
          <w:tcPr>
            <w:tcW w:w="2578" w:type="dxa"/>
            <w:tcBorders>
              <w:top w:val="nil"/>
              <w:left w:val="nil"/>
              <w:bottom w:val="nil"/>
              <w:right w:val="nil"/>
            </w:tcBorders>
            <w:shd w:val="clear" w:color="auto" w:fill="B9CDE5"/>
            <w:vAlign w:val="center"/>
          </w:tcPr>
          <w:p w14:paraId="56482069" w14:textId="77777777" w:rsidR="00467DFA" w:rsidRPr="00B36A61" w:rsidRDefault="00467DFA" w:rsidP="00EF0C1E">
            <w:pPr>
              <w:pStyle w:val="Pamatteksts"/>
              <w:spacing w:before="40" w:after="40"/>
              <w:ind w:firstLine="0"/>
              <w:rPr>
                <w:bCs/>
                <w:color w:val="17365D"/>
                <w:sz w:val="20"/>
                <w:szCs w:val="20"/>
              </w:rPr>
            </w:pPr>
          </w:p>
        </w:tc>
        <w:tc>
          <w:tcPr>
            <w:tcW w:w="1480" w:type="dxa"/>
            <w:tcBorders>
              <w:top w:val="nil"/>
              <w:left w:val="nil"/>
              <w:bottom w:val="nil"/>
              <w:right w:val="nil"/>
            </w:tcBorders>
            <w:shd w:val="clear" w:color="auto" w:fill="B9CDE5"/>
            <w:vAlign w:val="center"/>
          </w:tcPr>
          <w:p w14:paraId="28103576" w14:textId="77777777" w:rsidR="00467DFA" w:rsidRPr="00B36A61" w:rsidRDefault="00467DFA" w:rsidP="00EF0C1E">
            <w:pPr>
              <w:pStyle w:val="Pamatteksts"/>
              <w:spacing w:before="40" w:after="40"/>
              <w:ind w:firstLine="0"/>
              <w:jc w:val="right"/>
              <w:rPr>
                <w:color w:val="17365D"/>
                <w:sz w:val="20"/>
                <w:szCs w:val="20"/>
              </w:rPr>
            </w:pPr>
          </w:p>
        </w:tc>
        <w:tc>
          <w:tcPr>
            <w:tcW w:w="1480" w:type="dxa"/>
            <w:tcBorders>
              <w:top w:val="nil"/>
              <w:left w:val="nil"/>
              <w:bottom w:val="nil"/>
              <w:right w:val="nil"/>
            </w:tcBorders>
            <w:shd w:val="clear" w:color="auto" w:fill="B9CDE5"/>
            <w:vAlign w:val="center"/>
          </w:tcPr>
          <w:p w14:paraId="10DFB721" w14:textId="77777777" w:rsidR="00467DFA" w:rsidRPr="00B36A61" w:rsidRDefault="00467DFA" w:rsidP="00EF0C1E">
            <w:pPr>
              <w:pStyle w:val="Pamatteksts"/>
              <w:spacing w:before="40" w:after="40"/>
              <w:ind w:firstLine="0"/>
              <w:jc w:val="right"/>
              <w:rPr>
                <w:color w:val="17365D"/>
                <w:sz w:val="20"/>
                <w:szCs w:val="20"/>
              </w:rPr>
            </w:pPr>
          </w:p>
        </w:tc>
        <w:tc>
          <w:tcPr>
            <w:tcW w:w="1626" w:type="dxa"/>
            <w:tcBorders>
              <w:top w:val="nil"/>
              <w:left w:val="nil"/>
              <w:bottom w:val="nil"/>
              <w:right w:val="nil"/>
            </w:tcBorders>
            <w:shd w:val="clear" w:color="auto" w:fill="B9CDE5"/>
            <w:vAlign w:val="center"/>
          </w:tcPr>
          <w:p w14:paraId="7181167F" w14:textId="77777777" w:rsidR="00467DFA" w:rsidRPr="00B36A61" w:rsidRDefault="00467DFA" w:rsidP="00EF0C1E">
            <w:pPr>
              <w:pStyle w:val="Pamatteksts"/>
              <w:spacing w:before="60" w:after="60"/>
              <w:ind w:left="-107" w:right="-105" w:firstLine="0"/>
              <w:jc w:val="right"/>
              <w:rPr>
                <w:color w:val="17365D"/>
                <w:sz w:val="20"/>
                <w:szCs w:val="20"/>
              </w:rPr>
            </w:pPr>
          </w:p>
        </w:tc>
        <w:tc>
          <w:tcPr>
            <w:tcW w:w="1328" w:type="dxa"/>
            <w:tcBorders>
              <w:top w:val="nil"/>
              <w:left w:val="nil"/>
              <w:bottom w:val="nil"/>
              <w:right w:val="nil"/>
            </w:tcBorders>
            <w:shd w:val="clear" w:color="auto" w:fill="B9CDE5"/>
            <w:vAlign w:val="center"/>
          </w:tcPr>
          <w:p w14:paraId="0048F81B" w14:textId="77777777" w:rsidR="00467DFA" w:rsidRPr="00B36A61" w:rsidRDefault="00467DFA" w:rsidP="00EF0C1E">
            <w:pPr>
              <w:pStyle w:val="Pamatteksts"/>
              <w:spacing w:before="40" w:after="40"/>
              <w:ind w:firstLine="0"/>
              <w:jc w:val="right"/>
              <w:rPr>
                <w:color w:val="17365D"/>
                <w:sz w:val="20"/>
                <w:szCs w:val="20"/>
              </w:rPr>
            </w:pPr>
          </w:p>
        </w:tc>
      </w:tr>
    </w:tbl>
    <w:p w14:paraId="33398C54" w14:textId="0F7A760E" w:rsidR="005F7B42" w:rsidRPr="00B36A61" w:rsidRDefault="005F7B42" w:rsidP="00DB1782">
      <w:pPr>
        <w:pStyle w:val="Pamatteksts"/>
        <w:ind w:left="851" w:firstLine="0"/>
        <w:rPr>
          <w:color w:val="17365D"/>
        </w:rPr>
      </w:pPr>
    </w:p>
    <w:p w14:paraId="02F926A6" w14:textId="41624D33" w:rsidR="000832D1" w:rsidRPr="00B36A61" w:rsidRDefault="0019052E" w:rsidP="004E28A8">
      <w:pPr>
        <w:pStyle w:val="Pamatteksts"/>
        <w:rPr>
          <w:noProof w:val="0"/>
          <w:color w:val="17365D"/>
        </w:rPr>
      </w:pPr>
      <w:r w:rsidRPr="00B36A61">
        <w:rPr>
          <w:b/>
          <w:color w:val="17365D"/>
        </w:rPr>
        <mc:AlternateContent>
          <mc:Choice Requires="wps">
            <w:drawing>
              <wp:anchor distT="0" distB="0" distL="114300" distR="114300" simplePos="0" relativeHeight="251649536" behindDoc="1" locked="0" layoutInCell="1" allowOverlap="1" wp14:anchorId="438B9FA4" wp14:editId="2E046791">
                <wp:simplePos x="0" y="0"/>
                <wp:positionH relativeFrom="column">
                  <wp:posOffset>4263390</wp:posOffset>
                </wp:positionH>
                <wp:positionV relativeFrom="paragraph">
                  <wp:posOffset>8890</wp:posOffset>
                </wp:positionV>
                <wp:extent cx="1680845" cy="813435"/>
                <wp:effectExtent l="0" t="0" r="14605" b="24765"/>
                <wp:wrapThrough wrapText="bothSides">
                  <wp:wrapPolygon edited="0">
                    <wp:start x="0" y="0"/>
                    <wp:lineTo x="0" y="21752"/>
                    <wp:lineTo x="21543" y="21752"/>
                    <wp:lineTo x="21543" y="0"/>
                    <wp:lineTo x="0" y="0"/>
                  </wp:wrapPolygon>
                </wp:wrapThrough>
                <wp:docPr id="38" name="Rectangle 38"/>
                <wp:cNvGraphicFramePr/>
                <a:graphic xmlns:a="http://schemas.openxmlformats.org/drawingml/2006/main">
                  <a:graphicData uri="http://schemas.microsoft.com/office/word/2010/wordprocessingShape">
                    <wps:wsp>
                      <wps:cNvSpPr/>
                      <wps:spPr>
                        <a:xfrm>
                          <a:off x="0" y="0"/>
                          <a:ext cx="1680845" cy="813435"/>
                        </a:xfrm>
                        <a:prstGeom prst="rect">
                          <a:avLst/>
                        </a:prstGeom>
                        <a:solidFill>
                          <a:sysClr val="window" lastClr="FFFFFF"/>
                        </a:solidFill>
                        <a:ln w="25400" cap="flat" cmpd="sng" algn="ctr">
                          <a:solidFill>
                            <a:srgbClr val="17365D"/>
                          </a:solidFill>
                          <a:prstDash val="sysDot"/>
                        </a:ln>
                        <a:effectLst/>
                      </wps:spPr>
                      <wps:txbx>
                        <w:txbxContent>
                          <w:p w14:paraId="01C00F07" w14:textId="77777777" w:rsidR="00B36A61" w:rsidRPr="00C939EF" w:rsidRDefault="00B36A61" w:rsidP="004B1D14">
                            <w:pPr>
                              <w:ind w:firstLine="0"/>
                              <w:jc w:val="center"/>
                              <w:rPr>
                                <w:color w:val="17365D"/>
                              </w:rPr>
                            </w:pPr>
                            <w:r w:rsidRPr="00C939EF">
                              <w:rPr>
                                <w:color w:val="17365D"/>
                              </w:rPr>
                              <w:t>Pamatdarbības izdevumi –</w:t>
                            </w:r>
                          </w:p>
                          <w:p w14:paraId="400D3903" w14:textId="3B46F7F3" w:rsidR="00B36A61" w:rsidRPr="00C939EF" w:rsidRDefault="00B36A61" w:rsidP="004B1D14">
                            <w:pPr>
                              <w:ind w:firstLine="0"/>
                              <w:jc w:val="center"/>
                              <w:rPr>
                                <w:color w:val="17365D"/>
                              </w:rPr>
                            </w:pPr>
                            <w:r w:rsidRPr="00FA4529">
                              <w:rPr>
                                <w:b/>
                                <w:color w:val="17365D"/>
                              </w:rPr>
                              <w:t xml:space="preserve">529 171 655 </w:t>
                            </w:r>
                            <w:r w:rsidRPr="00C939EF">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B9FA4" id="Rectangle 38" o:spid="_x0000_s1035" style="position:absolute;left:0;text-align:left;margin-left:335.7pt;margin-top:.7pt;width:132.35pt;height:64.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" fillcolor="window" strokecolor="#17365d" strokeweight="2pt">
                <v:stroke dashstyle="1 1"/>
                <v:textbox>
                  <w:txbxContent>
                    <w:p w14:paraId="01C00F07" w14:textId="77777777" w:rsidR="00B36A61" w:rsidRPr="00C939EF" w:rsidRDefault="00B36A61" w:rsidP="004B1D14">
                      <w:pPr>
                        <w:ind w:firstLine="0"/>
                        <w:jc w:val="center"/>
                        <w:rPr>
                          <w:color w:val="17365D"/>
                        </w:rPr>
                      </w:pPr>
                      <w:r w:rsidRPr="00C939EF">
                        <w:rPr>
                          <w:color w:val="17365D"/>
                        </w:rPr>
                        <w:t>Pamatdarbības izdevumi –</w:t>
                      </w:r>
                    </w:p>
                    <w:p w14:paraId="400D3903" w14:textId="3B46F7F3" w:rsidR="00B36A61" w:rsidRPr="00C939EF" w:rsidRDefault="00B36A61" w:rsidP="004B1D14">
                      <w:pPr>
                        <w:ind w:firstLine="0"/>
                        <w:jc w:val="center"/>
                        <w:rPr>
                          <w:color w:val="17365D"/>
                        </w:rPr>
                      </w:pPr>
                      <w:r w:rsidRPr="00FA4529">
                        <w:rPr>
                          <w:b/>
                          <w:color w:val="17365D"/>
                        </w:rPr>
                        <w:t xml:space="preserve">529 171 655 </w:t>
                      </w:r>
                      <w:r w:rsidRPr="00C939EF">
                        <w:rPr>
                          <w:i/>
                          <w:color w:val="17365D"/>
                        </w:rPr>
                        <w:t>euro</w:t>
                      </w:r>
                    </w:p>
                  </w:txbxContent>
                </v:textbox>
                <w10:wrap type="through"/>
              </v:rect>
            </w:pict>
          </mc:Fallback>
        </mc:AlternateContent>
      </w:r>
      <w:r w:rsidR="00311D5E" w:rsidRPr="00B36A61">
        <w:rPr>
          <w:noProof w:val="0"/>
          <w:color w:val="17365D"/>
        </w:rPr>
        <w:t xml:space="preserve">No valsts budžeta daļēji finansētu atvasinātu publisku personu </w:t>
      </w:r>
      <w:r w:rsidR="00311D5E" w:rsidRPr="00B36A61">
        <w:rPr>
          <w:iCs/>
          <w:noProof w:val="0"/>
          <w:color w:val="17365D"/>
        </w:rPr>
        <w:t xml:space="preserve">un budžeta nefinansētu iestāžu </w:t>
      </w:r>
      <w:r w:rsidR="00311D5E" w:rsidRPr="00B36A61">
        <w:rPr>
          <w:noProof w:val="0"/>
          <w:color w:val="17365D"/>
        </w:rPr>
        <w:t xml:space="preserve">pamatdarbības kopējie </w:t>
      </w:r>
      <w:r w:rsidR="00311D5E" w:rsidRPr="00B36A61">
        <w:rPr>
          <w:noProof w:val="0"/>
          <w:color w:val="17365D"/>
          <w:u w:val="single"/>
        </w:rPr>
        <w:t>izdevumi</w:t>
      </w:r>
      <w:r w:rsidR="00311D5E" w:rsidRPr="00B36A61">
        <w:rPr>
          <w:noProof w:val="0"/>
          <w:color w:val="17365D"/>
        </w:rPr>
        <w:t xml:space="preserve"> </w:t>
      </w:r>
      <w:r w:rsidR="008F2503" w:rsidRPr="00B36A61">
        <w:rPr>
          <w:noProof w:val="0"/>
          <w:color w:val="17365D"/>
        </w:rPr>
        <w:t>20</w:t>
      </w:r>
      <w:r w:rsidR="00CD2374" w:rsidRPr="00B36A61">
        <w:rPr>
          <w:noProof w:val="0"/>
          <w:color w:val="17365D"/>
        </w:rPr>
        <w:t>2</w:t>
      </w:r>
      <w:r w:rsidR="00B02451" w:rsidRPr="00B36A61">
        <w:rPr>
          <w:noProof w:val="0"/>
          <w:color w:val="17365D"/>
        </w:rPr>
        <w:t>2</w:t>
      </w:r>
      <w:r w:rsidR="008F2503" w:rsidRPr="00B36A61">
        <w:rPr>
          <w:noProof w:val="0"/>
          <w:color w:val="17365D"/>
        </w:rPr>
        <w:t>. gad</w:t>
      </w:r>
      <w:r w:rsidR="00311D5E" w:rsidRPr="00B36A61">
        <w:rPr>
          <w:noProof w:val="0"/>
          <w:color w:val="17365D"/>
        </w:rPr>
        <w:t xml:space="preserve">ā sasniedza </w:t>
      </w:r>
      <w:r w:rsidR="00B02451" w:rsidRPr="00B36A61">
        <w:rPr>
          <w:noProof w:val="0"/>
          <w:color w:val="17365D"/>
        </w:rPr>
        <w:t>529</w:t>
      </w:r>
      <w:r w:rsidR="00311D5E" w:rsidRPr="00B36A61">
        <w:rPr>
          <w:noProof w:val="0"/>
          <w:color w:val="17365D"/>
        </w:rPr>
        <w:t>,</w:t>
      </w:r>
      <w:r w:rsidR="00B02451" w:rsidRPr="00B36A61">
        <w:rPr>
          <w:noProof w:val="0"/>
          <w:color w:val="17365D"/>
        </w:rPr>
        <w:t>2</w:t>
      </w:r>
      <w:r w:rsidR="0057275A" w:rsidRPr="00B36A61">
        <w:rPr>
          <w:noProof w:val="0"/>
          <w:color w:val="17365D"/>
        </w:rPr>
        <w:t> </w:t>
      </w:r>
      <w:r w:rsidR="00311D5E" w:rsidRPr="00B36A61">
        <w:rPr>
          <w:noProof w:val="0"/>
          <w:color w:val="17365D"/>
        </w:rPr>
        <w:t>milj</w:t>
      </w:r>
      <w:r w:rsidR="00FC260A" w:rsidRPr="00B36A61">
        <w:rPr>
          <w:noProof w:val="0"/>
          <w:color w:val="17365D"/>
        </w:rPr>
        <w:t>. </w:t>
      </w:r>
      <w:r w:rsidR="00EF7B9A" w:rsidRPr="00B36A61">
        <w:rPr>
          <w:i/>
          <w:noProof w:val="0"/>
          <w:color w:val="17365D"/>
        </w:rPr>
        <w:t>euro</w:t>
      </w:r>
      <w:r w:rsidR="00B07BC5" w:rsidRPr="00B36A61">
        <w:rPr>
          <w:i/>
          <w:noProof w:val="0"/>
          <w:color w:val="17365D"/>
        </w:rPr>
        <w:t xml:space="preserve"> </w:t>
      </w:r>
      <w:r w:rsidR="00B07BC5" w:rsidRPr="00B36A61">
        <w:rPr>
          <w:noProof w:val="0"/>
          <w:color w:val="17365D"/>
        </w:rPr>
        <w:t>vērtībā</w:t>
      </w:r>
      <w:r w:rsidR="00395AC6" w:rsidRPr="00B36A61">
        <w:rPr>
          <w:noProof w:val="0"/>
          <w:color w:val="17365D"/>
        </w:rPr>
        <w:t xml:space="preserve"> (skatīt </w:t>
      </w:r>
      <w:r w:rsidR="00372032" w:rsidRPr="00B36A61">
        <w:rPr>
          <w:noProof w:val="0"/>
          <w:color w:val="17365D"/>
        </w:rPr>
        <w:t>9</w:t>
      </w:r>
      <w:r w:rsidR="00395AC6" w:rsidRPr="00B36A61">
        <w:rPr>
          <w:noProof w:val="0"/>
          <w:color w:val="17365D"/>
        </w:rPr>
        <w:t>. tabulu)</w:t>
      </w:r>
      <w:r w:rsidR="00311D5E" w:rsidRPr="00B36A61">
        <w:rPr>
          <w:noProof w:val="0"/>
          <w:color w:val="17365D"/>
        </w:rPr>
        <w:t xml:space="preserve">. Salīdzinot ar </w:t>
      </w:r>
      <w:r w:rsidR="008F2503" w:rsidRPr="00B36A61">
        <w:rPr>
          <w:noProof w:val="0"/>
          <w:color w:val="17365D"/>
        </w:rPr>
        <w:t>20</w:t>
      </w:r>
      <w:r w:rsidR="00CF676C" w:rsidRPr="00B36A61">
        <w:rPr>
          <w:noProof w:val="0"/>
          <w:color w:val="17365D"/>
        </w:rPr>
        <w:t>2</w:t>
      </w:r>
      <w:r w:rsidR="00B02451" w:rsidRPr="00B36A61">
        <w:rPr>
          <w:noProof w:val="0"/>
          <w:color w:val="17365D"/>
        </w:rPr>
        <w:t>1</w:t>
      </w:r>
      <w:r w:rsidR="008F2503" w:rsidRPr="00B36A61">
        <w:rPr>
          <w:noProof w:val="0"/>
          <w:color w:val="17365D"/>
        </w:rPr>
        <w:t>. </w:t>
      </w:r>
      <w:r w:rsidR="00FC260A" w:rsidRPr="00B36A61">
        <w:rPr>
          <w:noProof w:val="0"/>
          <w:color w:val="17365D"/>
        </w:rPr>
        <w:t>g</w:t>
      </w:r>
      <w:r w:rsidR="008F2503" w:rsidRPr="00B36A61">
        <w:rPr>
          <w:noProof w:val="0"/>
          <w:color w:val="17365D"/>
        </w:rPr>
        <w:t>ad</w:t>
      </w:r>
      <w:r w:rsidR="00311D5E" w:rsidRPr="00B36A61">
        <w:rPr>
          <w:noProof w:val="0"/>
          <w:color w:val="17365D"/>
        </w:rPr>
        <w:t>u</w:t>
      </w:r>
      <w:r w:rsidR="00AA1F22" w:rsidRPr="00B36A61">
        <w:rPr>
          <w:noProof w:val="0"/>
          <w:color w:val="17365D"/>
        </w:rPr>
        <w:t>,</w:t>
      </w:r>
      <w:r w:rsidR="00311D5E" w:rsidRPr="00B36A61">
        <w:rPr>
          <w:noProof w:val="0"/>
          <w:color w:val="17365D"/>
        </w:rPr>
        <w:t xml:space="preserve"> izdevumi </w:t>
      </w:r>
      <w:r w:rsidR="0052022A" w:rsidRPr="00B36A61">
        <w:rPr>
          <w:noProof w:val="0"/>
          <w:color w:val="17365D"/>
        </w:rPr>
        <w:t>paliel</w:t>
      </w:r>
      <w:r w:rsidR="003A38BF" w:rsidRPr="00B36A61">
        <w:rPr>
          <w:noProof w:val="0"/>
          <w:color w:val="17365D"/>
        </w:rPr>
        <w:t>i</w:t>
      </w:r>
      <w:r w:rsidR="00311D5E" w:rsidRPr="00B36A61">
        <w:rPr>
          <w:noProof w:val="0"/>
          <w:color w:val="17365D"/>
        </w:rPr>
        <w:t xml:space="preserve">nājušies par </w:t>
      </w:r>
      <w:r w:rsidR="00B02451" w:rsidRPr="00B36A61">
        <w:rPr>
          <w:noProof w:val="0"/>
          <w:color w:val="17365D"/>
        </w:rPr>
        <w:t>49</w:t>
      </w:r>
      <w:r w:rsidR="00311D5E" w:rsidRPr="00B36A61">
        <w:rPr>
          <w:noProof w:val="0"/>
          <w:color w:val="17365D"/>
        </w:rPr>
        <w:t>,</w:t>
      </w:r>
      <w:r w:rsidR="00B02451" w:rsidRPr="00B36A61">
        <w:rPr>
          <w:noProof w:val="0"/>
          <w:color w:val="17365D"/>
        </w:rPr>
        <w:t>6</w:t>
      </w:r>
      <w:r w:rsidR="0057275A" w:rsidRPr="00B36A61">
        <w:rPr>
          <w:noProof w:val="0"/>
          <w:color w:val="17365D"/>
        </w:rPr>
        <w:t> </w:t>
      </w:r>
      <w:r w:rsidR="00FC260A" w:rsidRPr="00B36A61">
        <w:rPr>
          <w:noProof w:val="0"/>
          <w:color w:val="17365D"/>
        </w:rPr>
        <w:t>milj. </w:t>
      </w:r>
      <w:r w:rsidR="00EF7B9A" w:rsidRPr="00B36A61">
        <w:rPr>
          <w:i/>
          <w:noProof w:val="0"/>
          <w:color w:val="17365D"/>
        </w:rPr>
        <w:t>euro</w:t>
      </w:r>
      <w:r w:rsidR="00311D5E" w:rsidRPr="00B36A61">
        <w:rPr>
          <w:noProof w:val="0"/>
          <w:color w:val="17365D"/>
        </w:rPr>
        <w:t xml:space="preserve"> jeb </w:t>
      </w:r>
      <w:r w:rsidR="00B02451" w:rsidRPr="00B36A61">
        <w:rPr>
          <w:noProof w:val="0"/>
          <w:color w:val="17365D"/>
        </w:rPr>
        <w:t>10</w:t>
      </w:r>
      <w:r w:rsidR="00311D5E" w:rsidRPr="00B36A61">
        <w:rPr>
          <w:noProof w:val="0"/>
          <w:color w:val="17365D"/>
        </w:rPr>
        <w:t>,</w:t>
      </w:r>
      <w:r w:rsidR="00B02451" w:rsidRPr="00B36A61">
        <w:rPr>
          <w:noProof w:val="0"/>
          <w:color w:val="17365D"/>
        </w:rPr>
        <w:t>3</w:t>
      </w:r>
      <w:r w:rsidR="006A7956" w:rsidRPr="00B36A61">
        <w:rPr>
          <w:noProof w:val="0"/>
          <w:color w:val="17365D"/>
        </w:rPr>
        <w:t> %</w:t>
      </w:r>
      <w:r w:rsidR="00311D5E" w:rsidRPr="00B36A61">
        <w:rPr>
          <w:noProof w:val="0"/>
          <w:color w:val="17365D"/>
        </w:rPr>
        <w:t>.</w:t>
      </w:r>
      <w:r w:rsidR="006A7956" w:rsidRPr="00B36A61">
        <w:rPr>
          <w:noProof w:val="0"/>
          <w:color w:val="17365D"/>
        </w:rPr>
        <w:t xml:space="preserve"> </w:t>
      </w:r>
    </w:p>
    <w:p w14:paraId="452F1650" w14:textId="11098427" w:rsidR="00EC5785" w:rsidRPr="00B36A61" w:rsidRDefault="00372032" w:rsidP="0037200B">
      <w:pPr>
        <w:spacing w:after="0"/>
        <w:ind w:firstLine="0"/>
        <w:jc w:val="right"/>
        <w:rPr>
          <w:rFonts w:eastAsia="Arial Unicode MS"/>
          <w:i/>
          <w:color w:val="17365D"/>
          <w:sz w:val="20"/>
        </w:rPr>
      </w:pPr>
      <w:r w:rsidRPr="00B36A61">
        <w:rPr>
          <w:rFonts w:eastAsia="Arial Unicode MS"/>
          <w:i/>
          <w:color w:val="17365D"/>
          <w:sz w:val="20"/>
        </w:rPr>
        <w:t>9</w:t>
      </w:r>
      <w:r w:rsidR="00EC5785" w:rsidRPr="00B36A61">
        <w:rPr>
          <w:rFonts w:eastAsia="Arial Unicode MS"/>
          <w:i/>
          <w:color w:val="17365D"/>
          <w:sz w:val="20"/>
        </w:rPr>
        <w:t xml:space="preserve">. tabula. </w:t>
      </w:r>
      <w:r w:rsidR="00EC5785" w:rsidRPr="00B36A61">
        <w:rPr>
          <w:bCs/>
          <w:i/>
          <w:color w:val="17365D"/>
          <w:sz w:val="20"/>
          <w:szCs w:val="20"/>
        </w:rPr>
        <w:t>Izdevum</w:t>
      </w:r>
      <w:r w:rsidR="0019052E" w:rsidRPr="00B36A61">
        <w:rPr>
          <w:bCs/>
          <w:i/>
          <w:color w:val="17365D"/>
          <w:sz w:val="20"/>
          <w:szCs w:val="20"/>
        </w:rPr>
        <w:t>u</w:t>
      </w:r>
      <w:r w:rsidR="00EC5785" w:rsidRPr="00B36A61">
        <w:rPr>
          <w:bCs/>
          <w:i/>
          <w:color w:val="17365D"/>
          <w:sz w:val="20"/>
          <w:szCs w:val="20"/>
        </w:rPr>
        <w:t xml:space="preserve"> no pamat</w:t>
      </w:r>
      <w:r w:rsidR="0019052E" w:rsidRPr="00B36A61">
        <w:rPr>
          <w:bCs/>
          <w:i/>
          <w:color w:val="17365D"/>
          <w:sz w:val="20"/>
          <w:szCs w:val="20"/>
        </w:rPr>
        <w:t>darbības izmaiņas</w:t>
      </w:r>
      <w:r w:rsidR="00EC5785" w:rsidRPr="00B36A61">
        <w:rPr>
          <w:bCs/>
          <w:i/>
          <w:color w:val="17365D"/>
          <w:sz w:val="20"/>
          <w:szCs w:val="20"/>
        </w:rPr>
        <w:t xml:space="preserve"> (</w:t>
      </w:r>
      <w:r w:rsidR="00EC5785" w:rsidRPr="00B36A61">
        <w:rPr>
          <w:i/>
          <w:color w:val="17365D"/>
          <w:sz w:val="20"/>
        </w:rPr>
        <w:t>euro)</w:t>
      </w:r>
    </w:p>
    <w:tbl>
      <w:tblPr>
        <w:tblStyle w:val="TableGrid"/>
        <w:tblW w:w="9385" w:type="dxa"/>
        <w:tblInd w:w="-5" w:type="dxa"/>
        <w:tblBorders>
          <w:top w:val="none" w:sz="0" w:space="0" w:color="auto"/>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904"/>
        <w:gridCol w:w="2566"/>
        <w:gridCol w:w="1482"/>
        <w:gridCol w:w="1482"/>
        <w:gridCol w:w="1634"/>
        <w:gridCol w:w="1317"/>
      </w:tblGrid>
      <w:tr w:rsidR="00B36A61" w:rsidRPr="00B36A61" w14:paraId="634EFCA7" w14:textId="77777777" w:rsidTr="009C6221">
        <w:trPr>
          <w:trHeight w:val="284"/>
          <w:tblHeader/>
        </w:trPr>
        <w:tc>
          <w:tcPr>
            <w:tcW w:w="904" w:type="dxa"/>
            <w:vMerge w:val="restart"/>
            <w:tcBorders>
              <w:top w:val="nil"/>
            </w:tcBorders>
            <w:shd w:val="clear" w:color="auto" w:fill="B9CDE5"/>
            <w:vAlign w:val="center"/>
          </w:tcPr>
          <w:p w14:paraId="3A77DC8B" w14:textId="355863FD" w:rsidR="006B7C49" w:rsidRPr="00B36A61" w:rsidRDefault="006B7C49" w:rsidP="004753B6">
            <w:pPr>
              <w:pStyle w:val="Pamatteksts"/>
              <w:spacing w:before="60" w:after="60"/>
              <w:ind w:firstLine="0"/>
              <w:jc w:val="center"/>
              <w:rPr>
                <w:b/>
                <w:color w:val="17365D"/>
                <w:sz w:val="20"/>
                <w:szCs w:val="20"/>
              </w:rPr>
            </w:pPr>
            <w:r w:rsidRPr="00B36A61">
              <w:rPr>
                <w:b/>
                <w:color w:val="17365D"/>
                <w:sz w:val="20"/>
                <w:szCs w:val="20"/>
              </w:rPr>
              <w:t>Klasifi-kācijas kods</w:t>
            </w:r>
          </w:p>
        </w:tc>
        <w:tc>
          <w:tcPr>
            <w:tcW w:w="2566" w:type="dxa"/>
            <w:vMerge w:val="restart"/>
            <w:tcBorders>
              <w:top w:val="nil"/>
            </w:tcBorders>
            <w:shd w:val="clear" w:color="auto" w:fill="B9CDE5"/>
            <w:vAlign w:val="center"/>
          </w:tcPr>
          <w:p w14:paraId="2354A667" w14:textId="77777777" w:rsidR="006B7C49" w:rsidRPr="00B36A61" w:rsidRDefault="006B7C49" w:rsidP="004753B6">
            <w:pPr>
              <w:pStyle w:val="Pamatteksts"/>
              <w:spacing w:before="60" w:after="60"/>
              <w:ind w:firstLine="0"/>
              <w:jc w:val="center"/>
              <w:rPr>
                <w:b/>
                <w:color w:val="17365D"/>
                <w:sz w:val="20"/>
                <w:szCs w:val="20"/>
              </w:rPr>
            </w:pPr>
            <w:r w:rsidRPr="00B36A61">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37A5D0CB" w14:textId="77777777" w:rsidR="006B7C49" w:rsidRPr="00B36A61" w:rsidRDefault="006B7C49" w:rsidP="004753B6">
            <w:pPr>
              <w:pStyle w:val="Pamatteksts"/>
              <w:spacing w:before="60" w:after="60"/>
              <w:ind w:firstLine="0"/>
              <w:jc w:val="center"/>
              <w:rPr>
                <w:b/>
                <w:color w:val="17365D"/>
                <w:sz w:val="20"/>
                <w:szCs w:val="20"/>
              </w:rPr>
            </w:pPr>
            <w:r w:rsidRPr="00B36A61">
              <w:rPr>
                <w:b/>
                <w:color w:val="17365D"/>
                <w:sz w:val="20"/>
                <w:szCs w:val="20"/>
              </w:rPr>
              <w:t>Budžeta izpilde</w:t>
            </w:r>
          </w:p>
        </w:tc>
        <w:tc>
          <w:tcPr>
            <w:tcW w:w="1634" w:type="dxa"/>
            <w:vMerge w:val="restart"/>
            <w:tcBorders>
              <w:top w:val="nil"/>
            </w:tcBorders>
            <w:shd w:val="clear" w:color="auto" w:fill="B9CDE5"/>
            <w:vAlign w:val="center"/>
          </w:tcPr>
          <w:p w14:paraId="32C346B2" w14:textId="707DBA8B" w:rsidR="006B7C49" w:rsidRPr="00B36A61" w:rsidRDefault="006B7C49" w:rsidP="004E28A8">
            <w:pPr>
              <w:pStyle w:val="Pamatteksts"/>
              <w:spacing w:before="60" w:after="60"/>
              <w:ind w:left="-107" w:right="-105" w:firstLine="0"/>
              <w:jc w:val="center"/>
              <w:rPr>
                <w:b/>
                <w:color w:val="17365D"/>
                <w:sz w:val="20"/>
                <w:szCs w:val="20"/>
              </w:rPr>
            </w:pPr>
            <w:r w:rsidRPr="00B36A61">
              <w:rPr>
                <w:b/>
                <w:color w:val="17365D"/>
                <w:sz w:val="20"/>
                <w:szCs w:val="20"/>
              </w:rPr>
              <w:t>Palielinājums (+), samazinājums (–)</w:t>
            </w:r>
          </w:p>
          <w:p w14:paraId="6F47DFEC" w14:textId="4332059B" w:rsidR="006B7C49" w:rsidRPr="00B36A61" w:rsidRDefault="006B7C49" w:rsidP="004E28A8">
            <w:pPr>
              <w:pStyle w:val="Pamatteksts"/>
              <w:spacing w:before="60" w:after="60"/>
              <w:ind w:left="-107" w:right="-105" w:firstLine="0"/>
              <w:jc w:val="center"/>
              <w:rPr>
                <w:b/>
                <w:color w:val="17365D"/>
                <w:sz w:val="20"/>
                <w:szCs w:val="20"/>
              </w:rPr>
            </w:pPr>
            <w:r w:rsidRPr="00B36A61">
              <w:rPr>
                <w:b/>
                <w:color w:val="17365D"/>
                <w:sz w:val="20"/>
                <w:szCs w:val="20"/>
              </w:rPr>
              <w:t>(1.–2.)</w:t>
            </w:r>
          </w:p>
        </w:tc>
        <w:tc>
          <w:tcPr>
            <w:tcW w:w="1317" w:type="dxa"/>
            <w:vMerge w:val="restart"/>
            <w:tcBorders>
              <w:top w:val="nil"/>
            </w:tcBorders>
            <w:shd w:val="clear" w:color="auto" w:fill="B9CDE5"/>
            <w:vAlign w:val="center"/>
          </w:tcPr>
          <w:p w14:paraId="336666C8" w14:textId="77777777" w:rsidR="006B7C49" w:rsidRPr="00B36A61" w:rsidRDefault="006B7C49" w:rsidP="004753B6">
            <w:pPr>
              <w:pStyle w:val="Pamatteksts"/>
              <w:spacing w:before="60" w:after="60"/>
              <w:ind w:firstLine="0"/>
              <w:jc w:val="center"/>
              <w:rPr>
                <w:b/>
                <w:color w:val="17365D"/>
                <w:sz w:val="20"/>
                <w:szCs w:val="20"/>
              </w:rPr>
            </w:pPr>
            <w:r w:rsidRPr="00B36A61">
              <w:rPr>
                <w:b/>
                <w:color w:val="17365D"/>
                <w:sz w:val="20"/>
                <w:szCs w:val="20"/>
              </w:rPr>
              <w:t>Procentuālās izmaiņas</w:t>
            </w:r>
          </w:p>
          <w:p w14:paraId="7A81DED8" w14:textId="048960FD" w:rsidR="006B7C49" w:rsidRPr="00B36A61" w:rsidRDefault="006B7C49" w:rsidP="00FF21FE">
            <w:pPr>
              <w:pStyle w:val="Pamatteksts"/>
              <w:spacing w:before="60" w:after="60"/>
              <w:ind w:firstLine="0"/>
              <w:jc w:val="center"/>
              <w:rPr>
                <w:b/>
                <w:color w:val="17365D"/>
                <w:sz w:val="20"/>
                <w:szCs w:val="20"/>
              </w:rPr>
            </w:pPr>
            <w:r w:rsidRPr="00B36A61">
              <w:rPr>
                <w:b/>
                <w:color w:val="17365D"/>
                <w:sz w:val="20"/>
                <w:szCs w:val="20"/>
              </w:rPr>
              <w:t>(</w:t>
            </w:r>
            <w:r w:rsidR="00FF21FE" w:rsidRPr="00B36A61">
              <w:rPr>
                <w:b/>
                <w:color w:val="17365D"/>
                <w:sz w:val="20"/>
                <w:szCs w:val="20"/>
              </w:rPr>
              <w:t>3</w:t>
            </w:r>
            <w:r w:rsidRPr="00B36A61">
              <w:rPr>
                <w:b/>
                <w:color w:val="17365D"/>
                <w:sz w:val="20"/>
                <w:szCs w:val="20"/>
              </w:rPr>
              <w:t>./2. x 100)</w:t>
            </w:r>
          </w:p>
        </w:tc>
      </w:tr>
      <w:tr w:rsidR="00B36A61" w:rsidRPr="00B36A61" w14:paraId="768C1992" w14:textId="77777777" w:rsidTr="00856306">
        <w:trPr>
          <w:trHeight w:val="284"/>
          <w:tblHeader/>
        </w:trPr>
        <w:tc>
          <w:tcPr>
            <w:tcW w:w="904" w:type="dxa"/>
            <w:vMerge/>
            <w:tcBorders>
              <w:bottom w:val="nil"/>
            </w:tcBorders>
            <w:vAlign w:val="center"/>
          </w:tcPr>
          <w:p w14:paraId="683F79FE" w14:textId="77777777" w:rsidR="006B7C49" w:rsidRPr="00B36A61" w:rsidRDefault="006B7C49" w:rsidP="0019052E">
            <w:pPr>
              <w:pStyle w:val="Pamatteksts"/>
              <w:spacing w:after="0"/>
              <w:ind w:firstLine="0"/>
              <w:jc w:val="center"/>
              <w:rPr>
                <w:color w:val="17365D"/>
                <w:sz w:val="20"/>
                <w:szCs w:val="20"/>
              </w:rPr>
            </w:pPr>
          </w:p>
        </w:tc>
        <w:tc>
          <w:tcPr>
            <w:tcW w:w="2566" w:type="dxa"/>
            <w:vMerge/>
            <w:tcBorders>
              <w:bottom w:val="nil"/>
            </w:tcBorders>
            <w:vAlign w:val="center"/>
          </w:tcPr>
          <w:p w14:paraId="6637F19E" w14:textId="77777777" w:rsidR="006B7C49" w:rsidRPr="00B36A61" w:rsidRDefault="006B7C49" w:rsidP="0019052E">
            <w:pPr>
              <w:pStyle w:val="Pamatteksts"/>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6B1BA13F" w14:textId="77777777" w:rsidR="006B7C49" w:rsidRPr="00B36A61" w:rsidRDefault="006B7C49" w:rsidP="004753B6">
            <w:pPr>
              <w:spacing w:before="60" w:after="60"/>
              <w:ind w:firstLine="0"/>
              <w:jc w:val="center"/>
              <w:rPr>
                <w:b/>
                <w:noProof/>
                <w:color w:val="17365D"/>
                <w:sz w:val="20"/>
                <w:szCs w:val="20"/>
              </w:rPr>
            </w:pPr>
            <w:r w:rsidRPr="00B36A61">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1E05EC85" w14:textId="77777777" w:rsidR="006B7C49" w:rsidRPr="00B36A61" w:rsidRDefault="006B7C49" w:rsidP="004753B6">
            <w:pPr>
              <w:spacing w:before="60" w:after="60"/>
              <w:ind w:firstLine="0"/>
              <w:jc w:val="center"/>
              <w:rPr>
                <w:b/>
                <w:noProof/>
                <w:color w:val="17365D"/>
                <w:sz w:val="20"/>
                <w:szCs w:val="20"/>
              </w:rPr>
            </w:pPr>
            <w:r w:rsidRPr="00B36A61">
              <w:rPr>
                <w:b/>
                <w:color w:val="17365D"/>
                <w:sz w:val="20"/>
                <w:szCs w:val="20"/>
              </w:rPr>
              <w:t>iepriekšējā pārskata periodā</w:t>
            </w:r>
          </w:p>
        </w:tc>
        <w:tc>
          <w:tcPr>
            <w:tcW w:w="1634" w:type="dxa"/>
            <w:vMerge/>
            <w:tcBorders>
              <w:bottom w:val="nil"/>
            </w:tcBorders>
          </w:tcPr>
          <w:p w14:paraId="644F5CE4" w14:textId="77777777" w:rsidR="006B7C49" w:rsidRPr="00B36A61" w:rsidRDefault="006B7C49" w:rsidP="004E28A8">
            <w:pPr>
              <w:pStyle w:val="Pamatteksts"/>
              <w:spacing w:before="60" w:after="60"/>
              <w:ind w:left="-107" w:right="-105" w:firstLine="0"/>
              <w:jc w:val="center"/>
              <w:rPr>
                <w:b/>
                <w:color w:val="17365D"/>
                <w:sz w:val="20"/>
                <w:szCs w:val="20"/>
              </w:rPr>
            </w:pPr>
          </w:p>
        </w:tc>
        <w:tc>
          <w:tcPr>
            <w:tcW w:w="1317" w:type="dxa"/>
            <w:vMerge/>
            <w:tcBorders>
              <w:bottom w:val="nil"/>
            </w:tcBorders>
          </w:tcPr>
          <w:p w14:paraId="53AB87F8" w14:textId="77777777" w:rsidR="006B7C49" w:rsidRPr="00B36A61" w:rsidRDefault="006B7C49" w:rsidP="0019052E">
            <w:pPr>
              <w:spacing w:after="0"/>
              <w:ind w:firstLine="0"/>
              <w:rPr>
                <w:color w:val="17365D"/>
                <w:sz w:val="20"/>
                <w:szCs w:val="20"/>
              </w:rPr>
            </w:pPr>
          </w:p>
        </w:tc>
      </w:tr>
      <w:tr w:rsidR="00B36A61" w:rsidRPr="00B36A61" w14:paraId="26E4B30A" w14:textId="77777777" w:rsidTr="007D0CB2">
        <w:trPr>
          <w:trHeight w:val="284"/>
          <w:tblHeader/>
        </w:trPr>
        <w:tc>
          <w:tcPr>
            <w:tcW w:w="904" w:type="dxa"/>
            <w:tcBorders>
              <w:top w:val="nil"/>
              <w:bottom w:val="single" w:sz="4" w:space="0" w:color="17365D"/>
            </w:tcBorders>
            <w:vAlign w:val="center"/>
          </w:tcPr>
          <w:p w14:paraId="77BDE621" w14:textId="77777777" w:rsidR="006B7C49" w:rsidRPr="00B36A61" w:rsidRDefault="006B7C49" w:rsidP="004753B6">
            <w:pPr>
              <w:pStyle w:val="Pamatteksts"/>
              <w:spacing w:before="40" w:after="40"/>
              <w:ind w:firstLine="0"/>
              <w:jc w:val="center"/>
              <w:rPr>
                <w:b/>
                <w:color w:val="17365D"/>
                <w:sz w:val="20"/>
                <w:szCs w:val="20"/>
              </w:rPr>
            </w:pPr>
            <w:r w:rsidRPr="00B36A61">
              <w:rPr>
                <w:b/>
                <w:color w:val="17365D"/>
                <w:sz w:val="20"/>
                <w:szCs w:val="20"/>
              </w:rPr>
              <w:t>A</w:t>
            </w:r>
          </w:p>
        </w:tc>
        <w:tc>
          <w:tcPr>
            <w:tcW w:w="2566" w:type="dxa"/>
            <w:tcBorders>
              <w:top w:val="nil"/>
              <w:bottom w:val="single" w:sz="4" w:space="0" w:color="17365D"/>
            </w:tcBorders>
            <w:vAlign w:val="center"/>
          </w:tcPr>
          <w:p w14:paraId="4B327600" w14:textId="77777777" w:rsidR="006B7C49" w:rsidRPr="00B36A61" w:rsidRDefault="006B7C49" w:rsidP="004753B6">
            <w:pPr>
              <w:pStyle w:val="Pamatteksts"/>
              <w:spacing w:before="40" w:after="40"/>
              <w:ind w:firstLine="0"/>
              <w:jc w:val="center"/>
              <w:rPr>
                <w:b/>
                <w:color w:val="17365D"/>
                <w:sz w:val="20"/>
                <w:szCs w:val="20"/>
              </w:rPr>
            </w:pPr>
            <w:r w:rsidRPr="00B36A61">
              <w:rPr>
                <w:b/>
                <w:color w:val="17365D"/>
                <w:sz w:val="20"/>
                <w:szCs w:val="20"/>
              </w:rPr>
              <w:t>B</w:t>
            </w:r>
          </w:p>
        </w:tc>
        <w:tc>
          <w:tcPr>
            <w:tcW w:w="1482" w:type="dxa"/>
            <w:tcBorders>
              <w:top w:val="nil"/>
              <w:bottom w:val="single" w:sz="4" w:space="0" w:color="17365D"/>
            </w:tcBorders>
            <w:vAlign w:val="center"/>
          </w:tcPr>
          <w:p w14:paraId="646ED2DF" w14:textId="0C9CF018" w:rsidR="006B7C49" w:rsidRPr="00B36A61" w:rsidRDefault="006B7C49" w:rsidP="004753B6">
            <w:pPr>
              <w:pStyle w:val="Pamatteksts"/>
              <w:spacing w:before="40" w:after="40"/>
              <w:ind w:firstLine="0"/>
              <w:jc w:val="center"/>
              <w:rPr>
                <w:b/>
                <w:color w:val="17365D"/>
                <w:sz w:val="20"/>
                <w:szCs w:val="20"/>
              </w:rPr>
            </w:pPr>
            <w:r w:rsidRPr="00B36A61">
              <w:rPr>
                <w:b/>
                <w:color w:val="17365D"/>
                <w:sz w:val="20"/>
                <w:szCs w:val="20"/>
              </w:rPr>
              <w:t>1</w:t>
            </w:r>
          </w:p>
        </w:tc>
        <w:tc>
          <w:tcPr>
            <w:tcW w:w="1482" w:type="dxa"/>
            <w:tcBorders>
              <w:top w:val="nil"/>
              <w:bottom w:val="single" w:sz="4" w:space="0" w:color="17365D"/>
            </w:tcBorders>
            <w:vAlign w:val="center"/>
          </w:tcPr>
          <w:p w14:paraId="0A9C93BA" w14:textId="13720FB7" w:rsidR="006B7C49" w:rsidRPr="00B36A61" w:rsidRDefault="006B7C49" w:rsidP="004753B6">
            <w:pPr>
              <w:pStyle w:val="Pamatteksts"/>
              <w:spacing w:before="40" w:after="40"/>
              <w:ind w:firstLine="0"/>
              <w:jc w:val="center"/>
              <w:rPr>
                <w:b/>
                <w:color w:val="17365D"/>
                <w:sz w:val="20"/>
                <w:szCs w:val="20"/>
              </w:rPr>
            </w:pPr>
            <w:r w:rsidRPr="00B36A61">
              <w:rPr>
                <w:b/>
                <w:color w:val="17365D"/>
                <w:sz w:val="20"/>
                <w:szCs w:val="20"/>
              </w:rPr>
              <w:t>2</w:t>
            </w:r>
          </w:p>
        </w:tc>
        <w:tc>
          <w:tcPr>
            <w:tcW w:w="1634" w:type="dxa"/>
            <w:tcBorders>
              <w:top w:val="nil"/>
              <w:bottom w:val="single" w:sz="4" w:space="0" w:color="17365D"/>
            </w:tcBorders>
            <w:vAlign w:val="center"/>
          </w:tcPr>
          <w:p w14:paraId="33DBEA76" w14:textId="62654979" w:rsidR="006B7C49" w:rsidRPr="00B36A61" w:rsidRDefault="006B7C49" w:rsidP="004E28A8">
            <w:pPr>
              <w:pStyle w:val="Pamatteksts"/>
              <w:spacing w:before="60" w:after="60"/>
              <w:ind w:left="-107" w:right="-105" w:firstLine="0"/>
              <w:jc w:val="center"/>
              <w:rPr>
                <w:b/>
                <w:color w:val="17365D"/>
                <w:sz w:val="20"/>
                <w:szCs w:val="20"/>
              </w:rPr>
            </w:pPr>
            <w:r w:rsidRPr="00B36A61">
              <w:rPr>
                <w:b/>
                <w:color w:val="17365D"/>
                <w:sz w:val="20"/>
                <w:szCs w:val="20"/>
              </w:rPr>
              <w:t>3</w:t>
            </w:r>
          </w:p>
        </w:tc>
        <w:tc>
          <w:tcPr>
            <w:tcW w:w="1317" w:type="dxa"/>
            <w:tcBorders>
              <w:top w:val="nil"/>
              <w:bottom w:val="single" w:sz="4" w:space="0" w:color="17365D"/>
            </w:tcBorders>
            <w:vAlign w:val="center"/>
          </w:tcPr>
          <w:p w14:paraId="16BE8AEF" w14:textId="2F72F85A" w:rsidR="006B7C49" w:rsidRPr="00B36A61" w:rsidRDefault="006B7C49" w:rsidP="004753B6">
            <w:pPr>
              <w:pStyle w:val="Pamatteksts"/>
              <w:spacing w:before="40" w:after="40"/>
              <w:ind w:firstLine="0"/>
              <w:jc w:val="center"/>
              <w:rPr>
                <w:b/>
                <w:color w:val="17365D"/>
                <w:sz w:val="20"/>
                <w:szCs w:val="20"/>
              </w:rPr>
            </w:pPr>
            <w:r w:rsidRPr="00B36A61">
              <w:rPr>
                <w:b/>
                <w:color w:val="17365D"/>
                <w:sz w:val="20"/>
                <w:szCs w:val="20"/>
              </w:rPr>
              <w:t>4</w:t>
            </w:r>
          </w:p>
        </w:tc>
      </w:tr>
      <w:tr w:rsidR="00B36A61" w:rsidRPr="00B36A61" w14:paraId="31D4F174" w14:textId="77777777" w:rsidTr="00856306">
        <w:trPr>
          <w:trHeight w:val="284"/>
        </w:trPr>
        <w:tc>
          <w:tcPr>
            <w:tcW w:w="904" w:type="dxa"/>
            <w:tcBorders>
              <w:top w:val="single" w:sz="4" w:space="0" w:color="17365D"/>
              <w:bottom w:val="single" w:sz="4" w:space="0" w:color="17365D"/>
            </w:tcBorders>
            <w:vAlign w:val="center"/>
          </w:tcPr>
          <w:p w14:paraId="7D5749BD" w14:textId="3C96C3E9" w:rsidR="007D0CB2" w:rsidRPr="00B36A61" w:rsidRDefault="007D0CB2" w:rsidP="007D0CB2">
            <w:pPr>
              <w:pStyle w:val="Pamatteksts"/>
              <w:spacing w:before="40" w:after="40"/>
              <w:ind w:firstLine="0"/>
              <w:jc w:val="left"/>
              <w:rPr>
                <w:b/>
                <w:color w:val="17365D"/>
                <w:sz w:val="20"/>
                <w:szCs w:val="20"/>
              </w:rPr>
            </w:pPr>
            <w:r w:rsidRPr="00B36A61">
              <w:rPr>
                <w:b/>
                <w:color w:val="17365D"/>
                <w:sz w:val="20"/>
                <w:szCs w:val="20"/>
              </w:rPr>
              <w:t>II.</w:t>
            </w:r>
          </w:p>
        </w:tc>
        <w:tc>
          <w:tcPr>
            <w:tcW w:w="2566" w:type="dxa"/>
            <w:tcBorders>
              <w:top w:val="single" w:sz="4" w:space="0" w:color="17365D"/>
              <w:bottom w:val="single" w:sz="4" w:space="0" w:color="17365D"/>
            </w:tcBorders>
            <w:shd w:val="clear" w:color="000000" w:fill="FFFFFF"/>
            <w:vAlign w:val="center"/>
          </w:tcPr>
          <w:p w14:paraId="18B4E594" w14:textId="77777777" w:rsidR="007D0CB2" w:rsidRPr="00B36A61" w:rsidRDefault="007D0CB2" w:rsidP="007D0CB2">
            <w:pPr>
              <w:pStyle w:val="Pamatteksts"/>
              <w:spacing w:before="40" w:after="40"/>
              <w:ind w:firstLine="0"/>
              <w:jc w:val="left"/>
              <w:rPr>
                <w:b/>
                <w:color w:val="17365D"/>
                <w:sz w:val="20"/>
                <w:szCs w:val="20"/>
              </w:rPr>
            </w:pPr>
            <w:r w:rsidRPr="00B36A61">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199B43F5" w14:textId="495F55A0" w:rsidR="007D0CB2" w:rsidRPr="00B36A61" w:rsidRDefault="007D0CB2" w:rsidP="007D0CB2">
            <w:pPr>
              <w:pStyle w:val="Pamatteksts"/>
              <w:spacing w:before="40" w:after="40"/>
              <w:ind w:firstLine="0"/>
              <w:jc w:val="right"/>
              <w:rPr>
                <w:color w:val="17365D"/>
                <w:sz w:val="20"/>
                <w:szCs w:val="20"/>
              </w:rPr>
            </w:pPr>
            <w:r w:rsidRPr="00B36A61">
              <w:rPr>
                <w:b/>
                <w:bCs/>
                <w:color w:val="17365D"/>
                <w:sz w:val="20"/>
                <w:szCs w:val="20"/>
              </w:rPr>
              <w:t>529 171 655</w:t>
            </w:r>
          </w:p>
        </w:tc>
        <w:tc>
          <w:tcPr>
            <w:tcW w:w="1482" w:type="dxa"/>
            <w:tcBorders>
              <w:top w:val="single" w:sz="4" w:space="0" w:color="17365D"/>
              <w:left w:val="nil"/>
              <w:bottom w:val="single" w:sz="4" w:space="0" w:color="17365D"/>
              <w:right w:val="nil"/>
            </w:tcBorders>
            <w:shd w:val="clear" w:color="000000" w:fill="FFFFFF"/>
            <w:vAlign w:val="center"/>
          </w:tcPr>
          <w:p w14:paraId="748AC9DE" w14:textId="55125556" w:rsidR="007D0CB2" w:rsidRPr="00B36A61" w:rsidRDefault="007D0CB2" w:rsidP="007D0CB2">
            <w:pPr>
              <w:pStyle w:val="Pamatteksts"/>
              <w:spacing w:before="40" w:after="40"/>
              <w:ind w:firstLine="0"/>
              <w:jc w:val="right"/>
              <w:rPr>
                <w:color w:val="17365D"/>
                <w:sz w:val="20"/>
                <w:szCs w:val="20"/>
              </w:rPr>
            </w:pPr>
            <w:r w:rsidRPr="00B36A61">
              <w:rPr>
                <w:b/>
                <w:bCs/>
                <w:color w:val="17365D"/>
                <w:sz w:val="20"/>
                <w:szCs w:val="20"/>
              </w:rPr>
              <w:t>479 552 293</w:t>
            </w:r>
          </w:p>
        </w:tc>
        <w:tc>
          <w:tcPr>
            <w:tcW w:w="1634" w:type="dxa"/>
            <w:tcBorders>
              <w:top w:val="single" w:sz="4" w:space="0" w:color="17365D"/>
              <w:left w:val="nil"/>
              <w:bottom w:val="single" w:sz="4" w:space="0" w:color="17365D"/>
              <w:right w:val="nil"/>
            </w:tcBorders>
            <w:shd w:val="clear" w:color="000000" w:fill="FFFFFF"/>
            <w:vAlign w:val="center"/>
          </w:tcPr>
          <w:p w14:paraId="0B6F4EE0" w14:textId="05B710A1" w:rsidR="007D0CB2" w:rsidRPr="00B36A61" w:rsidRDefault="007D0CB2" w:rsidP="007D0CB2">
            <w:pPr>
              <w:pStyle w:val="Pamatteksts"/>
              <w:spacing w:before="60" w:after="60"/>
              <w:ind w:left="-107" w:right="-105" w:firstLine="0"/>
              <w:jc w:val="right"/>
              <w:rPr>
                <w:color w:val="17365D"/>
                <w:sz w:val="20"/>
                <w:szCs w:val="20"/>
              </w:rPr>
            </w:pPr>
            <w:r w:rsidRPr="00B36A61">
              <w:rPr>
                <w:b/>
                <w:bCs/>
                <w:color w:val="17365D"/>
                <w:sz w:val="20"/>
                <w:szCs w:val="20"/>
              </w:rPr>
              <w:t>49 619 362</w:t>
            </w:r>
          </w:p>
        </w:tc>
        <w:tc>
          <w:tcPr>
            <w:tcW w:w="1317" w:type="dxa"/>
            <w:tcBorders>
              <w:top w:val="single" w:sz="4" w:space="0" w:color="17365D"/>
              <w:left w:val="nil"/>
              <w:bottom w:val="single" w:sz="4" w:space="0" w:color="17365D"/>
              <w:right w:val="nil"/>
            </w:tcBorders>
            <w:shd w:val="clear" w:color="000000" w:fill="FFFFFF"/>
            <w:vAlign w:val="center"/>
          </w:tcPr>
          <w:p w14:paraId="4831995A" w14:textId="05166DE3" w:rsidR="007D0CB2" w:rsidRPr="00B36A61" w:rsidRDefault="007D0CB2" w:rsidP="007D0CB2">
            <w:pPr>
              <w:pStyle w:val="Pamatteksts"/>
              <w:spacing w:before="40" w:after="40"/>
              <w:ind w:firstLine="0"/>
              <w:jc w:val="right"/>
              <w:rPr>
                <w:b/>
                <w:color w:val="17365D"/>
                <w:sz w:val="20"/>
                <w:szCs w:val="20"/>
              </w:rPr>
            </w:pPr>
            <w:r w:rsidRPr="00B36A61">
              <w:rPr>
                <w:b/>
                <w:color w:val="17365D"/>
                <w:sz w:val="20"/>
                <w:szCs w:val="20"/>
              </w:rPr>
              <w:t>10.3</w:t>
            </w:r>
          </w:p>
        </w:tc>
      </w:tr>
      <w:tr w:rsidR="00B36A61" w:rsidRPr="00B36A61" w14:paraId="49BB6883" w14:textId="77777777" w:rsidTr="00856306">
        <w:trPr>
          <w:trHeight w:val="284"/>
        </w:trPr>
        <w:tc>
          <w:tcPr>
            <w:tcW w:w="904" w:type="dxa"/>
            <w:tcBorders>
              <w:top w:val="single" w:sz="4" w:space="0" w:color="17365D"/>
              <w:bottom w:val="single" w:sz="4" w:space="0" w:color="17365D"/>
            </w:tcBorders>
            <w:vAlign w:val="center"/>
          </w:tcPr>
          <w:p w14:paraId="17D74DCE" w14:textId="1BD21D93" w:rsidR="007D0CB2" w:rsidRPr="00B36A61" w:rsidRDefault="007D0CB2" w:rsidP="007D0CB2">
            <w:pPr>
              <w:spacing w:before="40" w:after="40"/>
              <w:ind w:firstLine="0"/>
              <w:jc w:val="left"/>
              <w:rPr>
                <w:b/>
                <w:bCs/>
                <w:color w:val="17365D"/>
                <w:sz w:val="20"/>
                <w:szCs w:val="20"/>
              </w:rPr>
            </w:pPr>
            <w:r w:rsidRPr="00B36A61">
              <w:rPr>
                <w:b/>
                <w:bCs/>
                <w:color w:val="17365D"/>
                <w:sz w:val="20"/>
                <w:szCs w:val="20"/>
              </w:rPr>
              <w:t>1.0.</w:t>
            </w:r>
          </w:p>
        </w:tc>
        <w:tc>
          <w:tcPr>
            <w:tcW w:w="2566" w:type="dxa"/>
            <w:tcBorders>
              <w:top w:val="single" w:sz="4" w:space="0" w:color="17365D"/>
              <w:bottom w:val="single" w:sz="4" w:space="0" w:color="17365D"/>
            </w:tcBorders>
            <w:shd w:val="clear" w:color="000000" w:fill="FFFFFF"/>
            <w:vAlign w:val="center"/>
          </w:tcPr>
          <w:p w14:paraId="39D09D4C" w14:textId="77777777" w:rsidR="007D0CB2" w:rsidRPr="00B36A61" w:rsidRDefault="007D0CB2" w:rsidP="007D0CB2">
            <w:pPr>
              <w:pStyle w:val="Pamatteksts"/>
              <w:spacing w:before="40" w:after="40"/>
              <w:ind w:firstLine="0"/>
              <w:jc w:val="left"/>
              <w:rPr>
                <w:b/>
                <w:color w:val="17365D"/>
                <w:sz w:val="20"/>
                <w:szCs w:val="20"/>
              </w:rPr>
            </w:pPr>
            <w:r w:rsidRPr="00B36A61">
              <w:rPr>
                <w:b/>
                <w:bCs/>
                <w:color w:val="17365D"/>
                <w:sz w:val="20"/>
                <w:szCs w:val="20"/>
              </w:rPr>
              <w:t>Uzturēšanas izdevumi</w:t>
            </w:r>
          </w:p>
        </w:tc>
        <w:tc>
          <w:tcPr>
            <w:tcW w:w="1482" w:type="dxa"/>
            <w:tcBorders>
              <w:top w:val="single" w:sz="4" w:space="0" w:color="17365D"/>
              <w:left w:val="nil"/>
              <w:bottom w:val="single" w:sz="4" w:space="0" w:color="17365D"/>
              <w:right w:val="nil"/>
            </w:tcBorders>
            <w:shd w:val="clear" w:color="000000" w:fill="FFFFFF"/>
            <w:vAlign w:val="center"/>
          </w:tcPr>
          <w:p w14:paraId="0E91A4D4" w14:textId="48515747"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471 117 124</w:t>
            </w:r>
          </w:p>
        </w:tc>
        <w:tc>
          <w:tcPr>
            <w:tcW w:w="1482" w:type="dxa"/>
            <w:tcBorders>
              <w:top w:val="single" w:sz="4" w:space="0" w:color="17365D"/>
              <w:left w:val="nil"/>
              <w:bottom w:val="single" w:sz="4" w:space="0" w:color="17365D"/>
              <w:right w:val="nil"/>
            </w:tcBorders>
            <w:shd w:val="clear" w:color="000000" w:fill="FFFFFF"/>
            <w:vAlign w:val="center"/>
          </w:tcPr>
          <w:p w14:paraId="046D2393" w14:textId="2D25D298"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421 068 080</w:t>
            </w:r>
          </w:p>
        </w:tc>
        <w:tc>
          <w:tcPr>
            <w:tcW w:w="1634" w:type="dxa"/>
            <w:tcBorders>
              <w:top w:val="single" w:sz="4" w:space="0" w:color="17365D"/>
              <w:left w:val="nil"/>
              <w:bottom w:val="single" w:sz="4" w:space="0" w:color="17365D"/>
              <w:right w:val="nil"/>
            </w:tcBorders>
            <w:shd w:val="clear" w:color="000000" w:fill="FFFFFF"/>
            <w:vAlign w:val="center"/>
          </w:tcPr>
          <w:p w14:paraId="69FA679C" w14:textId="4BF90343" w:rsidR="007D0CB2" w:rsidRPr="00B36A61" w:rsidRDefault="007D0CB2" w:rsidP="007D0CB2">
            <w:pPr>
              <w:pStyle w:val="Pamatteksts"/>
              <w:spacing w:before="60" w:after="60"/>
              <w:ind w:left="-107" w:right="-105" w:firstLine="0"/>
              <w:jc w:val="right"/>
              <w:rPr>
                <w:color w:val="17365D"/>
                <w:sz w:val="20"/>
                <w:szCs w:val="20"/>
              </w:rPr>
            </w:pPr>
            <w:r w:rsidRPr="00B36A61">
              <w:rPr>
                <w:color w:val="17365D"/>
                <w:sz w:val="20"/>
                <w:szCs w:val="20"/>
              </w:rPr>
              <w:t>50 049 044</w:t>
            </w:r>
          </w:p>
        </w:tc>
        <w:tc>
          <w:tcPr>
            <w:tcW w:w="1317" w:type="dxa"/>
            <w:tcBorders>
              <w:top w:val="single" w:sz="4" w:space="0" w:color="17365D"/>
              <w:left w:val="nil"/>
              <w:bottom w:val="single" w:sz="4" w:space="0" w:color="17365D"/>
              <w:right w:val="nil"/>
            </w:tcBorders>
            <w:shd w:val="clear" w:color="000000" w:fill="FFFFFF"/>
            <w:vAlign w:val="center"/>
          </w:tcPr>
          <w:p w14:paraId="4665C821" w14:textId="12502CE3"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11.9</w:t>
            </w:r>
          </w:p>
        </w:tc>
      </w:tr>
      <w:tr w:rsidR="00B36A61" w:rsidRPr="00B36A61" w14:paraId="61E22767" w14:textId="77777777" w:rsidTr="00856306">
        <w:trPr>
          <w:trHeight w:val="284"/>
        </w:trPr>
        <w:tc>
          <w:tcPr>
            <w:tcW w:w="904" w:type="dxa"/>
            <w:tcBorders>
              <w:top w:val="single" w:sz="4" w:space="0" w:color="17365D"/>
              <w:bottom w:val="single" w:sz="4" w:space="0" w:color="17365D"/>
            </w:tcBorders>
            <w:vAlign w:val="center"/>
          </w:tcPr>
          <w:p w14:paraId="35A55137" w14:textId="2F2F5FDC" w:rsidR="007D0CB2" w:rsidRPr="00B36A61" w:rsidRDefault="007D0CB2" w:rsidP="007D0CB2">
            <w:pPr>
              <w:pStyle w:val="Pamatteksts"/>
              <w:spacing w:before="40" w:after="40"/>
              <w:ind w:firstLine="0"/>
              <w:jc w:val="left"/>
              <w:rPr>
                <w:color w:val="17365D"/>
                <w:sz w:val="20"/>
                <w:szCs w:val="20"/>
              </w:rPr>
            </w:pPr>
            <w:r w:rsidRPr="00B36A61">
              <w:rPr>
                <w:color w:val="17365D"/>
                <w:sz w:val="20"/>
                <w:szCs w:val="20"/>
              </w:rPr>
              <w:t>1.1.</w:t>
            </w:r>
          </w:p>
        </w:tc>
        <w:tc>
          <w:tcPr>
            <w:tcW w:w="2566" w:type="dxa"/>
            <w:tcBorders>
              <w:top w:val="single" w:sz="4" w:space="0" w:color="17365D"/>
              <w:bottom w:val="single" w:sz="4" w:space="0" w:color="17365D"/>
            </w:tcBorders>
            <w:shd w:val="clear" w:color="000000" w:fill="FFFFFF"/>
            <w:vAlign w:val="center"/>
          </w:tcPr>
          <w:p w14:paraId="22298CD7" w14:textId="77777777" w:rsidR="007D0CB2" w:rsidRPr="00B36A61" w:rsidRDefault="007D0CB2" w:rsidP="007D0CB2">
            <w:pPr>
              <w:pStyle w:val="Pamatteksts"/>
              <w:spacing w:before="40" w:after="40"/>
              <w:ind w:firstLine="0"/>
              <w:jc w:val="left"/>
              <w:rPr>
                <w:color w:val="17365D"/>
                <w:sz w:val="20"/>
                <w:szCs w:val="20"/>
              </w:rPr>
            </w:pPr>
            <w:r w:rsidRPr="00B36A61">
              <w:rPr>
                <w:bCs/>
                <w:color w:val="17365D"/>
                <w:sz w:val="20"/>
                <w:szCs w:val="20"/>
              </w:rPr>
              <w:t>Kārtējie izdevumi</w:t>
            </w:r>
          </w:p>
        </w:tc>
        <w:tc>
          <w:tcPr>
            <w:tcW w:w="1482" w:type="dxa"/>
            <w:tcBorders>
              <w:top w:val="single" w:sz="4" w:space="0" w:color="17365D"/>
              <w:left w:val="nil"/>
              <w:bottom w:val="single" w:sz="4" w:space="0" w:color="17365D"/>
              <w:right w:val="nil"/>
            </w:tcBorders>
            <w:shd w:val="clear" w:color="000000" w:fill="FFFFFF"/>
            <w:vAlign w:val="center"/>
          </w:tcPr>
          <w:p w14:paraId="22BC6966" w14:textId="5103E7BD"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411 862 588</w:t>
            </w:r>
          </w:p>
        </w:tc>
        <w:tc>
          <w:tcPr>
            <w:tcW w:w="1482" w:type="dxa"/>
            <w:tcBorders>
              <w:top w:val="single" w:sz="4" w:space="0" w:color="17365D"/>
              <w:left w:val="nil"/>
              <w:bottom w:val="single" w:sz="4" w:space="0" w:color="17365D"/>
              <w:right w:val="nil"/>
            </w:tcBorders>
            <w:shd w:val="clear" w:color="000000" w:fill="FFFFFF"/>
            <w:vAlign w:val="center"/>
          </w:tcPr>
          <w:p w14:paraId="312440A0" w14:textId="6BF91E04"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378 923 897</w:t>
            </w:r>
          </w:p>
        </w:tc>
        <w:tc>
          <w:tcPr>
            <w:tcW w:w="1634" w:type="dxa"/>
            <w:tcBorders>
              <w:top w:val="single" w:sz="4" w:space="0" w:color="17365D"/>
              <w:left w:val="nil"/>
              <w:bottom w:val="single" w:sz="4" w:space="0" w:color="17365D"/>
              <w:right w:val="nil"/>
            </w:tcBorders>
            <w:shd w:val="clear" w:color="000000" w:fill="FFFFFF"/>
            <w:vAlign w:val="center"/>
          </w:tcPr>
          <w:p w14:paraId="56D01A68" w14:textId="03D0CCB8" w:rsidR="007D0CB2" w:rsidRPr="00B36A61" w:rsidRDefault="007D0CB2" w:rsidP="007D0CB2">
            <w:pPr>
              <w:pStyle w:val="Pamatteksts"/>
              <w:spacing w:before="60" w:after="60"/>
              <w:ind w:left="-107" w:right="-105" w:firstLine="0"/>
              <w:jc w:val="right"/>
              <w:rPr>
                <w:color w:val="17365D"/>
                <w:sz w:val="20"/>
                <w:szCs w:val="20"/>
              </w:rPr>
            </w:pPr>
            <w:r w:rsidRPr="00B36A61">
              <w:rPr>
                <w:color w:val="17365D"/>
                <w:sz w:val="20"/>
                <w:szCs w:val="20"/>
              </w:rPr>
              <w:t>32 938 691</w:t>
            </w:r>
          </w:p>
        </w:tc>
        <w:tc>
          <w:tcPr>
            <w:tcW w:w="1317" w:type="dxa"/>
            <w:tcBorders>
              <w:top w:val="single" w:sz="4" w:space="0" w:color="17365D"/>
              <w:left w:val="nil"/>
              <w:bottom w:val="single" w:sz="4" w:space="0" w:color="17365D"/>
              <w:right w:val="nil"/>
            </w:tcBorders>
            <w:shd w:val="clear" w:color="000000" w:fill="FFFFFF"/>
            <w:vAlign w:val="center"/>
          </w:tcPr>
          <w:p w14:paraId="0891F149" w14:textId="4BB66074"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8.7</w:t>
            </w:r>
          </w:p>
        </w:tc>
      </w:tr>
      <w:tr w:rsidR="00B36A61" w:rsidRPr="00B36A61" w14:paraId="683CD639" w14:textId="77777777" w:rsidTr="00856306">
        <w:trPr>
          <w:trHeight w:val="284"/>
        </w:trPr>
        <w:tc>
          <w:tcPr>
            <w:tcW w:w="904" w:type="dxa"/>
            <w:tcBorders>
              <w:top w:val="single" w:sz="4" w:space="0" w:color="17365D"/>
              <w:bottom w:val="single" w:sz="4" w:space="0" w:color="17365D"/>
            </w:tcBorders>
            <w:vAlign w:val="center"/>
          </w:tcPr>
          <w:p w14:paraId="3C0E88DD" w14:textId="77777777" w:rsidR="007D0CB2" w:rsidRPr="00B36A61" w:rsidRDefault="007D0CB2" w:rsidP="007D0CB2">
            <w:pPr>
              <w:pStyle w:val="Pamatteksts"/>
              <w:spacing w:before="40" w:after="40"/>
              <w:ind w:firstLine="0"/>
              <w:jc w:val="left"/>
              <w:rPr>
                <w:color w:val="17365D"/>
                <w:sz w:val="20"/>
                <w:szCs w:val="20"/>
              </w:rPr>
            </w:pPr>
            <w:r w:rsidRPr="00B36A61">
              <w:rPr>
                <w:color w:val="17365D"/>
                <w:sz w:val="20"/>
                <w:szCs w:val="20"/>
              </w:rPr>
              <w:t>1.2.</w:t>
            </w:r>
          </w:p>
        </w:tc>
        <w:tc>
          <w:tcPr>
            <w:tcW w:w="2566" w:type="dxa"/>
            <w:tcBorders>
              <w:top w:val="single" w:sz="4" w:space="0" w:color="17365D"/>
              <w:bottom w:val="single" w:sz="4" w:space="0" w:color="17365D"/>
            </w:tcBorders>
            <w:shd w:val="clear" w:color="000000" w:fill="FFFFFF"/>
            <w:vAlign w:val="center"/>
          </w:tcPr>
          <w:p w14:paraId="14A55616" w14:textId="77777777" w:rsidR="007D0CB2" w:rsidRPr="00B36A61" w:rsidRDefault="007D0CB2" w:rsidP="007D0CB2">
            <w:pPr>
              <w:pStyle w:val="Pamatteksts"/>
              <w:spacing w:before="40" w:after="40"/>
              <w:ind w:firstLine="0"/>
              <w:jc w:val="left"/>
              <w:rPr>
                <w:bCs/>
                <w:color w:val="17365D"/>
                <w:sz w:val="20"/>
                <w:szCs w:val="20"/>
              </w:rPr>
            </w:pPr>
            <w:r w:rsidRPr="00B36A61">
              <w:rPr>
                <w:bCs/>
                <w:color w:val="17365D"/>
                <w:sz w:val="20"/>
                <w:szCs w:val="20"/>
              </w:rPr>
              <w:t>Procentu izdevumi</w:t>
            </w:r>
          </w:p>
        </w:tc>
        <w:tc>
          <w:tcPr>
            <w:tcW w:w="1482" w:type="dxa"/>
            <w:tcBorders>
              <w:top w:val="single" w:sz="4" w:space="0" w:color="17365D"/>
              <w:left w:val="nil"/>
              <w:bottom w:val="single" w:sz="4" w:space="0" w:color="17365D"/>
              <w:right w:val="nil"/>
            </w:tcBorders>
            <w:shd w:val="clear" w:color="000000" w:fill="FFFFFF"/>
            <w:vAlign w:val="center"/>
          </w:tcPr>
          <w:p w14:paraId="70EF210D" w14:textId="29B375D7"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553 284</w:t>
            </w:r>
          </w:p>
        </w:tc>
        <w:tc>
          <w:tcPr>
            <w:tcW w:w="1482" w:type="dxa"/>
            <w:tcBorders>
              <w:top w:val="single" w:sz="4" w:space="0" w:color="17365D"/>
              <w:left w:val="nil"/>
              <w:bottom w:val="single" w:sz="4" w:space="0" w:color="17365D"/>
              <w:right w:val="nil"/>
            </w:tcBorders>
            <w:shd w:val="clear" w:color="000000" w:fill="FFFFFF"/>
            <w:vAlign w:val="center"/>
          </w:tcPr>
          <w:p w14:paraId="20D3ED61" w14:textId="2D814C13"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472 138</w:t>
            </w:r>
          </w:p>
        </w:tc>
        <w:tc>
          <w:tcPr>
            <w:tcW w:w="1634" w:type="dxa"/>
            <w:tcBorders>
              <w:top w:val="single" w:sz="4" w:space="0" w:color="17365D"/>
              <w:left w:val="nil"/>
              <w:bottom w:val="single" w:sz="4" w:space="0" w:color="17365D"/>
              <w:right w:val="nil"/>
            </w:tcBorders>
            <w:shd w:val="clear" w:color="000000" w:fill="FFFFFF"/>
            <w:vAlign w:val="center"/>
          </w:tcPr>
          <w:p w14:paraId="7D466D3D" w14:textId="27936494" w:rsidR="007D0CB2" w:rsidRPr="00B36A61" w:rsidRDefault="007D0CB2" w:rsidP="007D0CB2">
            <w:pPr>
              <w:pStyle w:val="Pamatteksts"/>
              <w:spacing w:before="60" w:after="60"/>
              <w:ind w:left="-107" w:right="-105" w:firstLine="0"/>
              <w:jc w:val="right"/>
              <w:rPr>
                <w:color w:val="17365D"/>
                <w:sz w:val="20"/>
                <w:szCs w:val="20"/>
              </w:rPr>
            </w:pPr>
            <w:r w:rsidRPr="00B36A61">
              <w:rPr>
                <w:color w:val="17365D"/>
                <w:sz w:val="20"/>
                <w:szCs w:val="20"/>
              </w:rPr>
              <w:t>81 146</w:t>
            </w:r>
          </w:p>
        </w:tc>
        <w:tc>
          <w:tcPr>
            <w:tcW w:w="1317" w:type="dxa"/>
            <w:tcBorders>
              <w:top w:val="single" w:sz="4" w:space="0" w:color="17365D"/>
              <w:left w:val="nil"/>
              <w:bottom w:val="single" w:sz="4" w:space="0" w:color="17365D"/>
              <w:right w:val="nil"/>
            </w:tcBorders>
            <w:shd w:val="clear" w:color="000000" w:fill="FFFFFF"/>
            <w:vAlign w:val="center"/>
          </w:tcPr>
          <w:p w14:paraId="11D9B68C" w14:textId="24EBCF3B"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17.2</w:t>
            </w:r>
          </w:p>
        </w:tc>
      </w:tr>
      <w:tr w:rsidR="00B36A61" w:rsidRPr="00B36A61" w14:paraId="00538F77" w14:textId="77777777" w:rsidTr="00856306">
        <w:trPr>
          <w:trHeight w:val="284"/>
        </w:trPr>
        <w:tc>
          <w:tcPr>
            <w:tcW w:w="904" w:type="dxa"/>
            <w:tcBorders>
              <w:top w:val="single" w:sz="4" w:space="0" w:color="17365D"/>
              <w:bottom w:val="single" w:sz="4" w:space="0" w:color="17365D"/>
            </w:tcBorders>
            <w:vAlign w:val="center"/>
          </w:tcPr>
          <w:p w14:paraId="00F33FD9" w14:textId="6BF2237A" w:rsidR="007D0CB2" w:rsidRPr="00B36A61" w:rsidRDefault="007D0CB2" w:rsidP="007D0CB2">
            <w:pPr>
              <w:pStyle w:val="Pamatteksts"/>
              <w:spacing w:before="40" w:after="40"/>
              <w:ind w:firstLine="0"/>
              <w:jc w:val="left"/>
              <w:rPr>
                <w:color w:val="17365D"/>
                <w:sz w:val="20"/>
                <w:szCs w:val="20"/>
              </w:rPr>
            </w:pPr>
            <w:r w:rsidRPr="00B36A61">
              <w:rPr>
                <w:color w:val="17365D"/>
                <w:sz w:val="20"/>
                <w:szCs w:val="20"/>
              </w:rPr>
              <w:t>1.3.</w:t>
            </w:r>
          </w:p>
        </w:tc>
        <w:tc>
          <w:tcPr>
            <w:tcW w:w="2566" w:type="dxa"/>
            <w:tcBorders>
              <w:top w:val="single" w:sz="4" w:space="0" w:color="17365D"/>
              <w:bottom w:val="single" w:sz="4" w:space="0" w:color="17365D"/>
            </w:tcBorders>
            <w:shd w:val="clear" w:color="000000" w:fill="FFFFFF"/>
            <w:vAlign w:val="center"/>
          </w:tcPr>
          <w:p w14:paraId="0EE513F8" w14:textId="77777777" w:rsidR="007D0CB2" w:rsidRPr="00B36A61" w:rsidRDefault="007D0CB2" w:rsidP="007D0CB2">
            <w:pPr>
              <w:pStyle w:val="Pamatteksts"/>
              <w:spacing w:before="40" w:after="40"/>
              <w:ind w:firstLine="0"/>
              <w:jc w:val="left"/>
              <w:rPr>
                <w:color w:val="17365D"/>
                <w:sz w:val="20"/>
                <w:szCs w:val="20"/>
              </w:rPr>
            </w:pPr>
            <w:r w:rsidRPr="00B36A61">
              <w:rPr>
                <w:bCs/>
                <w:color w:val="17365D"/>
                <w:sz w:val="20"/>
                <w:szCs w:val="20"/>
              </w:rPr>
              <w:t>Subsīdijas, dotācijas un sociālie pabalsti</w:t>
            </w:r>
          </w:p>
        </w:tc>
        <w:tc>
          <w:tcPr>
            <w:tcW w:w="1482" w:type="dxa"/>
            <w:tcBorders>
              <w:top w:val="single" w:sz="4" w:space="0" w:color="17365D"/>
              <w:left w:val="nil"/>
              <w:bottom w:val="single" w:sz="4" w:space="0" w:color="17365D"/>
              <w:right w:val="nil"/>
            </w:tcBorders>
            <w:shd w:val="clear" w:color="000000" w:fill="FFFFFF"/>
            <w:vAlign w:val="center"/>
          </w:tcPr>
          <w:p w14:paraId="129C046C" w14:textId="261CC16E"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34 695 358</w:t>
            </w:r>
          </w:p>
        </w:tc>
        <w:tc>
          <w:tcPr>
            <w:tcW w:w="1482" w:type="dxa"/>
            <w:tcBorders>
              <w:top w:val="single" w:sz="4" w:space="0" w:color="17365D"/>
              <w:left w:val="nil"/>
              <w:bottom w:val="single" w:sz="4" w:space="0" w:color="17365D"/>
              <w:right w:val="nil"/>
            </w:tcBorders>
            <w:shd w:val="clear" w:color="000000" w:fill="FFFFFF"/>
            <w:vAlign w:val="center"/>
          </w:tcPr>
          <w:p w14:paraId="06626F37" w14:textId="73EF863F"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23 142 039</w:t>
            </w:r>
          </w:p>
        </w:tc>
        <w:tc>
          <w:tcPr>
            <w:tcW w:w="1634" w:type="dxa"/>
            <w:tcBorders>
              <w:top w:val="single" w:sz="4" w:space="0" w:color="17365D"/>
              <w:left w:val="nil"/>
              <w:bottom w:val="single" w:sz="4" w:space="0" w:color="17365D"/>
              <w:right w:val="nil"/>
            </w:tcBorders>
            <w:shd w:val="clear" w:color="000000" w:fill="FFFFFF"/>
            <w:vAlign w:val="center"/>
          </w:tcPr>
          <w:p w14:paraId="09514B81" w14:textId="1E23C54B" w:rsidR="007D0CB2" w:rsidRPr="00B36A61" w:rsidRDefault="007D0CB2" w:rsidP="007D0CB2">
            <w:pPr>
              <w:pStyle w:val="Pamatteksts"/>
              <w:spacing w:before="60" w:after="60"/>
              <w:ind w:left="-107" w:right="-105" w:firstLine="0"/>
              <w:jc w:val="right"/>
              <w:rPr>
                <w:color w:val="17365D"/>
                <w:sz w:val="20"/>
                <w:szCs w:val="20"/>
              </w:rPr>
            </w:pPr>
            <w:r w:rsidRPr="00B36A61">
              <w:rPr>
                <w:color w:val="17365D"/>
                <w:sz w:val="20"/>
                <w:szCs w:val="20"/>
              </w:rPr>
              <w:t>11 553 319</w:t>
            </w:r>
          </w:p>
        </w:tc>
        <w:tc>
          <w:tcPr>
            <w:tcW w:w="1317" w:type="dxa"/>
            <w:tcBorders>
              <w:top w:val="single" w:sz="4" w:space="0" w:color="17365D"/>
              <w:left w:val="nil"/>
              <w:bottom w:val="single" w:sz="4" w:space="0" w:color="17365D"/>
              <w:right w:val="nil"/>
            </w:tcBorders>
            <w:shd w:val="clear" w:color="000000" w:fill="FFFFFF"/>
            <w:vAlign w:val="center"/>
          </w:tcPr>
          <w:p w14:paraId="0ECA4206" w14:textId="11D59BC8"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49.9</w:t>
            </w:r>
          </w:p>
        </w:tc>
      </w:tr>
      <w:tr w:rsidR="00B36A61" w:rsidRPr="00B36A61" w14:paraId="4F7A3BE4" w14:textId="77777777" w:rsidTr="00856306">
        <w:trPr>
          <w:trHeight w:val="284"/>
        </w:trPr>
        <w:tc>
          <w:tcPr>
            <w:tcW w:w="904" w:type="dxa"/>
            <w:tcBorders>
              <w:top w:val="single" w:sz="4" w:space="0" w:color="17365D"/>
              <w:bottom w:val="single" w:sz="4" w:space="0" w:color="17365D"/>
            </w:tcBorders>
            <w:vAlign w:val="center"/>
          </w:tcPr>
          <w:p w14:paraId="20B36CF3" w14:textId="77777777" w:rsidR="007D0CB2" w:rsidRPr="00B36A61" w:rsidRDefault="007D0CB2" w:rsidP="007D0CB2">
            <w:pPr>
              <w:pStyle w:val="Pamatteksts"/>
              <w:spacing w:before="40" w:after="40"/>
              <w:ind w:firstLine="0"/>
              <w:jc w:val="left"/>
              <w:rPr>
                <w:color w:val="17365D"/>
                <w:sz w:val="20"/>
                <w:szCs w:val="20"/>
              </w:rPr>
            </w:pPr>
            <w:r w:rsidRPr="00B36A61">
              <w:rPr>
                <w:color w:val="17365D"/>
                <w:sz w:val="20"/>
                <w:szCs w:val="20"/>
              </w:rPr>
              <w:t>7000</w:t>
            </w:r>
          </w:p>
        </w:tc>
        <w:tc>
          <w:tcPr>
            <w:tcW w:w="2566" w:type="dxa"/>
            <w:tcBorders>
              <w:top w:val="single" w:sz="4" w:space="0" w:color="17365D"/>
              <w:bottom w:val="single" w:sz="4" w:space="0" w:color="17365D"/>
            </w:tcBorders>
            <w:shd w:val="clear" w:color="000000" w:fill="FFFFFF"/>
            <w:vAlign w:val="center"/>
          </w:tcPr>
          <w:p w14:paraId="1E6759E8" w14:textId="77777777" w:rsidR="007D0CB2" w:rsidRPr="00B36A61" w:rsidRDefault="007D0CB2" w:rsidP="007D0CB2">
            <w:pPr>
              <w:pStyle w:val="Pamatteksts"/>
              <w:spacing w:before="40" w:after="40"/>
              <w:ind w:firstLine="0"/>
              <w:jc w:val="left"/>
              <w:rPr>
                <w:color w:val="17365D"/>
                <w:sz w:val="20"/>
                <w:szCs w:val="20"/>
              </w:rPr>
            </w:pPr>
            <w:r w:rsidRPr="00B36A61">
              <w:rPr>
                <w:color w:val="17365D"/>
                <w:sz w:val="20"/>
                <w:szCs w:val="20"/>
              </w:rPr>
              <w:t xml:space="preserve">Transferti, uzturēšanas izdevumu transferti, pašu resursu maksājumi, starptautiskā sadarbība </w:t>
            </w:r>
          </w:p>
        </w:tc>
        <w:tc>
          <w:tcPr>
            <w:tcW w:w="1482" w:type="dxa"/>
            <w:tcBorders>
              <w:top w:val="single" w:sz="4" w:space="0" w:color="17365D"/>
              <w:left w:val="nil"/>
              <w:bottom w:val="single" w:sz="4" w:space="0" w:color="17365D"/>
              <w:right w:val="nil"/>
            </w:tcBorders>
            <w:shd w:val="clear" w:color="000000" w:fill="FFFFFF"/>
            <w:vAlign w:val="center"/>
          </w:tcPr>
          <w:p w14:paraId="6DCBCFDB" w14:textId="2A4E215C"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24 005 894</w:t>
            </w:r>
          </w:p>
        </w:tc>
        <w:tc>
          <w:tcPr>
            <w:tcW w:w="1482" w:type="dxa"/>
            <w:tcBorders>
              <w:top w:val="single" w:sz="4" w:space="0" w:color="17365D"/>
              <w:left w:val="nil"/>
              <w:bottom w:val="single" w:sz="4" w:space="0" w:color="17365D"/>
              <w:right w:val="nil"/>
            </w:tcBorders>
            <w:shd w:val="clear" w:color="000000" w:fill="FFFFFF"/>
            <w:vAlign w:val="center"/>
          </w:tcPr>
          <w:p w14:paraId="3EF1F1CE" w14:textId="68D1085E"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18 530 006</w:t>
            </w:r>
          </w:p>
        </w:tc>
        <w:tc>
          <w:tcPr>
            <w:tcW w:w="1634" w:type="dxa"/>
            <w:tcBorders>
              <w:top w:val="single" w:sz="4" w:space="0" w:color="17365D"/>
              <w:left w:val="nil"/>
              <w:bottom w:val="single" w:sz="4" w:space="0" w:color="17365D"/>
              <w:right w:val="nil"/>
            </w:tcBorders>
            <w:shd w:val="clear" w:color="000000" w:fill="FFFFFF"/>
            <w:vAlign w:val="center"/>
          </w:tcPr>
          <w:p w14:paraId="62D63F61" w14:textId="0F483F5D" w:rsidR="007D0CB2" w:rsidRPr="00B36A61" w:rsidRDefault="007D0CB2" w:rsidP="007D0CB2">
            <w:pPr>
              <w:pStyle w:val="Pamatteksts"/>
              <w:spacing w:before="60" w:after="60"/>
              <w:ind w:left="-107" w:right="-105" w:firstLine="0"/>
              <w:jc w:val="right"/>
              <w:rPr>
                <w:color w:val="17365D"/>
                <w:sz w:val="20"/>
                <w:szCs w:val="20"/>
              </w:rPr>
            </w:pPr>
            <w:r w:rsidRPr="00B36A61">
              <w:rPr>
                <w:color w:val="17365D"/>
                <w:sz w:val="20"/>
                <w:szCs w:val="20"/>
              </w:rPr>
              <w:t>5 475 888</w:t>
            </w:r>
          </w:p>
        </w:tc>
        <w:tc>
          <w:tcPr>
            <w:tcW w:w="1317" w:type="dxa"/>
            <w:tcBorders>
              <w:top w:val="single" w:sz="4" w:space="0" w:color="17365D"/>
              <w:left w:val="nil"/>
              <w:bottom w:val="single" w:sz="4" w:space="0" w:color="17365D"/>
              <w:right w:val="nil"/>
            </w:tcBorders>
            <w:shd w:val="clear" w:color="000000" w:fill="FFFFFF"/>
            <w:vAlign w:val="center"/>
          </w:tcPr>
          <w:p w14:paraId="504A5A62" w14:textId="3FE1E220"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29.6</w:t>
            </w:r>
          </w:p>
        </w:tc>
      </w:tr>
      <w:tr w:rsidR="00B36A61" w:rsidRPr="00B36A61" w14:paraId="2120A799" w14:textId="77777777" w:rsidTr="00856306">
        <w:trPr>
          <w:trHeight w:val="284"/>
        </w:trPr>
        <w:tc>
          <w:tcPr>
            <w:tcW w:w="904" w:type="dxa"/>
            <w:tcBorders>
              <w:top w:val="single" w:sz="4" w:space="0" w:color="17365D"/>
              <w:bottom w:val="single" w:sz="4" w:space="0" w:color="17365D"/>
            </w:tcBorders>
            <w:vAlign w:val="center"/>
          </w:tcPr>
          <w:p w14:paraId="1F586EF3" w14:textId="77777777" w:rsidR="007D0CB2" w:rsidRPr="00B36A61" w:rsidRDefault="007D0CB2" w:rsidP="007D0CB2">
            <w:pPr>
              <w:pStyle w:val="Pamatteksts"/>
              <w:spacing w:before="40" w:after="40"/>
              <w:ind w:firstLine="0"/>
              <w:jc w:val="left"/>
              <w:rPr>
                <w:color w:val="17365D"/>
                <w:sz w:val="20"/>
                <w:szCs w:val="20"/>
              </w:rPr>
            </w:pPr>
            <w:r w:rsidRPr="00B36A61">
              <w:rPr>
                <w:color w:val="17365D"/>
                <w:sz w:val="20"/>
                <w:szCs w:val="20"/>
              </w:rPr>
              <w:t>1.4.</w:t>
            </w:r>
          </w:p>
        </w:tc>
        <w:tc>
          <w:tcPr>
            <w:tcW w:w="2566" w:type="dxa"/>
            <w:tcBorders>
              <w:top w:val="single" w:sz="4" w:space="0" w:color="17365D"/>
              <w:bottom w:val="single" w:sz="4" w:space="0" w:color="17365D"/>
            </w:tcBorders>
            <w:shd w:val="clear" w:color="000000" w:fill="FFFFFF"/>
            <w:vAlign w:val="center"/>
          </w:tcPr>
          <w:p w14:paraId="1EA520F1" w14:textId="77777777" w:rsidR="007D0CB2" w:rsidRPr="00B36A61" w:rsidRDefault="007D0CB2" w:rsidP="007D0CB2">
            <w:pPr>
              <w:pStyle w:val="Pamatteksts"/>
              <w:spacing w:before="40" w:after="40"/>
              <w:ind w:firstLine="0"/>
              <w:jc w:val="left"/>
              <w:rPr>
                <w:color w:val="17365D"/>
                <w:sz w:val="20"/>
                <w:szCs w:val="20"/>
              </w:rPr>
            </w:pPr>
            <w:r w:rsidRPr="00B36A61">
              <w:rPr>
                <w:bCs/>
                <w:color w:val="17365D"/>
                <w:sz w:val="20"/>
                <w:szCs w:val="20"/>
              </w:rPr>
              <w:t>Kārtējie maksājumi Eiropas Savienības budžetā un starptautiskā sadarbība</w:t>
            </w:r>
          </w:p>
        </w:tc>
        <w:tc>
          <w:tcPr>
            <w:tcW w:w="1482" w:type="dxa"/>
            <w:tcBorders>
              <w:top w:val="single" w:sz="4" w:space="0" w:color="17365D"/>
              <w:left w:val="nil"/>
              <w:bottom w:val="single" w:sz="4" w:space="0" w:color="17365D"/>
              <w:right w:val="nil"/>
            </w:tcBorders>
            <w:shd w:val="clear" w:color="000000" w:fill="FFFFFF"/>
            <w:vAlign w:val="center"/>
          </w:tcPr>
          <w:p w14:paraId="7F5F8A0E" w14:textId="15FB4F48"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6 401 413</w:t>
            </w:r>
          </w:p>
        </w:tc>
        <w:tc>
          <w:tcPr>
            <w:tcW w:w="1482" w:type="dxa"/>
            <w:tcBorders>
              <w:top w:val="single" w:sz="4" w:space="0" w:color="17365D"/>
              <w:left w:val="nil"/>
              <w:bottom w:val="single" w:sz="4" w:space="0" w:color="17365D"/>
              <w:right w:val="nil"/>
            </w:tcBorders>
            <w:shd w:val="clear" w:color="000000" w:fill="FFFFFF"/>
            <w:vAlign w:val="center"/>
          </w:tcPr>
          <w:p w14:paraId="0F402736" w14:textId="2C106654"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7 112 075</w:t>
            </w:r>
          </w:p>
        </w:tc>
        <w:tc>
          <w:tcPr>
            <w:tcW w:w="1634" w:type="dxa"/>
            <w:tcBorders>
              <w:top w:val="single" w:sz="4" w:space="0" w:color="17365D"/>
              <w:left w:val="nil"/>
              <w:bottom w:val="single" w:sz="4" w:space="0" w:color="17365D"/>
              <w:right w:val="nil"/>
            </w:tcBorders>
            <w:shd w:val="clear" w:color="000000" w:fill="FFFFFF"/>
            <w:vAlign w:val="center"/>
          </w:tcPr>
          <w:p w14:paraId="2B2CFA4A" w14:textId="03551237" w:rsidR="007D0CB2" w:rsidRPr="00B36A61" w:rsidRDefault="007D0CB2" w:rsidP="007D0CB2">
            <w:pPr>
              <w:pStyle w:val="Pamatteksts"/>
              <w:spacing w:before="60" w:after="60"/>
              <w:ind w:left="-107" w:right="-105" w:firstLine="0"/>
              <w:jc w:val="right"/>
              <w:rPr>
                <w:color w:val="17365D"/>
                <w:sz w:val="20"/>
                <w:szCs w:val="20"/>
              </w:rPr>
            </w:pPr>
            <w:r w:rsidRPr="00B36A61">
              <w:rPr>
                <w:color w:val="17365D"/>
                <w:sz w:val="20"/>
                <w:szCs w:val="20"/>
              </w:rPr>
              <w:t>-710 662</w:t>
            </w:r>
          </w:p>
        </w:tc>
        <w:tc>
          <w:tcPr>
            <w:tcW w:w="1317" w:type="dxa"/>
            <w:tcBorders>
              <w:top w:val="single" w:sz="4" w:space="0" w:color="17365D"/>
              <w:left w:val="nil"/>
              <w:bottom w:val="single" w:sz="4" w:space="0" w:color="17365D"/>
              <w:right w:val="nil"/>
            </w:tcBorders>
            <w:shd w:val="clear" w:color="000000" w:fill="FFFFFF"/>
            <w:vAlign w:val="center"/>
          </w:tcPr>
          <w:p w14:paraId="778AC125" w14:textId="67FF6464"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-10.0</w:t>
            </w:r>
          </w:p>
        </w:tc>
      </w:tr>
      <w:tr w:rsidR="00B36A61" w:rsidRPr="00B36A61" w14:paraId="286876A9" w14:textId="77777777" w:rsidTr="00856306">
        <w:trPr>
          <w:trHeight w:val="284"/>
        </w:trPr>
        <w:tc>
          <w:tcPr>
            <w:tcW w:w="904" w:type="dxa"/>
            <w:tcBorders>
              <w:top w:val="single" w:sz="4" w:space="0" w:color="17365D"/>
              <w:bottom w:val="single" w:sz="4" w:space="0" w:color="17365D"/>
            </w:tcBorders>
            <w:vAlign w:val="center"/>
          </w:tcPr>
          <w:p w14:paraId="7CCA557F" w14:textId="77777777" w:rsidR="007D0CB2" w:rsidRPr="00B36A61" w:rsidRDefault="007D0CB2" w:rsidP="007D0CB2">
            <w:pPr>
              <w:pStyle w:val="Pamatteksts"/>
              <w:spacing w:before="40" w:after="40"/>
              <w:ind w:firstLine="0"/>
              <w:jc w:val="left"/>
              <w:rPr>
                <w:color w:val="17365D"/>
                <w:sz w:val="20"/>
                <w:szCs w:val="20"/>
              </w:rPr>
            </w:pPr>
            <w:r w:rsidRPr="00B36A61">
              <w:rPr>
                <w:color w:val="17365D"/>
                <w:sz w:val="20"/>
                <w:szCs w:val="20"/>
              </w:rPr>
              <w:t>1.5.</w:t>
            </w:r>
          </w:p>
        </w:tc>
        <w:tc>
          <w:tcPr>
            <w:tcW w:w="2566" w:type="dxa"/>
            <w:tcBorders>
              <w:top w:val="single" w:sz="4" w:space="0" w:color="17365D"/>
              <w:bottom w:val="single" w:sz="4" w:space="0" w:color="17365D"/>
            </w:tcBorders>
            <w:shd w:val="clear" w:color="000000" w:fill="FFFFFF"/>
            <w:vAlign w:val="center"/>
          </w:tcPr>
          <w:p w14:paraId="793EDCD3" w14:textId="77777777" w:rsidR="007D0CB2" w:rsidRPr="00B36A61" w:rsidRDefault="007D0CB2" w:rsidP="007D0CB2">
            <w:pPr>
              <w:pStyle w:val="Pamatteksts"/>
              <w:spacing w:before="40" w:after="40"/>
              <w:ind w:firstLine="0"/>
              <w:jc w:val="left"/>
              <w:rPr>
                <w:color w:val="17365D"/>
                <w:sz w:val="20"/>
                <w:szCs w:val="20"/>
              </w:rPr>
            </w:pPr>
            <w:r w:rsidRPr="00B36A61">
              <w:rPr>
                <w:bCs/>
                <w:color w:val="17365D"/>
                <w:sz w:val="20"/>
                <w:szCs w:val="20"/>
              </w:rPr>
              <w:t xml:space="preserve">Transferti viena budžeta veida ietvaros un uzturēšanas izdevumu transferti starp budžeta veidiem </w:t>
            </w:r>
          </w:p>
        </w:tc>
        <w:tc>
          <w:tcPr>
            <w:tcW w:w="1482" w:type="dxa"/>
            <w:tcBorders>
              <w:top w:val="single" w:sz="4" w:space="0" w:color="17365D"/>
              <w:left w:val="nil"/>
              <w:bottom w:val="single" w:sz="4" w:space="0" w:color="17365D"/>
              <w:right w:val="nil"/>
            </w:tcBorders>
            <w:shd w:val="clear" w:color="000000" w:fill="FFFFFF"/>
            <w:vAlign w:val="center"/>
          </w:tcPr>
          <w:p w14:paraId="1AA35063" w14:textId="69D41CAF"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17 604 481</w:t>
            </w:r>
          </w:p>
        </w:tc>
        <w:tc>
          <w:tcPr>
            <w:tcW w:w="1482" w:type="dxa"/>
            <w:tcBorders>
              <w:top w:val="single" w:sz="4" w:space="0" w:color="17365D"/>
              <w:left w:val="nil"/>
              <w:bottom w:val="single" w:sz="4" w:space="0" w:color="17365D"/>
              <w:right w:val="nil"/>
            </w:tcBorders>
            <w:shd w:val="clear" w:color="000000" w:fill="FFFFFF"/>
            <w:vAlign w:val="center"/>
          </w:tcPr>
          <w:p w14:paraId="064F9ADE" w14:textId="5AD2061B"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11 417 931</w:t>
            </w:r>
          </w:p>
        </w:tc>
        <w:tc>
          <w:tcPr>
            <w:tcW w:w="1634" w:type="dxa"/>
            <w:tcBorders>
              <w:top w:val="single" w:sz="4" w:space="0" w:color="17365D"/>
              <w:left w:val="nil"/>
              <w:bottom w:val="single" w:sz="4" w:space="0" w:color="17365D"/>
              <w:right w:val="nil"/>
            </w:tcBorders>
            <w:shd w:val="clear" w:color="000000" w:fill="FFFFFF"/>
            <w:vAlign w:val="center"/>
          </w:tcPr>
          <w:p w14:paraId="36F4F344" w14:textId="4E41A36F" w:rsidR="007D0CB2" w:rsidRPr="00B36A61" w:rsidRDefault="007D0CB2" w:rsidP="007D0CB2">
            <w:pPr>
              <w:pStyle w:val="Pamatteksts"/>
              <w:spacing w:before="60" w:after="60"/>
              <w:ind w:left="-107" w:right="-105" w:firstLine="0"/>
              <w:jc w:val="right"/>
              <w:rPr>
                <w:color w:val="17365D"/>
                <w:sz w:val="20"/>
                <w:szCs w:val="20"/>
              </w:rPr>
            </w:pPr>
            <w:r w:rsidRPr="00B36A61">
              <w:rPr>
                <w:color w:val="17365D"/>
                <w:sz w:val="20"/>
                <w:szCs w:val="20"/>
              </w:rPr>
              <w:t>6 186 550</w:t>
            </w:r>
          </w:p>
        </w:tc>
        <w:tc>
          <w:tcPr>
            <w:tcW w:w="1317" w:type="dxa"/>
            <w:tcBorders>
              <w:top w:val="single" w:sz="4" w:space="0" w:color="17365D"/>
              <w:left w:val="nil"/>
              <w:bottom w:val="single" w:sz="4" w:space="0" w:color="17365D"/>
              <w:right w:val="nil"/>
            </w:tcBorders>
            <w:shd w:val="clear" w:color="000000" w:fill="FFFFFF"/>
            <w:vAlign w:val="center"/>
          </w:tcPr>
          <w:p w14:paraId="6E254F84" w14:textId="5C0801C9"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54.2</w:t>
            </w:r>
          </w:p>
        </w:tc>
      </w:tr>
      <w:tr w:rsidR="00B36A61" w:rsidRPr="00B36A61" w14:paraId="10600444" w14:textId="77777777" w:rsidTr="00856306">
        <w:trPr>
          <w:trHeight w:val="284"/>
        </w:trPr>
        <w:tc>
          <w:tcPr>
            <w:tcW w:w="904" w:type="dxa"/>
            <w:tcBorders>
              <w:top w:val="single" w:sz="4" w:space="0" w:color="17365D"/>
              <w:bottom w:val="single" w:sz="4" w:space="0" w:color="17365D"/>
            </w:tcBorders>
            <w:vAlign w:val="center"/>
          </w:tcPr>
          <w:p w14:paraId="4A9D070A" w14:textId="77777777" w:rsidR="007D0CB2" w:rsidRPr="00B36A61" w:rsidRDefault="007D0CB2" w:rsidP="007D0CB2">
            <w:pPr>
              <w:pStyle w:val="Pamatteksts"/>
              <w:spacing w:before="40" w:after="40"/>
              <w:ind w:firstLine="0"/>
              <w:jc w:val="left"/>
              <w:rPr>
                <w:b/>
                <w:color w:val="17365D"/>
                <w:sz w:val="20"/>
                <w:szCs w:val="20"/>
              </w:rPr>
            </w:pPr>
            <w:r w:rsidRPr="00B36A61">
              <w:rPr>
                <w:b/>
                <w:color w:val="17365D"/>
                <w:sz w:val="20"/>
                <w:szCs w:val="20"/>
              </w:rPr>
              <w:t>2.0.</w:t>
            </w:r>
          </w:p>
        </w:tc>
        <w:tc>
          <w:tcPr>
            <w:tcW w:w="2566" w:type="dxa"/>
            <w:tcBorders>
              <w:top w:val="single" w:sz="4" w:space="0" w:color="17365D"/>
              <w:bottom w:val="single" w:sz="4" w:space="0" w:color="17365D"/>
            </w:tcBorders>
            <w:shd w:val="clear" w:color="000000" w:fill="FFFFFF"/>
            <w:vAlign w:val="center"/>
          </w:tcPr>
          <w:p w14:paraId="0523D5B7" w14:textId="77777777" w:rsidR="007D0CB2" w:rsidRPr="00B36A61" w:rsidRDefault="007D0CB2" w:rsidP="007D0CB2">
            <w:pPr>
              <w:pStyle w:val="Pamatteksts"/>
              <w:spacing w:before="40" w:after="40"/>
              <w:ind w:firstLine="0"/>
              <w:jc w:val="left"/>
              <w:rPr>
                <w:b/>
                <w:bCs/>
                <w:color w:val="17365D"/>
                <w:sz w:val="20"/>
                <w:szCs w:val="20"/>
              </w:rPr>
            </w:pPr>
            <w:r w:rsidRPr="00B36A61">
              <w:rPr>
                <w:b/>
                <w:bCs/>
                <w:color w:val="17365D"/>
                <w:sz w:val="20"/>
                <w:szCs w:val="20"/>
              </w:rPr>
              <w:t>Kapitālie izdevumi</w:t>
            </w:r>
          </w:p>
        </w:tc>
        <w:tc>
          <w:tcPr>
            <w:tcW w:w="1482" w:type="dxa"/>
            <w:tcBorders>
              <w:top w:val="single" w:sz="4" w:space="0" w:color="17365D"/>
              <w:left w:val="nil"/>
              <w:bottom w:val="single" w:sz="4" w:space="0" w:color="17365D"/>
              <w:right w:val="nil"/>
            </w:tcBorders>
            <w:shd w:val="clear" w:color="000000" w:fill="FFFFFF"/>
            <w:vAlign w:val="center"/>
          </w:tcPr>
          <w:p w14:paraId="6C608204" w14:textId="483D40F3" w:rsidR="007D0CB2" w:rsidRPr="00B36A61" w:rsidRDefault="007D0CB2" w:rsidP="007D0CB2">
            <w:pPr>
              <w:pStyle w:val="Pamatteksts"/>
              <w:spacing w:before="40" w:after="40"/>
              <w:ind w:firstLine="0"/>
              <w:jc w:val="right"/>
              <w:rPr>
                <w:b/>
                <w:color w:val="17365D"/>
                <w:sz w:val="20"/>
                <w:szCs w:val="20"/>
              </w:rPr>
            </w:pPr>
            <w:r w:rsidRPr="00B36A61">
              <w:rPr>
                <w:b/>
                <w:color w:val="17365D"/>
                <w:sz w:val="20"/>
                <w:szCs w:val="20"/>
              </w:rPr>
              <w:t>58 054 531</w:t>
            </w:r>
          </w:p>
        </w:tc>
        <w:tc>
          <w:tcPr>
            <w:tcW w:w="1482" w:type="dxa"/>
            <w:tcBorders>
              <w:top w:val="single" w:sz="4" w:space="0" w:color="17365D"/>
              <w:left w:val="nil"/>
              <w:bottom w:val="single" w:sz="4" w:space="0" w:color="17365D"/>
              <w:right w:val="nil"/>
            </w:tcBorders>
            <w:shd w:val="clear" w:color="000000" w:fill="FFFFFF"/>
            <w:vAlign w:val="center"/>
          </w:tcPr>
          <w:p w14:paraId="4D68C8CA" w14:textId="7EB0AA2F" w:rsidR="007D0CB2" w:rsidRPr="00B36A61" w:rsidRDefault="007D0CB2" w:rsidP="007D0CB2">
            <w:pPr>
              <w:pStyle w:val="Pamatteksts"/>
              <w:spacing w:before="40" w:after="40"/>
              <w:ind w:firstLine="0"/>
              <w:jc w:val="right"/>
              <w:rPr>
                <w:b/>
                <w:color w:val="17365D"/>
                <w:sz w:val="20"/>
                <w:szCs w:val="20"/>
              </w:rPr>
            </w:pPr>
            <w:r w:rsidRPr="00B36A61">
              <w:rPr>
                <w:b/>
                <w:color w:val="17365D"/>
                <w:sz w:val="20"/>
                <w:szCs w:val="20"/>
              </w:rPr>
              <w:t>58 484 213</w:t>
            </w:r>
          </w:p>
        </w:tc>
        <w:tc>
          <w:tcPr>
            <w:tcW w:w="1634" w:type="dxa"/>
            <w:tcBorders>
              <w:top w:val="single" w:sz="4" w:space="0" w:color="17365D"/>
              <w:left w:val="nil"/>
              <w:bottom w:val="single" w:sz="4" w:space="0" w:color="17365D"/>
              <w:right w:val="nil"/>
            </w:tcBorders>
            <w:shd w:val="clear" w:color="000000" w:fill="FFFFFF"/>
            <w:vAlign w:val="center"/>
          </w:tcPr>
          <w:p w14:paraId="47EBD89B" w14:textId="27ABE95E" w:rsidR="007D0CB2" w:rsidRPr="00B36A61" w:rsidRDefault="007D0CB2" w:rsidP="007D0CB2">
            <w:pPr>
              <w:pStyle w:val="Pamatteksts"/>
              <w:spacing w:before="60" w:after="60"/>
              <w:ind w:left="-107" w:right="-105" w:firstLine="0"/>
              <w:jc w:val="right"/>
              <w:rPr>
                <w:b/>
                <w:color w:val="17365D"/>
                <w:sz w:val="20"/>
                <w:szCs w:val="20"/>
              </w:rPr>
            </w:pPr>
            <w:r w:rsidRPr="00B36A61">
              <w:rPr>
                <w:b/>
                <w:color w:val="17365D"/>
                <w:sz w:val="20"/>
                <w:szCs w:val="20"/>
              </w:rPr>
              <w:t>-429 682</w:t>
            </w:r>
          </w:p>
        </w:tc>
        <w:tc>
          <w:tcPr>
            <w:tcW w:w="1317" w:type="dxa"/>
            <w:tcBorders>
              <w:top w:val="single" w:sz="4" w:space="0" w:color="17365D"/>
              <w:left w:val="nil"/>
              <w:bottom w:val="single" w:sz="4" w:space="0" w:color="17365D"/>
              <w:right w:val="nil"/>
            </w:tcBorders>
            <w:shd w:val="clear" w:color="000000" w:fill="FFFFFF"/>
            <w:vAlign w:val="center"/>
          </w:tcPr>
          <w:p w14:paraId="3DE18960" w14:textId="5AB9A7FD" w:rsidR="007D0CB2" w:rsidRPr="00B36A61" w:rsidRDefault="007D0CB2" w:rsidP="007D0CB2">
            <w:pPr>
              <w:pStyle w:val="Pamatteksts"/>
              <w:spacing w:before="40" w:after="40"/>
              <w:ind w:firstLine="0"/>
              <w:jc w:val="right"/>
              <w:rPr>
                <w:b/>
                <w:color w:val="17365D"/>
                <w:sz w:val="20"/>
                <w:szCs w:val="20"/>
              </w:rPr>
            </w:pPr>
            <w:r w:rsidRPr="00B36A61">
              <w:rPr>
                <w:b/>
                <w:color w:val="17365D"/>
                <w:sz w:val="20"/>
                <w:szCs w:val="20"/>
              </w:rPr>
              <w:t>-0.7</w:t>
            </w:r>
          </w:p>
        </w:tc>
      </w:tr>
      <w:tr w:rsidR="00B36A61" w:rsidRPr="00B36A61" w14:paraId="0C51FB46" w14:textId="77777777" w:rsidTr="00856306">
        <w:trPr>
          <w:trHeight w:val="284"/>
        </w:trPr>
        <w:tc>
          <w:tcPr>
            <w:tcW w:w="904" w:type="dxa"/>
            <w:tcBorders>
              <w:top w:val="single" w:sz="4" w:space="0" w:color="17365D"/>
              <w:bottom w:val="single" w:sz="4" w:space="0" w:color="17365D"/>
            </w:tcBorders>
            <w:vAlign w:val="center"/>
          </w:tcPr>
          <w:p w14:paraId="4E9056C1" w14:textId="1F492BD7" w:rsidR="007D0CB2" w:rsidRPr="00B36A61" w:rsidRDefault="007D0CB2" w:rsidP="007D0CB2">
            <w:pPr>
              <w:pStyle w:val="Pamatteksts"/>
              <w:spacing w:before="40" w:after="40"/>
              <w:ind w:firstLine="0"/>
              <w:jc w:val="left"/>
              <w:rPr>
                <w:color w:val="17365D"/>
                <w:sz w:val="20"/>
                <w:szCs w:val="20"/>
              </w:rPr>
            </w:pPr>
            <w:r w:rsidRPr="00B36A61">
              <w:rPr>
                <w:color w:val="17365D"/>
                <w:sz w:val="20"/>
                <w:szCs w:val="20"/>
              </w:rPr>
              <w:t>2.1.</w:t>
            </w:r>
          </w:p>
        </w:tc>
        <w:tc>
          <w:tcPr>
            <w:tcW w:w="2566" w:type="dxa"/>
            <w:tcBorders>
              <w:top w:val="single" w:sz="4" w:space="0" w:color="17365D"/>
              <w:bottom w:val="single" w:sz="4" w:space="0" w:color="17365D"/>
            </w:tcBorders>
            <w:shd w:val="clear" w:color="000000" w:fill="FFFFFF"/>
            <w:vAlign w:val="center"/>
          </w:tcPr>
          <w:p w14:paraId="125D10D8" w14:textId="77777777" w:rsidR="007D0CB2" w:rsidRPr="00B36A61" w:rsidRDefault="007D0CB2" w:rsidP="007D0CB2">
            <w:pPr>
              <w:pStyle w:val="Pamatteksts"/>
              <w:spacing w:before="40" w:after="40"/>
              <w:ind w:firstLine="0"/>
              <w:jc w:val="left"/>
              <w:rPr>
                <w:color w:val="17365D"/>
                <w:sz w:val="20"/>
                <w:szCs w:val="20"/>
              </w:rPr>
            </w:pPr>
            <w:r w:rsidRPr="00B36A61">
              <w:rPr>
                <w:bCs/>
                <w:color w:val="17365D"/>
                <w:sz w:val="20"/>
                <w:szCs w:val="20"/>
              </w:rPr>
              <w:t>Pamatkapitāla veidošana</w:t>
            </w:r>
          </w:p>
        </w:tc>
        <w:tc>
          <w:tcPr>
            <w:tcW w:w="1482" w:type="dxa"/>
            <w:tcBorders>
              <w:top w:val="single" w:sz="4" w:space="0" w:color="17365D"/>
              <w:left w:val="nil"/>
              <w:bottom w:val="single" w:sz="4" w:space="0" w:color="17365D"/>
              <w:right w:val="nil"/>
            </w:tcBorders>
            <w:shd w:val="clear" w:color="000000" w:fill="FFFFFF"/>
            <w:vAlign w:val="center"/>
          </w:tcPr>
          <w:p w14:paraId="4676D23E" w14:textId="6A706F5C"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57 783 506</w:t>
            </w:r>
          </w:p>
        </w:tc>
        <w:tc>
          <w:tcPr>
            <w:tcW w:w="1482" w:type="dxa"/>
            <w:tcBorders>
              <w:top w:val="single" w:sz="4" w:space="0" w:color="17365D"/>
              <w:left w:val="nil"/>
              <w:bottom w:val="single" w:sz="4" w:space="0" w:color="17365D"/>
              <w:right w:val="nil"/>
            </w:tcBorders>
            <w:shd w:val="clear" w:color="000000" w:fill="FFFFFF"/>
            <w:vAlign w:val="center"/>
          </w:tcPr>
          <w:p w14:paraId="576C685E" w14:textId="50A2B24F"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58 480 452</w:t>
            </w:r>
          </w:p>
        </w:tc>
        <w:tc>
          <w:tcPr>
            <w:tcW w:w="1634" w:type="dxa"/>
            <w:tcBorders>
              <w:top w:val="single" w:sz="4" w:space="0" w:color="17365D"/>
              <w:left w:val="nil"/>
              <w:bottom w:val="single" w:sz="4" w:space="0" w:color="17365D"/>
              <w:right w:val="nil"/>
            </w:tcBorders>
            <w:shd w:val="clear" w:color="000000" w:fill="FFFFFF"/>
            <w:vAlign w:val="center"/>
          </w:tcPr>
          <w:p w14:paraId="74ECC1CD" w14:textId="58727107" w:rsidR="007D0CB2" w:rsidRPr="00B36A61" w:rsidRDefault="007D0CB2" w:rsidP="007D0CB2">
            <w:pPr>
              <w:pStyle w:val="Pamatteksts"/>
              <w:spacing w:before="60" w:after="60"/>
              <w:ind w:left="-107" w:right="-105" w:firstLine="0"/>
              <w:jc w:val="right"/>
              <w:rPr>
                <w:color w:val="17365D"/>
                <w:sz w:val="20"/>
                <w:szCs w:val="20"/>
              </w:rPr>
            </w:pPr>
            <w:r w:rsidRPr="00B36A61">
              <w:rPr>
                <w:color w:val="17365D"/>
                <w:sz w:val="20"/>
                <w:szCs w:val="20"/>
              </w:rPr>
              <w:t>-696 946</w:t>
            </w:r>
          </w:p>
        </w:tc>
        <w:tc>
          <w:tcPr>
            <w:tcW w:w="1317" w:type="dxa"/>
            <w:tcBorders>
              <w:top w:val="single" w:sz="4" w:space="0" w:color="17365D"/>
              <w:left w:val="nil"/>
              <w:bottom w:val="single" w:sz="4" w:space="0" w:color="17365D"/>
              <w:right w:val="nil"/>
            </w:tcBorders>
            <w:shd w:val="clear" w:color="000000" w:fill="FFFFFF"/>
            <w:vAlign w:val="center"/>
          </w:tcPr>
          <w:p w14:paraId="39D3C5A4" w14:textId="3F8DB183"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-1.2</w:t>
            </w:r>
          </w:p>
        </w:tc>
      </w:tr>
      <w:tr w:rsidR="00B36A61" w:rsidRPr="00B36A61" w14:paraId="13EE09F1" w14:textId="77777777" w:rsidTr="00856306">
        <w:trPr>
          <w:trHeight w:val="284"/>
        </w:trPr>
        <w:tc>
          <w:tcPr>
            <w:tcW w:w="904" w:type="dxa"/>
            <w:tcBorders>
              <w:top w:val="single" w:sz="4" w:space="0" w:color="17365D"/>
              <w:bottom w:val="nil"/>
            </w:tcBorders>
            <w:vAlign w:val="center"/>
          </w:tcPr>
          <w:p w14:paraId="5CF610F4" w14:textId="2462B2F4" w:rsidR="007D0CB2" w:rsidRPr="00B36A61" w:rsidRDefault="007D0CB2" w:rsidP="007D0CB2">
            <w:pPr>
              <w:pStyle w:val="Pamatteksts"/>
              <w:spacing w:before="40" w:after="40"/>
              <w:ind w:firstLine="0"/>
              <w:jc w:val="left"/>
              <w:rPr>
                <w:color w:val="17365D"/>
                <w:sz w:val="20"/>
                <w:szCs w:val="20"/>
              </w:rPr>
            </w:pPr>
            <w:r w:rsidRPr="00B36A61">
              <w:rPr>
                <w:color w:val="17365D"/>
                <w:sz w:val="20"/>
                <w:szCs w:val="20"/>
              </w:rPr>
              <w:t>2.2.</w:t>
            </w:r>
          </w:p>
        </w:tc>
        <w:tc>
          <w:tcPr>
            <w:tcW w:w="2566" w:type="dxa"/>
            <w:tcBorders>
              <w:top w:val="single" w:sz="4" w:space="0" w:color="17365D"/>
              <w:bottom w:val="nil"/>
            </w:tcBorders>
            <w:shd w:val="clear" w:color="000000" w:fill="FFFFFF"/>
            <w:vAlign w:val="center"/>
          </w:tcPr>
          <w:p w14:paraId="66F53B3A" w14:textId="1DF3D3F0" w:rsidR="007D0CB2" w:rsidRPr="00B36A61" w:rsidRDefault="007D0CB2" w:rsidP="007D0CB2">
            <w:pPr>
              <w:pStyle w:val="Pamatteksts"/>
              <w:spacing w:before="40" w:after="40"/>
              <w:ind w:firstLine="0"/>
              <w:jc w:val="left"/>
              <w:rPr>
                <w:bCs/>
                <w:color w:val="17365D"/>
                <w:sz w:val="20"/>
                <w:szCs w:val="20"/>
              </w:rPr>
            </w:pPr>
            <w:r w:rsidRPr="00B36A61">
              <w:rPr>
                <w:bCs/>
                <w:color w:val="17365D"/>
                <w:sz w:val="20"/>
                <w:szCs w:val="20"/>
              </w:rPr>
              <w:t>Kapitālo izdevumu transferti</w:t>
            </w:r>
          </w:p>
        </w:tc>
        <w:tc>
          <w:tcPr>
            <w:tcW w:w="1482" w:type="dxa"/>
            <w:tcBorders>
              <w:top w:val="single" w:sz="4" w:space="0" w:color="17365D"/>
              <w:left w:val="nil"/>
              <w:bottom w:val="nil"/>
              <w:right w:val="nil"/>
            </w:tcBorders>
            <w:shd w:val="clear" w:color="000000" w:fill="FFFFFF"/>
            <w:vAlign w:val="center"/>
          </w:tcPr>
          <w:p w14:paraId="68EE110F" w14:textId="5991B033"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271 025</w:t>
            </w:r>
          </w:p>
        </w:tc>
        <w:tc>
          <w:tcPr>
            <w:tcW w:w="1482" w:type="dxa"/>
            <w:tcBorders>
              <w:top w:val="single" w:sz="4" w:space="0" w:color="17365D"/>
              <w:left w:val="nil"/>
              <w:bottom w:val="nil"/>
              <w:right w:val="nil"/>
            </w:tcBorders>
            <w:shd w:val="clear" w:color="000000" w:fill="FFFFFF"/>
            <w:vAlign w:val="center"/>
          </w:tcPr>
          <w:p w14:paraId="1011695C" w14:textId="31513E44"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3 761</w:t>
            </w:r>
          </w:p>
        </w:tc>
        <w:tc>
          <w:tcPr>
            <w:tcW w:w="1634" w:type="dxa"/>
            <w:tcBorders>
              <w:top w:val="single" w:sz="4" w:space="0" w:color="17365D"/>
              <w:left w:val="nil"/>
              <w:bottom w:val="nil"/>
              <w:right w:val="nil"/>
            </w:tcBorders>
            <w:shd w:val="clear" w:color="000000" w:fill="FFFFFF"/>
            <w:vAlign w:val="center"/>
          </w:tcPr>
          <w:p w14:paraId="07039A09" w14:textId="524444E9" w:rsidR="007D0CB2" w:rsidRPr="00B36A61" w:rsidRDefault="007D0CB2" w:rsidP="007D0CB2">
            <w:pPr>
              <w:pStyle w:val="Pamatteksts"/>
              <w:spacing w:before="60" w:after="60"/>
              <w:ind w:left="-107" w:right="-105" w:firstLine="0"/>
              <w:jc w:val="right"/>
              <w:rPr>
                <w:color w:val="17365D"/>
                <w:sz w:val="20"/>
                <w:szCs w:val="20"/>
              </w:rPr>
            </w:pPr>
            <w:r w:rsidRPr="00B36A61">
              <w:rPr>
                <w:color w:val="17365D"/>
                <w:sz w:val="20"/>
                <w:szCs w:val="20"/>
              </w:rPr>
              <w:t>267 264</w:t>
            </w:r>
          </w:p>
        </w:tc>
        <w:tc>
          <w:tcPr>
            <w:tcW w:w="1317" w:type="dxa"/>
            <w:tcBorders>
              <w:top w:val="single" w:sz="4" w:space="0" w:color="17365D"/>
              <w:left w:val="nil"/>
              <w:bottom w:val="nil"/>
              <w:right w:val="nil"/>
            </w:tcBorders>
            <w:shd w:val="clear" w:color="000000" w:fill="FFFFFF"/>
            <w:vAlign w:val="center"/>
          </w:tcPr>
          <w:p w14:paraId="3038F3CF" w14:textId="4DB7EF33" w:rsidR="007D0CB2" w:rsidRPr="00B36A61" w:rsidRDefault="007D0CB2" w:rsidP="007D0CB2">
            <w:pPr>
              <w:pStyle w:val="Pamatteksts"/>
              <w:spacing w:before="40" w:after="40"/>
              <w:ind w:firstLine="0"/>
              <w:jc w:val="right"/>
              <w:rPr>
                <w:color w:val="17365D"/>
                <w:sz w:val="20"/>
                <w:szCs w:val="20"/>
              </w:rPr>
            </w:pPr>
            <w:r w:rsidRPr="00B36A61">
              <w:rPr>
                <w:color w:val="17365D"/>
                <w:sz w:val="20"/>
                <w:szCs w:val="20"/>
              </w:rPr>
              <w:t>7 106.2</w:t>
            </w:r>
          </w:p>
        </w:tc>
      </w:tr>
      <w:tr w:rsidR="00B36A61" w:rsidRPr="00B36A61" w14:paraId="26227E6F" w14:textId="77777777" w:rsidTr="00437740">
        <w:trPr>
          <w:trHeight w:val="284"/>
        </w:trPr>
        <w:tc>
          <w:tcPr>
            <w:tcW w:w="904" w:type="dxa"/>
            <w:tcBorders>
              <w:top w:val="nil"/>
              <w:bottom w:val="nil"/>
            </w:tcBorders>
            <w:shd w:val="clear" w:color="auto" w:fill="B9CDE5"/>
            <w:vAlign w:val="center"/>
          </w:tcPr>
          <w:p w14:paraId="25E67ADD" w14:textId="77777777" w:rsidR="00467DFA" w:rsidRPr="00B36A61" w:rsidRDefault="00467DFA" w:rsidP="00F30281">
            <w:pPr>
              <w:pStyle w:val="Pamatteksts"/>
              <w:spacing w:before="40" w:after="40"/>
              <w:ind w:firstLine="0"/>
              <w:jc w:val="left"/>
              <w:rPr>
                <w:color w:val="17365D"/>
                <w:sz w:val="20"/>
                <w:szCs w:val="20"/>
              </w:rPr>
            </w:pPr>
          </w:p>
        </w:tc>
        <w:tc>
          <w:tcPr>
            <w:tcW w:w="2566" w:type="dxa"/>
            <w:tcBorders>
              <w:top w:val="nil"/>
              <w:bottom w:val="nil"/>
            </w:tcBorders>
            <w:shd w:val="clear" w:color="auto" w:fill="B9CDE5"/>
            <w:vAlign w:val="center"/>
          </w:tcPr>
          <w:p w14:paraId="16042BDB" w14:textId="77777777" w:rsidR="00467DFA" w:rsidRPr="00B36A61" w:rsidRDefault="00467DFA" w:rsidP="00F30281">
            <w:pPr>
              <w:pStyle w:val="Pamatteksts"/>
              <w:spacing w:before="40" w:after="40"/>
              <w:ind w:firstLine="0"/>
              <w:jc w:val="left"/>
              <w:rPr>
                <w:bCs/>
                <w:color w:val="17365D"/>
                <w:sz w:val="20"/>
                <w:szCs w:val="20"/>
              </w:rPr>
            </w:pPr>
          </w:p>
        </w:tc>
        <w:tc>
          <w:tcPr>
            <w:tcW w:w="1482" w:type="dxa"/>
            <w:tcBorders>
              <w:top w:val="nil"/>
              <w:bottom w:val="nil"/>
            </w:tcBorders>
            <w:shd w:val="clear" w:color="auto" w:fill="B9CDE5"/>
            <w:vAlign w:val="center"/>
          </w:tcPr>
          <w:p w14:paraId="3913338C" w14:textId="77777777" w:rsidR="00467DFA" w:rsidRPr="00B36A61" w:rsidRDefault="00467DFA" w:rsidP="00F30281">
            <w:pPr>
              <w:pStyle w:val="Pamatteksts"/>
              <w:spacing w:before="40" w:after="40"/>
              <w:ind w:firstLine="0"/>
              <w:jc w:val="right"/>
              <w:rPr>
                <w:color w:val="17365D"/>
                <w:sz w:val="20"/>
                <w:szCs w:val="20"/>
              </w:rPr>
            </w:pPr>
          </w:p>
        </w:tc>
        <w:tc>
          <w:tcPr>
            <w:tcW w:w="1482" w:type="dxa"/>
            <w:tcBorders>
              <w:top w:val="nil"/>
              <w:bottom w:val="nil"/>
            </w:tcBorders>
            <w:shd w:val="clear" w:color="auto" w:fill="B9CDE5"/>
            <w:vAlign w:val="center"/>
          </w:tcPr>
          <w:p w14:paraId="30AD442C" w14:textId="77777777" w:rsidR="00467DFA" w:rsidRPr="00B36A61" w:rsidRDefault="00467DFA" w:rsidP="00F30281">
            <w:pPr>
              <w:pStyle w:val="Pamatteksts"/>
              <w:spacing w:before="40" w:after="40"/>
              <w:ind w:firstLine="0"/>
              <w:jc w:val="right"/>
              <w:rPr>
                <w:color w:val="17365D"/>
                <w:sz w:val="20"/>
                <w:szCs w:val="20"/>
              </w:rPr>
            </w:pPr>
          </w:p>
        </w:tc>
        <w:tc>
          <w:tcPr>
            <w:tcW w:w="1634" w:type="dxa"/>
            <w:tcBorders>
              <w:top w:val="nil"/>
              <w:bottom w:val="nil"/>
            </w:tcBorders>
            <w:shd w:val="clear" w:color="auto" w:fill="B9CDE5"/>
            <w:vAlign w:val="center"/>
          </w:tcPr>
          <w:p w14:paraId="021D1C50" w14:textId="77777777" w:rsidR="00467DFA" w:rsidRPr="00B36A61" w:rsidRDefault="00467DFA" w:rsidP="00F30281">
            <w:pPr>
              <w:pStyle w:val="Pamatteksts"/>
              <w:spacing w:before="60" w:after="60"/>
              <w:ind w:left="-107" w:right="-105" w:firstLine="0"/>
              <w:jc w:val="right"/>
              <w:rPr>
                <w:color w:val="17365D"/>
                <w:sz w:val="20"/>
                <w:szCs w:val="20"/>
              </w:rPr>
            </w:pPr>
          </w:p>
        </w:tc>
        <w:tc>
          <w:tcPr>
            <w:tcW w:w="1317" w:type="dxa"/>
            <w:tcBorders>
              <w:top w:val="nil"/>
              <w:bottom w:val="nil"/>
            </w:tcBorders>
            <w:shd w:val="clear" w:color="auto" w:fill="B9CDE5"/>
            <w:vAlign w:val="center"/>
          </w:tcPr>
          <w:p w14:paraId="31D3D1C0" w14:textId="77777777" w:rsidR="00467DFA" w:rsidRPr="00B36A61" w:rsidRDefault="00467DFA" w:rsidP="00F30281">
            <w:pPr>
              <w:pStyle w:val="Pamatteksts"/>
              <w:spacing w:before="40" w:after="40"/>
              <w:ind w:firstLine="0"/>
              <w:jc w:val="right"/>
              <w:rPr>
                <w:color w:val="17365D"/>
                <w:sz w:val="20"/>
                <w:szCs w:val="20"/>
              </w:rPr>
            </w:pPr>
          </w:p>
        </w:tc>
      </w:tr>
    </w:tbl>
    <w:p w14:paraId="270192BB" w14:textId="77777777" w:rsidR="00372032" w:rsidRPr="00B36A61" w:rsidRDefault="00372032" w:rsidP="00A36FCF">
      <w:pPr>
        <w:pStyle w:val="Pamatteksts"/>
        <w:rPr>
          <w:color w:val="17365D"/>
        </w:rPr>
      </w:pPr>
    </w:p>
    <w:p w14:paraId="0521CF4D" w14:textId="4EE83D53" w:rsidR="00224DC1" w:rsidRPr="00B36A61" w:rsidRDefault="00662862" w:rsidP="00EC5785">
      <w:pPr>
        <w:spacing w:before="120" w:after="60"/>
        <w:rPr>
          <w:noProof/>
          <w:color w:val="17365D"/>
        </w:rPr>
      </w:pPr>
      <w:r w:rsidRPr="00B36A61">
        <w:rPr>
          <w:noProof/>
          <w:color w:val="17365D"/>
        </w:rPr>
        <w:t>Lielākie izdevumi veikti kārtējiem izdevumiem 411,9 milj. </w:t>
      </w:r>
      <w:r w:rsidRPr="00B36A61">
        <w:rPr>
          <w:i/>
          <w:noProof/>
          <w:color w:val="17365D"/>
        </w:rPr>
        <w:t xml:space="preserve">euro </w:t>
      </w:r>
      <w:r w:rsidRPr="00B36A61">
        <w:rPr>
          <w:noProof/>
          <w:color w:val="17365D"/>
        </w:rPr>
        <w:t>vērtībā par komandējumiem uz starptautiskām izstādēm un konferencēm, administratīv</w:t>
      </w:r>
      <w:r w:rsidR="00D265B8" w:rsidRPr="00B36A61">
        <w:rPr>
          <w:noProof/>
          <w:color w:val="17365D"/>
        </w:rPr>
        <w:t>ie</w:t>
      </w:r>
      <w:r w:rsidR="005A73EA" w:rsidRPr="00B36A61">
        <w:rPr>
          <w:noProof/>
          <w:color w:val="17365D"/>
        </w:rPr>
        <w:t>m</w:t>
      </w:r>
      <w:r w:rsidRPr="00B36A61">
        <w:rPr>
          <w:noProof/>
          <w:color w:val="17365D"/>
        </w:rPr>
        <w:t xml:space="preserve"> izdevum</w:t>
      </w:r>
      <w:r w:rsidR="00D265B8" w:rsidRPr="00B36A61">
        <w:rPr>
          <w:noProof/>
          <w:color w:val="17365D"/>
        </w:rPr>
        <w:t>i</w:t>
      </w:r>
      <w:r w:rsidR="005A73EA" w:rsidRPr="00B36A61">
        <w:rPr>
          <w:noProof/>
          <w:color w:val="17365D"/>
        </w:rPr>
        <w:t>em</w:t>
      </w:r>
      <w:r w:rsidRPr="00B36A61">
        <w:rPr>
          <w:noProof/>
          <w:color w:val="17365D"/>
        </w:rPr>
        <w:t xml:space="preserve"> saistībā ar ekonomiskās darbības aktivizēšanos pēc Covid-19 ierobežojumu atcelšanas un energo resursu izdevumu pieaugum</w:t>
      </w:r>
      <w:r w:rsidR="005A73EA" w:rsidRPr="00B36A61">
        <w:rPr>
          <w:noProof/>
          <w:color w:val="17365D"/>
        </w:rPr>
        <w:t>am</w:t>
      </w:r>
      <w:r w:rsidRPr="00B36A61">
        <w:rPr>
          <w:noProof/>
          <w:color w:val="17365D"/>
        </w:rPr>
        <w:t xml:space="preserve"> sakarā ar</w:t>
      </w:r>
      <w:r w:rsidR="00D265B8" w:rsidRPr="00B36A61">
        <w:rPr>
          <w:noProof/>
          <w:color w:val="17365D"/>
        </w:rPr>
        <w:t xml:space="preserve"> </w:t>
      </w:r>
      <w:r w:rsidRPr="00B36A61">
        <w:rPr>
          <w:noProof/>
          <w:color w:val="17365D"/>
        </w:rPr>
        <w:t>enerģētikas krīzi.</w:t>
      </w:r>
      <w:r w:rsidR="00D265B8" w:rsidRPr="00B36A61">
        <w:rPr>
          <w:color w:val="17365D"/>
        </w:rPr>
        <w:t xml:space="preserve"> </w:t>
      </w:r>
      <w:r w:rsidR="00D265B8" w:rsidRPr="00B36A61">
        <w:rPr>
          <w:noProof/>
          <w:color w:val="17365D"/>
        </w:rPr>
        <w:t>Subsīdijām, dotācij</w:t>
      </w:r>
      <w:r w:rsidR="005A73EA" w:rsidRPr="00B36A61">
        <w:rPr>
          <w:noProof/>
          <w:color w:val="17365D"/>
        </w:rPr>
        <w:t>ām</w:t>
      </w:r>
      <w:r w:rsidR="00D265B8" w:rsidRPr="00B36A61">
        <w:rPr>
          <w:noProof/>
          <w:color w:val="17365D"/>
        </w:rPr>
        <w:t xml:space="preserve"> un sociāliem pabalstiem izdevumi veikti 34,7 milj. </w:t>
      </w:r>
      <w:r w:rsidR="00D265B8" w:rsidRPr="00B36A61">
        <w:rPr>
          <w:i/>
          <w:noProof/>
          <w:color w:val="17365D"/>
        </w:rPr>
        <w:t xml:space="preserve">euro </w:t>
      </w:r>
      <w:r w:rsidR="00D265B8" w:rsidRPr="00B36A61">
        <w:rPr>
          <w:noProof/>
          <w:color w:val="17365D"/>
        </w:rPr>
        <w:t xml:space="preserve">vērtībā par ERASMUS projektu </w:t>
      </w:r>
      <w:r w:rsidR="00B11377" w:rsidRPr="00B36A61">
        <w:rPr>
          <w:noProof/>
          <w:color w:val="17365D"/>
        </w:rPr>
        <w:t>īstenošanu</w:t>
      </w:r>
      <w:r w:rsidR="006A6133" w:rsidRPr="00B36A61">
        <w:rPr>
          <w:noProof/>
          <w:color w:val="17365D"/>
        </w:rPr>
        <w:t>,</w:t>
      </w:r>
      <w:r w:rsidR="00D265B8" w:rsidRPr="00B36A61">
        <w:rPr>
          <w:noProof/>
          <w:color w:val="17365D"/>
        </w:rPr>
        <w:t xml:space="preserve"> stipendiju izmaksu un projektu finansējuma maksājumi</w:t>
      </w:r>
      <w:r w:rsidR="006A6133" w:rsidRPr="00B36A61">
        <w:rPr>
          <w:noProof/>
          <w:color w:val="17365D"/>
        </w:rPr>
        <w:t>em</w:t>
      </w:r>
      <w:r w:rsidR="00D265B8" w:rsidRPr="00B36A61">
        <w:rPr>
          <w:noProof/>
          <w:color w:val="17365D"/>
        </w:rPr>
        <w:t xml:space="preserve"> sadarbības partneriem.</w:t>
      </w:r>
    </w:p>
    <w:p w14:paraId="512A1453" w14:textId="7165F91D" w:rsidR="002C6E11" w:rsidRPr="00B36A61" w:rsidRDefault="002C6E11" w:rsidP="002C6E11">
      <w:pPr>
        <w:pStyle w:val="Pamatteksts"/>
        <w:rPr>
          <w:bCs/>
          <w:noProof w:val="0"/>
          <w:color w:val="17365D"/>
        </w:rPr>
      </w:pPr>
      <w:r w:rsidRPr="00B36A61">
        <w:rPr>
          <w:bCs/>
          <w:noProof w:val="0"/>
          <w:color w:val="17365D"/>
        </w:rPr>
        <w:t>202</w:t>
      </w:r>
      <w:r w:rsidR="006A6133" w:rsidRPr="00B36A61">
        <w:rPr>
          <w:bCs/>
          <w:noProof w:val="0"/>
          <w:color w:val="17365D"/>
        </w:rPr>
        <w:t>2</w:t>
      </w:r>
      <w:r w:rsidRPr="00B36A61">
        <w:rPr>
          <w:bCs/>
          <w:noProof w:val="0"/>
          <w:color w:val="17365D"/>
        </w:rPr>
        <w:t xml:space="preserve">. gadā no valsts budžeta daļēji finansētu atvasinātu publisku personu un budžeta nefinansētu iestāžu pamatdarbības ieņēmumi pārsniedza izdevumus, veidojot </w:t>
      </w:r>
      <w:r w:rsidRPr="00B36A61">
        <w:rPr>
          <w:bCs/>
          <w:noProof w:val="0"/>
          <w:color w:val="17365D"/>
          <w:u w:val="single"/>
        </w:rPr>
        <w:t>finansiālās bilances pārpalikumu</w:t>
      </w:r>
      <w:r w:rsidRPr="00B36A61">
        <w:rPr>
          <w:bCs/>
          <w:noProof w:val="0"/>
          <w:color w:val="17365D"/>
        </w:rPr>
        <w:t xml:space="preserve"> </w:t>
      </w:r>
      <w:r w:rsidR="006A6133" w:rsidRPr="00B36A61">
        <w:rPr>
          <w:bCs/>
          <w:noProof w:val="0"/>
          <w:color w:val="17365D"/>
        </w:rPr>
        <w:t>33</w:t>
      </w:r>
      <w:r w:rsidRPr="00B36A61">
        <w:rPr>
          <w:bCs/>
          <w:noProof w:val="0"/>
          <w:color w:val="17365D"/>
        </w:rPr>
        <w:t>,</w:t>
      </w:r>
      <w:r w:rsidR="006A6133" w:rsidRPr="00B36A61">
        <w:rPr>
          <w:bCs/>
          <w:noProof w:val="0"/>
          <w:color w:val="17365D"/>
        </w:rPr>
        <w:t>8</w:t>
      </w:r>
      <w:r w:rsidR="004B35F9" w:rsidRPr="00B36A61">
        <w:rPr>
          <w:bCs/>
          <w:noProof w:val="0"/>
          <w:color w:val="17365D"/>
        </w:rPr>
        <w:t> </w:t>
      </w:r>
      <w:r w:rsidRPr="00B36A61">
        <w:rPr>
          <w:bCs/>
          <w:noProof w:val="0"/>
          <w:color w:val="17365D"/>
        </w:rPr>
        <w:t xml:space="preserve">milj. </w:t>
      </w:r>
      <w:r w:rsidRPr="00B36A61">
        <w:rPr>
          <w:bCs/>
          <w:i/>
          <w:noProof w:val="0"/>
          <w:color w:val="17365D"/>
        </w:rPr>
        <w:t>euro</w:t>
      </w:r>
      <w:r w:rsidRPr="00B36A61">
        <w:rPr>
          <w:bCs/>
          <w:noProof w:val="0"/>
          <w:color w:val="17365D"/>
        </w:rPr>
        <w:t>, kas salīdzinājumā ar 20</w:t>
      </w:r>
      <w:r w:rsidR="00FB7255" w:rsidRPr="00B36A61">
        <w:rPr>
          <w:bCs/>
          <w:noProof w:val="0"/>
          <w:color w:val="17365D"/>
        </w:rPr>
        <w:t>2</w:t>
      </w:r>
      <w:r w:rsidR="006A6133" w:rsidRPr="00B36A61">
        <w:rPr>
          <w:bCs/>
          <w:noProof w:val="0"/>
          <w:color w:val="17365D"/>
        </w:rPr>
        <w:t>1</w:t>
      </w:r>
      <w:r w:rsidRPr="00B36A61">
        <w:rPr>
          <w:bCs/>
          <w:noProof w:val="0"/>
          <w:color w:val="17365D"/>
        </w:rPr>
        <w:t>.</w:t>
      </w:r>
      <w:r w:rsidR="004B35F9" w:rsidRPr="00B36A61">
        <w:rPr>
          <w:bCs/>
          <w:noProof w:val="0"/>
          <w:color w:val="17365D"/>
        </w:rPr>
        <w:t> </w:t>
      </w:r>
      <w:r w:rsidRPr="00B36A61">
        <w:rPr>
          <w:bCs/>
          <w:noProof w:val="0"/>
          <w:color w:val="17365D"/>
        </w:rPr>
        <w:t xml:space="preserve">gadu </w:t>
      </w:r>
      <w:r w:rsidR="00FB7255" w:rsidRPr="00B36A61">
        <w:rPr>
          <w:bCs/>
          <w:noProof w:val="0"/>
          <w:color w:val="17365D"/>
        </w:rPr>
        <w:t>palielinājies</w:t>
      </w:r>
      <w:r w:rsidRPr="00B36A61">
        <w:rPr>
          <w:bCs/>
          <w:noProof w:val="0"/>
          <w:color w:val="17365D"/>
        </w:rPr>
        <w:t xml:space="preserve"> par </w:t>
      </w:r>
      <w:r w:rsidR="006A6133" w:rsidRPr="00B36A61">
        <w:rPr>
          <w:bCs/>
          <w:noProof w:val="0"/>
          <w:color w:val="17365D"/>
        </w:rPr>
        <w:t>7</w:t>
      </w:r>
      <w:r w:rsidRPr="00B36A61">
        <w:rPr>
          <w:bCs/>
          <w:noProof w:val="0"/>
          <w:color w:val="17365D"/>
        </w:rPr>
        <w:t>,</w:t>
      </w:r>
      <w:r w:rsidR="006A6133" w:rsidRPr="00B36A61">
        <w:rPr>
          <w:bCs/>
          <w:noProof w:val="0"/>
          <w:color w:val="17365D"/>
        </w:rPr>
        <w:t>9</w:t>
      </w:r>
      <w:r w:rsidR="004B35F9" w:rsidRPr="00B36A61">
        <w:rPr>
          <w:bCs/>
          <w:noProof w:val="0"/>
          <w:color w:val="17365D"/>
        </w:rPr>
        <w:t> </w:t>
      </w:r>
      <w:r w:rsidRPr="00B36A61">
        <w:rPr>
          <w:bCs/>
          <w:noProof w:val="0"/>
          <w:color w:val="17365D"/>
        </w:rPr>
        <w:t xml:space="preserve">milj. </w:t>
      </w:r>
      <w:r w:rsidRPr="00B36A61">
        <w:rPr>
          <w:bCs/>
          <w:i/>
          <w:noProof w:val="0"/>
          <w:color w:val="17365D"/>
        </w:rPr>
        <w:t>euro</w:t>
      </w:r>
      <w:r w:rsidRPr="00B36A61">
        <w:rPr>
          <w:bCs/>
          <w:noProof w:val="0"/>
          <w:color w:val="17365D"/>
        </w:rPr>
        <w:t>.</w:t>
      </w:r>
    </w:p>
    <w:p w14:paraId="1410FA2C" w14:textId="5347A305" w:rsidR="000832D1" w:rsidRPr="00B36A61" w:rsidRDefault="000832D1" w:rsidP="000832D1">
      <w:pPr>
        <w:pStyle w:val="Heading1"/>
        <w:rPr>
          <w:rFonts w:cs="Times New Roman"/>
          <w:color w:val="17365D"/>
        </w:rPr>
      </w:pPr>
      <w:r w:rsidRPr="00B36A61">
        <w:rPr>
          <w:rFonts w:cs="Times New Roman"/>
          <w:color w:val="17365D"/>
        </w:rPr>
        <w:t>Budžeta nefinansētu iestāžu pamatdarbība</w:t>
      </w:r>
    </w:p>
    <w:p w14:paraId="11ED8C53" w14:textId="2892F53F" w:rsidR="00817982" w:rsidRPr="00B36A61" w:rsidRDefault="00615D00" w:rsidP="001926A9">
      <w:pPr>
        <w:pStyle w:val="Pamatteksts"/>
        <w:ind w:firstLine="709"/>
        <w:rPr>
          <w:color w:val="17365D"/>
        </w:rPr>
      </w:pPr>
      <w:r w:rsidRPr="00B36A61">
        <w:rPr>
          <w:color w:val="17365D"/>
        </w:rPr>
        <w:t>Likuma par budžetu un finanšu vadību 41</w:t>
      </w:r>
      <w:r w:rsidR="001907AD" w:rsidRPr="00B36A61">
        <w:rPr>
          <w:color w:val="17365D"/>
        </w:rPr>
        <w:t>.</w:t>
      </w:r>
      <w:r w:rsidRPr="00B36A61">
        <w:rPr>
          <w:color w:val="17365D"/>
        </w:rPr>
        <w:t> panta</w:t>
      </w:r>
      <w:r w:rsidR="00481CE3" w:rsidRPr="00B36A61">
        <w:rPr>
          <w:color w:val="17365D"/>
        </w:rPr>
        <w:t xml:space="preserve"> pirmā</w:t>
      </w:r>
      <w:r w:rsidR="001926A9" w:rsidRPr="00B36A61">
        <w:rPr>
          <w:color w:val="17365D"/>
        </w:rPr>
        <w:t> </w:t>
      </w:r>
      <w:r w:rsidRPr="00B36A61">
        <w:rPr>
          <w:color w:val="17365D"/>
        </w:rPr>
        <w:t>daļa nosaka</w:t>
      </w:r>
      <w:r w:rsidR="004133B3" w:rsidRPr="00B36A61">
        <w:rPr>
          <w:color w:val="17365D"/>
        </w:rPr>
        <w:t>:</w:t>
      </w:r>
      <w:r w:rsidRPr="00B36A61">
        <w:rPr>
          <w:color w:val="17365D"/>
        </w:rPr>
        <w:t xml:space="preserve"> “Budžeta nefinansētu iestāžu nākamā gada budžetu projektus apstiprināšanai Ministru kabinetā iesniedz ministrijas (pārraudzības institūcijas) līdz kārtējā gada 1.</w:t>
      </w:r>
      <w:r w:rsidR="004A3581" w:rsidRPr="00B36A61">
        <w:rPr>
          <w:color w:val="17365D"/>
        </w:rPr>
        <w:t xml:space="preserve"> </w:t>
      </w:r>
      <w:r w:rsidRPr="00B36A61">
        <w:rPr>
          <w:color w:val="17365D"/>
        </w:rPr>
        <w:t>septembrim, un Ministru kabinets tos apstiprina līdz kārtējā gada 15.</w:t>
      </w:r>
      <w:r w:rsidR="004B35F9" w:rsidRPr="00B36A61">
        <w:rPr>
          <w:color w:val="17365D"/>
        </w:rPr>
        <w:t> </w:t>
      </w:r>
      <w:r w:rsidRPr="00B36A61">
        <w:rPr>
          <w:color w:val="17365D"/>
        </w:rPr>
        <w:t>septembrim”</w:t>
      </w:r>
      <w:r w:rsidR="001926A9" w:rsidRPr="00B36A61">
        <w:rPr>
          <w:color w:val="17365D"/>
        </w:rPr>
        <w:t>.</w:t>
      </w:r>
      <w:r w:rsidRPr="00B36A61">
        <w:rPr>
          <w:color w:val="17365D"/>
        </w:rPr>
        <w:t xml:space="preserve"> </w:t>
      </w:r>
      <w:r w:rsidR="00C2085C" w:rsidRPr="00B36A61">
        <w:rPr>
          <w:noProof w:val="0"/>
          <w:color w:val="17365D"/>
        </w:rPr>
        <w:t xml:space="preserve">Valsts konsolidētā budžeta izpildē budžeta </w:t>
      </w:r>
      <w:r w:rsidR="00245401" w:rsidRPr="00B36A61">
        <w:rPr>
          <w:noProof w:val="0"/>
          <w:color w:val="17365D"/>
        </w:rPr>
        <w:t>nefinansēto</w:t>
      </w:r>
      <w:r w:rsidR="00C2085C" w:rsidRPr="00B36A61">
        <w:rPr>
          <w:noProof w:val="0"/>
          <w:color w:val="17365D"/>
        </w:rPr>
        <w:t xml:space="preserve"> iestāžu pamatdarbības ieņēmumi un izdevumi iekļauti no valsts budžeta daļēji finansētu atvasinātu publisku personu un budžeta nefinansētu iestāžu konsolidētā pamatdarbības budžeta izpildē</w:t>
      </w:r>
      <w:r w:rsidR="00372032" w:rsidRPr="00B36A61">
        <w:rPr>
          <w:noProof w:val="0"/>
          <w:color w:val="17365D"/>
        </w:rPr>
        <w:t xml:space="preserve"> (skatīt 10</w:t>
      </w:r>
      <w:r w:rsidR="00395AC6" w:rsidRPr="00B36A61">
        <w:rPr>
          <w:noProof w:val="0"/>
          <w:color w:val="17365D"/>
        </w:rPr>
        <w:t>. tabulu)</w:t>
      </w:r>
      <w:r w:rsidR="00C2085C" w:rsidRPr="00B36A61">
        <w:rPr>
          <w:noProof w:val="0"/>
          <w:color w:val="17365D"/>
        </w:rPr>
        <w:t>.</w:t>
      </w:r>
    </w:p>
    <w:p w14:paraId="570B5CA6" w14:textId="61B3EB45" w:rsidR="000278EF" w:rsidRPr="00B36A61" w:rsidRDefault="00C2085C" w:rsidP="00235F0B">
      <w:pPr>
        <w:pStyle w:val="Pamatteksts"/>
        <w:ind w:firstLine="709"/>
        <w:rPr>
          <w:color w:val="17365D"/>
        </w:rPr>
      </w:pPr>
      <w:r w:rsidRPr="00B36A61">
        <w:rPr>
          <w:color w:val="17365D"/>
        </w:rPr>
        <w:t>Skaidrojumā sniegt</w:t>
      </w:r>
      <w:r w:rsidR="00B27D45" w:rsidRPr="00B36A61">
        <w:rPr>
          <w:color w:val="17365D"/>
        </w:rPr>
        <w:t>a</w:t>
      </w:r>
      <w:r w:rsidRPr="00B36A61">
        <w:rPr>
          <w:color w:val="17365D"/>
        </w:rPr>
        <w:t xml:space="preserve"> </w:t>
      </w:r>
      <w:r w:rsidR="00B27D45" w:rsidRPr="00B36A61">
        <w:rPr>
          <w:color w:val="17365D"/>
        </w:rPr>
        <w:t xml:space="preserve">kopsavilkuma </w:t>
      </w:r>
      <w:r w:rsidRPr="00B36A61">
        <w:rPr>
          <w:color w:val="17365D"/>
        </w:rPr>
        <w:t xml:space="preserve">informācija par </w:t>
      </w:r>
      <w:r w:rsidR="00615D00" w:rsidRPr="00B36A61">
        <w:rPr>
          <w:color w:val="17365D"/>
        </w:rPr>
        <w:t>budžeta nefinan</w:t>
      </w:r>
      <w:r w:rsidR="001926A9" w:rsidRPr="00B36A61">
        <w:rPr>
          <w:color w:val="17365D"/>
        </w:rPr>
        <w:t>sētu</w:t>
      </w:r>
      <w:r w:rsidR="00615D00" w:rsidRPr="00B36A61">
        <w:rPr>
          <w:color w:val="17365D"/>
        </w:rPr>
        <w:t xml:space="preserve"> iestāžu</w:t>
      </w:r>
      <w:r w:rsidR="001926A9" w:rsidRPr="00B36A61">
        <w:rPr>
          <w:rStyle w:val="FootnoteReference"/>
          <w:color w:val="17365D"/>
        </w:rPr>
        <w:footnoteReference w:id="2"/>
      </w:r>
      <w:r w:rsidR="00615D00" w:rsidRPr="00B36A61">
        <w:rPr>
          <w:color w:val="17365D"/>
        </w:rPr>
        <w:t xml:space="preserve"> pamatdarbības ieņēmumiem un izdevumie</w:t>
      </w:r>
      <w:r w:rsidR="00606718" w:rsidRPr="00B36A61">
        <w:rPr>
          <w:color w:val="17365D"/>
        </w:rPr>
        <w:t>m</w:t>
      </w:r>
      <w:r w:rsidR="006928AC" w:rsidRPr="00B36A61">
        <w:rPr>
          <w:color w:val="17365D"/>
        </w:rPr>
        <w:t xml:space="preserve"> 20</w:t>
      </w:r>
      <w:r w:rsidR="002C6E11" w:rsidRPr="00B36A61">
        <w:rPr>
          <w:color w:val="17365D"/>
        </w:rPr>
        <w:t>2</w:t>
      </w:r>
      <w:r w:rsidR="00B7021A" w:rsidRPr="00B36A61">
        <w:rPr>
          <w:color w:val="17365D"/>
        </w:rPr>
        <w:t>2</w:t>
      </w:r>
      <w:r w:rsidR="006928AC" w:rsidRPr="00B36A61">
        <w:rPr>
          <w:color w:val="17365D"/>
        </w:rPr>
        <w:t>.</w:t>
      </w:r>
      <w:r w:rsidR="004B35F9" w:rsidRPr="00B36A61">
        <w:rPr>
          <w:color w:val="17365D"/>
        </w:rPr>
        <w:t> </w:t>
      </w:r>
      <w:r w:rsidR="006928AC" w:rsidRPr="00B36A61">
        <w:rPr>
          <w:color w:val="17365D"/>
        </w:rPr>
        <w:t>gadā</w:t>
      </w:r>
      <w:r w:rsidR="00606718" w:rsidRPr="00B36A61">
        <w:rPr>
          <w:color w:val="17365D"/>
        </w:rPr>
        <w:t>.</w:t>
      </w:r>
    </w:p>
    <w:p w14:paraId="194FF3EE" w14:textId="3044CCC4" w:rsidR="00606718" w:rsidRPr="00B36A61" w:rsidRDefault="00697F22" w:rsidP="00C472CC">
      <w:pPr>
        <w:spacing w:before="240" w:after="0"/>
        <w:ind w:left="1440" w:firstLine="0"/>
        <w:jc w:val="right"/>
        <w:rPr>
          <w:rFonts w:eastAsia="Arial Unicode MS"/>
          <w:i/>
          <w:color w:val="17365D"/>
          <w:sz w:val="20"/>
        </w:rPr>
      </w:pPr>
      <w:r w:rsidRPr="00B36A61">
        <w:rPr>
          <w:rFonts w:eastAsia="Arial Unicode MS"/>
          <w:i/>
          <w:color w:val="17365D"/>
          <w:sz w:val="20"/>
        </w:rPr>
        <w:t>1</w:t>
      </w:r>
      <w:r w:rsidR="00372032" w:rsidRPr="00B36A61">
        <w:rPr>
          <w:rFonts w:eastAsia="Arial Unicode MS"/>
          <w:i/>
          <w:color w:val="17365D"/>
          <w:sz w:val="20"/>
        </w:rPr>
        <w:t>0</w:t>
      </w:r>
      <w:r w:rsidR="00606718" w:rsidRPr="00B36A61">
        <w:rPr>
          <w:rFonts w:eastAsia="Arial Unicode MS"/>
          <w:i/>
          <w:color w:val="17365D"/>
          <w:sz w:val="20"/>
        </w:rPr>
        <w:t>. tabula.</w:t>
      </w:r>
      <w:r w:rsidR="00DB3099" w:rsidRPr="00B36A61">
        <w:rPr>
          <w:rFonts w:eastAsia="Arial Unicode MS"/>
          <w:i/>
          <w:color w:val="17365D"/>
          <w:sz w:val="20"/>
        </w:rPr>
        <w:t xml:space="preserve"> Budžeta nefinansētu iestāžu</w:t>
      </w:r>
      <w:r w:rsidR="00606718" w:rsidRPr="00B36A61">
        <w:rPr>
          <w:rFonts w:eastAsia="Arial Unicode MS"/>
          <w:i/>
          <w:color w:val="17365D"/>
          <w:sz w:val="20"/>
        </w:rPr>
        <w:t xml:space="preserve"> </w:t>
      </w:r>
      <w:r w:rsidR="00DB3099" w:rsidRPr="00B36A61">
        <w:rPr>
          <w:bCs/>
          <w:i/>
          <w:color w:val="17365D"/>
          <w:sz w:val="20"/>
          <w:szCs w:val="20"/>
        </w:rPr>
        <w:t>p</w:t>
      </w:r>
      <w:r w:rsidR="00606718" w:rsidRPr="00B36A61">
        <w:rPr>
          <w:bCs/>
          <w:i/>
          <w:color w:val="17365D"/>
          <w:sz w:val="20"/>
          <w:szCs w:val="20"/>
        </w:rPr>
        <w:t xml:space="preserve">amatdarbības </w:t>
      </w:r>
      <w:r w:rsidR="003F4DDA" w:rsidRPr="00B36A61">
        <w:rPr>
          <w:bCs/>
          <w:i/>
          <w:color w:val="17365D"/>
          <w:sz w:val="20"/>
          <w:szCs w:val="20"/>
        </w:rPr>
        <w:t xml:space="preserve">ieņēmumi un izdevumi </w:t>
      </w:r>
      <w:r w:rsidR="00606718" w:rsidRPr="00B36A61">
        <w:rPr>
          <w:bCs/>
          <w:i/>
          <w:color w:val="17365D"/>
          <w:sz w:val="20"/>
          <w:szCs w:val="20"/>
        </w:rPr>
        <w:t>(</w:t>
      </w:r>
      <w:r w:rsidR="00606718" w:rsidRPr="00B36A61">
        <w:rPr>
          <w:i/>
          <w:color w:val="17365D"/>
          <w:sz w:val="20"/>
        </w:rPr>
        <w:t>euro)</w:t>
      </w:r>
    </w:p>
    <w:tbl>
      <w:tblPr>
        <w:tblStyle w:val="TableGrid"/>
        <w:tblW w:w="9360" w:type="dxa"/>
        <w:tblInd w:w="-5" w:type="dxa"/>
        <w:tblBorders>
          <w:top w:val="single" w:sz="4" w:space="0" w:color="17365D"/>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643"/>
        <w:gridCol w:w="1609"/>
        <w:gridCol w:w="960"/>
        <w:gridCol w:w="960"/>
        <w:gridCol w:w="962"/>
        <w:gridCol w:w="1047"/>
        <w:gridCol w:w="1047"/>
        <w:gridCol w:w="1046"/>
        <w:gridCol w:w="1086"/>
      </w:tblGrid>
      <w:tr w:rsidR="00B36A61" w:rsidRPr="00B36A61" w14:paraId="407E69C2" w14:textId="77777777" w:rsidTr="00B402DB">
        <w:trPr>
          <w:trHeight w:val="284"/>
          <w:tblHeader/>
        </w:trPr>
        <w:tc>
          <w:tcPr>
            <w:tcW w:w="643" w:type="dxa"/>
            <w:vMerge w:val="restart"/>
            <w:tcBorders>
              <w:top w:val="nil"/>
            </w:tcBorders>
            <w:shd w:val="clear" w:color="auto" w:fill="B9CDE5"/>
            <w:vAlign w:val="center"/>
          </w:tcPr>
          <w:p w14:paraId="0FAF0BC9" w14:textId="269A0F76" w:rsidR="00F2451C" w:rsidRPr="00B36A61" w:rsidRDefault="00F2451C" w:rsidP="00235F0B">
            <w:pPr>
              <w:pStyle w:val="Pamatteksts"/>
              <w:spacing w:before="60" w:after="60"/>
              <w:ind w:firstLine="0"/>
              <w:jc w:val="center"/>
              <w:rPr>
                <w:b/>
                <w:color w:val="17365D"/>
                <w:sz w:val="16"/>
                <w:szCs w:val="16"/>
              </w:rPr>
            </w:pPr>
            <w:r w:rsidRPr="00B36A61">
              <w:rPr>
                <w:b/>
                <w:color w:val="17365D"/>
                <w:sz w:val="16"/>
                <w:szCs w:val="16"/>
              </w:rPr>
              <w:t>Klasi-fikāci-jas kods</w:t>
            </w:r>
          </w:p>
          <w:p w14:paraId="2B4DA40A" w14:textId="372FF81E" w:rsidR="00F2451C" w:rsidRPr="00B36A61" w:rsidRDefault="00F2451C" w:rsidP="00235F0B">
            <w:pPr>
              <w:pStyle w:val="Pamatteksts"/>
              <w:spacing w:before="60" w:after="60"/>
              <w:jc w:val="center"/>
              <w:rPr>
                <w:b/>
                <w:color w:val="17365D"/>
                <w:sz w:val="16"/>
                <w:szCs w:val="16"/>
              </w:rPr>
            </w:pPr>
          </w:p>
        </w:tc>
        <w:tc>
          <w:tcPr>
            <w:tcW w:w="1609" w:type="dxa"/>
            <w:vMerge w:val="restart"/>
            <w:tcBorders>
              <w:top w:val="nil"/>
            </w:tcBorders>
            <w:shd w:val="clear" w:color="auto" w:fill="B9CDE5"/>
            <w:vAlign w:val="center"/>
          </w:tcPr>
          <w:p w14:paraId="5C9ADE69" w14:textId="77777777" w:rsidR="00F2451C" w:rsidRPr="00B36A61" w:rsidRDefault="00F2451C" w:rsidP="00235F0B">
            <w:pPr>
              <w:pStyle w:val="Pamatteksts"/>
              <w:spacing w:before="60" w:after="60"/>
              <w:ind w:firstLine="0"/>
              <w:jc w:val="center"/>
              <w:rPr>
                <w:b/>
                <w:color w:val="17365D"/>
                <w:sz w:val="16"/>
                <w:szCs w:val="16"/>
              </w:rPr>
            </w:pPr>
            <w:r w:rsidRPr="00B36A61">
              <w:rPr>
                <w:b/>
                <w:color w:val="17365D"/>
                <w:sz w:val="16"/>
                <w:szCs w:val="16"/>
              </w:rPr>
              <w:t>Posteņa nosaukums</w:t>
            </w:r>
          </w:p>
        </w:tc>
        <w:tc>
          <w:tcPr>
            <w:tcW w:w="2882" w:type="dxa"/>
            <w:gridSpan w:val="3"/>
            <w:tcBorders>
              <w:top w:val="nil"/>
            </w:tcBorders>
            <w:shd w:val="clear" w:color="auto" w:fill="B9CDE5"/>
            <w:vAlign w:val="center"/>
          </w:tcPr>
          <w:p w14:paraId="4DD9F87F" w14:textId="44F0F37E" w:rsidR="00F2451C" w:rsidRPr="00B36A61" w:rsidRDefault="00F2451C" w:rsidP="00235F0B">
            <w:pPr>
              <w:pStyle w:val="Pamatteksts"/>
              <w:spacing w:before="60" w:after="60"/>
              <w:ind w:firstLine="0"/>
              <w:jc w:val="center"/>
              <w:rPr>
                <w:b/>
                <w:color w:val="17365D"/>
                <w:sz w:val="16"/>
                <w:szCs w:val="16"/>
              </w:rPr>
            </w:pPr>
            <w:r w:rsidRPr="00B36A61">
              <w:rPr>
                <w:b/>
                <w:color w:val="17365D"/>
                <w:sz w:val="16"/>
                <w:szCs w:val="16"/>
              </w:rPr>
              <w:t>Likums/plāns gadam</w:t>
            </w:r>
          </w:p>
        </w:tc>
        <w:tc>
          <w:tcPr>
            <w:tcW w:w="4226" w:type="dxa"/>
            <w:gridSpan w:val="4"/>
            <w:tcBorders>
              <w:top w:val="nil"/>
            </w:tcBorders>
            <w:shd w:val="clear" w:color="auto" w:fill="B9CDE5"/>
            <w:vAlign w:val="center"/>
          </w:tcPr>
          <w:p w14:paraId="327C1AB0" w14:textId="1890631D" w:rsidR="00F2451C" w:rsidRPr="00B36A61" w:rsidRDefault="00F2451C" w:rsidP="00235F0B">
            <w:pPr>
              <w:pStyle w:val="Pamatteksts"/>
              <w:spacing w:before="60" w:after="60"/>
              <w:ind w:firstLine="0"/>
              <w:jc w:val="center"/>
              <w:rPr>
                <w:b/>
                <w:color w:val="17365D"/>
                <w:sz w:val="16"/>
                <w:szCs w:val="16"/>
              </w:rPr>
            </w:pPr>
            <w:r w:rsidRPr="00B36A61">
              <w:rPr>
                <w:b/>
                <w:color w:val="17365D"/>
                <w:sz w:val="16"/>
                <w:szCs w:val="16"/>
              </w:rPr>
              <w:t>Budžeta izpilde</w:t>
            </w:r>
          </w:p>
        </w:tc>
      </w:tr>
      <w:tr w:rsidR="00B36A61" w:rsidRPr="00B36A61" w14:paraId="2F486175" w14:textId="77777777" w:rsidTr="00B402DB">
        <w:trPr>
          <w:trHeight w:val="284"/>
          <w:tblHeader/>
        </w:trPr>
        <w:tc>
          <w:tcPr>
            <w:tcW w:w="643" w:type="dxa"/>
            <w:vMerge/>
            <w:shd w:val="clear" w:color="auto" w:fill="B9CDE5"/>
            <w:vAlign w:val="center"/>
          </w:tcPr>
          <w:p w14:paraId="4CAC0D92" w14:textId="548F11E9" w:rsidR="00F2451C" w:rsidRPr="00B36A61" w:rsidRDefault="00F2451C" w:rsidP="00235F0B">
            <w:pPr>
              <w:pStyle w:val="Pamatteksts"/>
              <w:spacing w:before="60" w:after="60"/>
              <w:jc w:val="center"/>
              <w:rPr>
                <w:color w:val="17365D"/>
                <w:sz w:val="16"/>
                <w:szCs w:val="16"/>
              </w:rPr>
            </w:pPr>
          </w:p>
        </w:tc>
        <w:tc>
          <w:tcPr>
            <w:tcW w:w="1609" w:type="dxa"/>
            <w:vMerge/>
            <w:shd w:val="clear" w:color="auto" w:fill="B9CDE5"/>
            <w:vAlign w:val="center"/>
          </w:tcPr>
          <w:p w14:paraId="7F91688F" w14:textId="77777777" w:rsidR="00F2451C" w:rsidRPr="00B36A61" w:rsidRDefault="00F2451C" w:rsidP="00235F0B">
            <w:pPr>
              <w:pStyle w:val="Pamatteksts"/>
              <w:spacing w:before="60" w:after="60"/>
              <w:ind w:firstLine="0"/>
              <w:jc w:val="center"/>
              <w:rPr>
                <w:color w:val="17365D"/>
                <w:sz w:val="16"/>
                <w:szCs w:val="16"/>
              </w:rPr>
            </w:pPr>
          </w:p>
        </w:tc>
        <w:tc>
          <w:tcPr>
            <w:tcW w:w="960" w:type="dxa"/>
            <w:vMerge w:val="restart"/>
            <w:shd w:val="clear" w:color="auto" w:fill="B9CDE5"/>
            <w:vAlign w:val="center"/>
          </w:tcPr>
          <w:p w14:paraId="086543F1" w14:textId="77777777" w:rsidR="00F2451C" w:rsidRPr="00B36A61" w:rsidRDefault="00F2451C" w:rsidP="00235F0B">
            <w:pPr>
              <w:pStyle w:val="Pamatteksts"/>
              <w:spacing w:before="60" w:after="60"/>
              <w:ind w:left="-110" w:firstLine="0"/>
              <w:jc w:val="center"/>
              <w:rPr>
                <w:b/>
                <w:color w:val="17365D"/>
                <w:sz w:val="16"/>
                <w:szCs w:val="16"/>
              </w:rPr>
            </w:pPr>
            <w:r w:rsidRPr="00B36A61">
              <w:rPr>
                <w:b/>
                <w:color w:val="17365D"/>
                <w:sz w:val="16"/>
                <w:szCs w:val="16"/>
              </w:rPr>
              <w:t>apstiprināts</w:t>
            </w:r>
          </w:p>
        </w:tc>
        <w:tc>
          <w:tcPr>
            <w:tcW w:w="960" w:type="dxa"/>
            <w:vMerge w:val="restart"/>
            <w:shd w:val="clear" w:color="auto" w:fill="B9CDE5"/>
            <w:vAlign w:val="center"/>
          </w:tcPr>
          <w:p w14:paraId="2FEC301F" w14:textId="77777777" w:rsidR="00F2451C" w:rsidRPr="00B36A61" w:rsidRDefault="00F2451C" w:rsidP="00235F0B">
            <w:pPr>
              <w:pStyle w:val="Pamatteksts"/>
              <w:spacing w:before="60" w:after="60"/>
              <w:ind w:firstLine="0"/>
              <w:jc w:val="center"/>
              <w:rPr>
                <w:b/>
                <w:color w:val="17365D"/>
                <w:sz w:val="16"/>
                <w:szCs w:val="16"/>
              </w:rPr>
            </w:pPr>
            <w:r w:rsidRPr="00B36A61">
              <w:rPr>
                <w:b/>
                <w:color w:val="17365D"/>
                <w:sz w:val="16"/>
                <w:szCs w:val="16"/>
              </w:rPr>
              <w:t>ar izmaiņām</w:t>
            </w:r>
          </w:p>
        </w:tc>
        <w:tc>
          <w:tcPr>
            <w:tcW w:w="962" w:type="dxa"/>
            <w:vMerge w:val="restart"/>
            <w:shd w:val="clear" w:color="auto" w:fill="B9CDE5"/>
            <w:vAlign w:val="center"/>
          </w:tcPr>
          <w:p w14:paraId="6BB57A72" w14:textId="02178F3E" w:rsidR="00F2451C" w:rsidRPr="00B36A61" w:rsidRDefault="00F2451C" w:rsidP="00235F0B">
            <w:pPr>
              <w:spacing w:before="60" w:after="60"/>
              <w:ind w:firstLine="0"/>
              <w:jc w:val="center"/>
              <w:rPr>
                <w:b/>
                <w:noProof/>
                <w:color w:val="17365D"/>
                <w:sz w:val="16"/>
                <w:szCs w:val="16"/>
              </w:rPr>
            </w:pPr>
            <w:r w:rsidRPr="00B36A61">
              <w:rPr>
                <w:b/>
                <w:noProof/>
                <w:color w:val="17365D"/>
                <w:sz w:val="16"/>
                <w:szCs w:val="16"/>
              </w:rPr>
              <w:t>izmaiņas</w:t>
            </w:r>
          </w:p>
          <w:p w14:paraId="44B96562" w14:textId="2791D76D" w:rsidR="00F2451C" w:rsidRPr="00B36A61" w:rsidRDefault="00F2451C" w:rsidP="006B7C49">
            <w:pPr>
              <w:spacing w:before="60" w:after="60"/>
              <w:ind w:firstLine="0"/>
              <w:jc w:val="center"/>
              <w:rPr>
                <w:b/>
                <w:noProof/>
                <w:color w:val="17365D"/>
                <w:sz w:val="16"/>
                <w:szCs w:val="16"/>
              </w:rPr>
            </w:pPr>
            <w:r w:rsidRPr="00B36A61">
              <w:rPr>
                <w:b/>
                <w:noProof/>
                <w:color w:val="17365D"/>
                <w:sz w:val="16"/>
                <w:szCs w:val="16"/>
              </w:rPr>
              <w:t>(2</w:t>
            </w:r>
            <w:r w:rsidR="006B7C49" w:rsidRPr="00B36A61">
              <w:rPr>
                <w:b/>
                <w:noProof/>
                <w:color w:val="17365D"/>
                <w:sz w:val="16"/>
                <w:szCs w:val="16"/>
              </w:rPr>
              <w:t>.</w:t>
            </w:r>
            <w:r w:rsidRPr="00B36A61">
              <w:rPr>
                <w:b/>
                <w:noProof/>
                <w:color w:val="17365D"/>
                <w:sz w:val="16"/>
                <w:szCs w:val="16"/>
              </w:rPr>
              <w:t>– 1</w:t>
            </w:r>
            <w:r w:rsidR="006B7C49" w:rsidRPr="00B36A61">
              <w:rPr>
                <w:b/>
                <w:noProof/>
                <w:color w:val="17365D"/>
                <w:sz w:val="16"/>
                <w:szCs w:val="16"/>
              </w:rPr>
              <w:t>.</w:t>
            </w:r>
            <w:r w:rsidRPr="00B36A61">
              <w:rPr>
                <w:b/>
                <w:noProof/>
                <w:color w:val="17365D"/>
                <w:sz w:val="16"/>
                <w:szCs w:val="16"/>
              </w:rPr>
              <w:t>)</w:t>
            </w:r>
          </w:p>
        </w:tc>
        <w:tc>
          <w:tcPr>
            <w:tcW w:w="1047" w:type="dxa"/>
            <w:vMerge w:val="restart"/>
            <w:shd w:val="clear" w:color="auto" w:fill="B9CDE5"/>
            <w:vAlign w:val="center"/>
          </w:tcPr>
          <w:p w14:paraId="12FED840" w14:textId="3E1EF568" w:rsidR="00F2451C" w:rsidRPr="00B36A61" w:rsidRDefault="00F2451C" w:rsidP="00235F0B">
            <w:pPr>
              <w:spacing w:before="60" w:after="60"/>
              <w:ind w:firstLine="0"/>
              <w:jc w:val="center"/>
              <w:rPr>
                <w:b/>
                <w:noProof/>
                <w:color w:val="17365D"/>
                <w:sz w:val="16"/>
                <w:szCs w:val="16"/>
              </w:rPr>
            </w:pPr>
            <w:r w:rsidRPr="00B36A61">
              <w:rPr>
                <w:b/>
                <w:noProof/>
                <w:color w:val="17365D"/>
                <w:sz w:val="16"/>
                <w:szCs w:val="16"/>
              </w:rPr>
              <w:t>pārskata periodā</w:t>
            </w:r>
          </w:p>
        </w:tc>
        <w:tc>
          <w:tcPr>
            <w:tcW w:w="2093" w:type="dxa"/>
            <w:gridSpan w:val="2"/>
            <w:tcBorders>
              <w:bottom w:val="single" w:sz="4" w:space="0" w:color="17365D"/>
            </w:tcBorders>
            <w:shd w:val="clear" w:color="auto" w:fill="B9CDE5"/>
            <w:vAlign w:val="center"/>
          </w:tcPr>
          <w:p w14:paraId="21232CD2" w14:textId="53EA228E" w:rsidR="00F2451C" w:rsidRPr="00B36A61" w:rsidRDefault="00F2451C" w:rsidP="00235F0B">
            <w:pPr>
              <w:spacing w:before="60" w:after="60"/>
              <w:ind w:firstLine="0"/>
              <w:jc w:val="center"/>
              <w:rPr>
                <w:b/>
                <w:color w:val="17365D"/>
                <w:sz w:val="16"/>
                <w:szCs w:val="16"/>
              </w:rPr>
            </w:pPr>
            <w:r w:rsidRPr="00B36A61">
              <w:rPr>
                <w:b/>
                <w:color w:val="17365D"/>
                <w:sz w:val="16"/>
                <w:szCs w:val="16"/>
              </w:rPr>
              <w:t>salīdzinot ar</w:t>
            </w:r>
          </w:p>
        </w:tc>
        <w:tc>
          <w:tcPr>
            <w:tcW w:w="1086" w:type="dxa"/>
            <w:vMerge w:val="restart"/>
            <w:shd w:val="clear" w:color="auto" w:fill="B9CDE5"/>
            <w:vAlign w:val="center"/>
          </w:tcPr>
          <w:p w14:paraId="744BF9E9" w14:textId="253EA9DE" w:rsidR="00F2451C" w:rsidRPr="00B36A61" w:rsidRDefault="00F2451C" w:rsidP="00235F0B">
            <w:pPr>
              <w:spacing w:before="60" w:after="60"/>
              <w:ind w:left="-108" w:firstLine="0"/>
              <w:jc w:val="center"/>
              <w:rPr>
                <w:b/>
                <w:color w:val="17365D"/>
                <w:sz w:val="16"/>
                <w:szCs w:val="16"/>
              </w:rPr>
            </w:pPr>
            <w:r w:rsidRPr="00B36A61">
              <w:rPr>
                <w:b/>
                <w:color w:val="17365D"/>
                <w:sz w:val="16"/>
                <w:szCs w:val="16"/>
              </w:rPr>
              <w:t>iepriekšējā pārskata periodā</w:t>
            </w:r>
          </w:p>
        </w:tc>
      </w:tr>
      <w:tr w:rsidR="00B36A61" w:rsidRPr="00B36A61" w14:paraId="57862A3E" w14:textId="77777777" w:rsidTr="00856306">
        <w:trPr>
          <w:trHeight w:val="284"/>
          <w:tblHeader/>
        </w:trPr>
        <w:tc>
          <w:tcPr>
            <w:tcW w:w="643" w:type="dxa"/>
            <w:vMerge/>
            <w:tcBorders>
              <w:bottom w:val="nil"/>
            </w:tcBorders>
          </w:tcPr>
          <w:p w14:paraId="06CF917C" w14:textId="45C6CB73" w:rsidR="00F2451C" w:rsidRPr="00B36A61" w:rsidRDefault="00F2451C" w:rsidP="003F41B4">
            <w:pPr>
              <w:pStyle w:val="Pamatteksts"/>
              <w:spacing w:after="0"/>
              <w:ind w:firstLine="0"/>
              <w:jc w:val="center"/>
              <w:rPr>
                <w:color w:val="17365D"/>
                <w:sz w:val="16"/>
                <w:szCs w:val="16"/>
              </w:rPr>
            </w:pPr>
          </w:p>
        </w:tc>
        <w:tc>
          <w:tcPr>
            <w:tcW w:w="1609" w:type="dxa"/>
            <w:vMerge/>
            <w:tcBorders>
              <w:bottom w:val="nil"/>
            </w:tcBorders>
            <w:vAlign w:val="center"/>
          </w:tcPr>
          <w:p w14:paraId="640CFC90" w14:textId="474FF097" w:rsidR="00F2451C" w:rsidRPr="00B36A61" w:rsidRDefault="00F2451C" w:rsidP="003F41B4">
            <w:pPr>
              <w:pStyle w:val="Pamatteksts"/>
              <w:spacing w:after="0"/>
              <w:ind w:firstLine="0"/>
              <w:jc w:val="center"/>
              <w:rPr>
                <w:color w:val="17365D"/>
                <w:sz w:val="16"/>
                <w:szCs w:val="16"/>
              </w:rPr>
            </w:pPr>
          </w:p>
        </w:tc>
        <w:tc>
          <w:tcPr>
            <w:tcW w:w="960" w:type="dxa"/>
            <w:vMerge/>
            <w:tcBorders>
              <w:bottom w:val="nil"/>
            </w:tcBorders>
            <w:vAlign w:val="center"/>
          </w:tcPr>
          <w:p w14:paraId="61421B31" w14:textId="42CEFD93" w:rsidR="00F2451C" w:rsidRPr="00B36A61" w:rsidRDefault="00F2451C" w:rsidP="003F41B4">
            <w:pPr>
              <w:pStyle w:val="Pamatteksts"/>
              <w:spacing w:after="0"/>
              <w:ind w:firstLine="0"/>
              <w:jc w:val="center"/>
              <w:rPr>
                <w:color w:val="17365D"/>
                <w:sz w:val="16"/>
                <w:szCs w:val="16"/>
              </w:rPr>
            </w:pPr>
          </w:p>
        </w:tc>
        <w:tc>
          <w:tcPr>
            <w:tcW w:w="960" w:type="dxa"/>
            <w:vMerge/>
            <w:tcBorders>
              <w:bottom w:val="nil"/>
            </w:tcBorders>
            <w:vAlign w:val="center"/>
          </w:tcPr>
          <w:p w14:paraId="401A22CF" w14:textId="75226022" w:rsidR="00F2451C" w:rsidRPr="00B36A61" w:rsidRDefault="00F2451C" w:rsidP="003F41B4">
            <w:pPr>
              <w:pStyle w:val="Pamatteksts"/>
              <w:spacing w:after="0"/>
              <w:ind w:firstLine="0"/>
              <w:jc w:val="center"/>
              <w:rPr>
                <w:color w:val="17365D"/>
                <w:sz w:val="16"/>
                <w:szCs w:val="16"/>
              </w:rPr>
            </w:pPr>
          </w:p>
        </w:tc>
        <w:tc>
          <w:tcPr>
            <w:tcW w:w="962" w:type="dxa"/>
            <w:vMerge/>
            <w:tcBorders>
              <w:bottom w:val="nil"/>
            </w:tcBorders>
            <w:vAlign w:val="center"/>
          </w:tcPr>
          <w:p w14:paraId="37F2511D" w14:textId="252AC709" w:rsidR="00F2451C" w:rsidRPr="00B36A61" w:rsidRDefault="00F2451C" w:rsidP="003F41B4">
            <w:pPr>
              <w:pStyle w:val="Pamatteksts"/>
              <w:spacing w:after="0"/>
              <w:ind w:firstLine="0"/>
              <w:jc w:val="center"/>
              <w:rPr>
                <w:color w:val="17365D"/>
                <w:sz w:val="16"/>
                <w:szCs w:val="16"/>
              </w:rPr>
            </w:pPr>
          </w:p>
        </w:tc>
        <w:tc>
          <w:tcPr>
            <w:tcW w:w="1047" w:type="dxa"/>
            <w:vMerge/>
            <w:tcBorders>
              <w:bottom w:val="nil"/>
            </w:tcBorders>
          </w:tcPr>
          <w:p w14:paraId="45B62A47" w14:textId="74596955" w:rsidR="00F2451C" w:rsidRPr="00B36A61" w:rsidRDefault="00F2451C" w:rsidP="003F41B4">
            <w:pPr>
              <w:pStyle w:val="Pamatteksts"/>
              <w:spacing w:after="0"/>
              <w:ind w:firstLine="0"/>
              <w:jc w:val="center"/>
              <w:rPr>
                <w:color w:val="17365D"/>
                <w:sz w:val="16"/>
                <w:szCs w:val="16"/>
              </w:rPr>
            </w:pPr>
          </w:p>
        </w:tc>
        <w:tc>
          <w:tcPr>
            <w:tcW w:w="1047" w:type="dxa"/>
            <w:tcBorders>
              <w:bottom w:val="nil"/>
            </w:tcBorders>
            <w:shd w:val="clear" w:color="auto" w:fill="B9CDE5"/>
            <w:vAlign w:val="center"/>
          </w:tcPr>
          <w:p w14:paraId="7880BFC7" w14:textId="21022666" w:rsidR="00F2451C" w:rsidRPr="00B36A61" w:rsidRDefault="00F2451C" w:rsidP="006B7C49">
            <w:pPr>
              <w:pStyle w:val="Pamatteksts"/>
              <w:spacing w:before="60" w:after="60"/>
              <w:ind w:left="-106" w:right="-108" w:firstLine="0"/>
              <w:jc w:val="center"/>
              <w:rPr>
                <w:b/>
                <w:color w:val="17365D"/>
                <w:sz w:val="16"/>
                <w:szCs w:val="16"/>
              </w:rPr>
            </w:pPr>
            <w:r w:rsidRPr="00B36A61">
              <w:rPr>
                <w:b/>
                <w:color w:val="17365D"/>
                <w:sz w:val="16"/>
                <w:szCs w:val="16"/>
              </w:rPr>
              <w:t>likumā/plānā gadam apstiprināto (4</w:t>
            </w:r>
            <w:r w:rsidR="006B7C49" w:rsidRPr="00B36A61">
              <w:rPr>
                <w:b/>
                <w:color w:val="17365D"/>
                <w:sz w:val="16"/>
                <w:szCs w:val="16"/>
              </w:rPr>
              <w:t>.</w:t>
            </w:r>
            <w:r w:rsidRPr="00B36A61">
              <w:rPr>
                <w:b/>
                <w:color w:val="17365D"/>
                <w:sz w:val="16"/>
                <w:szCs w:val="16"/>
              </w:rPr>
              <w:t>– 1</w:t>
            </w:r>
            <w:r w:rsidR="006B7C49" w:rsidRPr="00B36A61">
              <w:rPr>
                <w:b/>
                <w:color w:val="17365D"/>
                <w:sz w:val="16"/>
                <w:szCs w:val="16"/>
              </w:rPr>
              <w:t>.</w:t>
            </w:r>
            <w:r w:rsidRPr="00B36A61">
              <w:rPr>
                <w:b/>
                <w:color w:val="17365D"/>
                <w:sz w:val="16"/>
                <w:szCs w:val="16"/>
              </w:rPr>
              <w:t>)</w:t>
            </w:r>
          </w:p>
        </w:tc>
        <w:tc>
          <w:tcPr>
            <w:tcW w:w="1046" w:type="dxa"/>
            <w:tcBorders>
              <w:bottom w:val="nil"/>
            </w:tcBorders>
            <w:shd w:val="clear" w:color="auto" w:fill="B9CDE5"/>
            <w:vAlign w:val="center"/>
          </w:tcPr>
          <w:p w14:paraId="5367A495" w14:textId="24799BEE" w:rsidR="00F2451C" w:rsidRPr="00B36A61" w:rsidRDefault="00F2451C" w:rsidP="00235F0B">
            <w:pPr>
              <w:spacing w:before="60" w:after="60"/>
              <w:ind w:firstLine="0"/>
              <w:jc w:val="center"/>
              <w:rPr>
                <w:b/>
                <w:color w:val="17365D"/>
                <w:sz w:val="16"/>
                <w:szCs w:val="16"/>
              </w:rPr>
            </w:pPr>
            <w:r w:rsidRPr="00B36A61">
              <w:rPr>
                <w:b/>
                <w:color w:val="17365D"/>
                <w:sz w:val="16"/>
                <w:szCs w:val="16"/>
              </w:rPr>
              <w:t>likumu/ plānu gadam ar izmaiņām</w:t>
            </w:r>
          </w:p>
          <w:p w14:paraId="5C54B1F9" w14:textId="6A87DA90" w:rsidR="00F2451C" w:rsidRPr="00B36A61" w:rsidRDefault="00F2451C" w:rsidP="006B7C49">
            <w:pPr>
              <w:pStyle w:val="Pamatteksts"/>
              <w:spacing w:before="60" w:after="60"/>
              <w:ind w:firstLine="0"/>
              <w:jc w:val="center"/>
              <w:rPr>
                <w:b/>
                <w:color w:val="17365D"/>
                <w:sz w:val="16"/>
                <w:szCs w:val="16"/>
              </w:rPr>
            </w:pPr>
            <w:r w:rsidRPr="00B36A61">
              <w:rPr>
                <w:b/>
                <w:color w:val="17365D"/>
                <w:sz w:val="16"/>
                <w:szCs w:val="16"/>
              </w:rPr>
              <w:t>(4</w:t>
            </w:r>
            <w:r w:rsidR="006B7C49" w:rsidRPr="00B36A61">
              <w:rPr>
                <w:b/>
                <w:color w:val="17365D"/>
                <w:sz w:val="16"/>
                <w:szCs w:val="16"/>
              </w:rPr>
              <w:t>.</w:t>
            </w:r>
            <w:r w:rsidRPr="00B36A61">
              <w:rPr>
                <w:b/>
                <w:color w:val="17365D"/>
                <w:sz w:val="16"/>
                <w:szCs w:val="16"/>
              </w:rPr>
              <w:t>– 2</w:t>
            </w:r>
            <w:r w:rsidR="006B7C49" w:rsidRPr="00B36A61">
              <w:rPr>
                <w:b/>
                <w:color w:val="17365D"/>
                <w:sz w:val="16"/>
                <w:szCs w:val="16"/>
              </w:rPr>
              <w:t>.</w:t>
            </w:r>
            <w:r w:rsidRPr="00B36A61">
              <w:rPr>
                <w:b/>
                <w:color w:val="17365D"/>
                <w:sz w:val="16"/>
                <w:szCs w:val="16"/>
              </w:rPr>
              <w:t>)</w:t>
            </w:r>
          </w:p>
        </w:tc>
        <w:tc>
          <w:tcPr>
            <w:tcW w:w="1086" w:type="dxa"/>
            <w:vMerge/>
            <w:tcBorders>
              <w:bottom w:val="nil"/>
            </w:tcBorders>
          </w:tcPr>
          <w:p w14:paraId="42BEFCC1" w14:textId="77777777" w:rsidR="00F2451C" w:rsidRPr="00B36A61" w:rsidRDefault="00F2451C" w:rsidP="003F41B4">
            <w:pPr>
              <w:pStyle w:val="Pamatteksts"/>
              <w:spacing w:after="0"/>
              <w:ind w:firstLine="0"/>
              <w:jc w:val="center"/>
              <w:rPr>
                <w:color w:val="17365D"/>
                <w:sz w:val="16"/>
                <w:szCs w:val="16"/>
              </w:rPr>
            </w:pPr>
          </w:p>
        </w:tc>
      </w:tr>
      <w:tr w:rsidR="00B36A61" w:rsidRPr="00B36A61" w14:paraId="065C48BD" w14:textId="77777777" w:rsidTr="00856306">
        <w:trPr>
          <w:trHeight w:val="284"/>
          <w:tblHeader/>
        </w:trPr>
        <w:tc>
          <w:tcPr>
            <w:tcW w:w="643" w:type="dxa"/>
            <w:tcBorders>
              <w:top w:val="nil"/>
              <w:bottom w:val="single" w:sz="4" w:space="0" w:color="17365D"/>
            </w:tcBorders>
            <w:vAlign w:val="center"/>
          </w:tcPr>
          <w:p w14:paraId="39B53799" w14:textId="3780E262" w:rsidR="00F2451C" w:rsidRPr="00B36A61" w:rsidRDefault="00F2451C" w:rsidP="00235F0B">
            <w:pPr>
              <w:pStyle w:val="Pamatteksts"/>
              <w:spacing w:before="40" w:after="40"/>
              <w:ind w:firstLine="0"/>
              <w:jc w:val="center"/>
              <w:rPr>
                <w:b/>
                <w:color w:val="17365D"/>
                <w:sz w:val="16"/>
                <w:szCs w:val="16"/>
              </w:rPr>
            </w:pPr>
            <w:r w:rsidRPr="00B36A61">
              <w:rPr>
                <w:b/>
                <w:color w:val="17365D"/>
                <w:sz w:val="16"/>
                <w:szCs w:val="16"/>
              </w:rPr>
              <w:t>A</w:t>
            </w:r>
          </w:p>
        </w:tc>
        <w:tc>
          <w:tcPr>
            <w:tcW w:w="1609" w:type="dxa"/>
            <w:tcBorders>
              <w:top w:val="nil"/>
              <w:bottom w:val="single" w:sz="4" w:space="0" w:color="17365D"/>
            </w:tcBorders>
            <w:vAlign w:val="center"/>
          </w:tcPr>
          <w:p w14:paraId="7822B382" w14:textId="175321D9" w:rsidR="00F2451C" w:rsidRPr="00B36A61" w:rsidRDefault="00F2451C" w:rsidP="00235F0B">
            <w:pPr>
              <w:pStyle w:val="Pamatteksts"/>
              <w:spacing w:before="40" w:after="40"/>
              <w:ind w:firstLine="0"/>
              <w:jc w:val="center"/>
              <w:rPr>
                <w:b/>
                <w:color w:val="17365D"/>
                <w:sz w:val="16"/>
                <w:szCs w:val="16"/>
              </w:rPr>
            </w:pPr>
            <w:r w:rsidRPr="00B36A61">
              <w:rPr>
                <w:b/>
                <w:color w:val="17365D"/>
                <w:sz w:val="16"/>
                <w:szCs w:val="16"/>
              </w:rPr>
              <w:t>B</w:t>
            </w:r>
          </w:p>
        </w:tc>
        <w:tc>
          <w:tcPr>
            <w:tcW w:w="960" w:type="dxa"/>
            <w:tcBorders>
              <w:top w:val="nil"/>
              <w:bottom w:val="single" w:sz="4" w:space="0" w:color="17365D"/>
            </w:tcBorders>
            <w:vAlign w:val="center"/>
          </w:tcPr>
          <w:p w14:paraId="664D74A4" w14:textId="33F4BDDF" w:rsidR="00F2451C" w:rsidRPr="00B36A61" w:rsidRDefault="00F2451C" w:rsidP="00235F0B">
            <w:pPr>
              <w:pStyle w:val="Pamatteksts"/>
              <w:spacing w:before="40" w:after="40"/>
              <w:ind w:firstLine="0"/>
              <w:jc w:val="center"/>
              <w:rPr>
                <w:b/>
                <w:color w:val="17365D"/>
                <w:sz w:val="16"/>
                <w:szCs w:val="16"/>
              </w:rPr>
            </w:pPr>
            <w:r w:rsidRPr="00B36A61">
              <w:rPr>
                <w:b/>
                <w:color w:val="17365D"/>
                <w:sz w:val="16"/>
                <w:szCs w:val="16"/>
              </w:rPr>
              <w:t>1</w:t>
            </w:r>
          </w:p>
        </w:tc>
        <w:tc>
          <w:tcPr>
            <w:tcW w:w="960" w:type="dxa"/>
            <w:tcBorders>
              <w:top w:val="nil"/>
              <w:bottom w:val="single" w:sz="4" w:space="0" w:color="17365D"/>
            </w:tcBorders>
            <w:vAlign w:val="center"/>
          </w:tcPr>
          <w:p w14:paraId="44809F81" w14:textId="5D80CAC0" w:rsidR="00F2451C" w:rsidRPr="00B36A61" w:rsidRDefault="00F2451C" w:rsidP="00235F0B">
            <w:pPr>
              <w:pStyle w:val="Pamatteksts"/>
              <w:spacing w:before="40" w:after="40"/>
              <w:ind w:firstLine="0"/>
              <w:jc w:val="center"/>
              <w:rPr>
                <w:b/>
                <w:color w:val="17365D"/>
                <w:sz w:val="16"/>
                <w:szCs w:val="16"/>
              </w:rPr>
            </w:pPr>
            <w:r w:rsidRPr="00B36A61">
              <w:rPr>
                <w:b/>
                <w:color w:val="17365D"/>
                <w:sz w:val="16"/>
                <w:szCs w:val="16"/>
              </w:rPr>
              <w:t>2</w:t>
            </w:r>
          </w:p>
        </w:tc>
        <w:tc>
          <w:tcPr>
            <w:tcW w:w="962" w:type="dxa"/>
            <w:tcBorders>
              <w:top w:val="nil"/>
              <w:bottom w:val="single" w:sz="4" w:space="0" w:color="17365D"/>
            </w:tcBorders>
            <w:vAlign w:val="center"/>
          </w:tcPr>
          <w:p w14:paraId="1573EF3C" w14:textId="3E3BCB0E" w:rsidR="00F2451C" w:rsidRPr="00B36A61" w:rsidRDefault="00F2451C" w:rsidP="00235F0B">
            <w:pPr>
              <w:pStyle w:val="Pamatteksts"/>
              <w:spacing w:before="40" w:after="40"/>
              <w:ind w:firstLine="0"/>
              <w:jc w:val="center"/>
              <w:rPr>
                <w:b/>
                <w:color w:val="17365D"/>
                <w:sz w:val="16"/>
                <w:szCs w:val="16"/>
              </w:rPr>
            </w:pPr>
            <w:r w:rsidRPr="00B36A61">
              <w:rPr>
                <w:b/>
                <w:color w:val="17365D"/>
                <w:sz w:val="16"/>
                <w:szCs w:val="16"/>
              </w:rPr>
              <w:t>3</w:t>
            </w:r>
          </w:p>
        </w:tc>
        <w:tc>
          <w:tcPr>
            <w:tcW w:w="1047" w:type="dxa"/>
            <w:tcBorders>
              <w:top w:val="nil"/>
              <w:bottom w:val="single" w:sz="4" w:space="0" w:color="17365D"/>
            </w:tcBorders>
            <w:vAlign w:val="center"/>
          </w:tcPr>
          <w:p w14:paraId="1BAD7C55" w14:textId="30B78A7B" w:rsidR="00F2451C" w:rsidRPr="00B36A61" w:rsidRDefault="00F2451C" w:rsidP="00235F0B">
            <w:pPr>
              <w:pStyle w:val="Pamatteksts"/>
              <w:spacing w:before="40" w:after="40"/>
              <w:ind w:firstLine="0"/>
              <w:jc w:val="center"/>
              <w:rPr>
                <w:b/>
                <w:color w:val="17365D"/>
                <w:sz w:val="16"/>
                <w:szCs w:val="16"/>
              </w:rPr>
            </w:pPr>
            <w:r w:rsidRPr="00B36A61">
              <w:rPr>
                <w:b/>
                <w:color w:val="17365D"/>
                <w:sz w:val="16"/>
                <w:szCs w:val="16"/>
              </w:rPr>
              <w:t>4</w:t>
            </w:r>
          </w:p>
        </w:tc>
        <w:tc>
          <w:tcPr>
            <w:tcW w:w="1047" w:type="dxa"/>
            <w:tcBorders>
              <w:top w:val="nil"/>
              <w:bottom w:val="single" w:sz="4" w:space="0" w:color="17365D"/>
            </w:tcBorders>
            <w:vAlign w:val="center"/>
          </w:tcPr>
          <w:p w14:paraId="698790CF" w14:textId="477373D4" w:rsidR="00F2451C" w:rsidRPr="00B36A61" w:rsidRDefault="00F2451C" w:rsidP="00235F0B">
            <w:pPr>
              <w:pStyle w:val="Pamatteksts"/>
              <w:spacing w:before="40" w:after="40"/>
              <w:ind w:firstLine="0"/>
              <w:jc w:val="center"/>
              <w:rPr>
                <w:b/>
                <w:color w:val="17365D"/>
                <w:sz w:val="16"/>
                <w:szCs w:val="16"/>
              </w:rPr>
            </w:pPr>
            <w:r w:rsidRPr="00B36A61">
              <w:rPr>
                <w:b/>
                <w:color w:val="17365D"/>
                <w:sz w:val="16"/>
                <w:szCs w:val="16"/>
              </w:rPr>
              <w:t>5</w:t>
            </w:r>
          </w:p>
        </w:tc>
        <w:tc>
          <w:tcPr>
            <w:tcW w:w="1046" w:type="dxa"/>
            <w:tcBorders>
              <w:top w:val="nil"/>
              <w:bottom w:val="single" w:sz="4" w:space="0" w:color="17365D"/>
            </w:tcBorders>
            <w:vAlign w:val="center"/>
          </w:tcPr>
          <w:p w14:paraId="10CB3D6D" w14:textId="1D04101B" w:rsidR="00F2451C" w:rsidRPr="00B36A61" w:rsidRDefault="00F2451C" w:rsidP="00235F0B">
            <w:pPr>
              <w:pStyle w:val="Pamatteksts"/>
              <w:spacing w:before="40" w:after="40"/>
              <w:ind w:firstLine="0"/>
              <w:jc w:val="center"/>
              <w:rPr>
                <w:b/>
                <w:color w:val="17365D"/>
                <w:sz w:val="16"/>
                <w:szCs w:val="16"/>
              </w:rPr>
            </w:pPr>
            <w:r w:rsidRPr="00B36A61">
              <w:rPr>
                <w:b/>
                <w:color w:val="17365D"/>
                <w:sz w:val="16"/>
                <w:szCs w:val="16"/>
              </w:rPr>
              <w:t>6</w:t>
            </w:r>
          </w:p>
        </w:tc>
        <w:tc>
          <w:tcPr>
            <w:tcW w:w="1086" w:type="dxa"/>
            <w:tcBorders>
              <w:top w:val="nil"/>
              <w:bottom w:val="single" w:sz="4" w:space="0" w:color="17365D"/>
            </w:tcBorders>
            <w:vAlign w:val="center"/>
          </w:tcPr>
          <w:p w14:paraId="60004B79" w14:textId="6EAFB4DC" w:rsidR="00F2451C" w:rsidRPr="00B36A61" w:rsidRDefault="00F2451C" w:rsidP="00235F0B">
            <w:pPr>
              <w:pStyle w:val="Pamatteksts"/>
              <w:spacing w:before="40" w:after="40"/>
              <w:ind w:firstLine="0"/>
              <w:jc w:val="center"/>
              <w:rPr>
                <w:b/>
                <w:color w:val="17365D"/>
                <w:sz w:val="16"/>
                <w:szCs w:val="16"/>
              </w:rPr>
            </w:pPr>
            <w:r w:rsidRPr="00B36A61">
              <w:rPr>
                <w:b/>
                <w:color w:val="17365D"/>
                <w:sz w:val="16"/>
                <w:szCs w:val="16"/>
              </w:rPr>
              <w:t>7</w:t>
            </w:r>
          </w:p>
        </w:tc>
      </w:tr>
      <w:tr w:rsidR="00B36A61" w:rsidRPr="00B36A61" w14:paraId="1601DCB7" w14:textId="77777777" w:rsidTr="00856306">
        <w:trPr>
          <w:trHeight w:val="284"/>
        </w:trPr>
        <w:tc>
          <w:tcPr>
            <w:tcW w:w="643" w:type="dxa"/>
            <w:tcBorders>
              <w:top w:val="single" w:sz="4" w:space="0" w:color="17365D"/>
              <w:bottom w:val="single" w:sz="4" w:space="0" w:color="17365D"/>
            </w:tcBorders>
            <w:vAlign w:val="center"/>
          </w:tcPr>
          <w:p w14:paraId="5A775126" w14:textId="765A1CA3" w:rsidR="009F7990" w:rsidRPr="00B36A61" w:rsidRDefault="009F7990" w:rsidP="009F7990">
            <w:pPr>
              <w:spacing w:before="40" w:after="40"/>
              <w:ind w:firstLine="0"/>
              <w:jc w:val="left"/>
              <w:rPr>
                <w:b/>
                <w:bCs/>
                <w:color w:val="17365D"/>
                <w:sz w:val="16"/>
                <w:szCs w:val="16"/>
              </w:rPr>
            </w:pPr>
            <w:r w:rsidRPr="00B36A61">
              <w:rPr>
                <w:b/>
                <w:bCs/>
                <w:color w:val="17365D"/>
                <w:sz w:val="16"/>
                <w:szCs w:val="16"/>
              </w:rPr>
              <w:t>I.</w:t>
            </w:r>
          </w:p>
        </w:tc>
        <w:tc>
          <w:tcPr>
            <w:tcW w:w="1609" w:type="dxa"/>
            <w:tcBorders>
              <w:top w:val="single" w:sz="4" w:space="0" w:color="17365D"/>
              <w:bottom w:val="single" w:sz="4" w:space="0" w:color="17365D"/>
              <w:right w:val="nil"/>
            </w:tcBorders>
            <w:shd w:val="clear" w:color="auto" w:fill="auto"/>
            <w:vAlign w:val="center"/>
          </w:tcPr>
          <w:p w14:paraId="2E70FBCB" w14:textId="77777777" w:rsidR="009F7990" w:rsidRPr="00B36A61" w:rsidRDefault="009F7990" w:rsidP="009F7990">
            <w:pPr>
              <w:pStyle w:val="Pamatteksts"/>
              <w:spacing w:before="40" w:after="40"/>
              <w:ind w:firstLine="0"/>
              <w:jc w:val="left"/>
              <w:rPr>
                <w:b/>
                <w:color w:val="17365D"/>
                <w:sz w:val="16"/>
                <w:szCs w:val="16"/>
              </w:rPr>
            </w:pPr>
            <w:r w:rsidRPr="00B36A61">
              <w:rPr>
                <w:b/>
                <w:bCs/>
                <w:color w:val="17365D"/>
                <w:sz w:val="16"/>
                <w:szCs w:val="16"/>
              </w:rPr>
              <w:t>IEŅĒMUMI KOPĀ</w:t>
            </w:r>
          </w:p>
        </w:tc>
        <w:tc>
          <w:tcPr>
            <w:tcW w:w="960" w:type="dxa"/>
            <w:tcBorders>
              <w:top w:val="single" w:sz="4" w:space="0" w:color="17365D"/>
              <w:left w:val="nil"/>
              <w:bottom w:val="single" w:sz="4" w:space="0" w:color="17365D"/>
              <w:right w:val="nil"/>
            </w:tcBorders>
            <w:shd w:val="clear" w:color="auto" w:fill="auto"/>
            <w:vAlign w:val="center"/>
          </w:tcPr>
          <w:p w14:paraId="3F785E2F" w14:textId="3B9CF256"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16 986 236</w:t>
            </w:r>
          </w:p>
        </w:tc>
        <w:tc>
          <w:tcPr>
            <w:tcW w:w="960" w:type="dxa"/>
            <w:tcBorders>
              <w:top w:val="single" w:sz="4" w:space="0" w:color="17365D"/>
              <w:left w:val="nil"/>
              <w:bottom w:val="single" w:sz="4" w:space="0" w:color="17365D"/>
              <w:right w:val="nil"/>
            </w:tcBorders>
            <w:shd w:val="clear" w:color="auto" w:fill="auto"/>
            <w:vAlign w:val="center"/>
          </w:tcPr>
          <w:p w14:paraId="07C1F6D6" w14:textId="018694DB"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18 188 207</w:t>
            </w:r>
          </w:p>
        </w:tc>
        <w:tc>
          <w:tcPr>
            <w:tcW w:w="962" w:type="dxa"/>
            <w:tcBorders>
              <w:top w:val="single" w:sz="4" w:space="0" w:color="17365D"/>
              <w:left w:val="nil"/>
              <w:bottom w:val="single" w:sz="4" w:space="0" w:color="17365D"/>
              <w:right w:val="nil"/>
            </w:tcBorders>
            <w:shd w:val="clear" w:color="auto" w:fill="auto"/>
            <w:vAlign w:val="center"/>
          </w:tcPr>
          <w:p w14:paraId="412B0828" w14:textId="35357C1A"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1 201 971</w:t>
            </w:r>
          </w:p>
        </w:tc>
        <w:tc>
          <w:tcPr>
            <w:tcW w:w="1047" w:type="dxa"/>
            <w:tcBorders>
              <w:top w:val="single" w:sz="4" w:space="0" w:color="17365D"/>
              <w:left w:val="nil"/>
              <w:bottom w:val="single" w:sz="4" w:space="0" w:color="17365D"/>
              <w:right w:val="nil"/>
            </w:tcBorders>
            <w:shd w:val="clear" w:color="auto" w:fill="auto"/>
            <w:vAlign w:val="center"/>
          </w:tcPr>
          <w:p w14:paraId="37272757" w14:textId="308979DE"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18 372 524</w:t>
            </w:r>
          </w:p>
        </w:tc>
        <w:tc>
          <w:tcPr>
            <w:tcW w:w="1047" w:type="dxa"/>
            <w:tcBorders>
              <w:top w:val="single" w:sz="4" w:space="0" w:color="17365D"/>
              <w:left w:val="nil"/>
              <w:bottom w:val="single" w:sz="4" w:space="0" w:color="17365D"/>
              <w:right w:val="nil"/>
            </w:tcBorders>
            <w:shd w:val="clear" w:color="auto" w:fill="auto"/>
            <w:vAlign w:val="center"/>
          </w:tcPr>
          <w:p w14:paraId="741D05E6" w14:textId="30694452"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1 386 288</w:t>
            </w:r>
          </w:p>
        </w:tc>
        <w:tc>
          <w:tcPr>
            <w:tcW w:w="1046" w:type="dxa"/>
            <w:tcBorders>
              <w:top w:val="single" w:sz="4" w:space="0" w:color="17365D"/>
              <w:left w:val="nil"/>
              <w:bottom w:val="single" w:sz="4" w:space="0" w:color="17365D"/>
              <w:right w:val="nil"/>
            </w:tcBorders>
            <w:shd w:val="clear" w:color="auto" w:fill="auto"/>
            <w:vAlign w:val="center"/>
          </w:tcPr>
          <w:p w14:paraId="03C7A421" w14:textId="24A66969"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184 317</w:t>
            </w:r>
          </w:p>
        </w:tc>
        <w:tc>
          <w:tcPr>
            <w:tcW w:w="1086" w:type="dxa"/>
            <w:tcBorders>
              <w:top w:val="single" w:sz="4" w:space="0" w:color="17365D"/>
              <w:left w:val="nil"/>
              <w:bottom w:val="single" w:sz="4" w:space="0" w:color="17365D"/>
              <w:right w:val="nil"/>
            </w:tcBorders>
            <w:shd w:val="clear" w:color="auto" w:fill="auto"/>
            <w:vAlign w:val="center"/>
          </w:tcPr>
          <w:p w14:paraId="1AD7D594" w14:textId="2B254FA0"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17 838 010</w:t>
            </w:r>
          </w:p>
        </w:tc>
      </w:tr>
      <w:tr w:rsidR="00B36A61" w:rsidRPr="00B36A61" w14:paraId="341AC345" w14:textId="77777777" w:rsidTr="00856306">
        <w:trPr>
          <w:trHeight w:val="284"/>
        </w:trPr>
        <w:tc>
          <w:tcPr>
            <w:tcW w:w="643" w:type="dxa"/>
            <w:tcBorders>
              <w:top w:val="single" w:sz="4" w:space="0" w:color="17365D"/>
              <w:bottom w:val="single" w:sz="4" w:space="0" w:color="17365D"/>
            </w:tcBorders>
            <w:vAlign w:val="center"/>
          </w:tcPr>
          <w:p w14:paraId="607D0FB3" w14:textId="77777777" w:rsidR="009F7990" w:rsidRPr="00B36A61" w:rsidRDefault="009F7990" w:rsidP="009F7990">
            <w:pPr>
              <w:pStyle w:val="Pamatteksts"/>
              <w:spacing w:before="40" w:after="40"/>
              <w:ind w:firstLine="0"/>
              <w:jc w:val="left"/>
              <w:rPr>
                <w:rFonts w:eastAsia="Calibri"/>
                <w:noProof w:val="0"/>
                <w:color w:val="17365D"/>
                <w:sz w:val="16"/>
                <w:szCs w:val="16"/>
              </w:rPr>
            </w:pPr>
            <w:r w:rsidRPr="00B36A61">
              <w:rPr>
                <w:rFonts w:eastAsia="Calibri"/>
                <w:noProof w:val="0"/>
                <w:color w:val="17365D"/>
                <w:sz w:val="16"/>
                <w:szCs w:val="16"/>
              </w:rPr>
              <w:t>3.0.</w:t>
            </w:r>
          </w:p>
        </w:tc>
        <w:tc>
          <w:tcPr>
            <w:tcW w:w="1609" w:type="dxa"/>
            <w:tcBorders>
              <w:top w:val="single" w:sz="4" w:space="0" w:color="17365D"/>
              <w:bottom w:val="single" w:sz="4" w:space="0" w:color="17365D"/>
              <w:right w:val="nil"/>
            </w:tcBorders>
            <w:shd w:val="clear" w:color="auto" w:fill="auto"/>
            <w:vAlign w:val="center"/>
          </w:tcPr>
          <w:p w14:paraId="38D04136" w14:textId="77777777" w:rsidR="009F7990" w:rsidRPr="00B36A61" w:rsidRDefault="009F7990" w:rsidP="009F7990">
            <w:pPr>
              <w:pStyle w:val="Pamatteksts"/>
              <w:spacing w:before="40" w:after="40"/>
              <w:ind w:firstLine="0"/>
              <w:jc w:val="left"/>
              <w:rPr>
                <w:rFonts w:eastAsia="Calibri"/>
                <w:noProof w:val="0"/>
                <w:color w:val="17365D"/>
                <w:sz w:val="16"/>
                <w:szCs w:val="16"/>
              </w:rPr>
            </w:pPr>
            <w:r w:rsidRPr="00B36A61">
              <w:rPr>
                <w:rFonts w:eastAsia="Calibri"/>
                <w:noProof w:val="0"/>
                <w:color w:val="17365D"/>
                <w:sz w:val="16"/>
                <w:szCs w:val="16"/>
              </w:rPr>
              <w:t>Maksas pakalpojumi un citi pašu ieņēmumi</w:t>
            </w:r>
          </w:p>
        </w:tc>
        <w:tc>
          <w:tcPr>
            <w:tcW w:w="960" w:type="dxa"/>
            <w:tcBorders>
              <w:top w:val="single" w:sz="4" w:space="0" w:color="17365D"/>
              <w:left w:val="nil"/>
              <w:bottom w:val="single" w:sz="4" w:space="0" w:color="17365D"/>
              <w:right w:val="nil"/>
            </w:tcBorders>
            <w:shd w:val="clear" w:color="auto" w:fill="auto"/>
            <w:vAlign w:val="center"/>
          </w:tcPr>
          <w:p w14:paraId="28627FC6" w14:textId="4B576558"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14 937 398</w:t>
            </w:r>
          </w:p>
        </w:tc>
        <w:tc>
          <w:tcPr>
            <w:tcW w:w="960" w:type="dxa"/>
            <w:tcBorders>
              <w:top w:val="single" w:sz="4" w:space="0" w:color="17365D"/>
              <w:left w:val="nil"/>
              <w:bottom w:val="single" w:sz="4" w:space="0" w:color="17365D"/>
              <w:right w:val="nil"/>
            </w:tcBorders>
            <w:shd w:val="clear" w:color="auto" w:fill="auto"/>
            <w:vAlign w:val="center"/>
          </w:tcPr>
          <w:p w14:paraId="65CC8986" w14:textId="56D92362"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15 839 789</w:t>
            </w:r>
          </w:p>
        </w:tc>
        <w:tc>
          <w:tcPr>
            <w:tcW w:w="962" w:type="dxa"/>
            <w:tcBorders>
              <w:top w:val="single" w:sz="4" w:space="0" w:color="17365D"/>
              <w:left w:val="nil"/>
              <w:bottom w:val="single" w:sz="4" w:space="0" w:color="17365D"/>
              <w:right w:val="nil"/>
            </w:tcBorders>
            <w:shd w:val="clear" w:color="auto" w:fill="auto"/>
            <w:vAlign w:val="center"/>
          </w:tcPr>
          <w:p w14:paraId="25E2A09B" w14:textId="26D93FF3"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902 391</w:t>
            </w:r>
          </w:p>
        </w:tc>
        <w:tc>
          <w:tcPr>
            <w:tcW w:w="1047" w:type="dxa"/>
            <w:tcBorders>
              <w:top w:val="single" w:sz="4" w:space="0" w:color="17365D"/>
              <w:left w:val="nil"/>
              <w:bottom w:val="single" w:sz="4" w:space="0" w:color="17365D"/>
              <w:right w:val="nil"/>
            </w:tcBorders>
            <w:shd w:val="clear" w:color="auto" w:fill="auto"/>
            <w:vAlign w:val="center"/>
          </w:tcPr>
          <w:p w14:paraId="72C4B52A" w14:textId="2D5EA706"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16 652 164</w:t>
            </w:r>
          </w:p>
        </w:tc>
        <w:tc>
          <w:tcPr>
            <w:tcW w:w="1047" w:type="dxa"/>
            <w:tcBorders>
              <w:top w:val="single" w:sz="4" w:space="0" w:color="17365D"/>
              <w:left w:val="nil"/>
              <w:bottom w:val="single" w:sz="4" w:space="0" w:color="17365D"/>
              <w:right w:val="nil"/>
            </w:tcBorders>
            <w:shd w:val="clear" w:color="auto" w:fill="auto"/>
            <w:vAlign w:val="center"/>
          </w:tcPr>
          <w:p w14:paraId="7F670424" w14:textId="13A6EACD"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1 714 766</w:t>
            </w:r>
          </w:p>
        </w:tc>
        <w:tc>
          <w:tcPr>
            <w:tcW w:w="1046" w:type="dxa"/>
            <w:tcBorders>
              <w:top w:val="single" w:sz="4" w:space="0" w:color="17365D"/>
              <w:left w:val="nil"/>
              <w:bottom w:val="single" w:sz="4" w:space="0" w:color="17365D"/>
              <w:right w:val="nil"/>
            </w:tcBorders>
            <w:shd w:val="clear" w:color="auto" w:fill="auto"/>
            <w:vAlign w:val="center"/>
          </w:tcPr>
          <w:p w14:paraId="46386325" w14:textId="2C2A039F"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812 375</w:t>
            </w:r>
          </w:p>
        </w:tc>
        <w:tc>
          <w:tcPr>
            <w:tcW w:w="1086" w:type="dxa"/>
            <w:tcBorders>
              <w:top w:val="single" w:sz="4" w:space="0" w:color="17365D"/>
              <w:left w:val="nil"/>
              <w:bottom w:val="single" w:sz="4" w:space="0" w:color="17365D"/>
              <w:right w:val="nil"/>
            </w:tcBorders>
            <w:shd w:val="clear" w:color="auto" w:fill="auto"/>
            <w:vAlign w:val="center"/>
          </w:tcPr>
          <w:p w14:paraId="7E62CDB6" w14:textId="55023484"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14 603 517</w:t>
            </w:r>
          </w:p>
        </w:tc>
      </w:tr>
      <w:tr w:rsidR="00B36A61" w:rsidRPr="00B36A61" w14:paraId="2B9DFC4B" w14:textId="77777777" w:rsidTr="00856306">
        <w:trPr>
          <w:trHeight w:val="281"/>
        </w:trPr>
        <w:tc>
          <w:tcPr>
            <w:tcW w:w="643" w:type="dxa"/>
            <w:tcBorders>
              <w:top w:val="single" w:sz="4" w:space="0" w:color="17365D"/>
              <w:bottom w:val="single" w:sz="4" w:space="0" w:color="17365D"/>
            </w:tcBorders>
            <w:vAlign w:val="center"/>
          </w:tcPr>
          <w:p w14:paraId="01C1FCF8" w14:textId="77777777" w:rsidR="009F7990" w:rsidRPr="00B36A61" w:rsidRDefault="009F7990" w:rsidP="009F7990">
            <w:pPr>
              <w:pStyle w:val="Pamatteksts"/>
              <w:spacing w:before="40" w:after="40"/>
              <w:ind w:firstLine="0"/>
              <w:jc w:val="left"/>
              <w:rPr>
                <w:color w:val="17365D"/>
                <w:sz w:val="16"/>
                <w:szCs w:val="16"/>
              </w:rPr>
            </w:pPr>
            <w:r w:rsidRPr="00B36A61">
              <w:rPr>
                <w:color w:val="17365D"/>
                <w:sz w:val="16"/>
                <w:szCs w:val="16"/>
              </w:rPr>
              <w:t>4.0.</w:t>
            </w:r>
          </w:p>
        </w:tc>
        <w:tc>
          <w:tcPr>
            <w:tcW w:w="1609" w:type="dxa"/>
            <w:tcBorders>
              <w:top w:val="single" w:sz="4" w:space="0" w:color="17365D"/>
              <w:bottom w:val="single" w:sz="4" w:space="0" w:color="17365D"/>
              <w:right w:val="nil"/>
            </w:tcBorders>
            <w:shd w:val="clear" w:color="auto" w:fill="auto"/>
            <w:vAlign w:val="center"/>
          </w:tcPr>
          <w:p w14:paraId="0A1273D7" w14:textId="77777777" w:rsidR="009F7990" w:rsidRPr="00B36A61" w:rsidRDefault="009F7990" w:rsidP="009F7990">
            <w:pPr>
              <w:pStyle w:val="Pamatteksts"/>
              <w:spacing w:before="40" w:after="40"/>
              <w:ind w:firstLine="0"/>
              <w:jc w:val="left"/>
              <w:rPr>
                <w:bCs/>
                <w:color w:val="17365D"/>
                <w:sz w:val="16"/>
                <w:szCs w:val="16"/>
              </w:rPr>
            </w:pPr>
            <w:r w:rsidRPr="00B36A61">
              <w:rPr>
                <w:bCs/>
                <w:color w:val="17365D"/>
                <w:sz w:val="16"/>
                <w:szCs w:val="16"/>
              </w:rPr>
              <w:t>Ārvalstu finanšu palīdzība</w:t>
            </w:r>
            <w:r w:rsidRPr="00B36A61">
              <w:rPr>
                <w:bCs/>
                <w:color w:val="17365D"/>
                <w:sz w:val="16"/>
                <w:szCs w:val="16"/>
              </w:rPr>
              <w:tab/>
            </w:r>
          </w:p>
        </w:tc>
        <w:tc>
          <w:tcPr>
            <w:tcW w:w="960" w:type="dxa"/>
            <w:tcBorders>
              <w:top w:val="single" w:sz="4" w:space="0" w:color="17365D"/>
              <w:left w:val="nil"/>
              <w:bottom w:val="single" w:sz="4" w:space="0" w:color="17365D"/>
              <w:right w:val="nil"/>
            </w:tcBorders>
            <w:shd w:val="clear" w:color="auto" w:fill="auto"/>
            <w:vAlign w:val="center"/>
          </w:tcPr>
          <w:p w14:paraId="00F2A600" w14:textId="7AF3386E"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1 318 723</w:t>
            </w:r>
          </w:p>
        </w:tc>
        <w:tc>
          <w:tcPr>
            <w:tcW w:w="960" w:type="dxa"/>
            <w:tcBorders>
              <w:top w:val="single" w:sz="4" w:space="0" w:color="17365D"/>
              <w:left w:val="nil"/>
              <w:bottom w:val="single" w:sz="4" w:space="0" w:color="17365D"/>
              <w:right w:val="nil"/>
            </w:tcBorders>
            <w:shd w:val="clear" w:color="auto" w:fill="auto"/>
            <w:vAlign w:val="center"/>
          </w:tcPr>
          <w:p w14:paraId="77D6FC85" w14:textId="34EDB31C"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1 318 723</w:t>
            </w:r>
          </w:p>
        </w:tc>
        <w:tc>
          <w:tcPr>
            <w:tcW w:w="962" w:type="dxa"/>
            <w:tcBorders>
              <w:top w:val="single" w:sz="4" w:space="0" w:color="17365D"/>
              <w:left w:val="nil"/>
              <w:bottom w:val="single" w:sz="4" w:space="0" w:color="17365D"/>
              <w:right w:val="nil"/>
            </w:tcBorders>
            <w:shd w:val="clear" w:color="auto" w:fill="auto"/>
            <w:vAlign w:val="center"/>
          </w:tcPr>
          <w:p w14:paraId="3F891ABF" w14:textId="1202BDED"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0</w:t>
            </w:r>
          </w:p>
        </w:tc>
        <w:tc>
          <w:tcPr>
            <w:tcW w:w="1047" w:type="dxa"/>
            <w:tcBorders>
              <w:top w:val="single" w:sz="4" w:space="0" w:color="17365D"/>
              <w:left w:val="nil"/>
              <w:bottom w:val="single" w:sz="4" w:space="0" w:color="17365D"/>
              <w:right w:val="nil"/>
            </w:tcBorders>
            <w:shd w:val="clear" w:color="auto" w:fill="auto"/>
            <w:vAlign w:val="center"/>
          </w:tcPr>
          <w:p w14:paraId="0DA2638C" w14:textId="5357785B"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1 003 525</w:t>
            </w:r>
          </w:p>
        </w:tc>
        <w:tc>
          <w:tcPr>
            <w:tcW w:w="1047" w:type="dxa"/>
            <w:tcBorders>
              <w:top w:val="single" w:sz="4" w:space="0" w:color="17365D"/>
              <w:left w:val="nil"/>
              <w:bottom w:val="single" w:sz="4" w:space="0" w:color="17365D"/>
              <w:right w:val="nil"/>
            </w:tcBorders>
            <w:shd w:val="clear" w:color="auto" w:fill="auto"/>
            <w:vAlign w:val="center"/>
          </w:tcPr>
          <w:p w14:paraId="29D1B945" w14:textId="6C64B9C5"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-315 198</w:t>
            </w:r>
          </w:p>
        </w:tc>
        <w:tc>
          <w:tcPr>
            <w:tcW w:w="1046" w:type="dxa"/>
            <w:tcBorders>
              <w:top w:val="single" w:sz="4" w:space="0" w:color="17365D"/>
              <w:left w:val="nil"/>
              <w:bottom w:val="single" w:sz="4" w:space="0" w:color="17365D"/>
              <w:right w:val="nil"/>
            </w:tcBorders>
            <w:shd w:val="clear" w:color="auto" w:fill="auto"/>
            <w:vAlign w:val="center"/>
          </w:tcPr>
          <w:p w14:paraId="4C26C792" w14:textId="449DF06D"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-315 198</w:t>
            </w:r>
          </w:p>
        </w:tc>
        <w:tc>
          <w:tcPr>
            <w:tcW w:w="1086" w:type="dxa"/>
            <w:tcBorders>
              <w:top w:val="single" w:sz="4" w:space="0" w:color="17365D"/>
              <w:left w:val="nil"/>
              <w:bottom w:val="single" w:sz="4" w:space="0" w:color="17365D"/>
              <w:right w:val="nil"/>
            </w:tcBorders>
            <w:shd w:val="clear" w:color="auto" w:fill="auto"/>
            <w:vAlign w:val="center"/>
          </w:tcPr>
          <w:p w14:paraId="1524066E" w14:textId="513CBBE1"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1 302 598</w:t>
            </w:r>
          </w:p>
        </w:tc>
      </w:tr>
      <w:tr w:rsidR="00B36A61" w:rsidRPr="00B36A61" w14:paraId="657DC294" w14:textId="77777777" w:rsidTr="00856306">
        <w:trPr>
          <w:trHeight w:val="284"/>
        </w:trPr>
        <w:tc>
          <w:tcPr>
            <w:tcW w:w="643" w:type="dxa"/>
            <w:tcBorders>
              <w:top w:val="single" w:sz="4" w:space="0" w:color="17365D"/>
              <w:bottom w:val="single" w:sz="4" w:space="0" w:color="17365D"/>
            </w:tcBorders>
            <w:vAlign w:val="center"/>
          </w:tcPr>
          <w:p w14:paraId="0BC52F3B" w14:textId="2BF90102" w:rsidR="009F7990" w:rsidRPr="00B36A61" w:rsidRDefault="009F7990" w:rsidP="009F7990">
            <w:pPr>
              <w:pStyle w:val="Pamatteksts"/>
              <w:spacing w:before="40" w:after="40"/>
              <w:ind w:firstLine="0"/>
              <w:jc w:val="left"/>
              <w:rPr>
                <w:color w:val="17365D"/>
                <w:sz w:val="16"/>
                <w:szCs w:val="16"/>
              </w:rPr>
            </w:pPr>
            <w:r w:rsidRPr="00B36A61">
              <w:rPr>
                <w:color w:val="17365D"/>
                <w:sz w:val="16"/>
                <w:szCs w:val="16"/>
              </w:rPr>
              <w:t>5.0.</w:t>
            </w:r>
          </w:p>
        </w:tc>
        <w:tc>
          <w:tcPr>
            <w:tcW w:w="1609" w:type="dxa"/>
            <w:tcBorders>
              <w:top w:val="single" w:sz="4" w:space="0" w:color="17365D"/>
              <w:bottom w:val="single" w:sz="4" w:space="0" w:color="17365D"/>
              <w:right w:val="nil"/>
            </w:tcBorders>
            <w:shd w:val="clear" w:color="auto" w:fill="auto"/>
            <w:vAlign w:val="center"/>
          </w:tcPr>
          <w:p w14:paraId="26B1AB06" w14:textId="0AA87495" w:rsidR="009F7990" w:rsidRPr="00B36A61" w:rsidRDefault="009F7990" w:rsidP="009F7990">
            <w:pPr>
              <w:pStyle w:val="Pamatteksts"/>
              <w:spacing w:before="40" w:after="40"/>
              <w:ind w:firstLine="0"/>
              <w:jc w:val="left"/>
              <w:rPr>
                <w:bCs/>
                <w:color w:val="17365D"/>
                <w:sz w:val="16"/>
                <w:szCs w:val="16"/>
              </w:rPr>
            </w:pPr>
            <w:r w:rsidRPr="00B36A61">
              <w:rPr>
                <w:bCs/>
                <w:color w:val="17365D"/>
                <w:sz w:val="16"/>
                <w:szCs w:val="16"/>
              </w:rPr>
              <w:t>Transferti</w:t>
            </w:r>
          </w:p>
        </w:tc>
        <w:tc>
          <w:tcPr>
            <w:tcW w:w="960" w:type="dxa"/>
            <w:tcBorders>
              <w:top w:val="single" w:sz="4" w:space="0" w:color="17365D"/>
              <w:left w:val="nil"/>
              <w:bottom w:val="single" w:sz="4" w:space="0" w:color="17365D"/>
              <w:right w:val="nil"/>
            </w:tcBorders>
            <w:shd w:val="clear" w:color="auto" w:fill="auto"/>
            <w:vAlign w:val="center"/>
          </w:tcPr>
          <w:p w14:paraId="08FACEB0" w14:textId="0A4B68AE"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730 115</w:t>
            </w:r>
          </w:p>
        </w:tc>
        <w:tc>
          <w:tcPr>
            <w:tcW w:w="960" w:type="dxa"/>
            <w:tcBorders>
              <w:top w:val="single" w:sz="4" w:space="0" w:color="17365D"/>
              <w:left w:val="nil"/>
              <w:bottom w:val="single" w:sz="4" w:space="0" w:color="17365D"/>
              <w:right w:val="nil"/>
            </w:tcBorders>
            <w:shd w:val="clear" w:color="auto" w:fill="auto"/>
            <w:vAlign w:val="center"/>
          </w:tcPr>
          <w:p w14:paraId="18D7F0AF" w14:textId="1316822E"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1 029 695</w:t>
            </w:r>
          </w:p>
        </w:tc>
        <w:tc>
          <w:tcPr>
            <w:tcW w:w="962" w:type="dxa"/>
            <w:tcBorders>
              <w:top w:val="single" w:sz="4" w:space="0" w:color="17365D"/>
              <w:left w:val="nil"/>
              <w:bottom w:val="single" w:sz="4" w:space="0" w:color="17365D"/>
              <w:right w:val="nil"/>
            </w:tcBorders>
            <w:shd w:val="clear" w:color="auto" w:fill="auto"/>
            <w:vAlign w:val="center"/>
          </w:tcPr>
          <w:p w14:paraId="2F392CA3" w14:textId="7525AD8D"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299 580</w:t>
            </w:r>
          </w:p>
        </w:tc>
        <w:tc>
          <w:tcPr>
            <w:tcW w:w="1047" w:type="dxa"/>
            <w:tcBorders>
              <w:top w:val="single" w:sz="4" w:space="0" w:color="17365D"/>
              <w:left w:val="nil"/>
              <w:bottom w:val="single" w:sz="4" w:space="0" w:color="17365D"/>
              <w:right w:val="nil"/>
            </w:tcBorders>
            <w:shd w:val="clear" w:color="auto" w:fill="auto"/>
            <w:vAlign w:val="center"/>
          </w:tcPr>
          <w:p w14:paraId="3F72327F" w14:textId="646F4816"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716 835</w:t>
            </w:r>
          </w:p>
        </w:tc>
        <w:tc>
          <w:tcPr>
            <w:tcW w:w="1047" w:type="dxa"/>
            <w:tcBorders>
              <w:top w:val="single" w:sz="4" w:space="0" w:color="17365D"/>
              <w:left w:val="nil"/>
              <w:bottom w:val="single" w:sz="4" w:space="0" w:color="17365D"/>
              <w:right w:val="nil"/>
            </w:tcBorders>
            <w:shd w:val="clear" w:color="auto" w:fill="auto"/>
            <w:vAlign w:val="center"/>
          </w:tcPr>
          <w:p w14:paraId="1B07FE57" w14:textId="1373FA82"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-13 280</w:t>
            </w:r>
          </w:p>
        </w:tc>
        <w:tc>
          <w:tcPr>
            <w:tcW w:w="1046" w:type="dxa"/>
            <w:tcBorders>
              <w:top w:val="single" w:sz="4" w:space="0" w:color="17365D"/>
              <w:left w:val="nil"/>
              <w:bottom w:val="single" w:sz="4" w:space="0" w:color="17365D"/>
              <w:right w:val="nil"/>
            </w:tcBorders>
            <w:shd w:val="clear" w:color="auto" w:fill="auto"/>
            <w:vAlign w:val="center"/>
          </w:tcPr>
          <w:p w14:paraId="1CB51F08" w14:textId="28EBE3F4"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-312 860</w:t>
            </w:r>
          </w:p>
        </w:tc>
        <w:tc>
          <w:tcPr>
            <w:tcW w:w="1086" w:type="dxa"/>
            <w:tcBorders>
              <w:top w:val="single" w:sz="4" w:space="0" w:color="17365D"/>
              <w:left w:val="nil"/>
              <w:bottom w:val="single" w:sz="4" w:space="0" w:color="17365D"/>
              <w:right w:val="nil"/>
            </w:tcBorders>
            <w:shd w:val="clear" w:color="auto" w:fill="auto"/>
            <w:vAlign w:val="center"/>
          </w:tcPr>
          <w:p w14:paraId="6B743E0F" w14:textId="71511A44"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1 931 895</w:t>
            </w:r>
          </w:p>
        </w:tc>
      </w:tr>
      <w:tr w:rsidR="00B36A61" w:rsidRPr="00B36A61" w14:paraId="449CCAC5" w14:textId="77777777" w:rsidTr="00856306">
        <w:trPr>
          <w:trHeight w:val="284"/>
        </w:trPr>
        <w:tc>
          <w:tcPr>
            <w:tcW w:w="643" w:type="dxa"/>
            <w:tcBorders>
              <w:top w:val="single" w:sz="4" w:space="0" w:color="17365D"/>
              <w:bottom w:val="single" w:sz="4" w:space="0" w:color="17365D"/>
            </w:tcBorders>
            <w:vAlign w:val="center"/>
          </w:tcPr>
          <w:p w14:paraId="112F13BA" w14:textId="3BF972C2" w:rsidR="009F7990" w:rsidRPr="00B36A61" w:rsidRDefault="009F7990" w:rsidP="009F7990">
            <w:pPr>
              <w:pStyle w:val="Pamatteksts"/>
              <w:spacing w:before="40" w:after="40"/>
              <w:ind w:firstLine="0"/>
              <w:jc w:val="left"/>
              <w:rPr>
                <w:color w:val="17365D"/>
                <w:sz w:val="16"/>
                <w:szCs w:val="16"/>
              </w:rPr>
            </w:pPr>
            <w:r w:rsidRPr="00B36A61">
              <w:rPr>
                <w:color w:val="17365D"/>
                <w:sz w:val="16"/>
                <w:szCs w:val="16"/>
              </w:rPr>
              <w:t>18.0.0.0.</w:t>
            </w:r>
          </w:p>
        </w:tc>
        <w:tc>
          <w:tcPr>
            <w:tcW w:w="1609" w:type="dxa"/>
            <w:tcBorders>
              <w:top w:val="single" w:sz="4" w:space="0" w:color="17365D"/>
              <w:bottom w:val="single" w:sz="4" w:space="0" w:color="17365D"/>
              <w:right w:val="nil"/>
            </w:tcBorders>
            <w:shd w:val="clear" w:color="auto" w:fill="auto"/>
            <w:vAlign w:val="center"/>
          </w:tcPr>
          <w:p w14:paraId="56147DCB" w14:textId="69889AC3" w:rsidR="009F7990" w:rsidRPr="00B36A61" w:rsidRDefault="009F7990" w:rsidP="009F7990">
            <w:pPr>
              <w:pStyle w:val="Pamatteksts"/>
              <w:spacing w:before="40" w:after="40"/>
              <w:ind w:firstLine="0"/>
              <w:jc w:val="left"/>
              <w:rPr>
                <w:bCs/>
                <w:color w:val="17365D"/>
                <w:sz w:val="16"/>
                <w:szCs w:val="16"/>
              </w:rPr>
            </w:pPr>
            <w:r w:rsidRPr="00B36A61">
              <w:rPr>
                <w:bCs/>
                <w:color w:val="17365D"/>
                <w:sz w:val="16"/>
                <w:szCs w:val="16"/>
              </w:rPr>
              <w:t>Valsts budžeta transferti</w:t>
            </w:r>
          </w:p>
        </w:tc>
        <w:tc>
          <w:tcPr>
            <w:tcW w:w="960" w:type="dxa"/>
            <w:tcBorders>
              <w:top w:val="single" w:sz="4" w:space="0" w:color="17365D"/>
              <w:left w:val="nil"/>
              <w:bottom w:val="single" w:sz="4" w:space="0" w:color="17365D"/>
              <w:right w:val="nil"/>
            </w:tcBorders>
            <w:shd w:val="clear" w:color="auto" w:fill="auto"/>
            <w:vAlign w:val="center"/>
          </w:tcPr>
          <w:p w14:paraId="6B2AA990" w14:textId="203A0B73"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730 115</w:t>
            </w:r>
          </w:p>
        </w:tc>
        <w:tc>
          <w:tcPr>
            <w:tcW w:w="960" w:type="dxa"/>
            <w:tcBorders>
              <w:top w:val="single" w:sz="4" w:space="0" w:color="17365D"/>
              <w:left w:val="nil"/>
              <w:bottom w:val="single" w:sz="4" w:space="0" w:color="17365D"/>
              <w:right w:val="nil"/>
            </w:tcBorders>
            <w:shd w:val="clear" w:color="auto" w:fill="auto"/>
            <w:vAlign w:val="center"/>
          </w:tcPr>
          <w:p w14:paraId="5EB7EAD4" w14:textId="42CEA909"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1 029 695</w:t>
            </w:r>
          </w:p>
        </w:tc>
        <w:tc>
          <w:tcPr>
            <w:tcW w:w="962" w:type="dxa"/>
            <w:tcBorders>
              <w:top w:val="single" w:sz="4" w:space="0" w:color="17365D"/>
              <w:left w:val="nil"/>
              <w:bottom w:val="single" w:sz="4" w:space="0" w:color="17365D"/>
              <w:right w:val="nil"/>
            </w:tcBorders>
            <w:shd w:val="clear" w:color="auto" w:fill="auto"/>
            <w:vAlign w:val="center"/>
          </w:tcPr>
          <w:p w14:paraId="50B8A80C" w14:textId="296E74DD"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299 580</w:t>
            </w:r>
          </w:p>
        </w:tc>
        <w:tc>
          <w:tcPr>
            <w:tcW w:w="1047" w:type="dxa"/>
            <w:tcBorders>
              <w:top w:val="single" w:sz="4" w:space="0" w:color="17365D"/>
              <w:left w:val="nil"/>
              <w:bottom w:val="single" w:sz="4" w:space="0" w:color="17365D"/>
              <w:right w:val="nil"/>
            </w:tcBorders>
            <w:shd w:val="clear" w:color="auto" w:fill="auto"/>
            <w:vAlign w:val="center"/>
          </w:tcPr>
          <w:p w14:paraId="5713B6D0" w14:textId="6845FF18"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716 835</w:t>
            </w:r>
          </w:p>
        </w:tc>
        <w:tc>
          <w:tcPr>
            <w:tcW w:w="1047" w:type="dxa"/>
            <w:tcBorders>
              <w:top w:val="single" w:sz="4" w:space="0" w:color="17365D"/>
              <w:left w:val="nil"/>
              <w:bottom w:val="single" w:sz="4" w:space="0" w:color="17365D"/>
              <w:right w:val="nil"/>
            </w:tcBorders>
            <w:shd w:val="clear" w:color="auto" w:fill="auto"/>
            <w:vAlign w:val="center"/>
          </w:tcPr>
          <w:p w14:paraId="2A593D54" w14:textId="322273E0"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-13 280</w:t>
            </w:r>
          </w:p>
        </w:tc>
        <w:tc>
          <w:tcPr>
            <w:tcW w:w="1046" w:type="dxa"/>
            <w:tcBorders>
              <w:top w:val="single" w:sz="4" w:space="0" w:color="17365D"/>
              <w:left w:val="nil"/>
              <w:bottom w:val="single" w:sz="4" w:space="0" w:color="17365D"/>
              <w:right w:val="nil"/>
            </w:tcBorders>
            <w:shd w:val="clear" w:color="auto" w:fill="auto"/>
            <w:vAlign w:val="center"/>
          </w:tcPr>
          <w:p w14:paraId="3C928B58" w14:textId="76BEC58C"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-312 860</w:t>
            </w:r>
          </w:p>
        </w:tc>
        <w:tc>
          <w:tcPr>
            <w:tcW w:w="1086" w:type="dxa"/>
            <w:tcBorders>
              <w:top w:val="single" w:sz="4" w:space="0" w:color="17365D"/>
              <w:left w:val="nil"/>
              <w:bottom w:val="single" w:sz="4" w:space="0" w:color="17365D"/>
              <w:right w:val="nil"/>
            </w:tcBorders>
            <w:shd w:val="clear" w:color="auto" w:fill="auto"/>
            <w:vAlign w:val="center"/>
          </w:tcPr>
          <w:p w14:paraId="5CF881EA" w14:textId="0F2B1BD7"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1 931 895</w:t>
            </w:r>
          </w:p>
        </w:tc>
      </w:tr>
      <w:tr w:rsidR="00B36A61" w:rsidRPr="00B36A61" w14:paraId="44D5CC1F" w14:textId="77777777" w:rsidTr="00856306">
        <w:trPr>
          <w:trHeight w:val="284"/>
        </w:trPr>
        <w:tc>
          <w:tcPr>
            <w:tcW w:w="643" w:type="dxa"/>
            <w:tcBorders>
              <w:top w:val="single" w:sz="4" w:space="0" w:color="17365D"/>
              <w:bottom w:val="single" w:sz="4" w:space="0" w:color="17365D"/>
            </w:tcBorders>
            <w:shd w:val="clear" w:color="auto" w:fill="auto"/>
            <w:vAlign w:val="center"/>
          </w:tcPr>
          <w:p w14:paraId="31F03D88" w14:textId="1907A2E4" w:rsidR="009F7990" w:rsidRPr="00B36A61" w:rsidRDefault="009F7990" w:rsidP="009F7990">
            <w:pPr>
              <w:pStyle w:val="Pamatteksts"/>
              <w:spacing w:before="40" w:after="40"/>
              <w:ind w:firstLine="0"/>
              <w:jc w:val="left"/>
              <w:rPr>
                <w:b/>
                <w:color w:val="17365D"/>
                <w:sz w:val="16"/>
                <w:szCs w:val="16"/>
              </w:rPr>
            </w:pPr>
            <w:r w:rsidRPr="00B36A61">
              <w:rPr>
                <w:b/>
                <w:color w:val="17365D"/>
                <w:sz w:val="16"/>
                <w:szCs w:val="16"/>
              </w:rPr>
              <w:t>II.</w:t>
            </w:r>
          </w:p>
        </w:tc>
        <w:tc>
          <w:tcPr>
            <w:tcW w:w="1609" w:type="dxa"/>
            <w:tcBorders>
              <w:top w:val="single" w:sz="4" w:space="0" w:color="17365D"/>
              <w:bottom w:val="single" w:sz="4" w:space="0" w:color="17365D"/>
            </w:tcBorders>
            <w:shd w:val="clear" w:color="auto" w:fill="auto"/>
            <w:vAlign w:val="center"/>
          </w:tcPr>
          <w:p w14:paraId="6875654B" w14:textId="374F4406" w:rsidR="009F7990" w:rsidRPr="00B36A61" w:rsidRDefault="009F7990" w:rsidP="009F7990">
            <w:pPr>
              <w:pStyle w:val="Pamatteksts"/>
              <w:spacing w:before="40" w:after="40"/>
              <w:ind w:firstLine="0"/>
              <w:jc w:val="left"/>
              <w:rPr>
                <w:b/>
                <w:bCs/>
                <w:color w:val="17365D"/>
                <w:sz w:val="16"/>
                <w:szCs w:val="16"/>
              </w:rPr>
            </w:pPr>
            <w:r w:rsidRPr="00B36A61">
              <w:rPr>
                <w:b/>
                <w:bCs/>
                <w:color w:val="17365D"/>
                <w:sz w:val="16"/>
                <w:szCs w:val="16"/>
              </w:rPr>
              <w:t>IZDEVUMI KOPĀ</w:t>
            </w:r>
          </w:p>
        </w:tc>
        <w:tc>
          <w:tcPr>
            <w:tcW w:w="960" w:type="dxa"/>
            <w:tcBorders>
              <w:top w:val="single" w:sz="4" w:space="0" w:color="17365D"/>
              <w:left w:val="nil"/>
              <w:bottom w:val="single" w:sz="4" w:space="0" w:color="17365D"/>
              <w:right w:val="nil"/>
            </w:tcBorders>
            <w:shd w:val="clear" w:color="auto" w:fill="auto"/>
          </w:tcPr>
          <w:p w14:paraId="7ABBD4BF" w14:textId="10489809"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18 692 326</w:t>
            </w:r>
          </w:p>
        </w:tc>
        <w:tc>
          <w:tcPr>
            <w:tcW w:w="960" w:type="dxa"/>
            <w:tcBorders>
              <w:top w:val="single" w:sz="4" w:space="0" w:color="17365D"/>
              <w:left w:val="nil"/>
              <w:bottom w:val="single" w:sz="4" w:space="0" w:color="17365D"/>
              <w:right w:val="nil"/>
            </w:tcBorders>
            <w:shd w:val="clear" w:color="auto" w:fill="auto"/>
          </w:tcPr>
          <w:p w14:paraId="12DD8FD0" w14:textId="4DE72932"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20 490 808</w:t>
            </w:r>
          </w:p>
        </w:tc>
        <w:tc>
          <w:tcPr>
            <w:tcW w:w="962" w:type="dxa"/>
            <w:tcBorders>
              <w:top w:val="single" w:sz="4" w:space="0" w:color="17365D"/>
              <w:left w:val="nil"/>
              <w:bottom w:val="single" w:sz="4" w:space="0" w:color="17365D"/>
              <w:right w:val="nil"/>
            </w:tcBorders>
            <w:shd w:val="clear" w:color="auto" w:fill="auto"/>
          </w:tcPr>
          <w:p w14:paraId="58E2CBBE" w14:textId="63B7C4D7"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1 798 482</w:t>
            </w:r>
          </w:p>
        </w:tc>
        <w:tc>
          <w:tcPr>
            <w:tcW w:w="1047" w:type="dxa"/>
            <w:tcBorders>
              <w:top w:val="single" w:sz="4" w:space="0" w:color="17365D"/>
              <w:left w:val="nil"/>
              <w:bottom w:val="single" w:sz="4" w:space="0" w:color="17365D"/>
              <w:right w:val="nil"/>
            </w:tcBorders>
            <w:shd w:val="clear" w:color="auto" w:fill="auto"/>
          </w:tcPr>
          <w:p w14:paraId="0FAF262C" w14:textId="615A80D2"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17 672 826</w:t>
            </w:r>
          </w:p>
        </w:tc>
        <w:tc>
          <w:tcPr>
            <w:tcW w:w="1047" w:type="dxa"/>
            <w:tcBorders>
              <w:top w:val="single" w:sz="4" w:space="0" w:color="17365D"/>
              <w:left w:val="nil"/>
              <w:bottom w:val="single" w:sz="4" w:space="0" w:color="17365D"/>
              <w:right w:val="nil"/>
            </w:tcBorders>
            <w:shd w:val="clear" w:color="auto" w:fill="auto"/>
          </w:tcPr>
          <w:p w14:paraId="4D5819E9" w14:textId="52782489"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-1 019 500</w:t>
            </w:r>
          </w:p>
        </w:tc>
        <w:tc>
          <w:tcPr>
            <w:tcW w:w="1046" w:type="dxa"/>
            <w:tcBorders>
              <w:top w:val="single" w:sz="4" w:space="0" w:color="17365D"/>
              <w:left w:val="nil"/>
              <w:bottom w:val="single" w:sz="4" w:space="0" w:color="17365D"/>
              <w:right w:val="nil"/>
            </w:tcBorders>
            <w:shd w:val="clear" w:color="auto" w:fill="auto"/>
          </w:tcPr>
          <w:p w14:paraId="47E6D4C3" w14:textId="3895BEBA"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-2 817 982</w:t>
            </w:r>
          </w:p>
        </w:tc>
        <w:tc>
          <w:tcPr>
            <w:tcW w:w="1086" w:type="dxa"/>
            <w:tcBorders>
              <w:top w:val="single" w:sz="4" w:space="0" w:color="17365D"/>
              <w:left w:val="nil"/>
              <w:bottom w:val="single" w:sz="4" w:space="0" w:color="17365D"/>
              <w:right w:val="nil"/>
            </w:tcBorders>
            <w:shd w:val="clear" w:color="auto" w:fill="auto"/>
          </w:tcPr>
          <w:p w14:paraId="7D7D23DD" w14:textId="3DFFD5CE"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15 464 022</w:t>
            </w:r>
          </w:p>
        </w:tc>
      </w:tr>
      <w:tr w:rsidR="00B36A61" w:rsidRPr="00B36A61" w14:paraId="3F55E530" w14:textId="77777777" w:rsidTr="008905A6">
        <w:trPr>
          <w:trHeight w:val="284"/>
        </w:trPr>
        <w:tc>
          <w:tcPr>
            <w:tcW w:w="643" w:type="dxa"/>
            <w:tcBorders>
              <w:top w:val="single" w:sz="4" w:space="0" w:color="17365D"/>
              <w:bottom w:val="single" w:sz="4" w:space="0" w:color="17365D"/>
            </w:tcBorders>
            <w:shd w:val="clear" w:color="auto" w:fill="auto"/>
            <w:vAlign w:val="center"/>
          </w:tcPr>
          <w:p w14:paraId="2CFB428F" w14:textId="5500B72E" w:rsidR="009F7990" w:rsidRPr="00B36A61" w:rsidRDefault="009F7990" w:rsidP="009F7990">
            <w:pPr>
              <w:pStyle w:val="Pamatteksts"/>
              <w:spacing w:before="40" w:after="40"/>
              <w:ind w:firstLine="0"/>
              <w:jc w:val="left"/>
              <w:rPr>
                <w:rFonts w:eastAsia="Calibri"/>
                <w:noProof w:val="0"/>
                <w:color w:val="17365D"/>
                <w:sz w:val="16"/>
                <w:szCs w:val="16"/>
              </w:rPr>
            </w:pPr>
            <w:r w:rsidRPr="00B36A61">
              <w:rPr>
                <w:rFonts w:eastAsia="Calibri"/>
                <w:noProof w:val="0"/>
                <w:color w:val="17365D"/>
                <w:sz w:val="16"/>
                <w:szCs w:val="16"/>
              </w:rPr>
              <w:t>1.0.</w:t>
            </w:r>
          </w:p>
        </w:tc>
        <w:tc>
          <w:tcPr>
            <w:tcW w:w="1609" w:type="dxa"/>
            <w:tcBorders>
              <w:top w:val="single" w:sz="4" w:space="0" w:color="17365D"/>
              <w:bottom w:val="single" w:sz="4" w:space="0" w:color="17365D"/>
            </w:tcBorders>
            <w:shd w:val="clear" w:color="auto" w:fill="auto"/>
            <w:vAlign w:val="center"/>
          </w:tcPr>
          <w:p w14:paraId="3E35447C" w14:textId="37BF5E28" w:rsidR="009F7990" w:rsidRPr="00B36A61" w:rsidRDefault="009F7990" w:rsidP="009F7990">
            <w:pPr>
              <w:pStyle w:val="Pamatteksts"/>
              <w:spacing w:before="40" w:after="40"/>
              <w:ind w:firstLine="0"/>
              <w:jc w:val="left"/>
              <w:rPr>
                <w:rFonts w:eastAsia="Calibri"/>
                <w:noProof w:val="0"/>
                <w:color w:val="17365D"/>
                <w:sz w:val="16"/>
                <w:szCs w:val="16"/>
              </w:rPr>
            </w:pPr>
            <w:r w:rsidRPr="00B36A61">
              <w:rPr>
                <w:rFonts w:eastAsia="Calibri"/>
                <w:noProof w:val="0"/>
                <w:color w:val="17365D"/>
                <w:sz w:val="16"/>
                <w:szCs w:val="16"/>
              </w:rPr>
              <w:t>Uzturēšanas izdevumi</w:t>
            </w:r>
          </w:p>
        </w:tc>
        <w:tc>
          <w:tcPr>
            <w:tcW w:w="960" w:type="dxa"/>
            <w:tcBorders>
              <w:top w:val="single" w:sz="4" w:space="0" w:color="17365D"/>
              <w:left w:val="nil"/>
              <w:bottom w:val="single" w:sz="4" w:space="0" w:color="17365D"/>
              <w:right w:val="nil"/>
            </w:tcBorders>
            <w:shd w:val="clear" w:color="auto" w:fill="auto"/>
          </w:tcPr>
          <w:p w14:paraId="1C912F67" w14:textId="6ECE66A8"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17 668 271</w:t>
            </w:r>
          </w:p>
        </w:tc>
        <w:tc>
          <w:tcPr>
            <w:tcW w:w="960" w:type="dxa"/>
            <w:tcBorders>
              <w:top w:val="single" w:sz="4" w:space="0" w:color="17365D"/>
              <w:left w:val="nil"/>
              <w:bottom w:val="single" w:sz="4" w:space="0" w:color="17365D"/>
              <w:right w:val="nil"/>
            </w:tcBorders>
            <w:shd w:val="clear" w:color="auto" w:fill="auto"/>
          </w:tcPr>
          <w:p w14:paraId="08D43A8B" w14:textId="1D57860C"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19 456 744</w:t>
            </w:r>
          </w:p>
        </w:tc>
        <w:tc>
          <w:tcPr>
            <w:tcW w:w="962" w:type="dxa"/>
            <w:tcBorders>
              <w:top w:val="single" w:sz="4" w:space="0" w:color="17365D"/>
              <w:left w:val="nil"/>
              <w:bottom w:val="single" w:sz="4" w:space="0" w:color="17365D"/>
              <w:right w:val="nil"/>
            </w:tcBorders>
            <w:shd w:val="clear" w:color="auto" w:fill="auto"/>
          </w:tcPr>
          <w:p w14:paraId="50D69BD8" w14:textId="3A4161C6"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1 788 473</w:t>
            </w:r>
          </w:p>
        </w:tc>
        <w:tc>
          <w:tcPr>
            <w:tcW w:w="1047" w:type="dxa"/>
            <w:tcBorders>
              <w:top w:val="single" w:sz="4" w:space="0" w:color="17365D"/>
              <w:left w:val="nil"/>
              <w:bottom w:val="single" w:sz="4" w:space="0" w:color="17365D"/>
              <w:right w:val="nil"/>
            </w:tcBorders>
            <w:shd w:val="clear" w:color="auto" w:fill="auto"/>
          </w:tcPr>
          <w:p w14:paraId="542593E5" w14:textId="297DDA8D"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17 067 898</w:t>
            </w:r>
          </w:p>
        </w:tc>
        <w:tc>
          <w:tcPr>
            <w:tcW w:w="1047" w:type="dxa"/>
            <w:tcBorders>
              <w:top w:val="single" w:sz="4" w:space="0" w:color="17365D"/>
              <w:left w:val="nil"/>
              <w:bottom w:val="single" w:sz="4" w:space="0" w:color="17365D"/>
              <w:right w:val="nil"/>
            </w:tcBorders>
            <w:shd w:val="clear" w:color="auto" w:fill="auto"/>
          </w:tcPr>
          <w:p w14:paraId="40A79DA5" w14:textId="23D92298"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-600 373</w:t>
            </w:r>
          </w:p>
        </w:tc>
        <w:tc>
          <w:tcPr>
            <w:tcW w:w="1046" w:type="dxa"/>
            <w:tcBorders>
              <w:top w:val="single" w:sz="4" w:space="0" w:color="17365D"/>
              <w:left w:val="nil"/>
              <w:bottom w:val="single" w:sz="4" w:space="0" w:color="17365D"/>
              <w:right w:val="nil"/>
            </w:tcBorders>
            <w:shd w:val="clear" w:color="auto" w:fill="auto"/>
          </w:tcPr>
          <w:p w14:paraId="79579A88" w14:textId="0CE4C087"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-2 388 846</w:t>
            </w:r>
          </w:p>
        </w:tc>
        <w:tc>
          <w:tcPr>
            <w:tcW w:w="1086" w:type="dxa"/>
            <w:tcBorders>
              <w:top w:val="single" w:sz="4" w:space="0" w:color="17365D"/>
              <w:left w:val="nil"/>
              <w:bottom w:val="single" w:sz="4" w:space="0" w:color="17365D"/>
              <w:right w:val="nil"/>
            </w:tcBorders>
            <w:shd w:val="clear" w:color="auto" w:fill="auto"/>
          </w:tcPr>
          <w:p w14:paraId="30D03A36" w14:textId="1D8ED5EB"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14 714 396</w:t>
            </w:r>
          </w:p>
        </w:tc>
      </w:tr>
      <w:tr w:rsidR="00B36A61" w:rsidRPr="00B36A61" w14:paraId="3BB15DCC" w14:textId="77777777" w:rsidTr="008905A6">
        <w:trPr>
          <w:trHeight w:val="284"/>
        </w:trPr>
        <w:tc>
          <w:tcPr>
            <w:tcW w:w="643" w:type="dxa"/>
            <w:tcBorders>
              <w:top w:val="single" w:sz="4" w:space="0" w:color="17365D"/>
              <w:bottom w:val="single" w:sz="4" w:space="0" w:color="17365D"/>
            </w:tcBorders>
            <w:shd w:val="clear" w:color="auto" w:fill="auto"/>
            <w:vAlign w:val="center"/>
          </w:tcPr>
          <w:p w14:paraId="3E446C85" w14:textId="17803BF3" w:rsidR="009F7990" w:rsidRPr="00B36A61" w:rsidRDefault="009F7990" w:rsidP="009F7990">
            <w:pPr>
              <w:pStyle w:val="Pamatteksts"/>
              <w:spacing w:before="40" w:after="40"/>
              <w:ind w:firstLine="0"/>
              <w:jc w:val="left"/>
              <w:rPr>
                <w:color w:val="17365D"/>
                <w:sz w:val="16"/>
                <w:szCs w:val="16"/>
              </w:rPr>
            </w:pPr>
            <w:r w:rsidRPr="00B36A61">
              <w:rPr>
                <w:color w:val="17365D"/>
                <w:sz w:val="16"/>
                <w:szCs w:val="16"/>
              </w:rPr>
              <w:t>1.1.</w:t>
            </w:r>
          </w:p>
        </w:tc>
        <w:tc>
          <w:tcPr>
            <w:tcW w:w="1609" w:type="dxa"/>
            <w:tcBorders>
              <w:top w:val="single" w:sz="4" w:space="0" w:color="17365D"/>
              <w:bottom w:val="single" w:sz="4" w:space="0" w:color="17365D"/>
            </w:tcBorders>
            <w:shd w:val="clear" w:color="auto" w:fill="auto"/>
            <w:vAlign w:val="center"/>
          </w:tcPr>
          <w:p w14:paraId="6203FCA9" w14:textId="438C0770" w:rsidR="009F7990" w:rsidRPr="00B36A61" w:rsidRDefault="009F7990" w:rsidP="009F7990">
            <w:pPr>
              <w:pStyle w:val="Pamatteksts"/>
              <w:spacing w:before="40" w:after="40"/>
              <w:ind w:firstLine="0"/>
              <w:jc w:val="left"/>
              <w:rPr>
                <w:bCs/>
                <w:color w:val="17365D"/>
                <w:sz w:val="16"/>
                <w:szCs w:val="16"/>
              </w:rPr>
            </w:pPr>
            <w:r w:rsidRPr="00B36A61">
              <w:rPr>
                <w:color w:val="17365D"/>
                <w:sz w:val="16"/>
                <w:szCs w:val="16"/>
              </w:rPr>
              <w:t>Kārtējie izdevumi</w:t>
            </w:r>
          </w:p>
        </w:tc>
        <w:tc>
          <w:tcPr>
            <w:tcW w:w="960" w:type="dxa"/>
            <w:tcBorders>
              <w:top w:val="single" w:sz="4" w:space="0" w:color="17365D"/>
              <w:left w:val="nil"/>
              <w:bottom w:val="single" w:sz="4" w:space="0" w:color="17365D"/>
              <w:right w:val="nil"/>
            </w:tcBorders>
            <w:shd w:val="clear" w:color="auto" w:fill="auto"/>
          </w:tcPr>
          <w:p w14:paraId="4E00D123" w14:textId="2DB73E7C"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16 222 341</w:t>
            </w:r>
          </w:p>
        </w:tc>
        <w:tc>
          <w:tcPr>
            <w:tcW w:w="960" w:type="dxa"/>
            <w:tcBorders>
              <w:top w:val="single" w:sz="4" w:space="0" w:color="17365D"/>
              <w:left w:val="nil"/>
              <w:bottom w:val="single" w:sz="4" w:space="0" w:color="17365D"/>
              <w:right w:val="nil"/>
            </w:tcBorders>
            <w:shd w:val="clear" w:color="auto" w:fill="auto"/>
          </w:tcPr>
          <w:p w14:paraId="1063FB38" w14:textId="0ED002EF"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16 792 184</w:t>
            </w:r>
          </w:p>
        </w:tc>
        <w:tc>
          <w:tcPr>
            <w:tcW w:w="962" w:type="dxa"/>
            <w:tcBorders>
              <w:top w:val="single" w:sz="4" w:space="0" w:color="17365D"/>
              <w:left w:val="nil"/>
              <w:bottom w:val="single" w:sz="4" w:space="0" w:color="17365D"/>
              <w:right w:val="nil"/>
            </w:tcBorders>
            <w:shd w:val="clear" w:color="auto" w:fill="auto"/>
          </w:tcPr>
          <w:p w14:paraId="66A93C1A" w14:textId="61CB0E3E"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569 843</w:t>
            </w:r>
          </w:p>
        </w:tc>
        <w:tc>
          <w:tcPr>
            <w:tcW w:w="1047" w:type="dxa"/>
            <w:tcBorders>
              <w:top w:val="single" w:sz="4" w:space="0" w:color="17365D"/>
              <w:left w:val="nil"/>
              <w:bottom w:val="single" w:sz="4" w:space="0" w:color="17365D"/>
              <w:right w:val="nil"/>
            </w:tcBorders>
            <w:shd w:val="clear" w:color="auto" w:fill="auto"/>
          </w:tcPr>
          <w:p w14:paraId="0573AA75" w14:textId="64499984"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14 413 794</w:t>
            </w:r>
          </w:p>
        </w:tc>
        <w:tc>
          <w:tcPr>
            <w:tcW w:w="1047" w:type="dxa"/>
            <w:tcBorders>
              <w:top w:val="single" w:sz="4" w:space="0" w:color="17365D"/>
              <w:left w:val="nil"/>
              <w:bottom w:val="single" w:sz="4" w:space="0" w:color="17365D"/>
              <w:right w:val="nil"/>
            </w:tcBorders>
            <w:shd w:val="clear" w:color="auto" w:fill="auto"/>
          </w:tcPr>
          <w:p w14:paraId="415F0B64" w14:textId="0DA06242"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-1 808 547</w:t>
            </w:r>
          </w:p>
        </w:tc>
        <w:tc>
          <w:tcPr>
            <w:tcW w:w="1046" w:type="dxa"/>
            <w:tcBorders>
              <w:top w:val="single" w:sz="4" w:space="0" w:color="17365D"/>
              <w:left w:val="nil"/>
              <w:bottom w:val="single" w:sz="4" w:space="0" w:color="17365D"/>
              <w:right w:val="nil"/>
            </w:tcBorders>
            <w:shd w:val="clear" w:color="auto" w:fill="auto"/>
          </w:tcPr>
          <w:p w14:paraId="7644E0B4" w14:textId="08EF5F31"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-2 378 390</w:t>
            </w:r>
          </w:p>
        </w:tc>
        <w:tc>
          <w:tcPr>
            <w:tcW w:w="1086" w:type="dxa"/>
            <w:tcBorders>
              <w:top w:val="single" w:sz="4" w:space="0" w:color="17365D"/>
              <w:left w:val="nil"/>
              <w:bottom w:val="single" w:sz="4" w:space="0" w:color="17365D"/>
              <w:right w:val="nil"/>
            </w:tcBorders>
            <w:shd w:val="clear" w:color="auto" w:fill="auto"/>
          </w:tcPr>
          <w:p w14:paraId="4B6D5060" w14:textId="096C4797"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13 235 833</w:t>
            </w:r>
          </w:p>
        </w:tc>
      </w:tr>
      <w:tr w:rsidR="00B36A61" w:rsidRPr="00B36A61" w14:paraId="60371A78" w14:textId="77777777" w:rsidTr="008905A6">
        <w:trPr>
          <w:trHeight w:val="284"/>
        </w:trPr>
        <w:tc>
          <w:tcPr>
            <w:tcW w:w="643" w:type="dxa"/>
            <w:tcBorders>
              <w:top w:val="single" w:sz="4" w:space="0" w:color="17365D"/>
              <w:bottom w:val="single" w:sz="4" w:space="0" w:color="17365D"/>
            </w:tcBorders>
            <w:shd w:val="clear" w:color="auto" w:fill="auto"/>
            <w:vAlign w:val="center"/>
          </w:tcPr>
          <w:p w14:paraId="0577386D" w14:textId="2D88A3C2"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1000</w:t>
            </w:r>
          </w:p>
        </w:tc>
        <w:tc>
          <w:tcPr>
            <w:tcW w:w="1609" w:type="dxa"/>
            <w:tcBorders>
              <w:top w:val="single" w:sz="4" w:space="0" w:color="17365D"/>
              <w:bottom w:val="single" w:sz="4" w:space="0" w:color="17365D"/>
            </w:tcBorders>
            <w:shd w:val="clear" w:color="auto" w:fill="auto"/>
            <w:vAlign w:val="center"/>
          </w:tcPr>
          <w:p w14:paraId="49BC7275" w14:textId="6E062488"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Atlīdzība</w:t>
            </w:r>
          </w:p>
        </w:tc>
        <w:tc>
          <w:tcPr>
            <w:tcW w:w="960" w:type="dxa"/>
            <w:tcBorders>
              <w:top w:val="single" w:sz="4" w:space="0" w:color="17365D"/>
              <w:left w:val="nil"/>
              <w:bottom w:val="single" w:sz="4" w:space="0" w:color="17365D"/>
              <w:right w:val="nil"/>
            </w:tcBorders>
            <w:shd w:val="clear" w:color="auto" w:fill="auto"/>
          </w:tcPr>
          <w:p w14:paraId="5D7FC992" w14:textId="7264095E"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11 702 904</w:t>
            </w:r>
          </w:p>
        </w:tc>
        <w:tc>
          <w:tcPr>
            <w:tcW w:w="960" w:type="dxa"/>
            <w:tcBorders>
              <w:top w:val="single" w:sz="4" w:space="0" w:color="17365D"/>
              <w:left w:val="nil"/>
              <w:bottom w:val="single" w:sz="4" w:space="0" w:color="17365D"/>
              <w:right w:val="nil"/>
            </w:tcBorders>
            <w:shd w:val="clear" w:color="auto" w:fill="auto"/>
          </w:tcPr>
          <w:p w14:paraId="0A64C26E" w14:textId="5C7C30D2"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12 118 234</w:t>
            </w:r>
          </w:p>
        </w:tc>
        <w:tc>
          <w:tcPr>
            <w:tcW w:w="962" w:type="dxa"/>
            <w:tcBorders>
              <w:top w:val="single" w:sz="4" w:space="0" w:color="17365D"/>
              <w:left w:val="nil"/>
              <w:bottom w:val="single" w:sz="4" w:space="0" w:color="17365D"/>
              <w:right w:val="nil"/>
            </w:tcBorders>
            <w:shd w:val="clear" w:color="auto" w:fill="auto"/>
          </w:tcPr>
          <w:p w14:paraId="5683A803" w14:textId="2E8DCF08"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415 330</w:t>
            </w:r>
          </w:p>
        </w:tc>
        <w:tc>
          <w:tcPr>
            <w:tcW w:w="1047" w:type="dxa"/>
            <w:tcBorders>
              <w:top w:val="single" w:sz="4" w:space="0" w:color="17365D"/>
              <w:left w:val="nil"/>
              <w:bottom w:val="single" w:sz="4" w:space="0" w:color="17365D"/>
              <w:right w:val="nil"/>
            </w:tcBorders>
            <w:shd w:val="clear" w:color="auto" w:fill="auto"/>
          </w:tcPr>
          <w:p w14:paraId="13D161D2" w14:textId="324AF5AF"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11 008 490</w:t>
            </w:r>
          </w:p>
        </w:tc>
        <w:tc>
          <w:tcPr>
            <w:tcW w:w="1047" w:type="dxa"/>
            <w:tcBorders>
              <w:top w:val="single" w:sz="4" w:space="0" w:color="17365D"/>
              <w:left w:val="nil"/>
              <w:bottom w:val="single" w:sz="4" w:space="0" w:color="17365D"/>
              <w:right w:val="nil"/>
            </w:tcBorders>
            <w:shd w:val="clear" w:color="auto" w:fill="auto"/>
          </w:tcPr>
          <w:p w14:paraId="62A269E3" w14:textId="63633D9C"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-694 414</w:t>
            </w:r>
          </w:p>
        </w:tc>
        <w:tc>
          <w:tcPr>
            <w:tcW w:w="1046" w:type="dxa"/>
            <w:tcBorders>
              <w:top w:val="single" w:sz="4" w:space="0" w:color="17365D"/>
              <w:left w:val="nil"/>
              <w:bottom w:val="single" w:sz="4" w:space="0" w:color="17365D"/>
              <w:right w:val="nil"/>
            </w:tcBorders>
            <w:shd w:val="clear" w:color="auto" w:fill="auto"/>
          </w:tcPr>
          <w:p w14:paraId="0BC516F0" w14:textId="2AB9549F"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-1 109 744</w:t>
            </w:r>
          </w:p>
        </w:tc>
        <w:tc>
          <w:tcPr>
            <w:tcW w:w="1086" w:type="dxa"/>
            <w:tcBorders>
              <w:top w:val="single" w:sz="4" w:space="0" w:color="17365D"/>
              <w:left w:val="nil"/>
              <w:bottom w:val="single" w:sz="4" w:space="0" w:color="17365D"/>
              <w:right w:val="nil"/>
            </w:tcBorders>
            <w:shd w:val="clear" w:color="auto" w:fill="auto"/>
          </w:tcPr>
          <w:p w14:paraId="230DB720" w14:textId="6F89E235"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10 206 020</w:t>
            </w:r>
          </w:p>
        </w:tc>
      </w:tr>
      <w:tr w:rsidR="00B36A61" w:rsidRPr="00B36A61" w14:paraId="5DC20B77" w14:textId="77777777" w:rsidTr="008905A6">
        <w:trPr>
          <w:trHeight w:val="284"/>
        </w:trPr>
        <w:tc>
          <w:tcPr>
            <w:tcW w:w="643" w:type="dxa"/>
            <w:tcBorders>
              <w:top w:val="single" w:sz="4" w:space="0" w:color="17365D"/>
              <w:bottom w:val="single" w:sz="4" w:space="0" w:color="17365D"/>
            </w:tcBorders>
            <w:shd w:val="clear" w:color="auto" w:fill="auto"/>
            <w:vAlign w:val="center"/>
          </w:tcPr>
          <w:p w14:paraId="1E934EC2" w14:textId="6DFF1214"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2000</w:t>
            </w:r>
          </w:p>
        </w:tc>
        <w:tc>
          <w:tcPr>
            <w:tcW w:w="1609" w:type="dxa"/>
            <w:tcBorders>
              <w:top w:val="single" w:sz="4" w:space="0" w:color="17365D"/>
              <w:bottom w:val="single" w:sz="4" w:space="0" w:color="17365D"/>
            </w:tcBorders>
            <w:shd w:val="clear" w:color="auto" w:fill="auto"/>
            <w:vAlign w:val="center"/>
          </w:tcPr>
          <w:p w14:paraId="144137E7" w14:textId="7CB4753B"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Preces un pakalpojumi</w:t>
            </w:r>
          </w:p>
        </w:tc>
        <w:tc>
          <w:tcPr>
            <w:tcW w:w="960" w:type="dxa"/>
            <w:tcBorders>
              <w:top w:val="single" w:sz="4" w:space="0" w:color="17365D"/>
              <w:left w:val="nil"/>
              <w:bottom w:val="single" w:sz="4" w:space="0" w:color="17365D"/>
              <w:right w:val="nil"/>
            </w:tcBorders>
            <w:shd w:val="clear" w:color="auto" w:fill="auto"/>
          </w:tcPr>
          <w:p w14:paraId="250A6113" w14:textId="07D93912"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4 519 437</w:t>
            </w:r>
          </w:p>
        </w:tc>
        <w:tc>
          <w:tcPr>
            <w:tcW w:w="960" w:type="dxa"/>
            <w:tcBorders>
              <w:top w:val="single" w:sz="4" w:space="0" w:color="17365D"/>
              <w:left w:val="nil"/>
              <w:bottom w:val="single" w:sz="4" w:space="0" w:color="17365D"/>
              <w:right w:val="nil"/>
            </w:tcBorders>
            <w:shd w:val="clear" w:color="auto" w:fill="auto"/>
          </w:tcPr>
          <w:p w14:paraId="1A3AECAC" w14:textId="461934E5"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4 673 950</w:t>
            </w:r>
          </w:p>
        </w:tc>
        <w:tc>
          <w:tcPr>
            <w:tcW w:w="962" w:type="dxa"/>
            <w:tcBorders>
              <w:top w:val="single" w:sz="4" w:space="0" w:color="17365D"/>
              <w:left w:val="nil"/>
              <w:bottom w:val="single" w:sz="4" w:space="0" w:color="17365D"/>
              <w:right w:val="nil"/>
            </w:tcBorders>
            <w:shd w:val="clear" w:color="auto" w:fill="auto"/>
          </w:tcPr>
          <w:p w14:paraId="619642FF" w14:textId="6E0B08B4"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154 513</w:t>
            </w:r>
          </w:p>
        </w:tc>
        <w:tc>
          <w:tcPr>
            <w:tcW w:w="1047" w:type="dxa"/>
            <w:tcBorders>
              <w:top w:val="single" w:sz="4" w:space="0" w:color="17365D"/>
              <w:left w:val="nil"/>
              <w:bottom w:val="single" w:sz="4" w:space="0" w:color="17365D"/>
              <w:right w:val="nil"/>
            </w:tcBorders>
            <w:shd w:val="clear" w:color="auto" w:fill="auto"/>
          </w:tcPr>
          <w:p w14:paraId="5C951989" w14:textId="6916CE13"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3 405 304</w:t>
            </w:r>
          </w:p>
        </w:tc>
        <w:tc>
          <w:tcPr>
            <w:tcW w:w="1047" w:type="dxa"/>
            <w:tcBorders>
              <w:top w:val="single" w:sz="4" w:space="0" w:color="17365D"/>
              <w:left w:val="nil"/>
              <w:bottom w:val="single" w:sz="4" w:space="0" w:color="17365D"/>
              <w:right w:val="nil"/>
            </w:tcBorders>
            <w:shd w:val="clear" w:color="auto" w:fill="auto"/>
          </w:tcPr>
          <w:p w14:paraId="5F0181FF" w14:textId="4FB6CDA7"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-1 114 133</w:t>
            </w:r>
          </w:p>
        </w:tc>
        <w:tc>
          <w:tcPr>
            <w:tcW w:w="1046" w:type="dxa"/>
            <w:tcBorders>
              <w:top w:val="single" w:sz="4" w:space="0" w:color="17365D"/>
              <w:left w:val="nil"/>
              <w:bottom w:val="single" w:sz="4" w:space="0" w:color="17365D"/>
              <w:right w:val="nil"/>
            </w:tcBorders>
            <w:shd w:val="clear" w:color="auto" w:fill="auto"/>
          </w:tcPr>
          <w:p w14:paraId="57E4FCAF" w14:textId="14DA8F39"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-1 268 646</w:t>
            </w:r>
          </w:p>
        </w:tc>
        <w:tc>
          <w:tcPr>
            <w:tcW w:w="1086" w:type="dxa"/>
            <w:tcBorders>
              <w:top w:val="single" w:sz="4" w:space="0" w:color="17365D"/>
              <w:left w:val="nil"/>
              <w:bottom w:val="single" w:sz="4" w:space="0" w:color="17365D"/>
              <w:right w:val="nil"/>
            </w:tcBorders>
            <w:shd w:val="clear" w:color="auto" w:fill="auto"/>
          </w:tcPr>
          <w:p w14:paraId="06BEB8BE" w14:textId="057A4642"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3 029 813</w:t>
            </w:r>
          </w:p>
        </w:tc>
      </w:tr>
      <w:tr w:rsidR="00B36A61" w:rsidRPr="00B36A61" w14:paraId="734EA178" w14:textId="77777777" w:rsidTr="008905A6">
        <w:trPr>
          <w:trHeight w:val="284"/>
        </w:trPr>
        <w:tc>
          <w:tcPr>
            <w:tcW w:w="643" w:type="dxa"/>
            <w:tcBorders>
              <w:top w:val="single" w:sz="4" w:space="0" w:color="17365D"/>
              <w:bottom w:val="single" w:sz="4" w:space="0" w:color="17365D"/>
            </w:tcBorders>
            <w:shd w:val="clear" w:color="auto" w:fill="auto"/>
            <w:vAlign w:val="center"/>
          </w:tcPr>
          <w:p w14:paraId="3B9325B4" w14:textId="7E26F3AD"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1.3.</w:t>
            </w:r>
          </w:p>
        </w:tc>
        <w:tc>
          <w:tcPr>
            <w:tcW w:w="1609" w:type="dxa"/>
            <w:tcBorders>
              <w:top w:val="single" w:sz="4" w:space="0" w:color="17365D"/>
              <w:bottom w:val="single" w:sz="4" w:space="0" w:color="17365D"/>
            </w:tcBorders>
            <w:shd w:val="clear" w:color="auto" w:fill="auto"/>
            <w:vAlign w:val="center"/>
          </w:tcPr>
          <w:p w14:paraId="7B25BE08" w14:textId="77777777" w:rsidR="008905A6" w:rsidRPr="00B36A61" w:rsidRDefault="008905A6" w:rsidP="008905A6">
            <w:pPr>
              <w:pStyle w:val="Pamatteksts"/>
              <w:spacing w:before="40" w:after="40"/>
              <w:ind w:firstLine="0"/>
              <w:jc w:val="left"/>
              <w:rPr>
                <w:rFonts w:eastAsia="Calibri"/>
                <w:noProof w:val="0"/>
                <w:color w:val="17365D"/>
                <w:sz w:val="16"/>
                <w:szCs w:val="16"/>
              </w:rPr>
            </w:pPr>
            <w:r w:rsidRPr="00B36A61">
              <w:rPr>
                <w:rFonts w:eastAsia="Calibri"/>
                <w:noProof w:val="0"/>
                <w:color w:val="17365D"/>
                <w:sz w:val="16"/>
                <w:szCs w:val="16"/>
              </w:rPr>
              <w:t>Subsīdijas, dotācijas un sociālie pabalsti</w:t>
            </w:r>
          </w:p>
          <w:p w14:paraId="171A3865" w14:textId="77777777" w:rsidR="008905A6" w:rsidRPr="00B36A61" w:rsidRDefault="008905A6" w:rsidP="008905A6">
            <w:pPr>
              <w:pStyle w:val="Pamatteksts"/>
              <w:spacing w:before="40" w:after="40"/>
              <w:ind w:firstLine="0"/>
              <w:jc w:val="left"/>
              <w:rPr>
                <w:color w:val="17365D"/>
                <w:sz w:val="16"/>
                <w:szCs w:val="16"/>
              </w:rPr>
            </w:pPr>
          </w:p>
        </w:tc>
        <w:tc>
          <w:tcPr>
            <w:tcW w:w="960" w:type="dxa"/>
            <w:tcBorders>
              <w:top w:val="single" w:sz="4" w:space="0" w:color="17365D"/>
              <w:left w:val="nil"/>
              <w:bottom w:val="single" w:sz="4" w:space="0" w:color="17365D"/>
              <w:right w:val="nil"/>
            </w:tcBorders>
            <w:shd w:val="clear" w:color="auto" w:fill="auto"/>
          </w:tcPr>
          <w:p w14:paraId="63F23189" w14:textId="5EC005E8"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0</w:t>
            </w:r>
          </w:p>
        </w:tc>
        <w:tc>
          <w:tcPr>
            <w:tcW w:w="960" w:type="dxa"/>
            <w:tcBorders>
              <w:top w:val="single" w:sz="4" w:space="0" w:color="17365D"/>
              <w:left w:val="nil"/>
              <w:bottom w:val="single" w:sz="4" w:space="0" w:color="17365D"/>
              <w:right w:val="nil"/>
            </w:tcBorders>
            <w:shd w:val="clear" w:color="auto" w:fill="auto"/>
          </w:tcPr>
          <w:p w14:paraId="5D635379" w14:textId="07AF6D8D"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299 580</w:t>
            </w:r>
          </w:p>
        </w:tc>
        <w:tc>
          <w:tcPr>
            <w:tcW w:w="962" w:type="dxa"/>
            <w:tcBorders>
              <w:top w:val="single" w:sz="4" w:space="0" w:color="17365D"/>
              <w:left w:val="nil"/>
              <w:bottom w:val="single" w:sz="4" w:space="0" w:color="17365D"/>
              <w:right w:val="nil"/>
            </w:tcBorders>
            <w:shd w:val="clear" w:color="auto" w:fill="auto"/>
          </w:tcPr>
          <w:p w14:paraId="468628B7" w14:textId="700A6CA6"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299 580</w:t>
            </w:r>
          </w:p>
        </w:tc>
        <w:tc>
          <w:tcPr>
            <w:tcW w:w="1047" w:type="dxa"/>
            <w:tcBorders>
              <w:top w:val="single" w:sz="4" w:space="0" w:color="17365D"/>
              <w:left w:val="nil"/>
              <w:bottom w:val="single" w:sz="4" w:space="0" w:color="17365D"/>
              <w:right w:val="nil"/>
            </w:tcBorders>
            <w:shd w:val="clear" w:color="auto" w:fill="auto"/>
          </w:tcPr>
          <w:p w14:paraId="23D4D391" w14:textId="5AF6FF82"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300 957</w:t>
            </w:r>
          </w:p>
        </w:tc>
        <w:tc>
          <w:tcPr>
            <w:tcW w:w="1047" w:type="dxa"/>
            <w:tcBorders>
              <w:top w:val="single" w:sz="4" w:space="0" w:color="17365D"/>
              <w:left w:val="nil"/>
              <w:bottom w:val="single" w:sz="4" w:space="0" w:color="17365D"/>
              <w:right w:val="nil"/>
            </w:tcBorders>
            <w:shd w:val="clear" w:color="auto" w:fill="auto"/>
          </w:tcPr>
          <w:p w14:paraId="36C52869" w14:textId="50B50AF2"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0</w:t>
            </w:r>
          </w:p>
        </w:tc>
        <w:tc>
          <w:tcPr>
            <w:tcW w:w="1046" w:type="dxa"/>
            <w:tcBorders>
              <w:top w:val="single" w:sz="4" w:space="0" w:color="17365D"/>
              <w:left w:val="nil"/>
              <w:bottom w:val="single" w:sz="4" w:space="0" w:color="17365D"/>
              <w:right w:val="nil"/>
            </w:tcBorders>
            <w:shd w:val="clear" w:color="auto" w:fill="auto"/>
          </w:tcPr>
          <w:p w14:paraId="44AC099A" w14:textId="4C71D542"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1 287</w:t>
            </w:r>
          </w:p>
        </w:tc>
        <w:tc>
          <w:tcPr>
            <w:tcW w:w="1086" w:type="dxa"/>
            <w:tcBorders>
              <w:top w:val="single" w:sz="4" w:space="0" w:color="17365D"/>
              <w:left w:val="nil"/>
              <w:bottom w:val="single" w:sz="4" w:space="0" w:color="17365D"/>
              <w:right w:val="nil"/>
            </w:tcBorders>
            <w:shd w:val="clear" w:color="auto" w:fill="auto"/>
          </w:tcPr>
          <w:p w14:paraId="16F94166" w14:textId="460F1BAB"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0</w:t>
            </w:r>
          </w:p>
        </w:tc>
      </w:tr>
      <w:tr w:rsidR="00B36A61" w:rsidRPr="00B36A61" w14:paraId="0881A5A2" w14:textId="77777777" w:rsidTr="008905A6">
        <w:trPr>
          <w:trHeight w:val="284"/>
        </w:trPr>
        <w:tc>
          <w:tcPr>
            <w:tcW w:w="643" w:type="dxa"/>
            <w:tcBorders>
              <w:top w:val="single" w:sz="4" w:space="0" w:color="17365D"/>
              <w:bottom w:val="single" w:sz="4" w:space="0" w:color="17365D"/>
            </w:tcBorders>
            <w:shd w:val="clear" w:color="auto" w:fill="auto"/>
            <w:vAlign w:val="center"/>
          </w:tcPr>
          <w:p w14:paraId="4B4A6EF0" w14:textId="40F3259F"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7000</w:t>
            </w:r>
          </w:p>
        </w:tc>
        <w:tc>
          <w:tcPr>
            <w:tcW w:w="1609" w:type="dxa"/>
            <w:tcBorders>
              <w:top w:val="single" w:sz="4" w:space="0" w:color="17365D"/>
              <w:bottom w:val="single" w:sz="4" w:space="0" w:color="17365D"/>
            </w:tcBorders>
            <w:shd w:val="clear" w:color="auto" w:fill="auto"/>
            <w:vAlign w:val="center"/>
          </w:tcPr>
          <w:p w14:paraId="018EBD71" w14:textId="62C4438B"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 xml:space="preserve">Transferti, uzturēšanas izdevumu transferti, pašu resursu maksājumi, starptautiskā sadarbība </w:t>
            </w:r>
          </w:p>
        </w:tc>
        <w:tc>
          <w:tcPr>
            <w:tcW w:w="960" w:type="dxa"/>
            <w:tcBorders>
              <w:top w:val="single" w:sz="4" w:space="0" w:color="17365D"/>
              <w:left w:val="nil"/>
              <w:bottom w:val="single" w:sz="4" w:space="0" w:color="17365D"/>
              <w:right w:val="nil"/>
            </w:tcBorders>
            <w:shd w:val="clear" w:color="auto" w:fill="auto"/>
          </w:tcPr>
          <w:p w14:paraId="5C0639C4" w14:textId="03A7AD05"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1 445 930</w:t>
            </w:r>
          </w:p>
        </w:tc>
        <w:tc>
          <w:tcPr>
            <w:tcW w:w="960" w:type="dxa"/>
            <w:tcBorders>
              <w:top w:val="single" w:sz="4" w:space="0" w:color="17365D"/>
              <w:left w:val="nil"/>
              <w:bottom w:val="single" w:sz="4" w:space="0" w:color="17365D"/>
              <w:right w:val="nil"/>
            </w:tcBorders>
            <w:shd w:val="clear" w:color="auto" w:fill="auto"/>
          </w:tcPr>
          <w:p w14:paraId="75E30A5D" w14:textId="2C60D46B"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2 364 980</w:t>
            </w:r>
          </w:p>
        </w:tc>
        <w:tc>
          <w:tcPr>
            <w:tcW w:w="962" w:type="dxa"/>
            <w:tcBorders>
              <w:top w:val="single" w:sz="4" w:space="0" w:color="17365D"/>
              <w:left w:val="nil"/>
              <w:bottom w:val="single" w:sz="4" w:space="0" w:color="17365D"/>
              <w:right w:val="nil"/>
            </w:tcBorders>
            <w:shd w:val="clear" w:color="auto" w:fill="auto"/>
          </w:tcPr>
          <w:p w14:paraId="22118840" w14:textId="3AB1D459"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919 050</w:t>
            </w:r>
          </w:p>
        </w:tc>
        <w:tc>
          <w:tcPr>
            <w:tcW w:w="1047" w:type="dxa"/>
            <w:tcBorders>
              <w:top w:val="single" w:sz="4" w:space="0" w:color="17365D"/>
              <w:left w:val="nil"/>
              <w:bottom w:val="single" w:sz="4" w:space="0" w:color="17365D"/>
              <w:right w:val="nil"/>
            </w:tcBorders>
            <w:shd w:val="clear" w:color="auto" w:fill="auto"/>
          </w:tcPr>
          <w:p w14:paraId="15A4B979" w14:textId="5FE62428"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2 353 147</w:t>
            </w:r>
          </w:p>
        </w:tc>
        <w:tc>
          <w:tcPr>
            <w:tcW w:w="1047" w:type="dxa"/>
            <w:tcBorders>
              <w:top w:val="single" w:sz="4" w:space="0" w:color="17365D"/>
              <w:left w:val="nil"/>
              <w:bottom w:val="single" w:sz="4" w:space="0" w:color="17365D"/>
              <w:right w:val="nil"/>
            </w:tcBorders>
            <w:shd w:val="clear" w:color="auto" w:fill="auto"/>
          </w:tcPr>
          <w:p w14:paraId="6B6C0F9A" w14:textId="51321D2D"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186 706</w:t>
            </w:r>
          </w:p>
        </w:tc>
        <w:tc>
          <w:tcPr>
            <w:tcW w:w="1046" w:type="dxa"/>
            <w:tcBorders>
              <w:top w:val="single" w:sz="4" w:space="0" w:color="17365D"/>
              <w:left w:val="nil"/>
              <w:bottom w:val="single" w:sz="4" w:space="0" w:color="17365D"/>
              <w:right w:val="nil"/>
            </w:tcBorders>
            <w:shd w:val="clear" w:color="auto" w:fill="auto"/>
          </w:tcPr>
          <w:p w14:paraId="2B9F6D13" w14:textId="3FFF1805"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-11 833</w:t>
            </w:r>
          </w:p>
        </w:tc>
        <w:tc>
          <w:tcPr>
            <w:tcW w:w="1086" w:type="dxa"/>
            <w:tcBorders>
              <w:top w:val="single" w:sz="4" w:space="0" w:color="17365D"/>
              <w:left w:val="nil"/>
              <w:bottom w:val="single" w:sz="4" w:space="0" w:color="17365D"/>
              <w:right w:val="nil"/>
            </w:tcBorders>
            <w:shd w:val="clear" w:color="auto" w:fill="auto"/>
          </w:tcPr>
          <w:p w14:paraId="1E283B8F" w14:textId="6E028065"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1 478 563</w:t>
            </w:r>
          </w:p>
        </w:tc>
      </w:tr>
      <w:tr w:rsidR="00B36A61" w:rsidRPr="00B36A61" w14:paraId="0FEB0771" w14:textId="77777777" w:rsidTr="008905A6">
        <w:trPr>
          <w:trHeight w:val="284"/>
        </w:trPr>
        <w:tc>
          <w:tcPr>
            <w:tcW w:w="643" w:type="dxa"/>
            <w:tcBorders>
              <w:top w:val="single" w:sz="4" w:space="0" w:color="17365D"/>
              <w:bottom w:val="single" w:sz="4" w:space="0" w:color="17365D"/>
            </w:tcBorders>
            <w:shd w:val="clear" w:color="auto" w:fill="auto"/>
            <w:vAlign w:val="center"/>
          </w:tcPr>
          <w:p w14:paraId="6B88B8D8" w14:textId="4AF71BE7"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1.4.</w:t>
            </w:r>
          </w:p>
        </w:tc>
        <w:tc>
          <w:tcPr>
            <w:tcW w:w="1609" w:type="dxa"/>
            <w:tcBorders>
              <w:top w:val="single" w:sz="4" w:space="0" w:color="17365D"/>
              <w:bottom w:val="single" w:sz="4" w:space="0" w:color="17365D"/>
            </w:tcBorders>
            <w:shd w:val="clear" w:color="auto" w:fill="auto"/>
            <w:vAlign w:val="center"/>
          </w:tcPr>
          <w:p w14:paraId="77282EE0" w14:textId="1E602974"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Kārtējie maksājumi Eiropas Savienības budžetā un starptautiskā sadarbība</w:t>
            </w:r>
          </w:p>
        </w:tc>
        <w:tc>
          <w:tcPr>
            <w:tcW w:w="960" w:type="dxa"/>
            <w:tcBorders>
              <w:top w:val="single" w:sz="4" w:space="0" w:color="17365D"/>
              <w:left w:val="nil"/>
              <w:bottom w:val="single" w:sz="4" w:space="0" w:color="17365D"/>
              <w:right w:val="nil"/>
            </w:tcBorders>
            <w:shd w:val="clear" w:color="auto" w:fill="auto"/>
          </w:tcPr>
          <w:p w14:paraId="5B9B43AE" w14:textId="552CF383"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1 195 930</w:t>
            </w:r>
          </w:p>
        </w:tc>
        <w:tc>
          <w:tcPr>
            <w:tcW w:w="960" w:type="dxa"/>
            <w:tcBorders>
              <w:top w:val="single" w:sz="4" w:space="0" w:color="17365D"/>
              <w:left w:val="nil"/>
              <w:bottom w:val="single" w:sz="4" w:space="0" w:color="17365D"/>
              <w:right w:val="nil"/>
            </w:tcBorders>
            <w:shd w:val="clear" w:color="auto" w:fill="auto"/>
          </w:tcPr>
          <w:p w14:paraId="6E80513C" w14:textId="27C36645"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1 394 469</w:t>
            </w:r>
          </w:p>
        </w:tc>
        <w:tc>
          <w:tcPr>
            <w:tcW w:w="962" w:type="dxa"/>
            <w:tcBorders>
              <w:top w:val="single" w:sz="4" w:space="0" w:color="17365D"/>
              <w:left w:val="nil"/>
              <w:bottom w:val="single" w:sz="4" w:space="0" w:color="17365D"/>
              <w:right w:val="nil"/>
            </w:tcBorders>
            <w:shd w:val="clear" w:color="auto" w:fill="auto"/>
          </w:tcPr>
          <w:p w14:paraId="4BB961A2" w14:textId="7447CC0F"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198 539</w:t>
            </w:r>
          </w:p>
        </w:tc>
        <w:tc>
          <w:tcPr>
            <w:tcW w:w="1047" w:type="dxa"/>
            <w:tcBorders>
              <w:top w:val="single" w:sz="4" w:space="0" w:color="17365D"/>
              <w:left w:val="nil"/>
              <w:bottom w:val="single" w:sz="4" w:space="0" w:color="17365D"/>
              <w:right w:val="nil"/>
            </w:tcBorders>
            <w:shd w:val="clear" w:color="auto" w:fill="auto"/>
          </w:tcPr>
          <w:p w14:paraId="21E360FD" w14:textId="34BA2AC7"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1 391 146</w:t>
            </w:r>
          </w:p>
        </w:tc>
        <w:tc>
          <w:tcPr>
            <w:tcW w:w="1047" w:type="dxa"/>
            <w:tcBorders>
              <w:top w:val="single" w:sz="4" w:space="0" w:color="17365D"/>
              <w:left w:val="nil"/>
              <w:bottom w:val="single" w:sz="4" w:space="0" w:color="17365D"/>
              <w:right w:val="nil"/>
            </w:tcBorders>
            <w:shd w:val="clear" w:color="auto" w:fill="auto"/>
          </w:tcPr>
          <w:p w14:paraId="2B0C9B49" w14:textId="7C10CDFB"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195 216</w:t>
            </w:r>
          </w:p>
        </w:tc>
        <w:tc>
          <w:tcPr>
            <w:tcW w:w="1046" w:type="dxa"/>
            <w:tcBorders>
              <w:top w:val="single" w:sz="4" w:space="0" w:color="17365D"/>
              <w:left w:val="nil"/>
              <w:bottom w:val="single" w:sz="4" w:space="0" w:color="17365D"/>
              <w:right w:val="nil"/>
            </w:tcBorders>
            <w:shd w:val="clear" w:color="auto" w:fill="auto"/>
          </w:tcPr>
          <w:p w14:paraId="1DADFD0A" w14:textId="3FF56CB7"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-3 323</w:t>
            </w:r>
          </w:p>
        </w:tc>
        <w:tc>
          <w:tcPr>
            <w:tcW w:w="1086" w:type="dxa"/>
            <w:tcBorders>
              <w:top w:val="single" w:sz="4" w:space="0" w:color="17365D"/>
              <w:left w:val="nil"/>
              <w:bottom w:val="single" w:sz="4" w:space="0" w:color="17365D"/>
              <w:right w:val="nil"/>
            </w:tcBorders>
            <w:shd w:val="clear" w:color="auto" w:fill="auto"/>
          </w:tcPr>
          <w:p w14:paraId="36D120FB" w14:textId="6DBD8A48"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1 212 101</w:t>
            </w:r>
          </w:p>
        </w:tc>
      </w:tr>
      <w:tr w:rsidR="00B36A61" w:rsidRPr="00B36A61" w14:paraId="4C81FCCF" w14:textId="77777777" w:rsidTr="008905A6">
        <w:trPr>
          <w:trHeight w:val="284"/>
        </w:trPr>
        <w:tc>
          <w:tcPr>
            <w:tcW w:w="643" w:type="dxa"/>
            <w:tcBorders>
              <w:top w:val="single" w:sz="4" w:space="0" w:color="17365D"/>
              <w:bottom w:val="single" w:sz="4" w:space="0" w:color="17365D"/>
            </w:tcBorders>
            <w:shd w:val="clear" w:color="auto" w:fill="auto"/>
            <w:vAlign w:val="center"/>
          </w:tcPr>
          <w:p w14:paraId="42D9CFE6" w14:textId="04F65047"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7700</w:t>
            </w:r>
          </w:p>
        </w:tc>
        <w:tc>
          <w:tcPr>
            <w:tcW w:w="1609" w:type="dxa"/>
            <w:tcBorders>
              <w:top w:val="single" w:sz="4" w:space="0" w:color="17365D"/>
              <w:bottom w:val="single" w:sz="4" w:space="0" w:color="17365D"/>
            </w:tcBorders>
            <w:shd w:val="clear" w:color="auto" w:fill="auto"/>
            <w:vAlign w:val="center"/>
          </w:tcPr>
          <w:p w14:paraId="39097017" w14:textId="6A230794"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Starptautiskā sadarbība</w:t>
            </w:r>
          </w:p>
        </w:tc>
        <w:tc>
          <w:tcPr>
            <w:tcW w:w="960" w:type="dxa"/>
            <w:tcBorders>
              <w:top w:val="single" w:sz="4" w:space="0" w:color="17365D"/>
              <w:left w:val="nil"/>
              <w:bottom w:val="single" w:sz="4" w:space="0" w:color="17365D"/>
              <w:right w:val="nil"/>
            </w:tcBorders>
            <w:shd w:val="clear" w:color="auto" w:fill="auto"/>
          </w:tcPr>
          <w:p w14:paraId="3A1DEB69" w14:textId="054F668F"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1 195 930</w:t>
            </w:r>
          </w:p>
        </w:tc>
        <w:tc>
          <w:tcPr>
            <w:tcW w:w="960" w:type="dxa"/>
            <w:tcBorders>
              <w:top w:val="single" w:sz="4" w:space="0" w:color="17365D"/>
              <w:left w:val="nil"/>
              <w:bottom w:val="single" w:sz="4" w:space="0" w:color="17365D"/>
              <w:right w:val="nil"/>
            </w:tcBorders>
            <w:shd w:val="clear" w:color="auto" w:fill="auto"/>
          </w:tcPr>
          <w:p w14:paraId="28DCF8CE" w14:textId="6D6CBEFB"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1 394 469</w:t>
            </w:r>
          </w:p>
        </w:tc>
        <w:tc>
          <w:tcPr>
            <w:tcW w:w="962" w:type="dxa"/>
            <w:tcBorders>
              <w:top w:val="single" w:sz="4" w:space="0" w:color="17365D"/>
              <w:left w:val="nil"/>
              <w:bottom w:val="single" w:sz="4" w:space="0" w:color="17365D"/>
              <w:right w:val="nil"/>
            </w:tcBorders>
            <w:shd w:val="clear" w:color="auto" w:fill="auto"/>
          </w:tcPr>
          <w:p w14:paraId="4041D2A0" w14:textId="708E6B83"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198 539</w:t>
            </w:r>
          </w:p>
        </w:tc>
        <w:tc>
          <w:tcPr>
            <w:tcW w:w="1047" w:type="dxa"/>
            <w:tcBorders>
              <w:top w:val="single" w:sz="4" w:space="0" w:color="17365D"/>
              <w:left w:val="nil"/>
              <w:bottom w:val="single" w:sz="4" w:space="0" w:color="17365D"/>
              <w:right w:val="nil"/>
            </w:tcBorders>
            <w:shd w:val="clear" w:color="auto" w:fill="auto"/>
          </w:tcPr>
          <w:p w14:paraId="383A0B28" w14:textId="2383EE1F"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1 391 146</w:t>
            </w:r>
          </w:p>
        </w:tc>
        <w:tc>
          <w:tcPr>
            <w:tcW w:w="1047" w:type="dxa"/>
            <w:tcBorders>
              <w:top w:val="single" w:sz="4" w:space="0" w:color="17365D"/>
              <w:left w:val="nil"/>
              <w:bottom w:val="single" w:sz="4" w:space="0" w:color="17365D"/>
              <w:right w:val="nil"/>
            </w:tcBorders>
            <w:shd w:val="clear" w:color="auto" w:fill="auto"/>
          </w:tcPr>
          <w:p w14:paraId="25CADEDD" w14:textId="620AF537"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195 216</w:t>
            </w:r>
          </w:p>
        </w:tc>
        <w:tc>
          <w:tcPr>
            <w:tcW w:w="1046" w:type="dxa"/>
            <w:tcBorders>
              <w:top w:val="single" w:sz="4" w:space="0" w:color="17365D"/>
              <w:left w:val="nil"/>
              <w:bottom w:val="single" w:sz="4" w:space="0" w:color="17365D"/>
              <w:right w:val="nil"/>
            </w:tcBorders>
            <w:shd w:val="clear" w:color="auto" w:fill="auto"/>
          </w:tcPr>
          <w:p w14:paraId="72D49C40" w14:textId="70A3D77C"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-3 323</w:t>
            </w:r>
          </w:p>
        </w:tc>
        <w:tc>
          <w:tcPr>
            <w:tcW w:w="1086" w:type="dxa"/>
            <w:tcBorders>
              <w:top w:val="single" w:sz="4" w:space="0" w:color="17365D"/>
              <w:left w:val="nil"/>
              <w:bottom w:val="single" w:sz="4" w:space="0" w:color="17365D"/>
              <w:right w:val="nil"/>
            </w:tcBorders>
            <w:shd w:val="clear" w:color="auto" w:fill="auto"/>
          </w:tcPr>
          <w:p w14:paraId="617B2687" w14:textId="70F32846"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1 212 101</w:t>
            </w:r>
          </w:p>
        </w:tc>
      </w:tr>
      <w:tr w:rsidR="00B36A61" w:rsidRPr="00B36A61" w14:paraId="266A866F" w14:textId="77777777" w:rsidTr="008905A6">
        <w:trPr>
          <w:trHeight w:val="284"/>
        </w:trPr>
        <w:tc>
          <w:tcPr>
            <w:tcW w:w="643" w:type="dxa"/>
            <w:tcBorders>
              <w:top w:val="single" w:sz="4" w:space="0" w:color="17365D"/>
              <w:bottom w:val="single" w:sz="4" w:space="0" w:color="17365D"/>
            </w:tcBorders>
            <w:shd w:val="clear" w:color="auto" w:fill="auto"/>
            <w:vAlign w:val="center"/>
          </w:tcPr>
          <w:p w14:paraId="3D6B986C" w14:textId="787261B9"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1.5.</w:t>
            </w:r>
          </w:p>
        </w:tc>
        <w:tc>
          <w:tcPr>
            <w:tcW w:w="1609" w:type="dxa"/>
            <w:tcBorders>
              <w:top w:val="single" w:sz="4" w:space="0" w:color="17365D"/>
              <w:bottom w:val="single" w:sz="4" w:space="0" w:color="17365D"/>
            </w:tcBorders>
            <w:shd w:val="clear" w:color="auto" w:fill="auto"/>
            <w:vAlign w:val="center"/>
          </w:tcPr>
          <w:p w14:paraId="63C33648" w14:textId="5CE69AB2"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 xml:space="preserve">Transferti viena budžeta veida ietvaros un uzturēšanas izdevumu transferti starp budžeta veidiem </w:t>
            </w:r>
          </w:p>
        </w:tc>
        <w:tc>
          <w:tcPr>
            <w:tcW w:w="960" w:type="dxa"/>
            <w:tcBorders>
              <w:top w:val="single" w:sz="4" w:space="0" w:color="17365D"/>
              <w:left w:val="nil"/>
              <w:bottom w:val="single" w:sz="4" w:space="0" w:color="17365D"/>
              <w:right w:val="nil"/>
            </w:tcBorders>
            <w:shd w:val="clear" w:color="auto" w:fill="auto"/>
          </w:tcPr>
          <w:p w14:paraId="53065A32" w14:textId="782726C5"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250 000</w:t>
            </w:r>
          </w:p>
        </w:tc>
        <w:tc>
          <w:tcPr>
            <w:tcW w:w="960" w:type="dxa"/>
            <w:tcBorders>
              <w:top w:val="single" w:sz="4" w:space="0" w:color="17365D"/>
              <w:left w:val="nil"/>
              <w:bottom w:val="single" w:sz="4" w:space="0" w:color="17365D"/>
              <w:right w:val="nil"/>
            </w:tcBorders>
            <w:shd w:val="clear" w:color="auto" w:fill="auto"/>
          </w:tcPr>
          <w:p w14:paraId="35BF1B8A" w14:textId="5E653E12"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970 511</w:t>
            </w:r>
          </w:p>
        </w:tc>
        <w:tc>
          <w:tcPr>
            <w:tcW w:w="962" w:type="dxa"/>
            <w:tcBorders>
              <w:top w:val="single" w:sz="4" w:space="0" w:color="17365D"/>
              <w:left w:val="nil"/>
              <w:bottom w:val="single" w:sz="4" w:space="0" w:color="17365D"/>
              <w:right w:val="nil"/>
            </w:tcBorders>
            <w:shd w:val="clear" w:color="auto" w:fill="auto"/>
          </w:tcPr>
          <w:p w14:paraId="7F903BC5" w14:textId="60A6D88D"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720 511</w:t>
            </w:r>
          </w:p>
        </w:tc>
        <w:tc>
          <w:tcPr>
            <w:tcW w:w="1047" w:type="dxa"/>
            <w:tcBorders>
              <w:top w:val="single" w:sz="4" w:space="0" w:color="17365D"/>
              <w:left w:val="nil"/>
              <w:bottom w:val="single" w:sz="4" w:space="0" w:color="17365D"/>
              <w:right w:val="nil"/>
            </w:tcBorders>
            <w:shd w:val="clear" w:color="auto" w:fill="auto"/>
          </w:tcPr>
          <w:p w14:paraId="5B51EF13" w14:textId="3AF5B4EA"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962 001</w:t>
            </w:r>
          </w:p>
        </w:tc>
        <w:tc>
          <w:tcPr>
            <w:tcW w:w="1047" w:type="dxa"/>
            <w:tcBorders>
              <w:top w:val="single" w:sz="4" w:space="0" w:color="17365D"/>
              <w:left w:val="nil"/>
              <w:bottom w:val="single" w:sz="4" w:space="0" w:color="17365D"/>
              <w:right w:val="nil"/>
            </w:tcBorders>
            <w:shd w:val="clear" w:color="auto" w:fill="auto"/>
          </w:tcPr>
          <w:p w14:paraId="714D8524" w14:textId="155929EC"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-8 510</w:t>
            </w:r>
          </w:p>
        </w:tc>
        <w:tc>
          <w:tcPr>
            <w:tcW w:w="1046" w:type="dxa"/>
            <w:tcBorders>
              <w:top w:val="single" w:sz="4" w:space="0" w:color="17365D"/>
              <w:left w:val="nil"/>
              <w:bottom w:val="single" w:sz="4" w:space="0" w:color="17365D"/>
              <w:right w:val="nil"/>
            </w:tcBorders>
            <w:shd w:val="clear" w:color="auto" w:fill="auto"/>
          </w:tcPr>
          <w:p w14:paraId="45F99CBB" w14:textId="4A7151A3"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-8 510</w:t>
            </w:r>
          </w:p>
        </w:tc>
        <w:tc>
          <w:tcPr>
            <w:tcW w:w="1086" w:type="dxa"/>
            <w:tcBorders>
              <w:top w:val="single" w:sz="4" w:space="0" w:color="17365D"/>
              <w:left w:val="nil"/>
              <w:bottom w:val="single" w:sz="4" w:space="0" w:color="17365D"/>
              <w:right w:val="nil"/>
            </w:tcBorders>
            <w:shd w:val="clear" w:color="auto" w:fill="auto"/>
          </w:tcPr>
          <w:p w14:paraId="13FE8615" w14:textId="08822A70"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266 462</w:t>
            </w:r>
          </w:p>
        </w:tc>
      </w:tr>
      <w:tr w:rsidR="00B36A61" w:rsidRPr="00B36A61" w14:paraId="01E6163B" w14:textId="77777777" w:rsidTr="008905A6">
        <w:trPr>
          <w:trHeight w:val="284"/>
        </w:trPr>
        <w:tc>
          <w:tcPr>
            <w:tcW w:w="643" w:type="dxa"/>
            <w:tcBorders>
              <w:top w:val="single" w:sz="4" w:space="0" w:color="17365D"/>
              <w:bottom w:val="single" w:sz="4" w:space="0" w:color="17365D"/>
            </w:tcBorders>
            <w:shd w:val="clear" w:color="auto" w:fill="auto"/>
            <w:vAlign w:val="center"/>
          </w:tcPr>
          <w:p w14:paraId="2965FFE6" w14:textId="571BDD4F"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7800</w:t>
            </w:r>
          </w:p>
        </w:tc>
        <w:tc>
          <w:tcPr>
            <w:tcW w:w="1609" w:type="dxa"/>
            <w:tcBorders>
              <w:top w:val="single" w:sz="4" w:space="0" w:color="17365D"/>
              <w:bottom w:val="single" w:sz="4" w:space="0" w:color="17365D"/>
            </w:tcBorders>
            <w:shd w:val="clear" w:color="auto" w:fill="auto"/>
            <w:vAlign w:val="center"/>
          </w:tcPr>
          <w:p w14:paraId="4916D23A" w14:textId="15C98804" w:rsidR="008905A6" w:rsidRPr="00B36A61" w:rsidRDefault="008905A6" w:rsidP="008905A6">
            <w:pPr>
              <w:pStyle w:val="Pamatteksts"/>
              <w:spacing w:before="40" w:after="40"/>
              <w:ind w:firstLine="0"/>
              <w:jc w:val="left"/>
              <w:rPr>
                <w:color w:val="17365D"/>
                <w:sz w:val="16"/>
                <w:szCs w:val="16"/>
              </w:rPr>
            </w:pPr>
            <w:r w:rsidRPr="00B36A61">
              <w:rPr>
                <w:color w:val="17365D"/>
                <w:sz w:val="16"/>
                <w:szCs w:val="16"/>
              </w:rPr>
              <w:t>No valsts budžeta daļēji finansētu atvasināto publisko personu un budžeta nefinansētu iestāžu transferti un uzturēšanas izdevumu transferti</w:t>
            </w:r>
          </w:p>
        </w:tc>
        <w:tc>
          <w:tcPr>
            <w:tcW w:w="960" w:type="dxa"/>
            <w:tcBorders>
              <w:top w:val="single" w:sz="4" w:space="0" w:color="17365D"/>
              <w:left w:val="nil"/>
              <w:bottom w:val="single" w:sz="4" w:space="0" w:color="17365D"/>
              <w:right w:val="nil"/>
            </w:tcBorders>
            <w:shd w:val="clear" w:color="auto" w:fill="auto"/>
          </w:tcPr>
          <w:p w14:paraId="0B8BD357" w14:textId="7243A47B"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250 000</w:t>
            </w:r>
          </w:p>
        </w:tc>
        <w:tc>
          <w:tcPr>
            <w:tcW w:w="960" w:type="dxa"/>
            <w:tcBorders>
              <w:top w:val="single" w:sz="4" w:space="0" w:color="17365D"/>
              <w:left w:val="nil"/>
              <w:bottom w:val="single" w:sz="4" w:space="0" w:color="17365D"/>
              <w:right w:val="nil"/>
            </w:tcBorders>
            <w:shd w:val="clear" w:color="auto" w:fill="auto"/>
          </w:tcPr>
          <w:p w14:paraId="0E376309" w14:textId="38C156C0" w:rsidR="008905A6" w:rsidRPr="00B36A61" w:rsidRDefault="008259EC" w:rsidP="008905A6">
            <w:pPr>
              <w:pStyle w:val="Pamatteksts"/>
              <w:spacing w:before="40" w:after="40"/>
              <w:ind w:firstLine="0"/>
              <w:jc w:val="right"/>
              <w:rPr>
                <w:bCs/>
                <w:color w:val="17365D"/>
                <w:sz w:val="16"/>
                <w:szCs w:val="16"/>
              </w:rPr>
            </w:pPr>
            <w:r w:rsidRPr="00B36A61">
              <w:rPr>
                <w:bCs/>
                <w:color w:val="17365D"/>
                <w:sz w:val="16"/>
                <w:szCs w:val="16"/>
              </w:rPr>
              <w:t>970 511</w:t>
            </w:r>
          </w:p>
        </w:tc>
        <w:tc>
          <w:tcPr>
            <w:tcW w:w="962" w:type="dxa"/>
            <w:tcBorders>
              <w:top w:val="single" w:sz="4" w:space="0" w:color="17365D"/>
              <w:left w:val="nil"/>
              <w:bottom w:val="single" w:sz="4" w:space="0" w:color="17365D"/>
              <w:right w:val="nil"/>
            </w:tcBorders>
            <w:shd w:val="clear" w:color="auto" w:fill="auto"/>
          </w:tcPr>
          <w:p w14:paraId="7DDF0D1C" w14:textId="1FB420E7" w:rsidR="008905A6" w:rsidRPr="00B36A61" w:rsidRDefault="008905A6" w:rsidP="008905A6">
            <w:pPr>
              <w:pStyle w:val="Pamatteksts"/>
              <w:spacing w:before="40" w:after="40"/>
              <w:ind w:firstLine="0"/>
              <w:jc w:val="right"/>
              <w:rPr>
                <w:bCs/>
                <w:color w:val="17365D"/>
                <w:sz w:val="16"/>
                <w:szCs w:val="16"/>
              </w:rPr>
            </w:pPr>
            <w:r w:rsidRPr="00B36A61">
              <w:rPr>
                <w:bCs/>
                <w:color w:val="17365D"/>
                <w:sz w:val="16"/>
                <w:szCs w:val="16"/>
              </w:rPr>
              <w:t>720 511</w:t>
            </w:r>
          </w:p>
        </w:tc>
        <w:tc>
          <w:tcPr>
            <w:tcW w:w="1047" w:type="dxa"/>
            <w:tcBorders>
              <w:top w:val="single" w:sz="4" w:space="0" w:color="17365D"/>
              <w:left w:val="nil"/>
              <w:bottom w:val="single" w:sz="4" w:space="0" w:color="17365D"/>
              <w:right w:val="nil"/>
            </w:tcBorders>
            <w:shd w:val="clear" w:color="auto" w:fill="auto"/>
          </w:tcPr>
          <w:p w14:paraId="7106D7E4" w14:textId="29834A31" w:rsidR="008905A6" w:rsidRPr="00B36A61" w:rsidRDefault="008259EC" w:rsidP="008259EC">
            <w:pPr>
              <w:pStyle w:val="Pamatteksts"/>
              <w:spacing w:before="40" w:after="40"/>
              <w:ind w:firstLine="0"/>
              <w:jc w:val="right"/>
              <w:rPr>
                <w:bCs/>
                <w:color w:val="17365D"/>
                <w:sz w:val="16"/>
                <w:szCs w:val="16"/>
              </w:rPr>
            </w:pPr>
            <w:r w:rsidRPr="00B36A61">
              <w:rPr>
                <w:bCs/>
                <w:color w:val="17365D"/>
                <w:sz w:val="16"/>
                <w:szCs w:val="16"/>
              </w:rPr>
              <w:t>962 001</w:t>
            </w:r>
          </w:p>
        </w:tc>
        <w:tc>
          <w:tcPr>
            <w:tcW w:w="1047" w:type="dxa"/>
            <w:tcBorders>
              <w:top w:val="single" w:sz="4" w:space="0" w:color="17365D"/>
              <w:left w:val="nil"/>
              <w:bottom w:val="single" w:sz="4" w:space="0" w:color="17365D"/>
              <w:right w:val="nil"/>
            </w:tcBorders>
            <w:shd w:val="clear" w:color="auto" w:fill="auto"/>
          </w:tcPr>
          <w:p w14:paraId="2E95353F" w14:textId="38715F56" w:rsidR="008905A6" w:rsidRPr="00B36A61" w:rsidRDefault="008259EC" w:rsidP="008905A6">
            <w:pPr>
              <w:pStyle w:val="Pamatteksts"/>
              <w:spacing w:before="40" w:after="40"/>
              <w:ind w:firstLine="0"/>
              <w:jc w:val="right"/>
              <w:rPr>
                <w:bCs/>
                <w:color w:val="17365D"/>
                <w:sz w:val="16"/>
                <w:szCs w:val="16"/>
              </w:rPr>
            </w:pPr>
            <w:r w:rsidRPr="00B36A61">
              <w:rPr>
                <w:bCs/>
                <w:color w:val="17365D"/>
                <w:sz w:val="16"/>
                <w:szCs w:val="16"/>
              </w:rPr>
              <w:t>-8 510</w:t>
            </w:r>
          </w:p>
        </w:tc>
        <w:tc>
          <w:tcPr>
            <w:tcW w:w="1046" w:type="dxa"/>
            <w:tcBorders>
              <w:top w:val="single" w:sz="4" w:space="0" w:color="17365D"/>
              <w:left w:val="nil"/>
              <w:bottom w:val="single" w:sz="4" w:space="0" w:color="17365D"/>
              <w:right w:val="nil"/>
            </w:tcBorders>
            <w:shd w:val="clear" w:color="auto" w:fill="auto"/>
          </w:tcPr>
          <w:p w14:paraId="2D288FA0" w14:textId="38093FE6" w:rsidR="008905A6" w:rsidRPr="00B36A61" w:rsidRDefault="008259EC" w:rsidP="008905A6">
            <w:pPr>
              <w:pStyle w:val="Pamatteksts"/>
              <w:spacing w:before="40" w:after="40"/>
              <w:ind w:firstLine="0"/>
              <w:jc w:val="right"/>
              <w:rPr>
                <w:bCs/>
                <w:color w:val="17365D"/>
                <w:sz w:val="16"/>
                <w:szCs w:val="16"/>
              </w:rPr>
            </w:pPr>
            <w:r w:rsidRPr="00B36A61">
              <w:rPr>
                <w:bCs/>
                <w:color w:val="17365D"/>
                <w:sz w:val="16"/>
                <w:szCs w:val="16"/>
              </w:rPr>
              <w:t>-8 510</w:t>
            </w:r>
          </w:p>
        </w:tc>
        <w:tc>
          <w:tcPr>
            <w:tcW w:w="1086" w:type="dxa"/>
            <w:tcBorders>
              <w:top w:val="single" w:sz="4" w:space="0" w:color="17365D"/>
              <w:left w:val="nil"/>
              <w:bottom w:val="single" w:sz="4" w:space="0" w:color="17365D"/>
              <w:right w:val="nil"/>
            </w:tcBorders>
            <w:shd w:val="clear" w:color="auto" w:fill="auto"/>
          </w:tcPr>
          <w:p w14:paraId="081AA985" w14:textId="49D96191" w:rsidR="008905A6" w:rsidRPr="00B36A61" w:rsidRDefault="008259EC" w:rsidP="008905A6">
            <w:pPr>
              <w:pStyle w:val="Pamatteksts"/>
              <w:spacing w:before="40" w:after="40"/>
              <w:ind w:firstLine="0"/>
              <w:jc w:val="right"/>
              <w:rPr>
                <w:bCs/>
                <w:color w:val="17365D"/>
                <w:sz w:val="16"/>
                <w:szCs w:val="16"/>
              </w:rPr>
            </w:pPr>
            <w:r w:rsidRPr="00B36A61">
              <w:rPr>
                <w:bCs/>
                <w:color w:val="17365D"/>
                <w:sz w:val="16"/>
                <w:szCs w:val="16"/>
              </w:rPr>
              <w:t>266 462</w:t>
            </w:r>
          </w:p>
        </w:tc>
      </w:tr>
      <w:tr w:rsidR="00B36A61" w:rsidRPr="00B36A61" w14:paraId="00526E60" w14:textId="77777777" w:rsidTr="008905A6">
        <w:trPr>
          <w:trHeight w:val="284"/>
        </w:trPr>
        <w:tc>
          <w:tcPr>
            <w:tcW w:w="643" w:type="dxa"/>
            <w:tcBorders>
              <w:top w:val="single" w:sz="4" w:space="0" w:color="17365D"/>
              <w:bottom w:val="single" w:sz="4" w:space="0" w:color="17365D"/>
            </w:tcBorders>
            <w:shd w:val="clear" w:color="auto" w:fill="auto"/>
            <w:vAlign w:val="center"/>
          </w:tcPr>
          <w:p w14:paraId="4B96000C" w14:textId="6305F724" w:rsidR="009F7990" w:rsidRPr="00B36A61" w:rsidRDefault="009F7990" w:rsidP="009F7990">
            <w:pPr>
              <w:pStyle w:val="Pamatteksts"/>
              <w:spacing w:before="40" w:after="40"/>
              <w:ind w:firstLine="0"/>
              <w:jc w:val="left"/>
              <w:rPr>
                <w:color w:val="17365D"/>
                <w:sz w:val="16"/>
                <w:szCs w:val="16"/>
              </w:rPr>
            </w:pPr>
            <w:r w:rsidRPr="00B36A61">
              <w:rPr>
                <w:color w:val="17365D"/>
                <w:sz w:val="16"/>
                <w:szCs w:val="16"/>
              </w:rPr>
              <w:t>2.0.</w:t>
            </w:r>
          </w:p>
        </w:tc>
        <w:tc>
          <w:tcPr>
            <w:tcW w:w="1609" w:type="dxa"/>
            <w:tcBorders>
              <w:top w:val="single" w:sz="4" w:space="0" w:color="17365D"/>
              <w:bottom w:val="single" w:sz="4" w:space="0" w:color="17365D"/>
            </w:tcBorders>
            <w:shd w:val="clear" w:color="auto" w:fill="auto"/>
            <w:vAlign w:val="center"/>
          </w:tcPr>
          <w:p w14:paraId="548CA0E1" w14:textId="11BDB1D6" w:rsidR="009F7990" w:rsidRPr="00B36A61" w:rsidRDefault="009F7990" w:rsidP="009F7990">
            <w:pPr>
              <w:pStyle w:val="Pamatteksts"/>
              <w:spacing w:before="40" w:after="40"/>
              <w:ind w:firstLine="0"/>
              <w:jc w:val="left"/>
              <w:rPr>
                <w:color w:val="17365D"/>
                <w:sz w:val="16"/>
                <w:szCs w:val="16"/>
              </w:rPr>
            </w:pPr>
            <w:r w:rsidRPr="00B36A61">
              <w:rPr>
                <w:color w:val="17365D"/>
                <w:sz w:val="16"/>
                <w:szCs w:val="16"/>
              </w:rPr>
              <w:t>Kapitālie izdevumi</w:t>
            </w:r>
          </w:p>
        </w:tc>
        <w:tc>
          <w:tcPr>
            <w:tcW w:w="960" w:type="dxa"/>
            <w:tcBorders>
              <w:top w:val="single" w:sz="4" w:space="0" w:color="17365D"/>
              <w:left w:val="nil"/>
              <w:bottom w:val="single" w:sz="4" w:space="0" w:color="17365D"/>
              <w:right w:val="nil"/>
            </w:tcBorders>
            <w:shd w:val="clear" w:color="auto" w:fill="auto"/>
          </w:tcPr>
          <w:p w14:paraId="3204AD62" w14:textId="5F363690"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1 024 055</w:t>
            </w:r>
          </w:p>
        </w:tc>
        <w:tc>
          <w:tcPr>
            <w:tcW w:w="960" w:type="dxa"/>
            <w:tcBorders>
              <w:top w:val="single" w:sz="4" w:space="0" w:color="17365D"/>
              <w:left w:val="nil"/>
              <w:bottom w:val="single" w:sz="4" w:space="0" w:color="17365D"/>
              <w:right w:val="nil"/>
            </w:tcBorders>
            <w:shd w:val="clear" w:color="auto" w:fill="auto"/>
          </w:tcPr>
          <w:p w14:paraId="787C53AD" w14:textId="28171AA6"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1 034 064</w:t>
            </w:r>
          </w:p>
        </w:tc>
        <w:tc>
          <w:tcPr>
            <w:tcW w:w="962" w:type="dxa"/>
            <w:tcBorders>
              <w:top w:val="single" w:sz="4" w:space="0" w:color="17365D"/>
              <w:left w:val="nil"/>
              <w:bottom w:val="single" w:sz="4" w:space="0" w:color="17365D"/>
              <w:right w:val="nil"/>
            </w:tcBorders>
            <w:shd w:val="clear" w:color="auto" w:fill="auto"/>
          </w:tcPr>
          <w:p w14:paraId="54A31433" w14:textId="7A999415"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10 009</w:t>
            </w:r>
          </w:p>
        </w:tc>
        <w:tc>
          <w:tcPr>
            <w:tcW w:w="1047" w:type="dxa"/>
            <w:tcBorders>
              <w:top w:val="single" w:sz="4" w:space="0" w:color="17365D"/>
              <w:left w:val="nil"/>
              <w:bottom w:val="single" w:sz="4" w:space="0" w:color="17365D"/>
              <w:right w:val="nil"/>
            </w:tcBorders>
            <w:shd w:val="clear" w:color="auto" w:fill="auto"/>
          </w:tcPr>
          <w:p w14:paraId="0F4AC837" w14:textId="663923EF"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604 928</w:t>
            </w:r>
          </w:p>
        </w:tc>
        <w:tc>
          <w:tcPr>
            <w:tcW w:w="1047" w:type="dxa"/>
            <w:tcBorders>
              <w:top w:val="single" w:sz="4" w:space="0" w:color="17365D"/>
              <w:left w:val="nil"/>
              <w:bottom w:val="single" w:sz="4" w:space="0" w:color="17365D"/>
              <w:right w:val="nil"/>
            </w:tcBorders>
            <w:shd w:val="clear" w:color="auto" w:fill="auto"/>
          </w:tcPr>
          <w:p w14:paraId="42EF97BC" w14:textId="47A61BAF"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-419 127</w:t>
            </w:r>
          </w:p>
        </w:tc>
        <w:tc>
          <w:tcPr>
            <w:tcW w:w="1046" w:type="dxa"/>
            <w:tcBorders>
              <w:top w:val="single" w:sz="4" w:space="0" w:color="17365D"/>
              <w:left w:val="nil"/>
              <w:bottom w:val="single" w:sz="4" w:space="0" w:color="17365D"/>
              <w:right w:val="nil"/>
            </w:tcBorders>
            <w:shd w:val="clear" w:color="auto" w:fill="auto"/>
          </w:tcPr>
          <w:p w14:paraId="7C9CD226" w14:textId="4C725A14"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-429 136</w:t>
            </w:r>
          </w:p>
        </w:tc>
        <w:tc>
          <w:tcPr>
            <w:tcW w:w="1086" w:type="dxa"/>
            <w:tcBorders>
              <w:top w:val="single" w:sz="4" w:space="0" w:color="17365D"/>
              <w:left w:val="nil"/>
              <w:bottom w:val="single" w:sz="4" w:space="0" w:color="17365D"/>
              <w:right w:val="nil"/>
            </w:tcBorders>
            <w:shd w:val="clear" w:color="auto" w:fill="auto"/>
          </w:tcPr>
          <w:p w14:paraId="2736E741" w14:textId="6185A504"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749 626</w:t>
            </w:r>
          </w:p>
        </w:tc>
      </w:tr>
      <w:tr w:rsidR="00B36A61" w:rsidRPr="00B36A61" w14:paraId="62894973" w14:textId="77777777" w:rsidTr="008905A6">
        <w:trPr>
          <w:trHeight w:val="284"/>
        </w:trPr>
        <w:tc>
          <w:tcPr>
            <w:tcW w:w="643" w:type="dxa"/>
            <w:tcBorders>
              <w:top w:val="single" w:sz="4" w:space="0" w:color="17365D"/>
              <w:bottom w:val="single" w:sz="4" w:space="0" w:color="17365D"/>
            </w:tcBorders>
            <w:shd w:val="clear" w:color="auto" w:fill="auto"/>
            <w:vAlign w:val="center"/>
          </w:tcPr>
          <w:p w14:paraId="6E367932" w14:textId="76E6F8F1" w:rsidR="009F7990" w:rsidRPr="00B36A61" w:rsidRDefault="009F7990" w:rsidP="009F7990">
            <w:pPr>
              <w:pStyle w:val="Pamatteksts"/>
              <w:spacing w:before="40" w:after="40"/>
              <w:ind w:firstLine="0"/>
              <w:jc w:val="left"/>
              <w:rPr>
                <w:color w:val="17365D"/>
                <w:sz w:val="16"/>
                <w:szCs w:val="16"/>
              </w:rPr>
            </w:pPr>
            <w:r w:rsidRPr="00B36A61">
              <w:rPr>
                <w:color w:val="17365D"/>
                <w:sz w:val="16"/>
                <w:szCs w:val="16"/>
              </w:rPr>
              <w:t>2.1.</w:t>
            </w:r>
          </w:p>
        </w:tc>
        <w:tc>
          <w:tcPr>
            <w:tcW w:w="1609" w:type="dxa"/>
            <w:tcBorders>
              <w:top w:val="single" w:sz="4" w:space="0" w:color="17365D"/>
              <w:bottom w:val="single" w:sz="4" w:space="0" w:color="17365D"/>
            </w:tcBorders>
            <w:shd w:val="clear" w:color="auto" w:fill="auto"/>
            <w:vAlign w:val="center"/>
          </w:tcPr>
          <w:p w14:paraId="3AD45A44" w14:textId="355C2C12" w:rsidR="009F7990" w:rsidRPr="00B36A61" w:rsidRDefault="009F7990" w:rsidP="009F7990">
            <w:pPr>
              <w:pStyle w:val="Pamatteksts"/>
              <w:spacing w:before="40" w:after="40"/>
              <w:ind w:firstLine="0"/>
              <w:jc w:val="left"/>
              <w:rPr>
                <w:color w:val="17365D"/>
                <w:sz w:val="16"/>
                <w:szCs w:val="16"/>
              </w:rPr>
            </w:pPr>
            <w:r w:rsidRPr="00B36A61">
              <w:rPr>
                <w:color w:val="17365D"/>
                <w:sz w:val="16"/>
                <w:szCs w:val="16"/>
              </w:rPr>
              <w:t>Pamatkapitāla veidošana</w:t>
            </w:r>
          </w:p>
        </w:tc>
        <w:tc>
          <w:tcPr>
            <w:tcW w:w="960" w:type="dxa"/>
            <w:tcBorders>
              <w:top w:val="single" w:sz="4" w:space="0" w:color="17365D"/>
              <w:left w:val="nil"/>
              <w:bottom w:val="single" w:sz="4" w:space="0" w:color="17365D"/>
              <w:right w:val="nil"/>
            </w:tcBorders>
            <w:shd w:val="clear" w:color="auto" w:fill="auto"/>
          </w:tcPr>
          <w:p w14:paraId="7F97BA24" w14:textId="463F5DBF"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1 024 055</w:t>
            </w:r>
          </w:p>
        </w:tc>
        <w:tc>
          <w:tcPr>
            <w:tcW w:w="960" w:type="dxa"/>
            <w:tcBorders>
              <w:top w:val="single" w:sz="4" w:space="0" w:color="17365D"/>
              <w:left w:val="nil"/>
              <w:bottom w:val="single" w:sz="4" w:space="0" w:color="17365D"/>
              <w:right w:val="nil"/>
            </w:tcBorders>
            <w:shd w:val="clear" w:color="auto" w:fill="auto"/>
          </w:tcPr>
          <w:p w14:paraId="7ACCF64E" w14:textId="71BF512C"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1 034 064</w:t>
            </w:r>
          </w:p>
        </w:tc>
        <w:tc>
          <w:tcPr>
            <w:tcW w:w="962" w:type="dxa"/>
            <w:tcBorders>
              <w:top w:val="single" w:sz="4" w:space="0" w:color="17365D"/>
              <w:left w:val="nil"/>
              <w:bottom w:val="single" w:sz="4" w:space="0" w:color="17365D"/>
              <w:right w:val="nil"/>
            </w:tcBorders>
            <w:shd w:val="clear" w:color="auto" w:fill="auto"/>
          </w:tcPr>
          <w:p w14:paraId="2411F8A9" w14:textId="568C56C5"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10 009</w:t>
            </w:r>
          </w:p>
        </w:tc>
        <w:tc>
          <w:tcPr>
            <w:tcW w:w="1047" w:type="dxa"/>
            <w:tcBorders>
              <w:top w:val="single" w:sz="4" w:space="0" w:color="17365D"/>
              <w:left w:val="nil"/>
              <w:bottom w:val="single" w:sz="4" w:space="0" w:color="17365D"/>
              <w:right w:val="nil"/>
            </w:tcBorders>
            <w:shd w:val="clear" w:color="auto" w:fill="auto"/>
          </w:tcPr>
          <w:p w14:paraId="607D3BA4" w14:textId="7F1CFB5F"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604 928</w:t>
            </w:r>
          </w:p>
        </w:tc>
        <w:tc>
          <w:tcPr>
            <w:tcW w:w="1047" w:type="dxa"/>
            <w:tcBorders>
              <w:top w:val="single" w:sz="4" w:space="0" w:color="17365D"/>
              <w:left w:val="nil"/>
              <w:bottom w:val="single" w:sz="4" w:space="0" w:color="17365D"/>
              <w:right w:val="nil"/>
            </w:tcBorders>
            <w:shd w:val="clear" w:color="auto" w:fill="auto"/>
          </w:tcPr>
          <w:p w14:paraId="3F65F106" w14:textId="74059FAE"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-419 127</w:t>
            </w:r>
          </w:p>
        </w:tc>
        <w:tc>
          <w:tcPr>
            <w:tcW w:w="1046" w:type="dxa"/>
            <w:tcBorders>
              <w:top w:val="single" w:sz="4" w:space="0" w:color="17365D"/>
              <w:left w:val="nil"/>
              <w:bottom w:val="single" w:sz="4" w:space="0" w:color="17365D"/>
              <w:right w:val="nil"/>
            </w:tcBorders>
            <w:shd w:val="clear" w:color="auto" w:fill="auto"/>
          </w:tcPr>
          <w:p w14:paraId="44DC42FA" w14:textId="2307A830"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-429 136</w:t>
            </w:r>
          </w:p>
        </w:tc>
        <w:tc>
          <w:tcPr>
            <w:tcW w:w="1086" w:type="dxa"/>
            <w:tcBorders>
              <w:top w:val="single" w:sz="4" w:space="0" w:color="17365D"/>
              <w:left w:val="nil"/>
              <w:bottom w:val="single" w:sz="4" w:space="0" w:color="17365D"/>
              <w:right w:val="nil"/>
            </w:tcBorders>
            <w:shd w:val="clear" w:color="auto" w:fill="auto"/>
          </w:tcPr>
          <w:p w14:paraId="51025BD1" w14:textId="68351D2F"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749 626</w:t>
            </w:r>
          </w:p>
        </w:tc>
      </w:tr>
      <w:tr w:rsidR="00B36A61" w:rsidRPr="00B36A61" w14:paraId="2DC087BC" w14:textId="77777777" w:rsidTr="008905A6">
        <w:trPr>
          <w:trHeight w:val="284"/>
        </w:trPr>
        <w:tc>
          <w:tcPr>
            <w:tcW w:w="643" w:type="dxa"/>
            <w:tcBorders>
              <w:top w:val="single" w:sz="4" w:space="0" w:color="17365D"/>
              <w:bottom w:val="single" w:sz="4" w:space="0" w:color="17365D"/>
            </w:tcBorders>
            <w:shd w:val="clear" w:color="auto" w:fill="auto"/>
            <w:vAlign w:val="center"/>
          </w:tcPr>
          <w:p w14:paraId="650A2BFB" w14:textId="15E91FBA" w:rsidR="009F7990" w:rsidRPr="00B36A61" w:rsidRDefault="009F7990" w:rsidP="009F7990">
            <w:pPr>
              <w:pStyle w:val="Pamatteksts"/>
              <w:spacing w:before="40" w:after="40"/>
              <w:ind w:firstLine="0"/>
              <w:jc w:val="left"/>
              <w:rPr>
                <w:b/>
                <w:color w:val="17365D"/>
                <w:sz w:val="16"/>
                <w:szCs w:val="16"/>
              </w:rPr>
            </w:pPr>
            <w:r w:rsidRPr="00B36A61">
              <w:rPr>
                <w:b/>
                <w:color w:val="17365D"/>
                <w:sz w:val="16"/>
                <w:szCs w:val="16"/>
              </w:rPr>
              <w:t>III.</w:t>
            </w:r>
          </w:p>
        </w:tc>
        <w:tc>
          <w:tcPr>
            <w:tcW w:w="1609" w:type="dxa"/>
            <w:tcBorders>
              <w:top w:val="single" w:sz="4" w:space="0" w:color="17365D"/>
              <w:bottom w:val="single" w:sz="4" w:space="0" w:color="17365D"/>
            </w:tcBorders>
            <w:shd w:val="clear" w:color="auto" w:fill="auto"/>
            <w:vAlign w:val="center"/>
          </w:tcPr>
          <w:p w14:paraId="5246229C" w14:textId="2C137366" w:rsidR="009F7990" w:rsidRPr="00B36A61" w:rsidRDefault="009F7990" w:rsidP="009F7990">
            <w:pPr>
              <w:pStyle w:val="Pamatteksts"/>
              <w:spacing w:before="40" w:after="40"/>
              <w:ind w:firstLine="0"/>
              <w:jc w:val="left"/>
              <w:rPr>
                <w:b/>
                <w:color w:val="17365D"/>
                <w:sz w:val="16"/>
                <w:szCs w:val="16"/>
              </w:rPr>
            </w:pPr>
            <w:r w:rsidRPr="00B36A61">
              <w:rPr>
                <w:b/>
                <w:bCs/>
                <w:color w:val="17365D"/>
                <w:sz w:val="16"/>
                <w:szCs w:val="16"/>
              </w:rPr>
              <w:t>IEŅĒMUMU PĀRSNIEGUMS (+), DEFICĪTS (–) (I. – II.)</w:t>
            </w:r>
          </w:p>
        </w:tc>
        <w:tc>
          <w:tcPr>
            <w:tcW w:w="960" w:type="dxa"/>
            <w:tcBorders>
              <w:top w:val="single" w:sz="4" w:space="0" w:color="17365D"/>
              <w:left w:val="nil"/>
              <w:bottom w:val="single" w:sz="4" w:space="0" w:color="17365D"/>
              <w:right w:val="nil"/>
            </w:tcBorders>
            <w:shd w:val="clear" w:color="auto" w:fill="auto"/>
          </w:tcPr>
          <w:p w14:paraId="67AAA01F" w14:textId="1155B090"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-1 706 090</w:t>
            </w:r>
          </w:p>
        </w:tc>
        <w:tc>
          <w:tcPr>
            <w:tcW w:w="960" w:type="dxa"/>
            <w:tcBorders>
              <w:top w:val="single" w:sz="4" w:space="0" w:color="17365D"/>
              <w:left w:val="nil"/>
              <w:bottom w:val="single" w:sz="4" w:space="0" w:color="17365D"/>
              <w:right w:val="nil"/>
            </w:tcBorders>
            <w:shd w:val="clear" w:color="auto" w:fill="auto"/>
          </w:tcPr>
          <w:p w14:paraId="17CDC338" w14:textId="3AF0229C"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-2 302 601</w:t>
            </w:r>
          </w:p>
        </w:tc>
        <w:tc>
          <w:tcPr>
            <w:tcW w:w="962" w:type="dxa"/>
            <w:tcBorders>
              <w:top w:val="single" w:sz="4" w:space="0" w:color="17365D"/>
              <w:left w:val="nil"/>
              <w:bottom w:val="single" w:sz="4" w:space="0" w:color="17365D"/>
              <w:right w:val="nil"/>
            </w:tcBorders>
            <w:shd w:val="clear" w:color="auto" w:fill="auto"/>
          </w:tcPr>
          <w:p w14:paraId="4BC6FBC8" w14:textId="44090897"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-596 511</w:t>
            </w:r>
          </w:p>
        </w:tc>
        <w:tc>
          <w:tcPr>
            <w:tcW w:w="1047" w:type="dxa"/>
            <w:tcBorders>
              <w:top w:val="single" w:sz="4" w:space="0" w:color="17365D"/>
              <w:left w:val="nil"/>
              <w:bottom w:val="single" w:sz="4" w:space="0" w:color="17365D"/>
              <w:right w:val="nil"/>
            </w:tcBorders>
            <w:shd w:val="clear" w:color="auto" w:fill="auto"/>
          </w:tcPr>
          <w:p w14:paraId="2BB60997" w14:textId="4B597EFD"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699 698</w:t>
            </w:r>
          </w:p>
        </w:tc>
        <w:tc>
          <w:tcPr>
            <w:tcW w:w="1047" w:type="dxa"/>
            <w:tcBorders>
              <w:top w:val="single" w:sz="4" w:space="0" w:color="17365D"/>
              <w:left w:val="nil"/>
              <w:bottom w:val="single" w:sz="4" w:space="0" w:color="17365D"/>
              <w:right w:val="nil"/>
            </w:tcBorders>
            <w:shd w:val="clear" w:color="auto" w:fill="auto"/>
          </w:tcPr>
          <w:p w14:paraId="019AA8D8" w14:textId="4274A0D2"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2 405 788</w:t>
            </w:r>
          </w:p>
        </w:tc>
        <w:tc>
          <w:tcPr>
            <w:tcW w:w="1046" w:type="dxa"/>
            <w:tcBorders>
              <w:top w:val="single" w:sz="4" w:space="0" w:color="17365D"/>
              <w:left w:val="nil"/>
              <w:bottom w:val="single" w:sz="4" w:space="0" w:color="17365D"/>
              <w:right w:val="nil"/>
            </w:tcBorders>
            <w:shd w:val="clear" w:color="auto" w:fill="auto"/>
          </w:tcPr>
          <w:p w14:paraId="254C28C8" w14:textId="33F84575"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3 002 299</w:t>
            </w:r>
          </w:p>
        </w:tc>
        <w:tc>
          <w:tcPr>
            <w:tcW w:w="1086" w:type="dxa"/>
            <w:tcBorders>
              <w:top w:val="single" w:sz="4" w:space="0" w:color="17365D"/>
              <w:left w:val="nil"/>
              <w:bottom w:val="single" w:sz="4" w:space="0" w:color="17365D"/>
              <w:right w:val="nil"/>
            </w:tcBorders>
            <w:shd w:val="clear" w:color="auto" w:fill="auto"/>
          </w:tcPr>
          <w:p w14:paraId="75C550FA" w14:textId="0A2498F0"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2 373 988</w:t>
            </w:r>
          </w:p>
        </w:tc>
      </w:tr>
      <w:tr w:rsidR="00B36A61" w:rsidRPr="00B36A61" w14:paraId="3431BEB9" w14:textId="77777777" w:rsidTr="008905A6">
        <w:trPr>
          <w:trHeight w:val="284"/>
        </w:trPr>
        <w:tc>
          <w:tcPr>
            <w:tcW w:w="643" w:type="dxa"/>
            <w:tcBorders>
              <w:top w:val="single" w:sz="4" w:space="0" w:color="17365D"/>
              <w:bottom w:val="single" w:sz="4" w:space="0" w:color="17365D"/>
            </w:tcBorders>
            <w:shd w:val="clear" w:color="auto" w:fill="auto"/>
            <w:vAlign w:val="center"/>
          </w:tcPr>
          <w:p w14:paraId="34B4721F" w14:textId="2B72E4E2" w:rsidR="009F7990" w:rsidRPr="00B36A61" w:rsidRDefault="009F7990" w:rsidP="009F7990">
            <w:pPr>
              <w:pStyle w:val="Pamatteksts"/>
              <w:spacing w:before="40" w:after="40"/>
              <w:ind w:firstLine="0"/>
              <w:jc w:val="left"/>
              <w:rPr>
                <w:b/>
                <w:color w:val="17365D"/>
                <w:sz w:val="16"/>
                <w:szCs w:val="16"/>
              </w:rPr>
            </w:pPr>
            <w:r w:rsidRPr="00B36A61">
              <w:rPr>
                <w:b/>
                <w:color w:val="17365D"/>
                <w:sz w:val="16"/>
                <w:szCs w:val="16"/>
              </w:rPr>
              <w:t>IV.</w:t>
            </w:r>
          </w:p>
        </w:tc>
        <w:tc>
          <w:tcPr>
            <w:tcW w:w="1609" w:type="dxa"/>
            <w:tcBorders>
              <w:top w:val="single" w:sz="4" w:space="0" w:color="17365D"/>
              <w:bottom w:val="single" w:sz="4" w:space="0" w:color="17365D"/>
            </w:tcBorders>
            <w:shd w:val="clear" w:color="auto" w:fill="auto"/>
            <w:vAlign w:val="center"/>
          </w:tcPr>
          <w:p w14:paraId="098AEAFA" w14:textId="013EE720" w:rsidR="009F7990" w:rsidRPr="00B36A61" w:rsidRDefault="009F7990" w:rsidP="009F7990">
            <w:pPr>
              <w:pStyle w:val="Pamatteksts"/>
              <w:spacing w:before="40" w:after="40"/>
              <w:ind w:firstLine="0"/>
              <w:jc w:val="left"/>
              <w:rPr>
                <w:b/>
                <w:color w:val="17365D"/>
                <w:sz w:val="16"/>
                <w:szCs w:val="16"/>
              </w:rPr>
            </w:pPr>
            <w:r w:rsidRPr="00B36A61">
              <w:rPr>
                <w:b/>
                <w:bCs/>
                <w:color w:val="17365D"/>
                <w:sz w:val="16"/>
                <w:szCs w:val="16"/>
              </w:rPr>
              <w:t>Finansēšana</w:t>
            </w:r>
          </w:p>
        </w:tc>
        <w:tc>
          <w:tcPr>
            <w:tcW w:w="960" w:type="dxa"/>
            <w:tcBorders>
              <w:top w:val="single" w:sz="4" w:space="0" w:color="17365D"/>
              <w:left w:val="nil"/>
              <w:bottom w:val="single" w:sz="4" w:space="0" w:color="17365D"/>
              <w:right w:val="nil"/>
            </w:tcBorders>
            <w:shd w:val="clear" w:color="auto" w:fill="auto"/>
          </w:tcPr>
          <w:p w14:paraId="316538E3" w14:textId="1B05C2C6"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1 706 090</w:t>
            </w:r>
          </w:p>
        </w:tc>
        <w:tc>
          <w:tcPr>
            <w:tcW w:w="960" w:type="dxa"/>
            <w:tcBorders>
              <w:top w:val="single" w:sz="4" w:space="0" w:color="17365D"/>
              <w:left w:val="nil"/>
              <w:bottom w:val="single" w:sz="4" w:space="0" w:color="17365D"/>
              <w:right w:val="nil"/>
            </w:tcBorders>
            <w:shd w:val="clear" w:color="auto" w:fill="auto"/>
          </w:tcPr>
          <w:p w14:paraId="13441B8F" w14:textId="7A7F6F42"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2 302 601</w:t>
            </w:r>
          </w:p>
        </w:tc>
        <w:tc>
          <w:tcPr>
            <w:tcW w:w="962" w:type="dxa"/>
            <w:tcBorders>
              <w:top w:val="single" w:sz="4" w:space="0" w:color="17365D"/>
              <w:left w:val="nil"/>
              <w:bottom w:val="single" w:sz="4" w:space="0" w:color="17365D"/>
              <w:right w:val="nil"/>
            </w:tcBorders>
            <w:shd w:val="clear" w:color="auto" w:fill="auto"/>
          </w:tcPr>
          <w:p w14:paraId="36E1EE2E" w14:textId="6C6BAF63"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596 511</w:t>
            </w:r>
          </w:p>
        </w:tc>
        <w:tc>
          <w:tcPr>
            <w:tcW w:w="1047" w:type="dxa"/>
            <w:tcBorders>
              <w:top w:val="single" w:sz="4" w:space="0" w:color="17365D"/>
              <w:left w:val="nil"/>
              <w:bottom w:val="single" w:sz="4" w:space="0" w:color="17365D"/>
              <w:right w:val="nil"/>
            </w:tcBorders>
            <w:shd w:val="clear" w:color="auto" w:fill="auto"/>
          </w:tcPr>
          <w:p w14:paraId="147B1B27" w14:textId="448BACC9"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-699 698</w:t>
            </w:r>
          </w:p>
        </w:tc>
        <w:tc>
          <w:tcPr>
            <w:tcW w:w="1047" w:type="dxa"/>
            <w:tcBorders>
              <w:top w:val="single" w:sz="4" w:space="0" w:color="17365D"/>
              <w:left w:val="nil"/>
              <w:bottom w:val="single" w:sz="4" w:space="0" w:color="17365D"/>
              <w:right w:val="nil"/>
            </w:tcBorders>
            <w:shd w:val="clear" w:color="auto" w:fill="auto"/>
          </w:tcPr>
          <w:p w14:paraId="51CD62BC" w14:textId="1B998C1E"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-2 405 788</w:t>
            </w:r>
          </w:p>
        </w:tc>
        <w:tc>
          <w:tcPr>
            <w:tcW w:w="1046" w:type="dxa"/>
            <w:tcBorders>
              <w:top w:val="single" w:sz="4" w:space="0" w:color="17365D"/>
              <w:left w:val="nil"/>
              <w:bottom w:val="single" w:sz="4" w:space="0" w:color="17365D"/>
              <w:right w:val="nil"/>
            </w:tcBorders>
            <w:shd w:val="clear" w:color="auto" w:fill="auto"/>
          </w:tcPr>
          <w:p w14:paraId="4F51AFA5" w14:textId="7BA5740A"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-3 002 299</w:t>
            </w:r>
          </w:p>
        </w:tc>
        <w:tc>
          <w:tcPr>
            <w:tcW w:w="1086" w:type="dxa"/>
            <w:tcBorders>
              <w:top w:val="single" w:sz="4" w:space="0" w:color="17365D"/>
              <w:left w:val="nil"/>
              <w:bottom w:val="single" w:sz="4" w:space="0" w:color="17365D"/>
              <w:right w:val="nil"/>
            </w:tcBorders>
            <w:shd w:val="clear" w:color="auto" w:fill="auto"/>
          </w:tcPr>
          <w:p w14:paraId="0BCC359F" w14:textId="5F8C06D4" w:rsidR="009F7990" w:rsidRPr="00B36A61" w:rsidRDefault="009F7990" w:rsidP="009F7990">
            <w:pPr>
              <w:pStyle w:val="Pamatteksts"/>
              <w:spacing w:before="40" w:after="40"/>
              <w:ind w:firstLine="0"/>
              <w:jc w:val="right"/>
              <w:rPr>
                <w:b/>
                <w:bCs/>
                <w:color w:val="17365D"/>
                <w:sz w:val="16"/>
                <w:szCs w:val="16"/>
              </w:rPr>
            </w:pPr>
            <w:r w:rsidRPr="00B36A61">
              <w:rPr>
                <w:b/>
                <w:bCs/>
                <w:color w:val="17365D"/>
                <w:sz w:val="16"/>
                <w:szCs w:val="16"/>
              </w:rPr>
              <w:t>-2 373 988</w:t>
            </w:r>
          </w:p>
        </w:tc>
      </w:tr>
      <w:tr w:rsidR="00B36A61" w:rsidRPr="00B36A61" w14:paraId="5AFBF21D" w14:textId="77777777" w:rsidTr="008905A6">
        <w:trPr>
          <w:trHeight w:val="284"/>
        </w:trPr>
        <w:tc>
          <w:tcPr>
            <w:tcW w:w="643" w:type="dxa"/>
            <w:tcBorders>
              <w:top w:val="single" w:sz="4" w:space="0" w:color="17365D"/>
              <w:bottom w:val="single" w:sz="4" w:space="0" w:color="17365D"/>
            </w:tcBorders>
            <w:shd w:val="clear" w:color="auto" w:fill="auto"/>
            <w:vAlign w:val="center"/>
          </w:tcPr>
          <w:p w14:paraId="566D18C8" w14:textId="71C3826C" w:rsidR="009F7990" w:rsidRPr="00B36A61" w:rsidRDefault="009F7990" w:rsidP="009F7990">
            <w:pPr>
              <w:pStyle w:val="Pamatteksts"/>
              <w:spacing w:before="40" w:after="40"/>
              <w:ind w:firstLine="0"/>
              <w:jc w:val="left"/>
              <w:rPr>
                <w:color w:val="17365D"/>
                <w:sz w:val="16"/>
                <w:szCs w:val="16"/>
              </w:rPr>
            </w:pPr>
            <w:r w:rsidRPr="00B36A61">
              <w:rPr>
                <w:color w:val="17365D"/>
                <w:sz w:val="16"/>
                <w:szCs w:val="16"/>
              </w:rPr>
              <w:t>F20010000</w:t>
            </w:r>
          </w:p>
        </w:tc>
        <w:tc>
          <w:tcPr>
            <w:tcW w:w="1609" w:type="dxa"/>
            <w:tcBorders>
              <w:top w:val="single" w:sz="4" w:space="0" w:color="17365D"/>
              <w:bottom w:val="single" w:sz="4" w:space="0" w:color="17365D"/>
            </w:tcBorders>
            <w:shd w:val="clear" w:color="auto" w:fill="auto"/>
            <w:vAlign w:val="center"/>
          </w:tcPr>
          <w:p w14:paraId="325C89D2" w14:textId="65356CA5" w:rsidR="009F7990" w:rsidRPr="00B36A61" w:rsidRDefault="009F7990" w:rsidP="009F7990">
            <w:pPr>
              <w:pStyle w:val="Pamatteksts"/>
              <w:spacing w:before="40" w:after="40"/>
              <w:ind w:firstLine="0"/>
              <w:jc w:val="left"/>
              <w:rPr>
                <w:color w:val="17365D"/>
                <w:sz w:val="16"/>
                <w:szCs w:val="16"/>
              </w:rPr>
            </w:pPr>
            <w:r w:rsidRPr="00B36A61">
              <w:rPr>
                <w:bCs/>
                <w:color w:val="17365D"/>
                <w:sz w:val="16"/>
                <w:szCs w:val="16"/>
              </w:rPr>
              <w:t>Naudas līdzekļi un noguldījumi (bilances aktīvā</w:t>
            </w:r>
            <w:r w:rsidRPr="00B36A61">
              <w:rPr>
                <w:b/>
                <w:bCs/>
                <w:color w:val="17365D"/>
                <w:sz w:val="16"/>
                <w:szCs w:val="16"/>
              </w:rPr>
              <w:t>)</w:t>
            </w:r>
          </w:p>
        </w:tc>
        <w:tc>
          <w:tcPr>
            <w:tcW w:w="960" w:type="dxa"/>
            <w:tcBorders>
              <w:top w:val="single" w:sz="4" w:space="0" w:color="17365D"/>
              <w:left w:val="nil"/>
              <w:bottom w:val="single" w:sz="4" w:space="0" w:color="17365D"/>
              <w:right w:val="nil"/>
            </w:tcBorders>
            <w:shd w:val="clear" w:color="auto" w:fill="auto"/>
          </w:tcPr>
          <w:p w14:paraId="23201CF9" w14:textId="7E0CA77D"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1 706 090</w:t>
            </w:r>
          </w:p>
        </w:tc>
        <w:tc>
          <w:tcPr>
            <w:tcW w:w="960" w:type="dxa"/>
            <w:tcBorders>
              <w:top w:val="single" w:sz="4" w:space="0" w:color="17365D"/>
              <w:left w:val="nil"/>
              <w:bottom w:val="single" w:sz="4" w:space="0" w:color="17365D"/>
              <w:right w:val="nil"/>
            </w:tcBorders>
            <w:shd w:val="clear" w:color="auto" w:fill="auto"/>
          </w:tcPr>
          <w:p w14:paraId="22045493" w14:textId="11DE5B46"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2 302 601</w:t>
            </w:r>
          </w:p>
        </w:tc>
        <w:tc>
          <w:tcPr>
            <w:tcW w:w="962" w:type="dxa"/>
            <w:tcBorders>
              <w:top w:val="single" w:sz="4" w:space="0" w:color="17365D"/>
              <w:left w:val="nil"/>
              <w:bottom w:val="single" w:sz="4" w:space="0" w:color="17365D"/>
              <w:right w:val="nil"/>
            </w:tcBorders>
            <w:shd w:val="clear" w:color="auto" w:fill="auto"/>
          </w:tcPr>
          <w:p w14:paraId="1B2D5642" w14:textId="79E5146C"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596 511</w:t>
            </w:r>
          </w:p>
        </w:tc>
        <w:tc>
          <w:tcPr>
            <w:tcW w:w="1047" w:type="dxa"/>
            <w:tcBorders>
              <w:top w:val="single" w:sz="4" w:space="0" w:color="17365D"/>
              <w:left w:val="nil"/>
              <w:bottom w:val="single" w:sz="4" w:space="0" w:color="17365D"/>
              <w:right w:val="nil"/>
            </w:tcBorders>
            <w:shd w:val="clear" w:color="auto" w:fill="auto"/>
          </w:tcPr>
          <w:p w14:paraId="3552E710" w14:textId="0BA2B23B"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-699 698</w:t>
            </w:r>
          </w:p>
        </w:tc>
        <w:tc>
          <w:tcPr>
            <w:tcW w:w="1047" w:type="dxa"/>
            <w:tcBorders>
              <w:top w:val="single" w:sz="4" w:space="0" w:color="17365D"/>
              <w:left w:val="nil"/>
              <w:bottom w:val="single" w:sz="4" w:space="0" w:color="17365D"/>
              <w:right w:val="nil"/>
            </w:tcBorders>
            <w:shd w:val="clear" w:color="auto" w:fill="auto"/>
          </w:tcPr>
          <w:p w14:paraId="4877166C" w14:textId="3510A483"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-2 405 788</w:t>
            </w:r>
          </w:p>
        </w:tc>
        <w:tc>
          <w:tcPr>
            <w:tcW w:w="1046" w:type="dxa"/>
            <w:tcBorders>
              <w:top w:val="single" w:sz="4" w:space="0" w:color="17365D"/>
              <w:left w:val="nil"/>
              <w:bottom w:val="single" w:sz="4" w:space="0" w:color="17365D"/>
              <w:right w:val="nil"/>
            </w:tcBorders>
            <w:shd w:val="clear" w:color="auto" w:fill="auto"/>
          </w:tcPr>
          <w:p w14:paraId="1BA3FD43" w14:textId="16B5879F"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-3 002 299</w:t>
            </w:r>
          </w:p>
        </w:tc>
        <w:tc>
          <w:tcPr>
            <w:tcW w:w="1086" w:type="dxa"/>
            <w:tcBorders>
              <w:top w:val="single" w:sz="4" w:space="0" w:color="17365D"/>
              <w:left w:val="nil"/>
              <w:bottom w:val="single" w:sz="4" w:space="0" w:color="17365D"/>
              <w:right w:val="nil"/>
            </w:tcBorders>
            <w:shd w:val="clear" w:color="auto" w:fill="auto"/>
          </w:tcPr>
          <w:p w14:paraId="7D37A683" w14:textId="74608DCC"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-2 373 988</w:t>
            </w:r>
          </w:p>
        </w:tc>
      </w:tr>
      <w:tr w:rsidR="00B36A61" w:rsidRPr="00B36A61" w14:paraId="0EE4FD5F" w14:textId="77777777" w:rsidTr="008905A6">
        <w:trPr>
          <w:trHeight w:val="284"/>
        </w:trPr>
        <w:tc>
          <w:tcPr>
            <w:tcW w:w="643" w:type="dxa"/>
            <w:tcBorders>
              <w:top w:val="single" w:sz="4" w:space="0" w:color="17365D"/>
              <w:bottom w:val="nil"/>
            </w:tcBorders>
            <w:shd w:val="clear" w:color="auto" w:fill="auto"/>
            <w:vAlign w:val="center"/>
          </w:tcPr>
          <w:p w14:paraId="3A947562" w14:textId="77777777" w:rsidR="009F7990" w:rsidRPr="00B36A61" w:rsidRDefault="009F7990" w:rsidP="009F7990">
            <w:pPr>
              <w:pStyle w:val="Pamatteksts"/>
              <w:spacing w:before="40" w:after="40"/>
              <w:ind w:firstLine="0"/>
              <w:jc w:val="left"/>
              <w:rPr>
                <w:color w:val="17365D"/>
                <w:sz w:val="16"/>
                <w:szCs w:val="16"/>
              </w:rPr>
            </w:pPr>
          </w:p>
        </w:tc>
        <w:tc>
          <w:tcPr>
            <w:tcW w:w="1609" w:type="dxa"/>
            <w:tcBorders>
              <w:top w:val="single" w:sz="4" w:space="0" w:color="17365D"/>
              <w:bottom w:val="nil"/>
            </w:tcBorders>
            <w:shd w:val="clear" w:color="auto" w:fill="auto"/>
            <w:vAlign w:val="center"/>
          </w:tcPr>
          <w:p w14:paraId="6C6810CF" w14:textId="51442376" w:rsidR="009F7990" w:rsidRPr="00B36A61" w:rsidRDefault="009F7990" w:rsidP="009F7990">
            <w:pPr>
              <w:pStyle w:val="Pamatteksts"/>
              <w:spacing w:before="40" w:after="40"/>
              <w:ind w:firstLine="0"/>
              <w:jc w:val="left"/>
              <w:rPr>
                <w:bCs/>
                <w:color w:val="17365D"/>
                <w:sz w:val="16"/>
                <w:szCs w:val="16"/>
              </w:rPr>
            </w:pPr>
            <w:r w:rsidRPr="00B36A61">
              <w:rPr>
                <w:bCs/>
                <w:color w:val="17365D"/>
                <w:sz w:val="16"/>
                <w:szCs w:val="16"/>
              </w:rPr>
              <w:t>Maksas pakalpojumu un citu pašu ieņēmumu naudas līdzekļu atlikumu izmaiņas (palielinājums (–) vai samazinājums (+))</w:t>
            </w:r>
          </w:p>
        </w:tc>
        <w:tc>
          <w:tcPr>
            <w:tcW w:w="960" w:type="dxa"/>
            <w:tcBorders>
              <w:top w:val="single" w:sz="4" w:space="0" w:color="17365D"/>
              <w:left w:val="nil"/>
              <w:bottom w:val="nil"/>
              <w:right w:val="nil"/>
            </w:tcBorders>
            <w:shd w:val="clear" w:color="auto" w:fill="auto"/>
          </w:tcPr>
          <w:p w14:paraId="6F59B7BA" w14:textId="4A24E8F8"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1 706 090</w:t>
            </w:r>
          </w:p>
        </w:tc>
        <w:tc>
          <w:tcPr>
            <w:tcW w:w="960" w:type="dxa"/>
            <w:tcBorders>
              <w:top w:val="single" w:sz="4" w:space="0" w:color="17365D"/>
              <w:left w:val="nil"/>
              <w:bottom w:val="nil"/>
              <w:right w:val="nil"/>
            </w:tcBorders>
            <w:shd w:val="clear" w:color="auto" w:fill="auto"/>
          </w:tcPr>
          <w:p w14:paraId="5FEA5560" w14:textId="75805378"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2 302 601</w:t>
            </w:r>
          </w:p>
        </w:tc>
        <w:tc>
          <w:tcPr>
            <w:tcW w:w="962" w:type="dxa"/>
            <w:tcBorders>
              <w:top w:val="single" w:sz="4" w:space="0" w:color="17365D"/>
              <w:left w:val="nil"/>
              <w:bottom w:val="nil"/>
              <w:right w:val="nil"/>
            </w:tcBorders>
            <w:shd w:val="clear" w:color="auto" w:fill="auto"/>
          </w:tcPr>
          <w:p w14:paraId="3BDA38FD" w14:textId="7A40E33B"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596 511</w:t>
            </w:r>
          </w:p>
        </w:tc>
        <w:tc>
          <w:tcPr>
            <w:tcW w:w="1047" w:type="dxa"/>
            <w:tcBorders>
              <w:top w:val="single" w:sz="4" w:space="0" w:color="17365D"/>
              <w:left w:val="nil"/>
              <w:bottom w:val="nil"/>
              <w:right w:val="nil"/>
            </w:tcBorders>
            <w:shd w:val="clear" w:color="auto" w:fill="auto"/>
          </w:tcPr>
          <w:p w14:paraId="3DC91814" w14:textId="70204533"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-699 698</w:t>
            </w:r>
          </w:p>
        </w:tc>
        <w:tc>
          <w:tcPr>
            <w:tcW w:w="1047" w:type="dxa"/>
            <w:tcBorders>
              <w:top w:val="single" w:sz="4" w:space="0" w:color="17365D"/>
              <w:left w:val="nil"/>
              <w:bottom w:val="nil"/>
              <w:right w:val="nil"/>
            </w:tcBorders>
            <w:shd w:val="clear" w:color="auto" w:fill="auto"/>
          </w:tcPr>
          <w:p w14:paraId="66AD8CC2" w14:textId="5802C75E"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-2 405 788</w:t>
            </w:r>
          </w:p>
        </w:tc>
        <w:tc>
          <w:tcPr>
            <w:tcW w:w="1046" w:type="dxa"/>
            <w:tcBorders>
              <w:top w:val="single" w:sz="4" w:space="0" w:color="17365D"/>
              <w:left w:val="nil"/>
              <w:bottom w:val="nil"/>
              <w:right w:val="nil"/>
            </w:tcBorders>
            <w:shd w:val="clear" w:color="auto" w:fill="auto"/>
          </w:tcPr>
          <w:p w14:paraId="2AFDD1FC" w14:textId="16604D20"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-3 002 299</w:t>
            </w:r>
          </w:p>
        </w:tc>
        <w:tc>
          <w:tcPr>
            <w:tcW w:w="1086" w:type="dxa"/>
            <w:tcBorders>
              <w:top w:val="single" w:sz="4" w:space="0" w:color="17365D"/>
              <w:left w:val="nil"/>
              <w:bottom w:val="nil"/>
              <w:right w:val="nil"/>
            </w:tcBorders>
            <w:shd w:val="clear" w:color="auto" w:fill="auto"/>
          </w:tcPr>
          <w:p w14:paraId="666D6C6A" w14:textId="26E38D4F" w:rsidR="009F7990" w:rsidRPr="00B36A61" w:rsidRDefault="009F7990" w:rsidP="009F7990">
            <w:pPr>
              <w:pStyle w:val="Pamatteksts"/>
              <w:spacing w:before="40" w:after="40"/>
              <w:ind w:firstLine="0"/>
              <w:jc w:val="right"/>
              <w:rPr>
                <w:bCs/>
                <w:color w:val="17365D"/>
                <w:sz w:val="16"/>
                <w:szCs w:val="16"/>
              </w:rPr>
            </w:pPr>
            <w:r w:rsidRPr="00B36A61">
              <w:rPr>
                <w:bCs/>
                <w:color w:val="17365D"/>
                <w:sz w:val="16"/>
                <w:szCs w:val="16"/>
              </w:rPr>
              <w:t>-2 373 988</w:t>
            </w:r>
          </w:p>
        </w:tc>
      </w:tr>
      <w:tr w:rsidR="00B36A61" w:rsidRPr="00B36A61" w14:paraId="64C9AAB2" w14:textId="77777777" w:rsidTr="00437740">
        <w:trPr>
          <w:trHeight w:val="284"/>
        </w:trPr>
        <w:tc>
          <w:tcPr>
            <w:tcW w:w="643" w:type="dxa"/>
            <w:tcBorders>
              <w:top w:val="nil"/>
              <w:bottom w:val="nil"/>
            </w:tcBorders>
            <w:shd w:val="clear" w:color="auto" w:fill="B9CDE5"/>
            <w:vAlign w:val="center"/>
          </w:tcPr>
          <w:p w14:paraId="0E57B167" w14:textId="77777777" w:rsidR="00467DFA" w:rsidRPr="00B36A61" w:rsidRDefault="00467DFA" w:rsidP="00EA3761">
            <w:pPr>
              <w:pStyle w:val="Pamatteksts"/>
              <w:spacing w:before="40" w:after="40"/>
              <w:ind w:firstLine="0"/>
              <w:jc w:val="left"/>
              <w:rPr>
                <w:color w:val="17365D"/>
                <w:sz w:val="16"/>
                <w:szCs w:val="16"/>
              </w:rPr>
            </w:pPr>
          </w:p>
        </w:tc>
        <w:tc>
          <w:tcPr>
            <w:tcW w:w="1609" w:type="dxa"/>
            <w:tcBorders>
              <w:top w:val="nil"/>
              <w:bottom w:val="nil"/>
            </w:tcBorders>
            <w:shd w:val="clear" w:color="auto" w:fill="B9CDE5"/>
            <w:vAlign w:val="center"/>
          </w:tcPr>
          <w:p w14:paraId="553D82B3" w14:textId="77777777" w:rsidR="00467DFA" w:rsidRPr="00B36A61" w:rsidRDefault="00467DFA" w:rsidP="00EA3761">
            <w:pPr>
              <w:pStyle w:val="Pamatteksts"/>
              <w:spacing w:before="40" w:after="40"/>
              <w:ind w:firstLine="0"/>
              <w:jc w:val="left"/>
              <w:rPr>
                <w:bCs/>
                <w:color w:val="17365D"/>
                <w:sz w:val="16"/>
                <w:szCs w:val="16"/>
              </w:rPr>
            </w:pPr>
          </w:p>
        </w:tc>
        <w:tc>
          <w:tcPr>
            <w:tcW w:w="960" w:type="dxa"/>
            <w:tcBorders>
              <w:top w:val="nil"/>
              <w:bottom w:val="nil"/>
            </w:tcBorders>
            <w:shd w:val="clear" w:color="auto" w:fill="B9CDE5"/>
            <w:vAlign w:val="center"/>
          </w:tcPr>
          <w:p w14:paraId="33CBF567" w14:textId="77777777" w:rsidR="00467DFA" w:rsidRPr="00B36A61" w:rsidRDefault="00467DFA" w:rsidP="00EA3761">
            <w:pPr>
              <w:pStyle w:val="Pamatteksts"/>
              <w:spacing w:before="40" w:after="40"/>
              <w:ind w:firstLine="0"/>
              <w:jc w:val="right"/>
              <w:rPr>
                <w:bCs/>
                <w:color w:val="17365D"/>
                <w:sz w:val="16"/>
                <w:szCs w:val="16"/>
              </w:rPr>
            </w:pPr>
          </w:p>
        </w:tc>
        <w:tc>
          <w:tcPr>
            <w:tcW w:w="960" w:type="dxa"/>
            <w:tcBorders>
              <w:top w:val="nil"/>
              <w:bottom w:val="nil"/>
            </w:tcBorders>
            <w:shd w:val="clear" w:color="auto" w:fill="B9CDE5"/>
            <w:vAlign w:val="center"/>
          </w:tcPr>
          <w:p w14:paraId="32924B3B" w14:textId="77777777" w:rsidR="00467DFA" w:rsidRPr="00B36A61" w:rsidRDefault="00467DFA" w:rsidP="00EA3761">
            <w:pPr>
              <w:pStyle w:val="Pamatteksts"/>
              <w:spacing w:before="40" w:after="40"/>
              <w:ind w:firstLine="0"/>
              <w:jc w:val="right"/>
              <w:rPr>
                <w:bCs/>
                <w:color w:val="17365D"/>
                <w:sz w:val="16"/>
                <w:szCs w:val="16"/>
              </w:rPr>
            </w:pPr>
          </w:p>
        </w:tc>
        <w:tc>
          <w:tcPr>
            <w:tcW w:w="962" w:type="dxa"/>
            <w:tcBorders>
              <w:top w:val="nil"/>
              <w:bottom w:val="nil"/>
            </w:tcBorders>
            <w:shd w:val="clear" w:color="auto" w:fill="B9CDE5"/>
            <w:vAlign w:val="center"/>
          </w:tcPr>
          <w:p w14:paraId="315CF5F8" w14:textId="77777777" w:rsidR="00467DFA" w:rsidRPr="00B36A61" w:rsidRDefault="00467DFA" w:rsidP="00EA3761">
            <w:pPr>
              <w:pStyle w:val="Pamatteksts"/>
              <w:spacing w:before="40" w:after="40"/>
              <w:ind w:firstLine="0"/>
              <w:jc w:val="right"/>
              <w:rPr>
                <w:bCs/>
                <w:color w:val="17365D"/>
                <w:sz w:val="16"/>
                <w:szCs w:val="16"/>
              </w:rPr>
            </w:pPr>
          </w:p>
        </w:tc>
        <w:tc>
          <w:tcPr>
            <w:tcW w:w="1047" w:type="dxa"/>
            <w:tcBorders>
              <w:top w:val="nil"/>
              <w:bottom w:val="nil"/>
            </w:tcBorders>
            <w:shd w:val="clear" w:color="auto" w:fill="B9CDE5"/>
            <w:vAlign w:val="center"/>
          </w:tcPr>
          <w:p w14:paraId="5654F546" w14:textId="77777777" w:rsidR="00467DFA" w:rsidRPr="00B36A61" w:rsidRDefault="00467DFA" w:rsidP="00EA3761">
            <w:pPr>
              <w:pStyle w:val="Pamatteksts"/>
              <w:spacing w:before="40" w:after="40"/>
              <w:ind w:firstLine="0"/>
              <w:jc w:val="right"/>
              <w:rPr>
                <w:bCs/>
                <w:color w:val="17365D"/>
                <w:sz w:val="16"/>
                <w:szCs w:val="16"/>
              </w:rPr>
            </w:pPr>
          </w:p>
        </w:tc>
        <w:tc>
          <w:tcPr>
            <w:tcW w:w="1047" w:type="dxa"/>
            <w:tcBorders>
              <w:top w:val="nil"/>
              <w:bottom w:val="nil"/>
            </w:tcBorders>
            <w:shd w:val="clear" w:color="auto" w:fill="B9CDE5"/>
            <w:vAlign w:val="center"/>
          </w:tcPr>
          <w:p w14:paraId="14525187" w14:textId="77777777" w:rsidR="00467DFA" w:rsidRPr="00B36A61" w:rsidRDefault="00467DFA" w:rsidP="00EA3761">
            <w:pPr>
              <w:pStyle w:val="Pamatteksts"/>
              <w:spacing w:before="40" w:after="40"/>
              <w:ind w:firstLine="0"/>
              <w:jc w:val="right"/>
              <w:rPr>
                <w:bCs/>
                <w:color w:val="17365D"/>
                <w:sz w:val="16"/>
                <w:szCs w:val="16"/>
              </w:rPr>
            </w:pPr>
          </w:p>
        </w:tc>
        <w:tc>
          <w:tcPr>
            <w:tcW w:w="1046" w:type="dxa"/>
            <w:tcBorders>
              <w:top w:val="nil"/>
              <w:bottom w:val="nil"/>
            </w:tcBorders>
            <w:shd w:val="clear" w:color="auto" w:fill="B9CDE5"/>
            <w:vAlign w:val="center"/>
          </w:tcPr>
          <w:p w14:paraId="350E6C61" w14:textId="77777777" w:rsidR="00467DFA" w:rsidRPr="00B36A61" w:rsidRDefault="00467DFA" w:rsidP="00EA3761">
            <w:pPr>
              <w:pStyle w:val="Pamatteksts"/>
              <w:spacing w:before="40" w:after="40"/>
              <w:ind w:firstLine="0"/>
              <w:jc w:val="right"/>
              <w:rPr>
                <w:bCs/>
                <w:color w:val="17365D"/>
                <w:sz w:val="16"/>
                <w:szCs w:val="16"/>
              </w:rPr>
            </w:pPr>
          </w:p>
        </w:tc>
        <w:tc>
          <w:tcPr>
            <w:tcW w:w="1086" w:type="dxa"/>
            <w:tcBorders>
              <w:top w:val="nil"/>
              <w:bottom w:val="nil"/>
            </w:tcBorders>
            <w:shd w:val="clear" w:color="auto" w:fill="B9CDE5"/>
            <w:vAlign w:val="center"/>
          </w:tcPr>
          <w:p w14:paraId="056091E5" w14:textId="77777777" w:rsidR="00467DFA" w:rsidRPr="00B36A61" w:rsidRDefault="00467DFA" w:rsidP="00EA3761">
            <w:pPr>
              <w:pStyle w:val="Pamatteksts"/>
              <w:spacing w:before="40" w:after="40"/>
              <w:ind w:firstLine="0"/>
              <w:jc w:val="right"/>
              <w:rPr>
                <w:bCs/>
                <w:color w:val="17365D"/>
                <w:sz w:val="16"/>
                <w:szCs w:val="16"/>
              </w:rPr>
            </w:pPr>
          </w:p>
        </w:tc>
      </w:tr>
    </w:tbl>
    <w:p w14:paraId="110110C5" w14:textId="267A3F56" w:rsidR="00BD7A82" w:rsidRPr="00B36A61" w:rsidRDefault="00BD7A82" w:rsidP="003B7C3A">
      <w:pPr>
        <w:pStyle w:val="Heading1"/>
        <w:spacing w:after="240"/>
        <w:rPr>
          <w:rFonts w:cs="Times New Roman"/>
          <w:color w:val="17365D"/>
        </w:rPr>
      </w:pPr>
      <w:r w:rsidRPr="00B36A61">
        <w:rPr>
          <w:rFonts w:cs="Times New Roman"/>
          <w:color w:val="17365D"/>
        </w:rPr>
        <w:t xml:space="preserve">Valsts apdraudējuma un tā seku novēršanas un pārvarēšanas, īpašo atbalsta mehānismu īstenošanas un </w:t>
      </w:r>
      <w:r w:rsidR="00636A73" w:rsidRPr="00B36A61">
        <w:rPr>
          <w:rFonts w:cs="Times New Roman"/>
          <w:color w:val="17365D"/>
        </w:rPr>
        <w:t>Covid</w:t>
      </w:r>
      <w:r w:rsidR="004133B3" w:rsidRPr="00B36A61">
        <w:rPr>
          <w:rFonts w:cs="Times New Roman"/>
          <w:color w:val="17365D"/>
        </w:rPr>
        <w:t>-</w:t>
      </w:r>
      <w:r w:rsidR="00636A73" w:rsidRPr="00B36A61">
        <w:rPr>
          <w:rFonts w:cs="Times New Roman"/>
          <w:color w:val="17365D"/>
        </w:rPr>
        <w:t>19</w:t>
      </w:r>
      <w:r w:rsidRPr="00B36A61">
        <w:rPr>
          <w:rFonts w:cs="Times New Roman"/>
          <w:color w:val="17365D"/>
        </w:rPr>
        <w:t xml:space="preserve"> izplatības ierobežošanas pasākumu budžeta izpilde</w:t>
      </w:r>
    </w:p>
    <w:p w14:paraId="1A27E642" w14:textId="77777777" w:rsidR="005A73EA" w:rsidRPr="00B36A61" w:rsidRDefault="00BD7A82" w:rsidP="005A73EA">
      <w:pPr>
        <w:pStyle w:val="Pamatteksts"/>
        <w:rPr>
          <w:color w:val="17365D"/>
        </w:rPr>
      </w:pPr>
      <w:r w:rsidRPr="00B36A61">
        <w:rPr>
          <w:color w:val="17365D"/>
        </w:rPr>
        <w:t>13</w:t>
      </w:r>
      <w:r w:rsidR="004B35F9" w:rsidRPr="00B36A61">
        <w:rPr>
          <w:color w:val="17365D"/>
        </w:rPr>
        <w:t> </w:t>
      </w:r>
      <w:r w:rsidRPr="00B36A61">
        <w:rPr>
          <w:color w:val="17365D"/>
        </w:rPr>
        <w:t>ministrijās un 1</w:t>
      </w:r>
      <w:r w:rsidR="00345145" w:rsidRPr="00B36A61">
        <w:rPr>
          <w:color w:val="17365D"/>
        </w:rPr>
        <w:t>1</w:t>
      </w:r>
      <w:r w:rsidR="004B35F9" w:rsidRPr="00B36A61">
        <w:rPr>
          <w:color w:val="17365D"/>
        </w:rPr>
        <w:t> </w:t>
      </w:r>
      <w:r w:rsidRPr="00B36A61">
        <w:rPr>
          <w:color w:val="17365D"/>
        </w:rPr>
        <w:t>centrālajās valsts iestādēs 202</w:t>
      </w:r>
      <w:r w:rsidR="00425ED6" w:rsidRPr="00B36A61">
        <w:rPr>
          <w:color w:val="17365D"/>
        </w:rPr>
        <w:t>2</w:t>
      </w:r>
      <w:r w:rsidRPr="00B36A61">
        <w:rPr>
          <w:color w:val="17365D"/>
        </w:rPr>
        <w:t>.</w:t>
      </w:r>
      <w:r w:rsidR="004B35F9" w:rsidRPr="00B36A61">
        <w:rPr>
          <w:color w:val="17365D"/>
        </w:rPr>
        <w:t> </w:t>
      </w:r>
      <w:r w:rsidRPr="00B36A61">
        <w:rPr>
          <w:color w:val="17365D"/>
        </w:rPr>
        <w:t xml:space="preserve">gada pārskatos sniegta informāciju par pamatbudžeta līdzekļu izlietojumu </w:t>
      </w:r>
      <w:r w:rsidR="00425ED6" w:rsidRPr="00B36A61">
        <w:rPr>
          <w:color w:val="17365D"/>
        </w:rPr>
        <w:t>768</w:t>
      </w:r>
      <w:r w:rsidRPr="00B36A61">
        <w:rPr>
          <w:color w:val="17365D"/>
        </w:rPr>
        <w:t>,</w:t>
      </w:r>
      <w:r w:rsidR="00425ED6" w:rsidRPr="00B36A61">
        <w:rPr>
          <w:color w:val="17365D"/>
        </w:rPr>
        <w:t>6</w:t>
      </w:r>
      <w:r w:rsidRPr="00B36A61">
        <w:rPr>
          <w:color w:val="17365D"/>
        </w:rPr>
        <w:t> milj.</w:t>
      </w:r>
      <w:r w:rsidR="00DA1F5F" w:rsidRPr="00B36A61">
        <w:rPr>
          <w:color w:val="17365D"/>
        </w:rPr>
        <w:t> </w:t>
      </w:r>
      <w:r w:rsidRPr="00B36A61">
        <w:rPr>
          <w:i/>
          <w:color w:val="17365D"/>
        </w:rPr>
        <w:t>euro</w:t>
      </w:r>
      <w:r w:rsidR="00DA1F5F" w:rsidRPr="00B36A61">
        <w:rPr>
          <w:color w:val="17365D"/>
        </w:rPr>
        <w:t> </w:t>
      </w:r>
      <w:r w:rsidRPr="00B36A61">
        <w:rPr>
          <w:color w:val="17365D"/>
        </w:rPr>
        <w:t xml:space="preserve">apmērā </w:t>
      </w:r>
      <w:r w:rsidR="00A2113F" w:rsidRPr="00B36A61">
        <w:rPr>
          <w:color w:val="17365D"/>
        </w:rPr>
        <w:t>(</w:t>
      </w:r>
      <w:r w:rsidR="00A2113F" w:rsidRPr="00B36A61">
        <w:rPr>
          <w:noProof w:val="0"/>
          <w:color w:val="17365D"/>
        </w:rPr>
        <w:t>skatīt 5</w:t>
      </w:r>
      <w:r w:rsidR="004B35F9" w:rsidRPr="00B36A61">
        <w:rPr>
          <w:noProof w:val="0"/>
          <w:color w:val="17365D"/>
        </w:rPr>
        <w:t>.</w:t>
      </w:r>
      <w:r w:rsidR="00A2113F" w:rsidRPr="00B36A61">
        <w:rPr>
          <w:noProof w:val="0"/>
          <w:color w:val="17365D"/>
        </w:rPr>
        <w:t xml:space="preserve"> attēlu</w:t>
      </w:r>
      <w:r w:rsidR="00A2113F" w:rsidRPr="00B36A61">
        <w:rPr>
          <w:color w:val="17365D"/>
        </w:rPr>
        <w:t xml:space="preserve">) </w:t>
      </w:r>
      <w:r w:rsidRPr="00B36A61">
        <w:rPr>
          <w:color w:val="17365D"/>
        </w:rPr>
        <w:t>un speciālā budžeta līdzekļu izlietojum</w:t>
      </w:r>
      <w:r w:rsidR="004133B3" w:rsidRPr="00B36A61">
        <w:rPr>
          <w:color w:val="17365D"/>
        </w:rPr>
        <w:t>u</w:t>
      </w:r>
      <w:r w:rsidRPr="00B36A61">
        <w:rPr>
          <w:color w:val="17365D"/>
        </w:rPr>
        <w:t xml:space="preserve"> </w:t>
      </w:r>
      <w:r w:rsidR="00EE7FB2" w:rsidRPr="00B36A61">
        <w:rPr>
          <w:color w:val="17365D"/>
        </w:rPr>
        <w:t>55</w:t>
      </w:r>
      <w:r w:rsidRPr="00B36A61">
        <w:rPr>
          <w:color w:val="17365D"/>
        </w:rPr>
        <w:t>,</w:t>
      </w:r>
      <w:r w:rsidR="00EE7FB2" w:rsidRPr="00B36A61">
        <w:rPr>
          <w:color w:val="17365D"/>
        </w:rPr>
        <w:t>1</w:t>
      </w:r>
      <w:r w:rsidR="004B35F9" w:rsidRPr="00B36A61">
        <w:rPr>
          <w:color w:val="17365D"/>
        </w:rPr>
        <w:t> </w:t>
      </w:r>
      <w:r w:rsidRPr="00B36A61">
        <w:rPr>
          <w:color w:val="17365D"/>
        </w:rPr>
        <w:t>milj.</w:t>
      </w:r>
      <w:r w:rsidR="005E5424" w:rsidRPr="00B36A61">
        <w:rPr>
          <w:color w:val="17365D"/>
        </w:rPr>
        <w:t> </w:t>
      </w:r>
      <w:r w:rsidRPr="00B36A61">
        <w:rPr>
          <w:i/>
          <w:color w:val="17365D"/>
        </w:rPr>
        <w:t>euro</w:t>
      </w:r>
      <w:r w:rsidRPr="00B36A61">
        <w:rPr>
          <w:color w:val="17365D"/>
        </w:rPr>
        <w:t xml:space="preserve"> apmērā </w:t>
      </w:r>
      <w:r w:rsidRPr="00B36A61">
        <w:rPr>
          <w:noProof w:val="0"/>
          <w:color w:val="17365D"/>
        </w:rPr>
        <w:t>valsts apdraudējuma un tā seku novēršanas un pārvarēšanas, īpašo atbalsta mehānismu īstenošanas un Covid</w:t>
      </w:r>
      <w:r w:rsidR="004133B3" w:rsidRPr="00B36A61">
        <w:rPr>
          <w:color w:val="17365D"/>
        </w:rPr>
        <w:t>-</w:t>
      </w:r>
      <w:r w:rsidRPr="00B36A61">
        <w:rPr>
          <w:noProof w:val="0"/>
          <w:color w:val="17365D"/>
        </w:rPr>
        <w:t xml:space="preserve">19 izplatības ierobežošanas pasākumiem, savukārt </w:t>
      </w:r>
      <w:r w:rsidR="00EE7FB2" w:rsidRPr="00B36A61">
        <w:rPr>
          <w:noProof w:val="0"/>
          <w:color w:val="17365D"/>
        </w:rPr>
        <w:t>4</w:t>
      </w:r>
      <w:r w:rsidR="003B7C3A" w:rsidRPr="00B36A61">
        <w:rPr>
          <w:noProof w:val="0"/>
          <w:color w:val="17365D"/>
        </w:rPr>
        <w:t> </w:t>
      </w:r>
      <w:r w:rsidRPr="00B36A61">
        <w:rPr>
          <w:noProof w:val="0"/>
          <w:color w:val="17365D"/>
        </w:rPr>
        <w:t>centrālaj</w:t>
      </w:r>
      <w:r w:rsidR="005E5424" w:rsidRPr="00B36A61">
        <w:rPr>
          <w:noProof w:val="0"/>
          <w:color w:val="17365D"/>
        </w:rPr>
        <w:t>ās</w:t>
      </w:r>
      <w:r w:rsidRPr="00B36A61">
        <w:rPr>
          <w:noProof w:val="0"/>
          <w:color w:val="17365D"/>
        </w:rPr>
        <w:t xml:space="preserve"> valsts iestād</w:t>
      </w:r>
      <w:r w:rsidR="005E5424" w:rsidRPr="00B36A61">
        <w:rPr>
          <w:noProof w:val="0"/>
          <w:color w:val="17365D"/>
        </w:rPr>
        <w:t>es</w:t>
      </w:r>
      <w:r w:rsidRPr="00B36A61">
        <w:rPr>
          <w:noProof w:val="0"/>
          <w:color w:val="17365D"/>
        </w:rPr>
        <w:t xml:space="preserve"> šād</w:t>
      </w:r>
      <w:r w:rsidR="00785DDB" w:rsidRPr="00B36A61">
        <w:rPr>
          <w:noProof w:val="0"/>
          <w:color w:val="17365D"/>
        </w:rPr>
        <w:t>us</w:t>
      </w:r>
      <w:r w:rsidRPr="00B36A61">
        <w:rPr>
          <w:noProof w:val="0"/>
          <w:color w:val="17365D"/>
        </w:rPr>
        <w:t xml:space="preserve"> līdzekļ</w:t>
      </w:r>
      <w:r w:rsidR="00785DDB" w:rsidRPr="00B36A61">
        <w:rPr>
          <w:noProof w:val="0"/>
          <w:color w:val="17365D"/>
        </w:rPr>
        <w:t>us nav uzrādījušas</w:t>
      </w:r>
      <w:r w:rsidRPr="00B36A61">
        <w:rPr>
          <w:noProof w:val="0"/>
          <w:color w:val="17365D"/>
        </w:rPr>
        <w:t>.</w:t>
      </w:r>
      <w:r w:rsidR="001F75C9" w:rsidRPr="00B36A61">
        <w:rPr>
          <w:color w:val="17365D"/>
        </w:rPr>
        <w:t xml:space="preserve"> </w:t>
      </w:r>
    </w:p>
    <w:p w14:paraId="24ECC631" w14:textId="7B197199" w:rsidR="00606718" w:rsidRPr="00B36A61" w:rsidRDefault="00EE7FB2" w:rsidP="000840B7">
      <w:pPr>
        <w:pStyle w:val="Pamatteksts"/>
        <w:ind w:firstLine="0"/>
        <w:rPr>
          <w:noProof w:val="0"/>
          <w:color w:val="17365D"/>
        </w:rPr>
      </w:pPr>
      <w:r w:rsidRPr="00B36A61">
        <w:rPr>
          <w:color w:val="17365D"/>
        </w:rPr>
        <w:drawing>
          <wp:inline distT="0" distB="0" distL="0" distR="0" wp14:anchorId="5AC66DC3" wp14:editId="3084A94F">
            <wp:extent cx="5947410" cy="2695575"/>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319EC0A" w14:textId="43353A5A" w:rsidR="005A73EA" w:rsidRPr="00B36A61" w:rsidRDefault="005A73EA" w:rsidP="003B7C3A">
      <w:pPr>
        <w:pStyle w:val="Pamatteksts"/>
        <w:rPr>
          <w:noProof w:val="0"/>
          <w:color w:val="17365D"/>
        </w:rPr>
      </w:pPr>
      <w:r w:rsidRPr="00B36A61">
        <w:rPr>
          <w:color w:val="17365D"/>
          <w:sz w:val="20"/>
          <w:szCs w:val="20"/>
        </w:rPr>
        <mc:AlternateContent>
          <mc:Choice Requires="wps">
            <w:drawing>
              <wp:anchor distT="0" distB="0" distL="114300" distR="114300" simplePos="0" relativeHeight="251670016" behindDoc="0" locked="0" layoutInCell="1" allowOverlap="1" wp14:anchorId="32D293E6" wp14:editId="78B79DC2">
                <wp:simplePos x="0" y="0"/>
                <wp:positionH relativeFrom="column">
                  <wp:posOffset>695325</wp:posOffset>
                </wp:positionH>
                <wp:positionV relativeFrom="paragraph">
                  <wp:posOffset>130834</wp:posOffset>
                </wp:positionV>
                <wp:extent cx="4219575" cy="552450"/>
                <wp:effectExtent l="0" t="0" r="9525" b="0"/>
                <wp:wrapSquare wrapText="bothSides"/>
                <wp:docPr id="5" name="Text Box 5"/>
                <wp:cNvGraphicFramePr/>
                <a:graphic xmlns:a="http://schemas.openxmlformats.org/drawingml/2006/main">
                  <a:graphicData uri="http://schemas.microsoft.com/office/word/2010/wordprocessingShape">
                    <wps:wsp>
                      <wps:cNvSpPr txBox="1"/>
                      <wps:spPr>
                        <a:xfrm>
                          <a:off x="0" y="0"/>
                          <a:ext cx="4219575" cy="552450"/>
                        </a:xfrm>
                        <a:prstGeom prst="rect">
                          <a:avLst/>
                        </a:prstGeom>
                        <a:solidFill>
                          <a:schemeClr val="lt1"/>
                        </a:solidFill>
                        <a:ln w="6350">
                          <a:noFill/>
                        </a:ln>
                      </wps:spPr>
                      <wps:txbx>
                        <w:txbxContent>
                          <w:p w14:paraId="19DB01C5" w14:textId="36C504C9" w:rsidR="00B36A61" w:rsidRPr="00900977" w:rsidRDefault="00B36A61" w:rsidP="00817A43">
                            <w:pPr>
                              <w:pStyle w:val="Caption"/>
                              <w:ind w:firstLine="0"/>
                              <w:jc w:val="center"/>
                              <w:rPr>
                                <w:noProof/>
                                <w:color w:val="17365D"/>
                                <w:sz w:val="20"/>
                                <w:szCs w:val="20"/>
                              </w:rPr>
                            </w:pPr>
                            <w:r w:rsidRPr="00900977">
                              <w:rPr>
                                <w:color w:val="17365D"/>
                                <w:sz w:val="20"/>
                                <w:szCs w:val="20"/>
                              </w:rPr>
                              <w:t>5. attēls. Ministriju un centrālo valsts iestāžu izdevumi valsts apdraudējuma un tā seku novēršanas un pārvarēšanas, īpašo atbalsta mehānismu īstenošanas un Covid</w:t>
                            </w:r>
                            <w:r>
                              <w:rPr>
                                <w:color w:val="17365D"/>
                                <w:sz w:val="20"/>
                                <w:szCs w:val="20"/>
                              </w:rPr>
                              <w:t>-</w:t>
                            </w:r>
                            <w:r w:rsidRPr="00900977">
                              <w:rPr>
                                <w:color w:val="17365D"/>
                                <w:sz w:val="20"/>
                                <w:szCs w:val="20"/>
                              </w:rPr>
                              <w:t>19 izplatības ierobežošanas pasākumu struktūra 202</w:t>
                            </w:r>
                            <w:r>
                              <w:rPr>
                                <w:color w:val="17365D"/>
                                <w:sz w:val="20"/>
                                <w:szCs w:val="20"/>
                              </w:rPr>
                              <w:t>2</w:t>
                            </w:r>
                            <w:r w:rsidRPr="00900977">
                              <w:rPr>
                                <w:color w:val="17365D"/>
                                <w:sz w:val="20"/>
                                <w:szCs w:val="20"/>
                              </w:rPr>
                              <w:t xml:space="preserve"> .gadā</w:t>
                            </w:r>
                            <w:r>
                              <w:rPr>
                                <w:color w:val="17365D"/>
                                <w:sz w:val="20"/>
                                <w:szCs w:val="20"/>
                              </w:rPr>
                              <w:t>,</w:t>
                            </w:r>
                            <w:r w:rsidRPr="00900977">
                              <w:rPr>
                                <w:color w:val="17365D"/>
                                <w:sz w:val="20"/>
                                <w:szCs w:val="20"/>
                              </w:rPr>
                              <w:t xml:space="preserve"> %</w:t>
                            </w:r>
                          </w:p>
                          <w:p w14:paraId="00800263" w14:textId="77777777" w:rsidR="00B36A61" w:rsidRDefault="00B36A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D293E6" id="_x0000_t202" coordsize="21600,21600" o:spt="202" path="m,l,21600r21600,l21600,xe">
                <v:stroke joinstyle="miter"/>
                <v:path gradientshapeok="t" o:connecttype="rect"/>
              </v:shapetype>
              <v:shape id="Text Box 5" o:spid="_x0000_s1036" type="#_x0000_t202" style="position:absolute;left:0;text-align:left;margin-left:54.75pt;margin-top:10.3pt;width:332.25pt;height:43.5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" fillcolor="white [3201]" stroked="f" strokeweight=".5pt">
                <v:textbox>
                  <w:txbxContent>
                    <w:p w14:paraId="19DB01C5" w14:textId="36C504C9" w:rsidR="00B36A61" w:rsidRPr="00900977" w:rsidRDefault="00B36A61" w:rsidP="00817A43">
                      <w:pPr>
                        <w:pStyle w:val="Caption"/>
                        <w:ind w:firstLine="0"/>
                        <w:jc w:val="center"/>
                        <w:rPr>
                          <w:noProof/>
                          <w:color w:val="17365D"/>
                          <w:sz w:val="20"/>
                          <w:szCs w:val="20"/>
                        </w:rPr>
                      </w:pPr>
                      <w:r w:rsidRPr="00900977">
                        <w:rPr>
                          <w:color w:val="17365D"/>
                          <w:sz w:val="20"/>
                          <w:szCs w:val="20"/>
                        </w:rPr>
                        <w:t>5. attēls. Ministriju un centrālo valsts iestāžu izdevumi valsts apdraudējuma un tā seku novēršanas un pārvarēšanas, īpašo atbalsta mehānismu īstenošanas un Covid</w:t>
                      </w:r>
                      <w:r>
                        <w:rPr>
                          <w:color w:val="17365D"/>
                          <w:sz w:val="20"/>
                          <w:szCs w:val="20"/>
                        </w:rPr>
                        <w:t>-</w:t>
                      </w:r>
                      <w:r w:rsidRPr="00900977">
                        <w:rPr>
                          <w:color w:val="17365D"/>
                          <w:sz w:val="20"/>
                          <w:szCs w:val="20"/>
                        </w:rPr>
                        <w:t>19 izplatības ierobežošanas pasākumu struktūra 202</w:t>
                      </w:r>
                      <w:r>
                        <w:rPr>
                          <w:color w:val="17365D"/>
                          <w:sz w:val="20"/>
                          <w:szCs w:val="20"/>
                        </w:rPr>
                        <w:t>2</w:t>
                      </w:r>
                      <w:r w:rsidRPr="00900977">
                        <w:rPr>
                          <w:color w:val="17365D"/>
                          <w:sz w:val="20"/>
                          <w:szCs w:val="20"/>
                        </w:rPr>
                        <w:t xml:space="preserve"> .gadā</w:t>
                      </w:r>
                      <w:r>
                        <w:rPr>
                          <w:color w:val="17365D"/>
                          <w:sz w:val="20"/>
                          <w:szCs w:val="20"/>
                        </w:rPr>
                        <w:t>,</w:t>
                      </w:r>
                      <w:r w:rsidRPr="00900977">
                        <w:rPr>
                          <w:color w:val="17365D"/>
                          <w:sz w:val="20"/>
                          <w:szCs w:val="20"/>
                        </w:rPr>
                        <w:t xml:space="preserve"> %</w:t>
                      </w:r>
                    </w:p>
                    <w:p w14:paraId="00800263" w14:textId="77777777" w:rsidR="00B36A61" w:rsidRDefault="00B36A61"/>
                  </w:txbxContent>
                </v:textbox>
                <w10:wrap type="square"/>
              </v:shape>
            </w:pict>
          </mc:Fallback>
        </mc:AlternateContent>
      </w:r>
    </w:p>
    <w:p w14:paraId="3CA6FB65" w14:textId="77777777" w:rsidR="005A73EA" w:rsidRPr="00B36A61" w:rsidRDefault="005A73EA" w:rsidP="003B7C3A">
      <w:pPr>
        <w:pStyle w:val="Pamatteksts"/>
        <w:rPr>
          <w:noProof w:val="0"/>
          <w:color w:val="17365D"/>
        </w:rPr>
      </w:pPr>
    </w:p>
    <w:p w14:paraId="10F4C691" w14:textId="77777777" w:rsidR="005A73EA" w:rsidRPr="00B36A61" w:rsidRDefault="005A73EA" w:rsidP="003B7C3A">
      <w:pPr>
        <w:pStyle w:val="Pamatteksts"/>
        <w:rPr>
          <w:noProof w:val="0"/>
          <w:color w:val="17365D"/>
        </w:rPr>
      </w:pPr>
    </w:p>
    <w:p w14:paraId="64CF2EE4" w14:textId="517F0522" w:rsidR="00DA1F5F" w:rsidRPr="00B36A61" w:rsidRDefault="00DA1F5F" w:rsidP="003B7C3A">
      <w:pPr>
        <w:pStyle w:val="Pamatteksts"/>
        <w:rPr>
          <w:noProof w:val="0"/>
          <w:color w:val="17365D"/>
        </w:rPr>
      </w:pPr>
      <w:r w:rsidRPr="00B36A61">
        <w:rPr>
          <w:noProof w:val="0"/>
          <w:color w:val="17365D"/>
        </w:rPr>
        <w:t xml:space="preserve">Lielāko izdevumu daļu </w:t>
      </w:r>
      <w:r w:rsidR="00AF5D64" w:rsidRPr="00B36A61">
        <w:rPr>
          <w:noProof w:val="0"/>
          <w:color w:val="17365D"/>
        </w:rPr>
        <w:t xml:space="preserve">pamatbudžetā </w:t>
      </w:r>
      <w:r w:rsidRPr="00B36A61">
        <w:rPr>
          <w:noProof w:val="0"/>
          <w:color w:val="17365D"/>
        </w:rPr>
        <w:t xml:space="preserve">veido postenis “Subsīdijas un dotācijas” – </w:t>
      </w:r>
      <w:r w:rsidR="00EE7FB2" w:rsidRPr="00B36A61">
        <w:rPr>
          <w:noProof w:val="0"/>
          <w:color w:val="17365D"/>
        </w:rPr>
        <w:t>514</w:t>
      </w:r>
      <w:r w:rsidRPr="00B36A61">
        <w:rPr>
          <w:noProof w:val="0"/>
          <w:color w:val="17365D"/>
        </w:rPr>
        <w:t>,</w:t>
      </w:r>
      <w:r w:rsidR="00EE7FB2" w:rsidRPr="00B36A61">
        <w:rPr>
          <w:noProof w:val="0"/>
          <w:color w:val="17365D"/>
        </w:rPr>
        <w:t>2</w:t>
      </w:r>
      <w:r w:rsidR="003B7C3A" w:rsidRPr="00B36A61">
        <w:rPr>
          <w:noProof w:val="0"/>
          <w:color w:val="17365D"/>
        </w:rPr>
        <w:t> </w:t>
      </w:r>
      <w:r w:rsidRPr="00B36A61">
        <w:rPr>
          <w:noProof w:val="0"/>
          <w:color w:val="17365D"/>
        </w:rPr>
        <w:t>milj. </w:t>
      </w:r>
      <w:r w:rsidRPr="00B36A61">
        <w:rPr>
          <w:i/>
          <w:noProof w:val="0"/>
          <w:color w:val="17365D"/>
        </w:rPr>
        <w:t xml:space="preserve">euro </w:t>
      </w:r>
      <w:r w:rsidRPr="00B36A61">
        <w:rPr>
          <w:noProof w:val="0"/>
          <w:color w:val="17365D"/>
        </w:rPr>
        <w:t xml:space="preserve">jeb </w:t>
      </w:r>
      <w:r w:rsidR="00EE7FB2" w:rsidRPr="00B36A61">
        <w:rPr>
          <w:noProof w:val="0"/>
          <w:color w:val="17365D"/>
        </w:rPr>
        <w:t>66</w:t>
      </w:r>
      <w:r w:rsidRPr="00B36A61">
        <w:rPr>
          <w:noProof w:val="0"/>
          <w:color w:val="17365D"/>
        </w:rPr>
        <w:t>,</w:t>
      </w:r>
      <w:r w:rsidR="00EA63C1" w:rsidRPr="00B36A61">
        <w:rPr>
          <w:noProof w:val="0"/>
          <w:color w:val="17365D"/>
        </w:rPr>
        <w:t>9</w:t>
      </w:r>
      <w:r w:rsidR="000D4329" w:rsidRPr="00B36A61">
        <w:rPr>
          <w:noProof w:val="0"/>
          <w:color w:val="17365D"/>
        </w:rPr>
        <w:t> </w:t>
      </w:r>
      <w:r w:rsidRPr="00B36A61">
        <w:rPr>
          <w:noProof w:val="0"/>
          <w:color w:val="17365D"/>
        </w:rPr>
        <w:t>%</w:t>
      </w:r>
      <w:r w:rsidR="005E5424" w:rsidRPr="00B36A61">
        <w:rPr>
          <w:noProof w:val="0"/>
          <w:color w:val="17365D"/>
        </w:rPr>
        <w:t xml:space="preserve"> no kopējiem izdevumiem</w:t>
      </w:r>
      <w:r w:rsidRPr="00B36A61">
        <w:rPr>
          <w:noProof w:val="0"/>
          <w:color w:val="17365D"/>
        </w:rPr>
        <w:t>.</w:t>
      </w:r>
      <w:r w:rsidR="000D4329" w:rsidRPr="00B36A61">
        <w:rPr>
          <w:noProof w:val="0"/>
          <w:color w:val="17365D"/>
        </w:rPr>
        <w:t xml:space="preserve"> </w:t>
      </w:r>
      <w:r w:rsidR="00743D32" w:rsidRPr="00B36A61">
        <w:rPr>
          <w:noProof w:val="0"/>
          <w:color w:val="17365D"/>
        </w:rPr>
        <w:t>Lielākos izdevumus veica:</w:t>
      </w:r>
    </w:p>
    <w:p w14:paraId="2C006B84" w14:textId="427249FE" w:rsidR="00743D32" w:rsidRPr="00B36A61" w:rsidRDefault="006D6147" w:rsidP="00856306">
      <w:pPr>
        <w:pStyle w:val="Pamatteksts"/>
        <w:numPr>
          <w:ilvl w:val="0"/>
          <w:numId w:val="29"/>
        </w:numPr>
        <w:ind w:left="993" w:hanging="426"/>
        <w:rPr>
          <w:color w:val="17365D"/>
        </w:rPr>
      </w:pPr>
      <w:r w:rsidRPr="00B36A61">
        <w:rPr>
          <w:color w:val="17365D"/>
        </w:rPr>
        <w:t xml:space="preserve">Veselības </w:t>
      </w:r>
      <w:r w:rsidR="00743D32" w:rsidRPr="00B36A61">
        <w:rPr>
          <w:color w:val="17365D"/>
        </w:rPr>
        <w:t xml:space="preserve">ministrija </w:t>
      </w:r>
      <w:r w:rsidRPr="00B36A61">
        <w:rPr>
          <w:color w:val="17365D"/>
        </w:rPr>
        <w:t>339</w:t>
      </w:r>
      <w:r w:rsidR="00743D32" w:rsidRPr="00B36A61">
        <w:rPr>
          <w:color w:val="17365D"/>
        </w:rPr>
        <w:t>,</w:t>
      </w:r>
      <w:r w:rsidRPr="00B36A61">
        <w:rPr>
          <w:color w:val="17365D"/>
        </w:rPr>
        <w:t>0</w:t>
      </w:r>
      <w:r w:rsidR="00743D32" w:rsidRPr="00B36A61">
        <w:rPr>
          <w:color w:val="17365D"/>
        </w:rPr>
        <w:t> </w:t>
      </w:r>
      <w:r w:rsidR="00743D32" w:rsidRPr="00B36A61">
        <w:rPr>
          <w:noProof w:val="0"/>
          <w:color w:val="17365D"/>
        </w:rPr>
        <w:t>milj.</w:t>
      </w:r>
      <w:r w:rsidR="005E5424" w:rsidRPr="00B36A61">
        <w:rPr>
          <w:noProof w:val="0"/>
          <w:color w:val="17365D"/>
        </w:rPr>
        <w:t> </w:t>
      </w:r>
      <w:r w:rsidR="00743D32" w:rsidRPr="00B36A61">
        <w:rPr>
          <w:i/>
          <w:noProof w:val="0"/>
          <w:color w:val="17365D"/>
        </w:rPr>
        <w:t>euro</w:t>
      </w:r>
      <w:r w:rsidR="00743D32" w:rsidRPr="00B36A61">
        <w:rPr>
          <w:i/>
          <w:color w:val="17365D"/>
        </w:rPr>
        <w:t xml:space="preserve"> </w:t>
      </w:r>
      <w:r w:rsidR="00743D32" w:rsidRPr="00B36A61">
        <w:rPr>
          <w:color w:val="17365D"/>
        </w:rPr>
        <w:t xml:space="preserve">– </w:t>
      </w:r>
      <w:r w:rsidRPr="00B36A61">
        <w:rPr>
          <w:color w:val="17365D"/>
        </w:rPr>
        <w:t>vakcīnu, šļir</w:t>
      </w:r>
      <w:r w:rsidR="005A73EA" w:rsidRPr="00B36A61">
        <w:rPr>
          <w:color w:val="17365D"/>
        </w:rPr>
        <w:t>č</w:t>
      </w:r>
      <w:r w:rsidRPr="00B36A61">
        <w:rPr>
          <w:color w:val="17365D"/>
        </w:rPr>
        <w:t>u un injekcijas šķidruma iegādei, papildu</w:t>
      </w:r>
      <w:r w:rsidR="005A73EA" w:rsidRPr="00B36A61">
        <w:rPr>
          <w:color w:val="17365D"/>
        </w:rPr>
        <w:t xml:space="preserve"> </w:t>
      </w:r>
      <w:r w:rsidRPr="00B36A61">
        <w:rPr>
          <w:color w:val="17365D"/>
        </w:rPr>
        <w:t>samaksa</w:t>
      </w:r>
      <w:r w:rsidR="005A73EA" w:rsidRPr="00B36A61">
        <w:rPr>
          <w:color w:val="17365D"/>
        </w:rPr>
        <w:t>i</w:t>
      </w:r>
      <w:r w:rsidRPr="00B36A61">
        <w:rPr>
          <w:color w:val="17365D"/>
        </w:rPr>
        <w:t xml:space="preserve"> ģimenes ārstu praksēm, kas veic</w:t>
      </w:r>
      <w:r w:rsidR="00370E3A" w:rsidRPr="00B36A61">
        <w:rPr>
          <w:color w:val="17365D"/>
        </w:rPr>
        <w:t>a</w:t>
      </w:r>
      <w:r w:rsidRPr="00B36A61">
        <w:rPr>
          <w:color w:val="17365D"/>
        </w:rPr>
        <w:t xml:space="preserve"> vakcināciju pret Covid-19, </w:t>
      </w:r>
      <w:r w:rsidR="005A73EA" w:rsidRPr="00B36A61">
        <w:rPr>
          <w:color w:val="17365D"/>
        </w:rPr>
        <w:t>izdevumu segšanai</w:t>
      </w:r>
      <w:r w:rsidR="00791A3C" w:rsidRPr="00B36A61">
        <w:rPr>
          <w:color w:val="17365D"/>
        </w:rPr>
        <w:t xml:space="preserve"> ambulatorajā veselības aprūpē veiktajiem laboratoriskajiem izmeklējumiem</w:t>
      </w:r>
      <w:r w:rsidRPr="00B36A61">
        <w:rPr>
          <w:color w:val="17365D"/>
        </w:rPr>
        <w:t xml:space="preserve">, </w:t>
      </w:r>
      <w:r w:rsidR="00791A3C" w:rsidRPr="00B36A61">
        <w:rPr>
          <w:color w:val="17365D"/>
        </w:rPr>
        <w:t>piemaks</w:t>
      </w:r>
      <w:r w:rsidR="005A73EA" w:rsidRPr="00B36A61">
        <w:rPr>
          <w:color w:val="17365D"/>
        </w:rPr>
        <w:t>ām</w:t>
      </w:r>
      <w:r w:rsidR="00791A3C" w:rsidRPr="00B36A61">
        <w:rPr>
          <w:color w:val="17365D"/>
        </w:rPr>
        <w:t xml:space="preserve"> ārstniecības personām un citiem nodarbinātajiem par darbu paaugstināta riska un slodzes apstākļos sabiedrības veselības apdraudējuma situācijā;</w:t>
      </w:r>
    </w:p>
    <w:p w14:paraId="6E7EE653" w14:textId="413FD019" w:rsidR="00C47525" w:rsidRPr="00B36A61" w:rsidRDefault="00791A3C" w:rsidP="00856306">
      <w:pPr>
        <w:pStyle w:val="Pamatteksts"/>
        <w:numPr>
          <w:ilvl w:val="0"/>
          <w:numId w:val="29"/>
        </w:numPr>
        <w:ind w:left="993" w:hanging="426"/>
        <w:rPr>
          <w:color w:val="17365D"/>
        </w:rPr>
      </w:pPr>
      <w:r w:rsidRPr="00B36A61">
        <w:rPr>
          <w:color w:val="17365D"/>
        </w:rPr>
        <w:t>Finanšu</w:t>
      </w:r>
      <w:r w:rsidR="00DB68F1" w:rsidRPr="00B36A61">
        <w:rPr>
          <w:color w:val="17365D"/>
        </w:rPr>
        <w:t xml:space="preserve"> ministrija </w:t>
      </w:r>
      <w:r w:rsidRPr="00B36A61">
        <w:rPr>
          <w:color w:val="17365D"/>
        </w:rPr>
        <w:t>146</w:t>
      </w:r>
      <w:r w:rsidR="00DB68F1" w:rsidRPr="00B36A61">
        <w:rPr>
          <w:color w:val="17365D"/>
        </w:rPr>
        <w:t>,</w:t>
      </w:r>
      <w:r w:rsidRPr="00B36A61">
        <w:rPr>
          <w:color w:val="17365D"/>
        </w:rPr>
        <w:t>5</w:t>
      </w:r>
      <w:r w:rsidR="00DB68F1" w:rsidRPr="00B36A61">
        <w:rPr>
          <w:color w:val="17365D"/>
        </w:rPr>
        <w:t> </w:t>
      </w:r>
      <w:r w:rsidR="00DB68F1" w:rsidRPr="00B36A61">
        <w:rPr>
          <w:noProof w:val="0"/>
          <w:color w:val="17365D"/>
        </w:rPr>
        <w:t xml:space="preserve">milj. </w:t>
      </w:r>
      <w:r w:rsidR="00DB68F1" w:rsidRPr="00B36A61">
        <w:rPr>
          <w:i/>
          <w:noProof w:val="0"/>
          <w:color w:val="17365D"/>
        </w:rPr>
        <w:t>euro</w:t>
      </w:r>
      <w:r w:rsidR="00647DF1" w:rsidRPr="00B36A61">
        <w:rPr>
          <w:i/>
          <w:noProof w:val="0"/>
          <w:color w:val="17365D"/>
        </w:rPr>
        <w:t xml:space="preserve"> </w:t>
      </w:r>
      <w:r w:rsidR="00DB68F1" w:rsidRPr="00B36A61">
        <w:rPr>
          <w:color w:val="17365D"/>
        </w:rPr>
        <w:t>– snie</w:t>
      </w:r>
      <w:r w:rsidR="00F703D6" w:rsidRPr="00B36A61">
        <w:rPr>
          <w:color w:val="17365D"/>
        </w:rPr>
        <w:t>dza</w:t>
      </w:r>
      <w:r w:rsidR="00DB68F1" w:rsidRPr="00B36A61">
        <w:rPr>
          <w:color w:val="17365D"/>
        </w:rPr>
        <w:t xml:space="preserve"> finasējum</w:t>
      </w:r>
      <w:r w:rsidR="00F703D6" w:rsidRPr="00B36A61">
        <w:rPr>
          <w:color w:val="17365D"/>
        </w:rPr>
        <w:t>u</w:t>
      </w:r>
      <w:r w:rsidR="00DB68F1" w:rsidRPr="00B36A61">
        <w:rPr>
          <w:color w:val="17365D"/>
        </w:rPr>
        <w:t xml:space="preserve"> </w:t>
      </w:r>
      <w:r w:rsidRPr="00B36A61">
        <w:rPr>
          <w:color w:val="17365D"/>
        </w:rPr>
        <w:t xml:space="preserve">komersantiem un biedrībām </w:t>
      </w:r>
      <w:r w:rsidR="00B11377" w:rsidRPr="00B36A61">
        <w:rPr>
          <w:color w:val="17365D"/>
        </w:rPr>
        <w:t>no</w:t>
      </w:r>
      <w:r w:rsidRPr="00B36A61">
        <w:rPr>
          <w:color w:val="17365D"/>
        </w:rPr>
        <w:t xml:space="preserve"> Eiropas Savienības struktūrfondu un Kohēzijas fonda 2014.-2020. gada plānošanas perioda darbības programm</w:t>
      </w:r>
      <w:r w:rsidR="00B11377" w:rsidRPr="00B36A61">
        <w:rPr>
          <w:color w:val="17365D"/>
        </w:rPr>
        <w:t>as</w:t>
      </w:r>
      <w:r w:rsidRPr="00B36A61">
        <w:rPr>
          <w:color w:val="17365D"/>
        </w:rPr>
        <w:t xml:space="preserve"> "Izaugsmei un nodarbinātībai un epidemioloģiskās drošības pasākumi Covid-19 infekcijas izplatības ierobežošanai</w:t>
      </w:r>
      <w:r w:rsidR="005A73EA" w:rsidRPr="00B36A61">
        <w:rPr>
          <w:color w:val="17365D"/>
        </w:rPr>
        <w:t>”</w:t>
      </w:r>
      <w:r w:rsidR="009108C1" w:rsidRPr="00B36A61">
        <w:rPr>
          <w:color w:val="17365D"/>
        </w:rPr>
        <w:t>;</w:t>
      </w:r>
    </w:p>
    <w:p w14:paraId="5ACE35E7" w14:textId="07B4701E" w:rsidR="00F703D6" w:rsidRPr="00B36A61" w:rsidRDefault="00791A3C" w:rsidP="00856306">
      <w:pPr>
        <w:pStyle w:val="Pamatteksts"/>
        <w:numPr>
          <w:ilvl w:val="0"/>
          <w:numId w:val="29"/>
        </w:numPr>
        <w:ind w:left="993" w:hanging="426"/>
        <w:rPr>
          <w:color w:val="17365D"/>
        </w:rPr>
      </w:pPr>
      <w:r w:rsidRPr="00B36A61">
        <w:rPr>
          <w:color w:val="17365D"/>
        </w:rPr>
        <w:t>Kultūras</w:t>
      </w:r>
      <w:r w:rsidR="002A1764" w:rsidRPr="00B36A61">
        <w:rPr>
          <w:color w:val="17365D"/>
        </w:rPr>
        <w:t xml:space="preserve"> ministrija </w:t>
      </w:r>
      <w:r w:rsidRPr="00B36A61">
        <w:rPr>
          <w:color w:val="17365D"/>
        </w:rPr>
        <w:t>12</w:t>
      </w:r>
      <w:r w:rsidR="00F703D6" w:rsidRPr="00B36A61">
        <w:rPr>
          <w:color w:val="17365D"/>
        </w:rPr>
        <w:t>,</w:t>
      </w:r>
      <w:r w:rsidRPr="00B36A61">
        <w:rPr>
          <w:color w:val="17365D"/>
        </w:rPr>
        <w:t>6</w:t>
      </w:r>
      <w:r w:rsidR="00F703D6" w:rsidRPr="00B36A61">
        <w:rPr>
          <w:color w:val="17365D"/>
        </w:rPr>
        <w:t xml:space="preserve"> milj. </w:t>
      </w:r>
      <w:r w:rsidR="00F703D6" w:rsidRPr="00B36A61">
        <w:rPr>
          <w:i/>
          <w:color w:val="17365D"/>
        </w:rPr>
        <w:t>euro –</w:t>
      </w:r>
      <w:r w:rsidR="001D706B" w:rsidRPr="00B36A61">
        <w:rPr>
          <w:i/>
          <w:color w:val="17365D"/>
        </w:rPr>
        <w:t xml:space="preserve"> </w:t>
      </w:r>
      <w:r w:rsidR="00527626" w:rsidRPr="00B36A61">
        <w:rPr>
          <w:color w:val="17365D"/>
        </w:rPr>
        <w:t xml:space="preserve">sniedza finasējumu </w:t>
      </w:r>
      <w:r w:rsidR="00370E3A" w:rsidRPr="00B36A61">
        <w:rPr>
          <w:color w:val="17365D"/>
        </w:rPr>
        <w:t>komersantiem</w:t>
      </w:r>
      <w:r w:rsidR="00527626" w:rsidRPr="00B36A61">
        <w:rPr>
          <w:color w:val="17365D"/>
        </w:rPr>
        <w:t xml:space="preserve"> </w:t>
      </w:r>
      <w:r w:rsidR="000264D0" w:rsidRPr="00B36A61">
        <w:rPr>
          <w:color w:val="17365D"/>
        </w:rPr>
        <w:t xml:space="preserve">par </w:t>
      </w:r>
      <w:r w:rsidR="00527626" w:rsidRPr="00B36A61">
        <w:rPr>
          <w:color w:val="17365D"/>
        </w:rPr>
        <w:t>Covid-19 krīzes seku pārvarēšan</w:t>
      </w:r>
      <w:r w:rsidR="000264D0" w:rsidRPr="00B36A61">
        <w:rPr>
          <w:color w:val="17365D"/>
        </w:rPr>
        <w:t>u</w:t>
      </w:r>
      <w:r w:rsidR="00527626" w:rsidRPr="00B36A61">
        <w:rPr>
          <w:color w:val="17365D"/>
        </w:rPr>
        <w:t xml:space="preserve"> un ekonomikas atlabšan</w:t>
      </w:r>
      <w:r w:rsidR="000264D0" w:rsidRPr="00B36A61">
        <w:rPr>
          <w:color w:val="17365D"/>
        </w:rPr>
        <w:t>u</w:t>
      </w:r>
      <w:r w:rsidR="00527626" w:rsidRPr="00B36A61">
        <w:rPr>
          <w:color w:val="17365D"/>
        </w:rPr>
        <w:t xml:space="preserve"> saistītu augstas gatavības projektu īstenošan</w:t>
      </w:r>
      <w:r w:rsidR="00370E3A" w:rsidRPr="00B36A61">
        <w:rPr>
          <w:color w:val="17365D"/>
        </w:rPr>
        <w:t>u</w:t>
      </w:r>
      <w:r w:rsidR="000264D0" w:rsidRPr="00B36A61">
        <w:rPr>
          <w:color w:val="17365D"/>
        </w:rPr>
        <w:t xml:space="preserve"> un komersantiem, kuri organizē pastāvīgus publiskus pasākumus, izklaides un atpūtas pasākumus, lai mazinātu Covid</w:t>
      </w:r>
      <w:r w:rsidR="00256787" w:rsidRPr="00B36A61">
        <w:rPr>
          <w:color w:val="17365D"/>
        </w:rPr>
        <w:t>-1</w:t>
      </w:r>
      <w:r w:rsidR="000264D0" w:rsidRPr="00B36A61">
        <w:rPr>
          <w:color w:val="17365D"/>
        </w:rPr>
        <w:t>9 krīzes radīto negatīvo seku ietekmi uz mākslas, izklaides un atpūtas nozari</w:t>
      </w:r>
      <w:r w:rsidR="00F703D6" w:rsidRPr="00B36A61">
        <w:rPr>
          <w:color w:val="17365D"/>
        </w:rPr>
        <w:t>.</w:t>
      </w:r>
    </w:p>
    <w:p w14:paraId="2B3C297A" w14:textId="3DF93701" w:rsidR="000D4329" w:rsidRPr="00B36A61" w:rsidRDefault="000D4329" w:rsidP="003B7C3A">
      <w:pPr>
        <w:pStyle w:val="Pamatteksts"/>
        <w:rPr>
          <w:color w:val="17365D"/>
        </w:rPr>
      </w:pPr>
      <w:r w:rsidRPr="00B36A61">
        <w:rPr>
          <w:color w:val="17365D"/>
        </w:rPr>
        <w:t xml:space="preserve">Postenim “Sociāla rakstura maksājumi un kompensācijas” izlietots </w:t>
      </w:r>
      <w:r w:rsidR="00804DCB" w:rsidRPr="00B36A61">
        <w:rPr>
          <w:color w:val="17365D"/>
        </w:rPr>
        <w:t>33</w:t>
      </w:r>
      <w:r w:rsidRPr="00B36A61">
        <w:rPr>
          <w:color w:val="17365D"/>
        </w:rPr>
        <w:t>,</w:t>
      </w:r>
      <w:r w:rsidR="00804DCB" w:rsidRPr="00B36A61">
        <w:rPr>
          <w:color w:val="17365D"/>
        </w:rPr>
        <w:t>0</w:t>
      </w:r>
      <w:r w:rsidRPr="00B36A61">
        <w:rPr>
          <w:color w:val="17365D"/>
        </w:rPr>
        <w:t xml:space="preserve"> milj. </w:t>
      </w:r>
      <w:r w:rsidRPr="00B36A61">
        <w:rPr>
          <w:i/>
          <w:color w:val="17365D"/>
        </w:rPr>
        <w:t xml:space="preserve">euro </w:t>
      </w:r>
      <w:r w:rsidRPr="00B36A61">
        <w:rPr>
          <w:color w:val="17365D"/>
        </w:rPr>
        <w:t xml:space="preserve">jeb </w:t>
      </w:r>
      <w:r w:rsidR="005472A6" w:rsidRPr="00B36A61">
        <w:rPr>
          <w:color w:val="17365D"/>
        </w:rPr>
        <w:t>4</w:t>
      </w:r>
      <w:r w:rsidRPr="00B36A61">
        <w:rPr>
          <w:color w:val="17365D"/>
        </w:rPr>
        <w:t>,</w:t>
      </w:r>
      <w:r w:rsidR="005472A6" w:rsidRPr="00B36A61">
        <w:rPr>
          <w:color w:val="17365D"/>
        </w:rPr>
        <w:t>3</w:t>
      </w:r>
      <w:r w:rsidRPr="00B36A61">
        <w:rPr>
          <w:color w:val="17365D"/>
        </w:rPr>
        <w:t> %</w:t>
      </w:r>
      <w:r w:rsidRPr="00B36A61">
        <w:rPr>
          <w:noProof w:val="0"/>
          <w:color w:val="17365D"/>
        </w:rPr>
        <w:t xml:space="preserve"> </w:t>
      </w:r>
      <w:r w:rsidRPr="00B36A61">
        <w:rPr>
          <w:color w:val="17365D"/>
        </w:rPr>
        <w:t xml:space="preserve">no </w:t>
      </w:r>
      <w:r w:rsidR="009957FA" w:rsidRPr="00B36A61">
        <w:rPr>
          <w:color w:val="17365D"/>
        </w:rPr>
        <w:t>kopējiem</w:t>
      </w:r>
      <w:r w:rsidRPr="00B36A61">
        <w:rPr>
          <w:color w:val="17365D"/>
        </w:rPr>
        <w:t xml:space="preserve"> izdevumiem.</w:t>
      </w:r>
      <w:r w:rsidR="00BC25C8" w:rsidRPr="00B36A61">
        <w:rPr>
          <w:color w:val="17365D"/>
        </w:rPr>
        <w:t xml:space="preserve"> Izdevumus veica:</w:t>
      </w:r>
    </w:p>
    <w:p w14:paraId="1AF34C38" w14:textId="77777777" w:rsidR="00804DCB" w:rsidRPr="00B36A61" w:rsidRDefault="00804DCB" w:rsidP="00856306">
      <w:pPr>
        <w:pStyle w:val="Pamatteksts"/>
        <w:numPr>
          <w:ilvl w:val="0"/>
          <w:numId w:val="30"/>
        </w:numPr>
        <w:ind w:left="993" w:hanging="426"/>
        <w:rPr>
          <w:color w:val="17365D"/>
        </w:rPr>
      </w:pPr>
      <w:r w:rsidRPr="00B36A61">
        <w:rPr>
          <w:color w:val="17365D"/>
        </w:rPr>
        <w:t>Finanšu ministrija 7,6 milj. </w:t>
      </w:r>
      <w:r w:rsidRPr="00B36A61">
        <w:rPr>
          <w:i/>
          <w:color w:val="17365D"/>
        </w:rPr>
        <w:t>euro</w:t>
      </w:r>
      <w:r w:rsidRPr="00B36A61">
        <w:rPr>
          <w:color w:val="17365D"/>
        </w:rPr>
        <w:t xml:space="preserve"> –</w:t>
      </w:r>
      <w:r w:rsidRPr="00B36A61">
        <w:rPr>
          <w:i/>
          <w:color w:val="17365D"/>
        </w:rPr>
        <w:t xml:space="preserve"> </w:t>
      </w:r>
      <w:r w:rsidRPr="00B36A61">
        <w:rPr>
          <w:color w:val="17365D"/>
        </w:rPr>
        <w:t>lai nodrošinātu atbalsta sniegšanu nodokļu maksātājiem to darbības turpināšanai Covid-19 krīzes apstākļos;</w:t>
      </w:r>
    </w:p>
    <w:p w14:paraId="08FA9DDD" w14:textId="2F8BD49A" w:rsidR="00BC25C8" w:rsidRPr="00B36A61" w:rsidRDefault="00D24D38" w:rsidP="00856306">
      <w:pPr>
        <w:pStyle w:val="Pamatteksts"/>
        <w:numPr>
          <w:ilvl w:val="0"/>
          <w:numId w:val="30"/>
        </w:numPr>
        <w:ind w:left="993" w:hanging="426"/>
        <w:rPr>
          <w:color w:val="17365D"/>
        </w:rPr>
      </w:pPr>
      <w:r w:rsidRPr="00B36A61">
        <w:rPr>
          <w:color w:val="17365D"/>
        </w:rPr>
        <w:t>Labklājības</w:t>
      </w:r>
      <w:r w:rsidR="00BC25C8" w:rsidRPr="00B36A61">
        <w:rPr>
          <w:color w:val="17365D"/>
        </w:rPr>
        <w:t xml:space="preserve"> ministrija </w:t>
      </w:r>
      <w:r w:rsidR="00804DCB" w:rsidRPr="00B36A61">
        <w:rPr>
          <w:color w:val="17365D"/>
        </w:rPr>
        <w:t>25</w:t>
      </w:r>
      <w:r w:rsidR="00BC25C8" w:rsidRPr="00B36A61">
        <w:rPr>
          <w:color w:val="17365D"/>
        </w:rPr>
        <w:t>,</w:t>
      </w:r>
      <w:r w:rsidR="00804DCB" w:rsidRPr="00B36A61">
        <w:rPr>
          <w:color w:val="17365D"/>
        </w:rPr>
        <w:t>3</w:t>
      </w:r>
      <w:r w:rsidR="00BC25C8" w:rsidRPr="00B36A61">
        <w:rPr>
          <w:color w:val="17365D"/>
        </w:rPr>
        <w:t> milj. </w:t>
      </w:r>
      <w:r w:rsidR="00BC25C8" w:rsidRPr="00B36A61">
        <w:rPr>
          <w:i/>
          <w:color w:val="17365D"/>
        </w:rPr>
        <w:t xml:space="preserve">euro </w:t>
      </w:r>
      <w:r w:rsidR="00BC25C8" w:rsidRPr="00B36A61">
        <w:rPr>
          <w:color w:val="17365D"/>
        </w:rPr>
        <w:t xml:space="preserve">– </w:t>
      </w:r>
      <w:r w:rsidRPr="00B36A61">
        <w:rPr>
          <w:color w:val="17365D"/>
        </w:rPr>
        <w:t>vienreizēj</w:t>
      </w:r>
      <w:r w:rsidR="004133B3" w:rsidRPr="00B36A61">
        <w:rPr>
          <w:color w:val="17365D"/>
        </w:rPr>
        <w:t>a</w:t>
      </w:r>
      <w:r w:rsidRPr="00B36A61">
        <w:rPr>
          <w:color w:val="17365D"/>
        </w:rPr>
        <w:t xml:space="preserve"> pabalst</w:t>
      </w:r>
      <w:r w:rsidR="005A73EA" w:rsidRPr="00B36A61">
        <w:rPr>
          <w:color w:val="17365D"/>
        </w:rPr>
        <w:t>a izmaksām</w:t>
      </w:r>
      <w:r w:rsidRPr="00B36A61">
        <w:rPr>
          <w:color w:val="17365D"/>
        </w:rPr>
        <w:t xml:space="preserve"> 20 </w:t>
      </w:r>
      <w:r w:rsidRPr="00B36A61">
        <w:rPr>
          <w:i/>
          <w:color w:val="17365D"/>
        </w:rPr>
        <w:t>euro</w:t>
      </w:r>
      <w:r w:rsidRPr="00B36A61">
        <w:rPr>
          <w:color w:val="17365D"/>
        </w:rPr>
        <w:t xml:space="preserve"> apmērā Covid-19 infekcijas izplatības seku pārvarēšanai, vienreizēja </w:t>
      </w:r>
      <w:r w:rsidR="00FE7AB9" w:rsidRPr="00B36A61">
        <w:rPr>
          <w:color w:val="17365D"/>
        </w:rPr>
        <w:t>pabalsta</w:t>
      </w:r>
      <w:r w:rsidRPr="00B36A61">
        <w:rPr>
          <w:color w:val="17365D"/>
        </w:rPr>
        <w:t xml:space="preserve"> izmaks</w:t>
      </w:r>
      <w:r w:rsidR="005A73EA" w:rsidRPr="00B36A61">
        <w:rPr>
          <w:color w:val="17365D"/>
        </w:rPr>
        <w:t>ām</w:t>
      </w:r>
      <w:r w:rsidR="00FE7AB9" w:rsidRPr="00B36A61">
        <w:rPr>
          <w:color w:val="17365D"/>
        </w:rPr>
        <w:t xml:space="preserve"> </w:t>
      </w:r>
      <w:r w:rsidRPr="00B36A61">
        <w:rPr>
          <w:color w:val="17365D"/>
        </w:rPr>
        <w:t>par katru bērnu</w:t>
      </w:r>
      <w:r w:rsidR="00FE7AB9" w:rsidRPr="00B36A61">
        <w:rPr>
          <w:color w:val="17365D"/>
        </w:rPr>
        <w:t xml:space="preserve"> 500 </w:t>
      </w:r>
      <w:r w:rsidR="00FE7AB9" w:rsidRPr="00B36A61">
        <w:rPr>
          <w:i/>
          <w:color w:val="17365D"/>
        </w:rPr>
        <w:t>euro</w:t>
      </w:r>
      <w:r w:rsidR="00FE7AB9" w:rsidRPr="00B36A61">
        <w:rPr>
          <w:color w:val="17365D"/>
        </w:rPr>
        <w:t xml:space="preserve"> apmērā un </w:t>
      </w:r>
      <w:r w:rsidR="005472A6" w:rsidRPr="00B36A61">
        <w:rPr>
          <w:color w:val="17365D"/>
        </w:rPr>
        <w:t>vienreizēja pabalsta izmaks</w:t>
      </w:r>
      <w:r w:rsidR="005A73EA" w:rsidRPr="00B36A61">
        <w:rPr>
          <w:color w:val="17365D"/>
        </w:rPr>
        <w:t>ām</w:t>
      </w:r>
      <w:r w:rsidR="005472A6" w:rsidRPr="00B36A61">
        <w:rPr>
          <w:color w:val="17365D"/>
        </w:rPr>
        <w:t xml:space="preserve"> 200 euro apmērā</w:t>
      </w:r>
      <w:r w:rsidR="00FE7AB9" w:rsidRPr="00B36A61">
        <w:rPr>
          <w:color w:val="17365D"/>
        </w:rPr>
        <w:t xml:space="preserve">, </w:t>
      </w:r>
      <w:r w:rsidR="005472A6" w:rsidRPr="00B36A61">
        <w:rPr>
          <w:color w:val="17365D"/>
        </w:rPr>
        <w:t xml:space="preserve">personām, kurām nepieciešama kopšana </w:t>
      </w:r>
      <w:r w:rsidR="00FE7AB9" w:rsidRPr="00B36A61">
        <w:rPr>
          <w:color w:val="17365D"/>
        </w:rPr>
        <w:t xml:space="preserve"> saistībā ar Covid-19 izplatības sekām</w:t>
      </w:r>
      <w:r w:rsidR="00BC25C8" w:rsidRPr="00B36A61">
        <w:rPr>
          <w:color w:val="17365D"/>
        </w:rPr>
        <w:t>;</w:t>
      </w:r>
    </w:p>
    <w:p w14:paraId="244BA3C4" w14:textId="6111313E" w:rsidR="00C7045D" w:rsidRPr="00B36A61" w:rsidRDefault="0027438F" w:rsidP="00CE1912">
      <w:pPr>
        <w:spacing w:after="0"/>
        <w:rPr>
          <w:color w:val="17365D"/>
        </w:rPr>
      </w:pPr>
      <w:r w:rsidRPr="00B36A61">
        <w:rPr>
          <w:color w:val="17365D"/>
        </w:rPr>
        <w:t xml:space="preserve">Atbalsta pasākumi </w:t>
      </w:r>
      <w:r w:rsidR="004133B3" w:rsidRPr="00B36A61">
        <w:rPr>
          <w:color w:val="17365D"/>
        </w:rPr>
        <w:t xml:space="preserve">uzrādīti </w:t>
      </w:r>
      <w:r w:rsidRPr="00B36A61">
        <w:rPr>
          <w:color w:val="17365D"/>
        </w:rPr>
        <w:t>posten</w:t>
      </w:r>
      <w:r w:rsidR="00B96803" w:rsidRPr="00B36A61">
        <w:rPr>
          <w:color w:val="17365D"/>
        </w:rPr>
        <w:t>ī</w:t>
      </w:r>
      <w:r w:rsidRPr="00B36A61">
        <w:rPr>
          <w:color w:val="17365D"/>
        </w:rPr>
        <w:t xml:space="preserve"> “Akcijas un cita līdzdalībā komersantu pašu kapitālā” </w:t>
      </w:r>
      <w:r w:rsidR="00636A73" w:rsidRPr="00B36A61">
        <w:rPr>
          <w:color w:val="17365D"/>
        </w:rPr>
        <w:t>–</w:t>
      </w:r>
      <w:r w:rsidRPr="00B36A61">
        <w:rPr>
          <w:color w:val="17365D"/>
        </w:rPr>
        <w:t xml:space="preserve"> </w:t>
      </w:r>
      <w:r w:rsidR="00F65740" w:rsidRPr="00B36A61">
        <w:rPr>
          <w:color w:val="17365D"/>
        </w:rPr>
        <w:t>93</w:t>
      </w:r>
      <w:r w:rsidR="00C7045D" w:rsidRPr="00B36A61">
        <w:rPr>
          <w:color w:val="17365D"/>
        </w:rPr>
        <w:t>,</w:t>
      </w:r>
      <w:r w:rsidR="00F65740" w:rsidRPr="00B36A61">
        <w:rPr>
          <w:color w:val="17365D"/>
        </w:rPr>
        <w:t>9</w:t>
      </w:r>
      <w:r w:rsidR="00C7045D" w:rsidRPr="00B36A61">
        <w:rPr>
          <w:color w:val="17365D"/>
        </w:rPr>
        <w:t xml:space="preserve"> milj. </w:t>
      </w:r>
      <w:r w:rsidR="00C7045D" w:rsidRPr="00B36A61">
        <w:rPr>
          <w:i/>
          <w:color w:val="17365D"/>
        </w:rPr>
        <w:t>euro</w:t>
      </w:r>
      <w:r w:rsidR="00FF75CD" w:rsidRPr="00B36A61">
        <w:rPr>
          <w:i/>
          <w:color w:val="17365D"/>
        </w:rPr>
        <w:t xml:space="preserve">, </w:t>
      </w:r>
      <w:r w:rsidR="00FF75CD" w:rsidRPr="00B36A61">
        <w:rPr>
          <w:color w:val="17365D"/>
        </w:rPr>
        <w:t xml:space="preserve">lai nodrošinātu krīzes pārvarēšanu un </w:t>
      </w:r>
      <w:r w:rsidRPr="00B36A61">
        <w:rPr>
          <w:color w:val="17365D"/>
        </w:rPr>
        <w:t xml:space="preserve">stabilizētu </w:t>
      </w:r>
      <w:r w:rsidR="00FF75CD" w:rsidRPr="00B36A61">
        <w:rPr>
          <w:color w:val="17365D"/>
        </w:rPr>
        <w:t>ekonomisk</w:t>
      </w:r>
      <w:r w:rsidRPr="00B36A61">
        <w:rPr>
          <w:color w:val="17365D"/>
        </w:rPr>
        <w:t>o</w:t>
      </w:r>
      <w:r w:rsidR="00FF75CD" w:rsidRPr="00B36A61">
        <w:rPr>
          <w:color w:val="17365D"/>
        </w:rPr>
        <w:t xml:space="preserve"> situācij</w:t>
      </w:r>
      <w:r w:rsidRPr="00B36A61">
        <w:rPr>
          <w:color w:val="17365D"/>
        </w:rPr>
        <w:t>u</w:t>
      </w:r>
      <w:r w:rsidR="00FF75CD" w:rsidRPr="00B36A61">
        <w:rPr>
          <w:color w:val="17365D"/>
        </w:rPr>
        <w:t xml:space="preserve"> </w:t>
      </w:r>
      <w:r w:rsidRPr="00B36A61">
        <w:rPr>
          <w:color w:val="17365D"/>
        </w:rPr>
        <w:t>nozarē</w:t>
      </w:r>
      <w:r w:rsidR="002A1764" w:rsidRPr="00B36A61">
        <w:rPr>
          <w:color w:val="17365D"/>
        </w:rPr>
        <w:t>,</w:t>
      </w:r>
      <w:r w:rsidR="00FF75CD" w:rsidRPr="00B36A61">
        <w:rPr>
          <w:color w:val="17365D"/>
        </w:rPr>
        <w:t xml:space="preserve"> palielināts </w:t>
      </w:r>
      <w:r w:rsidRPr="00B36A61">
        <w:rPr>
          <w:color w:val="17365D"/>
        </w:rPr>
        <w:t>pamatkapitāls sekojošām kapitālsabiedrībām</w:t>
      </w:r>
      <w:r w:rsidR="004133B3" w:rsidRPr="00B36A61">
        <w:rPr>
          <w:color w:val="17365D"/>
        </w:rPr>
        <w:t>:</w:t>
      </w:r>
      <w:r w:rsidRPr="00B36A61">
        <w:rPr>
          <w:color w:val="17365D"/>
        </w:rPr>
        <w:t xml:space="preserve"> </w:t>
      </w:r>
      <w:r w:rsidR="00FF75CD" w:rsidRPr="00B36A61">
        <w:rPr>
          <w:color w:val="17365D"/>
        </w:rPr>
        <w:t>VSIA “</w:t>
      </w:r>
      <w:r w:rsidR="00260FE2" w:rsidRPr="00B36A61">
        <w:rPr>
          <w:color w:val="17365D"/>
        </w:rPr>
        <w:t>Bērnu klīniskās universitātes slimnīcai</w:t>
      </w:r>
      <w:r w:rsidR="00FF75CD" w:rsidRPr="00B36A61">
        <w:rPr>
          <w:color w:val="17365D"/>
        </w:rPr>
        <w:t xml:space="preserve">,” </w:t>
      </w:r>
      <w:r w:rsidR="00260FE2" w:rsidRPr="00B36A61">
        <w:rPr>
          <w:color w:val="17365D"/>
        </w:rPr>
        <w:t>VSIA</w:t>
      </w:r>
      <w:r w:rsidR="00FF75CD" w:rsidRPr="00B36A61">
        <w:rPr>
          <w:color w:val="17365D"/>
        </w:rPr>
        <w:t xml:space="preserve"> “</w:t>
      </w:r>
      <w:r w:rsidR="00260FE2" w:rsidRPr="00B36A61">
        <w:rPr>
          <w:color w:val="17365D"/>
        </w:rPr>
        <w:t>Paula Stradiņa klīniskās universitātes slimnīcai</w:t>
      </w:r>
      <w:r w:rsidR="00FF75CD" w:rsidRPr="00B36A61">
        <w:rPr>
          <w:color w:val="17365D"/>
        </w:rPr>
        <w:t xml:space="preserve">”, </w:t>
      </w:r>
      <w:r w:rsidR="00260FE2" w:rsidRPr="00B36A61">
        <w:rPr>
          <w:color w:val="17365D"/>
        </w:rPr>
        <w:t>SIA “Rīgas Austrumu klīniskās universitātes slimnīcai</w:t>
      </w:r>
      <w:r w:rsidR="000C272B" w:rsidRPr="00B36A61">
        <w:rPr>
          <w:color w:val="17365D"/>
        </w:rPr>
        <w:t xml:space="preserve">” un </w:t>
      </w:r>
      <w:r w:rsidR="00260FE2" w:rsidRPr="00B36A61">
        <w:rPr>
          <w:color w:val="17365D"/>
        </w:rPr>
        <w:t>VSIA “Nacionālais rehabilitācijas centrs “Vaivari””</w:t>
      </w:r>
      <w:r w:rsidRPr="00B36A61">
        <w:rPr>
          <w:color w:val="17365D"/>
        </w:rPr>
        <w:t>.</w:t>
      </w:r>
    </w:p>
    <w:p w14:paraId="78CDD81C" w14:textId="4D91BAB9" w:rsidR="00C7045D" w:rsidRPr="00B36A61" w:rsidRDefault="00AF5D64" w:rsidP="0074579B">
      <w:pPr>
        <w:spacing w:after="0"/>
        <w:ind w:firstLineChars="200" w:firstLine="480"/>
        <w:rPr>
          <w:color w:val="17365D"/>
        </w:rPr>
      </w:pPr>
      <w:r w:rsidRPr="00B36A61">
        <w:rPr>
          <w:color w:val="17365D"/>
        </w:rPr>
        <w:t xml:space="preserve">Speciālajā budžetā lielāko izdevumu daļu veido </w:t>
      </w:r>
      <w:r w:rsidR="003F2D21" w:rsidRPr="00B36A61">
        <w:rPr>
          <w:color w:val="17365D"/>
        </w:rPr>
        <w:t xml:space="preserve">postenis “Sociāla rakstura maksājumi un kompensācijas”, kuram izlietots </w:t>
      </w:r>
      <w:r w:rsidR="00364809" w:rsidRPr="00B36A61">
        <w:rPr>
          <w:color w:val="17365D"/>
        </w:rPr>
        <w:t>55</w:t>
      </w:r>
      <w:r w:rsidR="003F2D21" w:rsidRPr="00B36A61">
        <w:rPr>
          <w:color w:val="17365D"/>
        </w:rPr>
        <w:t>,</w:t>
      </w:r>
      <w:r w:rsidR="00364809" w:rsidRPr="00B36A61">
        <w:rPr>
          <w:color w:val="17365D"/>
        </w:rPr>
        <w:t>0</w:t>
      </w:r>
      <w:r w:rsidR="003F2D21" w:rsidRPr="00B36A61">
        <w:rPr>
          <w:color w:val="17365D"/>
        </w:rPr>
        <w:t> milj. </w:t>
      </w:r>
      <w:r w:rsidR="003F2D21" w:rsidRPr="00B36A61">
        <w:rPr>
          <w:i/>
          <w:color w:val="17365D"/>
        </w:rPr>
        <w:t>euro</w:t>
      </w:r>
      <w:r w:rsidR="003F2D21" w:rsidRPr="00B36A61">
        <w:rPr>
          <w:color w:val="17365D"/>
        </w:rPr>
        <w:t xml:space="preserve"> jeb 9</w:t>
      </w:r>
      <w:r w:rsidR="008E175F" w:rsidRPr="00B36A61">
        <w:rPr>
          <w:color w:val="17365D"/>
        </w:rPr>
        <w:t>9</w:t>
      </w:r>
      <w:r w:rsidR="003F2D21" w:rsidRPr="00B36A61">
        <w:rPr>
          <w:color w:val="17365D"/>
        </w:rPr>
        <w:t>,</w:t>
      </w:r>
      <w:r w:rsidR="00364809" w:rsidRPr="00B36A61">
        <w:rPr>
          <w:color w:val="17365D"/>
        </w:rPr>
        <w:t>6</w:t>
      </w:r>
      <w:r w:rsidR="003F2D21" w:rsidRPr="00B36A61">
        <w:rPr>
          <w:color w:val="17365D"/>
        </w:rPr>
        <w:t xml:space="preserve">% no kopējiem izdevumiem. Sniegti </w:t>
      </w:r>
      <w:r w:rsidR="008E175F" w:rsidRPr="00B36A61">
        <w:rPr>
          <w:color w:val="17365D"/>
        </w:rPr>
        <w:t>slimības pabalst</w:t>
      </w:r>
      <w:r w:rsidR="004133B3" w:rsidRPr="00B36A61">
        <w:rPr>
          <w:color w:val="17365D"/>
        </w:rPr>
        <w:t>i</w:t>
      </w:r>
      <w:r w:rsidR="008E175F" w:rsidRPr="00B36A61">
        <w:rPr>
          <w:color w:val="17365D"/>
        </w:rPr>
        <w:t xml:space="preserve"> no pirmās darbnespējas dienas, ja personai izsniegta darbnespējas lapa sakarā ar saslimšanu ar Covid-19 va</w:t>
      </w:r>
      <w:r w:rsidR="00364809" w:rsidRPr="00B36A61">
        <w:rPr>
          <w:color w:val="17365D"/>
        </w:rPr>
        <w:t>i atrašanos mājas karantīnā</w:t>
      </w:r>
      <w:r w:rsidR="00C31971" w:rsidRPr="00B36A61">
        <w:rPr>
          <w:color w:val="17365D"/>
        </w:rPr>
        <w:t>.</w:t>
      </w:r>
    </w:p>
    <w:p w14:paraId="6A073146" w14:textId="0D2AD59F" w:rsidR="00D5761A" w:rsidRPr="00B36A61" w:rsidRDefault="00D5761A" w:rsidP="005F5F71">
      <w:pPr>
        <w:pStyle w:val="Heading1"/>
        <w:spacing w:after="240"/>
        <w:rPr>
          <w:rFonts w:cs="Times New Roman"/>
          <w:noProof w:val="0"/>
          <w:color w:val="17365D"/>
        </w:rPr>
      </w:pPr>
      <w:r w:rsidRPr="00B36A61">
        <w:rPr>
          <w:rFonts w:cs="Times New Roman"/>
          <w:noProof w:val="0"/>
          <w:color w:val="17365D"/>
        </w:rPr>
        <w:t>Konsolidācija</w:t>
      </w:r>
    </w:p>
    <w:p w14:paraId="30FA3966" w14:textId="12DAAA1C" w:rsidR="00D5761A" w:rsidRPr="00B36A61" w:rsidRDefault="00D5761A" w:rsidP="005F5F71">
      <w:pPr>
        <w:pStyle w:val="Pamatteksts"/>
        <w:spacing w:after="240"/>
        <w:rPr>
          <w:noProof w:val="0"/>
          <w:color w:val="17365D"/>
        </w:rPr>
      </w:pPr>
      <w:r w:rsidRPr="00B36A61">
        <w:rPr>
          <w:noProof w:val="0"/>
          <w:color w:val="17365D"/>
        </w:rPr>
        <w:t>Pārskatā konsolidēti dati</w:t>
      </w:r>
      <w:r w:rsidR="00A4300B" w:rsidRPr="00B36A61">
        <w:rPr>
          <w:noProof w:val="0"/>
          <w:color w:val="17365D"/>
        </w:rPr>
        <w:t xml:space="preserve"> </w:t>
      </w:r>
      <w:r w:rsidR="00F21EDC" w:rsidRPr="00B36A61">
        <w:rPr>
          <w:noProof w:val="0"/>
          <w:color w:val="17365D"/>
        </w:rPr>
        <w:t>pa budžeta veidiem</w:t>
      </w:r>
      <w:r w:rsidR="00A4300B" w:rsidRPr="00B36A61">
        <w:rPr>
          <w:noProof w:val="0"/>
          <w:color w:val="17365D"/>
        </w:rPr>
        <w:t xml:space="preserve"> (pamatbudžets, speciālais budžets, ziedojumi un dāvinājumi) un starp</w:t>
      </w:r>
      <w:r w:rsidRPr="00B36A61">
        <w:rPr>
          <w:noProof w:val="0"/>
          <w:color w:val="17365D"/>
        </w:rPr>
        <w:t xml:space="preserve"> </w:t>
      </w:r>
      <w:r w:rsidR="00A4300B" w:rsidRPr="00B36A61">
        <w:rPr>
          <w:noProof w:val="0"/>
          <w:color w:val="17365D"/>
        </w:rPr>
        <w:t>šiem b</w:t>
      </w:r>
      <w:r w:rsidRPr="00B36A61">
        <w:rPr>
          <w:noProof w:val="0"/>
          <w:color w:val="17365D"/>
        </w:rPr>
        <w:t>udžeta veidiem.</w:t>
      </w:r>
    </w:p>
    <w:p w14:paraId="0A78D846" w14:textId="2F51DAB0" w:rsidR="00D5761A" w:rsidRPr="00B36A61" w:rsidRDefault="00D5761A" w:rsidP="005F5F71">
      <w:pPr>
        <w:pStyle w:val="Pamatteksts"/>
        <w:spacing w:after="240"/>
        <w:rPr>
          <w:noProof w:val="0"/>
          <w:color w:val="17365D"/>
        </w:rPr>
      </w:pPr>
      <w:r w:rsidRPr="00B36A61">
        <w:rPr>
          <w:noProof w:val="0"/>
          <w:color w:val="17365D"/>
        </w:rPr>
        <w:t xml:space="preserve">Konsolidāciju veic, summējot visus pārskatos uzrādītos rādītājus un izslēdzot savstarpēji atbilstošus ieņēmumu un izdevumu posteņus, pilnībā konsolidē </w:t>
      </w:r>
      <w:r w:rsidR="002A18FF" w:rsidRPr="00B36A61">
        <w:rPr>
          <w:noProof w:val="0"/>
          <w:color w:val="17365D"/>
        </w:rPr>
        <w:t xml:space="preserve">izdevumu un </w:t>
      </w:r>
      <w:r w:rsidRPr="00B36A61">
        <w:rPr>
          <w:noProof w:val="0"/>
          <w:color w:val="17365D"/>
        </w:rPr>
        <w:t>ieņēmumu transfertu savstarpēj</w:t>
      </w:r>
      <w:r w:rsidR="005E0D64" w:rsidRPr="00B36A61">
        <w:rPr>
          <w:noProof w:val="0"/>
          <w:color w:val="17365D"/>
        </w:rPr>
        <w:t>os</w:t>
      </w:r>
      <w:r w:rsidRPr="00B36A61">
        <w:rPr>
          <w:noProof w:val="0"/>
          <w:color w:val="17365D"/>
        </w:rPr>
        <w:t xml:space="preserve"> darījum</w:t>
      </w:r>
      <w:r w:rsidR="005E0D64" w:rsidRPr="00B36A61">
        <w:rPr>
          <w:noProof w:val="0"/>
          <w:color w:val="17365D"/>
        </w:rPr>
        <w:t>us</w:t>
      </w:r>
      <w:r w:rsidRPr="00B36A61">
        <w:rPr>
          <w:noProof w:val="0"/>
          <w:color w:val="17365D"/>
        </w:rPr>
        <w:t>.</w:t>
      </w:r>
    </w:p>
    <w:p w14:paraId="265E3CF6" w14:textId="4A7C5AC8" w:rsidR="00465888" w:rsidRPr="00B36A61" w:rsidRDefault="00465888" w:rsidP="00465888">
      <w:pPr>
        <w:pStyle w:val="Pamatteksts"/>
        <w:rPr>
          <w:noProof w:val="0"/>
          <w:color w:val="17365D"/>
        </w:rPr>
      </w:pPr>
      <w:r w:rsidRPr="00B36A61">
        <w:rPr>
          <w:noProof w:val="0"/>
          <w:color w:val="17365D"/>
          <w:u w:val="single"/>
        </w:rPr>
        <w:t>Valsts konsolidētajā budžetā</w:t>
      </w:r>
      <w:r w:rsidRPr="00B36A61">
        <w:rPr>
          <w:noProof w:val="0"/>
          <w:color w:val="17365D"/>
        </w:rPr>
        <w:t xml:space="preserve">, konsolidējot </w:t>
      </w:r>
      <w:r w:rsidR="000767D1" w:rsidRPr="00B36A61">
        <w:rPr>
          <w:noProof w:val="0"/>
          <w:color w:val="17365D"/>
        </w:rPr>
        <w:t>starp</w:t>
      </w:r>
      <w:r w:rsidRPr="00B36A61">
        <w:rPr>
          <w:noProof w:val="0"/>
          <w:color w:val="17365D"/>
        </w:rPr>
        <w:t>budžetu (pamatbudžetu, speciālo budžetu, ziedojumus un dāvinājumus, un no valsts budžeta daļēji finansētu atvasinātu publisku personu un bud</w:t>
      </w:r>
      <w:r w:rsidR="00FD1754" w:rsidRPr="00B36A61">
        <w:rPr>
          <w:noProof w:val="0"/>
          <w:color w:val="17365D"/>
        </w:rPr>
        <w:t>žeta nefinansētu iestāžu pamat</w:t>
      </w:r>
      <w:r w:rsidR="00075DD5" w:rsidRPr="00B36A61">
        <w:rPr>
          <w:noProof w:val="0"/>
          <w:color w:val="17365D"/>
        </w:rPr>
        <w:t>darbību</w:t>
      </w:r>
      <w:r w:rsidR="006928AC" w:rsidRPr="00B36A61">
        <w:rPr>
          <w:noProof w:val="0"/>
          <w:color w:val="17365D"/>
        </w:rPr>
        <w:t xml:space="preserve"> un citus budžetus</w:t>
      </w:r>
      <w:r w:rsidRPr="00B36A61">
        <w:rPr>
          <w:noProof w:val="0"/>
          <w:color w:val="17365D"/>
        </w:rPr>
        <w:t>)</w:t>
      </w:r>
      <w:r w:rsidR="000767D1" w:rsidRPr="00B36A61">
        <w:rPr>
          <w:noProof w:val="0"/>
          <w:color w:val="17365D"/>
        </w:rPr>
        <w:t xml:space="preserve"> darījumus</w:t>
      </w:r>
      <w:r w:rsidRPr="00B36A61">
        <w:rPr>
          <w:noProof w:val="0"/>
          <w:color w:val="17365D"/>
        </w:rPr>
        <w:t>, izslēgtas šādas pozīcijas:</w:t>
      </w:r>
      <w:r w:rsidRPr="00B36A61">
        <w:rPr>
          <w:color w:val="17365D"/>
          <w:sz w:val="20"/>
          <w:szCs w:val="20"/>
        </w:rPr>
        <w:t xml:space="preserve"> </w:t>
      </w:r>
    </w:p>
    <w:p w14:paraId="08557439" w14:textId="3A6735E7" w:rsidR="00465888" w:rsidRPr="00B36A61" w:rsidRDefault="00465888" w:rsidP="00465888">
      <w:pPr>
        <w:pStyle w:val="Pamatteksts"/>
        <w:rPr>
          <w:noProof w:val="0"/>
          <w:color w:val="17365D"/>
        </w:rPr>
      </w:pPr>
      <w:r w:rsidRPr="00B36A61">
        <w:rPr>
          <w:b/>
          <w:noProof w:val="0"/>
          <w:color w:val="17365D"/>
        </w:rPr>
        <w:t xml:space="preserve">Ieņēmumi/izdevumi – </w:t>
      </w:r>
      <w:r w:rsidR="00BE2ACF" w:rsidRPr="00B36A61">
        <w:rPr>
          <w:b/>
          <w:noProof w:val="0"/>
          <w:color w:val="17365D"/>
        </w:rPr>
        <w:t>6</w:t>
      </w:r>
      <w:r w:rsidR="00F30042" w:rsidRPr="00B36A61">
        <w:rPr>
          <w:b/>
          <w:noProof w:val="0"/>
          <w:color w:val="17365D"/>
        </w:rPr>
        <w:t>74</w:t>
      </w:r>
      <w:r w:rsidR="00BE2ACF" w:rsidRPr="00B36A61">
        <w:rPr>
          <w:b/>
          <w:noProof w:val="0"/>
          <w:color w:val="17365D"/>
        </w:rPr>
        <w:t xml:space="preserve"> </w:t>
      </w:r>
      <w:r w:rsidR="00F30042" w:rsidRPr="00B36A61">
        <w:rPr>
          <w:b/>
          <w:noProof w:val="0"/>
          <w:color w:val="17365D"/>
        </w:rPr>
        <w:t>763</w:t>
      </w:r>
      <w:r w:rsidR="00BE2ACF" w:rsidRPr="00B36A61">
        <w:rPr>
          <w:b/>
          <w:noProof w:val="0"/>
          <w:color w:val="17365D"/>
        </w:rPr>
        <w:t> </w:t>
      </w:r>
      <w:r w:rsidR="00F30042" w:rsidRPr="00B36A61">
        <w:rPr>
          <w:b/>
          <w:noProof w:val="0"/>
          <w:color w:val="17365D"/>
        </w:rPr>
        <w:t>066</w:t>
      </w:r>
      <w:r w:rsidRPr="00B36A61">
        <w:rPr>
          <w:b/>
          <w:i/>
          <w:noProof w:val="0"/>
          <w:color w:val="17365D"/>
        </w:rPr>
        <w:t>euro</w:t>
      </w:r>
      <w:r w:rsidRPr="00B36A61">
        <w:rPr>
          <w:b/>
          <w:noProof w:val="0"/>
          <w:color w:val="17365D"/>
        </w:rPr>
        <w:t xml:space="preserve"> vērtībā</w:t>
      </w:r>
      <w:r w:rsidRPr="00B36A61">
        <w:rPr>
          <w:noProof w:val="0"/>
          <w:color w:val="17365D"/>
        </w:rPr>
        <w:t>, t.sk.:</w:t>
      </w:r>
      <w:r w:rsidRPr="00B36A61">
        <w:rPr>
          <w:b/>
          <w:noProof w:val="0"/>
          <w:color w:val="17365D"/>
          <w:lang w:eastAsia="en-US"/>
        </w:rPr>
        <w:t xml:space="preserve"> </w:t>
      </w:r>
    </w:p>
    <w:p w14:paraId="495EF85B" w14:textId="2A2FBD77" w:rsidR="00465888" w:rsidRPr="00B36A61" w:rsidRDefault="00465888" w:rsidP="00694E66">
      <w:pPr>
        <w:pStyle w:val="Bullets"/>
        <w:spacing w:after="0"/>
        <w:ind w:left="993" w:hanging="420"/>
        <w:rPr>
          <w:noProof w:val="0"/>
          <w:color w:val="17365D"/>
        </w:rPr>
      </w:pPr>
      <w:r w:rsidRPr="00B36A61">
        <w:rPr>
          <w:noProof w:val="0"/>
          <w:color w:val="17365D"/>
        </w:rPr>
        <w:t>pakalpojumu izdevumi (</w:t>
      </w:r>
      <w:r w:rsidR="001907AD" w:rsidRPr="00B36A61">
        <w:rPr>
          <w:noProof w:val="0"/>
          <w:color w:val="17365D"/>
        </w:rPr>
        <w:t>izdevumu EKK 2200, ieņēmumu kods</w:t>
      </w:r>
      <w:r w:rsidRPr="00B36A61">
        <w:rPr>
          <w:noProof w:val="0"/>
          <w:color w:val="17365D"/>
        </w:rPr>
        <w:t xml:space="preserve"> </w:t>
      </w:r>
      <w:r w:rsidR="00820517" w:rsidRPr="00B36A61">
        <w:rPr>
          <w:noProof w:val="0"/>
          <w:color w:val="17365D"/>
        </w:rPr>
        <w:t>8</w:t>
      </w:r>
      <w:r w:rsidRPr="00B36A61">
        <w:rPr>
          <w:noProof w:val="0"/>
          <w:color w:val="17365D"/>
        </w:rPr>
        <w:t>.</w:t>
      </w:r>
      <w:r w:rsidR="00820517" w:rsidRPr="00B36A61">
        <w:rPr>
          <w:noProof w:val="0"/>
          <w:color w:val="17365D"/>
        </w:rPr>
        <w:t>4</w:t>
      </w:r>
      <w:r w:rsidRPr="00B36A61">
        <w:rPr>
          <w:noProof w:val="0"/>
          <w:color w:val="17365D"/>
        </w:rPr>
        <w:t xml:space="preserve">.0.0.) – </w:t>
      </w:r>
      <w:r w:rsidR="00716655" w:rsidRPr="00B36A61">
        <w:rPr>
          <w:noProof w:val="0"/>
          <w:color w:val="17365D"/>
        </w:rPr>
        <w:t>6</w:t>
      </w:r>
      <w:r w:rsidR="00F30042" w:rsidRPr="00B36A61">
        <w:rPr>
          <w:noProof w:val="0"/>
          <w:color w:val="17365D"/>
        </w:rPr>
        <w:t>3</w:t>
      </w:r>
      <w:r w:rsidR="00716655" w:rsidRPr="00B36A61">
        <w:rPr>
          <w:noProof w:val="0"/>
          <w:color w:val="17365D"/>
        </w:rPr>
        <w:t> </w:t>
      </w:r>
      <w:r w:rsidR="00F30042" w:rsidRPr="00B36A61">
        <w:rPr>
          <w:noProof w:val="0"/>
          <w:color w:val="17365D"/>
        </w:rPr>
        <w:t>988</w:t>
      </w:r>
      <w:r w:rsidR="00C1163C" w:rsidRPr="00B36A61">
        <w:rPr>
          <w:noProof w:val="0"/>
          <w:color w:val="17365D"/>
        </w:rPr>
        <w:t> </w:t>
      </w:r>
      <w:r w:rsidR="00C1163C" w:rsidRPr="00B36A61">
        <w:rPr>
          <w:i/>
          <w:noProof w:val="0"/>
          <w:color w:val="17365D"/>
        </w:rPr>
        <w:t>e</w:t>
      </w:r>
      <w:r w:rsidRPr="00B36A61">
        <w:rPr>
          <w:i/>
          <w:noProof w:val="0"/>
          <w:color w:val="17365D"/>
        </w:rPr>
        <w:t>uro</w:t>
      </w:r>
      <w:r w:rsidRPr="00B36A61">
        <w:rPr>
          <w:noProof w:val="0"/>
          <w:color w:val="17365D"/>
        </w:rPr>
        <w:t xml:space="preserve"> vērtībā;</w:t>
      </w:r>
    </w:p>
    <w:p w14:paraId="21667E2C" w14:textId="02488F03" w:rsidR="00465888" w:rsidRPr="00B36A61" w:rsidRDefault="00465888" w:rsidP="00694E66">
      <w:pPr>
        <w:pStyle w:val="Bullets"/>
        <w:spacing w:after="0"/>
        <w:ind w:left="993" w:hanging="420"/>
        <w:rPr>
          <w:noProof w:val="0"/>
          <w:color w:val="17365D"/>
        </w:rPr>
      </w:pPr>
      <w:r w:rsidRPr="00B36A61">
        <w:rPr>
          <w:noProof w:val="0"/>
          <w:color w:val="17365D"/>
        </w:rPr>
        <w:t>procentu izdevumi (izdevumu EKK 4300, ieņēmumu kodi 8.4.0.0. un 2</w:t>
      </w:r>
      <w:r w:rsidR="00820517" w:rsidRPr="00B36A61">
        <w:rPr>
          <w:noProof w:val="0"/>
          <w:color w:val="17365D"/>
        </w:rPr>
        <w:t>2</w:t>
      </w:r>
      <w:r w:rsidRPr="00B36A61">
        <w:rPr>
          <w:noProof w:val="0"/>
          <w:color w:val="17365D"/>
        </w:rPr>
        <w:t>.</w:t>
      </w:r>
      <w:r w:rsidR="00820517" w:rsidRPr="00B36A61">
        <w:rPr>
          <w:noProof w:val="0"/>
          <w:color w:val="17365D"/>
        </w:rPr>
        <w:t>6</w:t>
      </w:r>
      <w:r w:rsidRPr="00B36A61">
        <w:rPr>
          <w:noProof w:val="0"/>
          <w:color w:val="17365D"/>
        </w:rPr>
        <w:t xml:space="preserve">.0.0.) – </w:t>
      </w:r>
      <w:r w:rsidR="00F30042" w:rsidRPr="00B36A61">
        <w:rPr>
          <w:noProof w:val="0"/>
          <w:color w:val="17365D"/>
        </w:rPr>
        <w:t>4</w:t>
      </w:r>
      <w:r w:rsidR="00716655" w:rsidRPr="00B36A61">
        <w:rPr>
          <w:noProof w:val="0"/>
          <w:color w:val="17365D"/>
        </w:rPr>
        <w:t> </w:t>
      </w:r>
      <w:r w:rsidR="00F30042" w:rsidRPr="00B36A61">
        <w:rPr>
          <w:noProof w:val="0"/>
          <w:color w:val="17365D"/>
        </w:rPr>
        <w:t>368</w:t>
      </w:r>
      <w:r w:rsidR="00716655" w:rsidRPr="00B36A61">
        <w:rPr>
          <w:noProof w:val="0"/>
          <w:color w:val="17365D"/>
        </w:rPr>
        <w:t> </w:t>
      </w:r>
      <w:r w:rsidR="00DC678E" w:rsidRPr="00B36A61">
        <w:rPr>
          <w:noProof w:val="0"/>
          <w:color w:val="17365D"/>
        </w:rPr>
        <w:t>8</w:t>
      </w:r>
      <w:r w:rsidR="00F30042" w:rsidRPr="00B36A61">
        <w:rPr>
          <w:noProof w:val="0"/>
          <w:color w:val="17365D"/>
        </w:rPr>
        <w:t>53</w:t>
      </w:r>
      <w:r w:rsidR="00716655" w:rsidRPr="00B36A61">
        <w:rPr>
          <w:noProof w:val="0"/>
          <w:color w:val="17365D"/>
        </w:rPr>
        <w:t> </w:t>
      </w:r>
      <w:r w:rsidRPr="00B36A61">
        <w:rPr>
          <w:i/>
          <w:noProof w:val="0"/>
          <w:color w:val="17365D"/>
        </w:rPr>
        <w:t>euro</w:t>
      </w:r>
      <w:r w:rsidRPr="00B36A61">
        <w:rPr>
          <w:noProof w:val="0"/>
          <w:color w:val="17365D"/>
        </w:rPr>
        <w:t xml:space="preserve"> vērtībā;</w:t>
      </w:r>
    </w:p>
    <w:p w14:paraId="392A6696" w14:textId="5EAD3374" w:rsidR="00012F5B" w:rsidRPr="00B36A61" w:rsidRDefault="00465888" w:rsidP="00012F5B">
      <w:pPr>
        <w:pStyle w:val="Bullets"/>
        <w:spacing w:after="0"/>
        <w:ind w:left="993" w:hanging="420"/>
        <w:rPr>
          <w:color w:val="17365D"/>
        </w:rPr>
      </w:pPr>
      <w:r w:rsidRPr="00B36A61">
        <w:rPr>
          <w:noProof w:val="0"/>
          <w:color w:val="17365D"/>
        </w:rPr>
        <w:t>valsts budžeta uzturēšanas izdevumu transferti (izdevumu EKK 7100, ieņēmumu kodi 18.2.0.0. un 18.</w:t>
      </w:r>
      <w:r w:rsidR="00820517" w:rsidRPr="00B36A61">
        <w:rPr>
          <w:noProof w:val="0"/>
          <w:color w:val="17365D"/>
        </w:rPr>
        <w:t>4</w:t>
      </w:r>
      <w:r w:rsidRPr="00B36A61">
        <w:rPr>
          <w:noProof w:val="0"/>
          <w:color w:val="17365D"/>
        </w:rPr>
        <w:t>.0.0.)</w:t>
      </w:r>
      <w:r w:rsidRPr="00B36A61">
        <w:rPr>
          <w:color w:val="17365D"/>
        </w:rPr>
        <w:t xml:space="preserve"> – </w:t>
      </w:r>
      <w:r w:rsidR="00012F5B" w:rsidRPr="00B36A61">
        <w:rPr>
          <w:noProof w:val="0"/>
          <w:color w:val="17365D"/>
        </w:rPr>
        <w:t>291</w:t>
      </w:r>
      <w:r w:rsidR="00063747" w:rsidRPr="00B36A61">
        <w:rPr>
          <w:noProof w:val="0"/>
          <w:color w:val="17365D"/>
        </w:rPr>
        <w:t> </w:t>
      </w:r>
      <w:r w:rsidR="00012F5B" w:rsidRPr="00B36A61">
        <w:rPr>
          <w:noProof w:val="0"/>
          <w:color w:val="17365D"/>
        </w:rPr>
        <w:t>517 995</w:t>
      </w:r>
    </w:p>
    <w:p w14:paraId="5263590F" w14:textId="5487AB99" w:rsidR="00465888" w:rsidRPr="00B36A61" w:rsidRDefault="00465888" w:rsidP="00012F5B">
      <w:pPr>
        <w:pStyle w:val="Bullets"/>
        <w:spacing w:after="0"/>
        <w:ind w:left="993" w:hanging="420"/>
        <w:rPr>
          <w:color w:val="17365D"/>
        </w:rPr>
      </w:pPr>
      <w:r w:rsidRPr="00B36A61">
        <w:rPr>
          <w:noProof w:val="0"/>
          <w:color w:val="17365D"/>
        </w:rPr>
        <w:t>transferti citiem budžetiem noteiktam mērķim (izdevumu EKK 7300, ieņēmumu kods 18.3.0.0.)</w:t>
      </w:r>
      <w:r w:rsidRPr="00B36A61">
        <w:rPr>
          <w:color w:val="17365D"/>
        </w:rPr>
        <w:t xml:space="preserve"> – </w:t>
      </w:r>
      <w:r w:rsidR="00012F5B" w:rsidRPr="00B36A61">
        <w:rPr>
          <w:noProof w:val="0"/>
          <w:color w:val="17365D"/>
        </w:rPr>
        <w:t>91</w:t>
      </w:r>
      <w:r w:rsidR="00063747" w:rsidRPr="00B36A61">
        <w:rPr>
          <w:noProof w:val="0"/>
          <w:color w:val="17365D"/>
        </w:rPr>
        <w:t> </w:t>
      </w:r>
      <w:r w:rsidR="00012F5B" w:rsidRPr="00B36A61">
        <w:rPr>
          <w:noProof w:val="0"/>
          <w:color w:val="17365D"/>
        </w:rPr>
        <w:t>115</w:t>
      </w:r>
      <w:r w:rsidR="00063747" w:rsidRPr="00B36A61">
        <w:rPr>
          <w:noProof w:val="0"/>
          <w:color w:val="17365D"/>
        </w:rPr>
        <w:t> </w:t>
      </w:r>
      <w:r w:rsidR="00012F5B" w:rsidRPr="00B36A61">
        <w:rPr>
          <w:noProof w:val="0"/>
          <w:color w:val="17365D"/>
        </w:rPr>
        <w:t>494</w:t>
      </w:r>
      <w:r w:rsidR="00063747" w:rsidRPr="00B36A61">
        <w:rPr>
          <w:noProof w:val="0"/>
          <w:color w:val="17365D"/>
        </w:rPr>
        <w:t xml:space="preserve"> </w:t>
      </w:r>
      <w:r w:rsidRPr="00B36A61">
        <w:rPr>
          <w:i/>
          <w:noProof w:val="0"/>
          <w:color w:val="17365D"/>
        </w:rPr>
        <w:t xml:space="preserve">euro </w:t>
      </w:r>
      <w:r w:rsidRPr="00B36A61">
        <w:rPr>
          <w:noProof w:val="0"/>
          <w:color w:val="17365D"/>
        </w:rPr>
        <w:t>vērtībā</w:t>
      </w:r>
      <w:r w:rsidRPr="00B36A61">
        <w:rPr>
          <w:color w:val="17365D"/>
        </w:rPr>
        <w:t>;</w:t>
      </w:r>
    </w:p>
    <w:p w14:paraId="485C885D" w14:textId="2ADDFDB2" w:rsidR="00465888" w:rsidRPr="00B36A61" w:rsidRDefault="00465888" w:rsidP="00694E66">
      <w:pPr>
        <w:pStyle w:val="Bullets"/>
        <w:spacing w:after="0"/>
        <w:ind w:left="993" w:hanging="420"/>
        <w:rPr>
          <w:color w:val="17365D"/>
        </w:rPr>
      </w:pPr>
      <w:r w:rsidRPr="00B36A61">
        <w:rPr>
          <w:noProof w:val="0"/>
          <w:color w:val="17365D"/>
        </w:rPr>
        <w:t xml:space="preserve">pārējie valsts budžeta uzturēšanas izdevumu transferti citiem budžetiem (izdevumu EKK 7400, ieņēmumu kods 18.3.0.0.) </w:t>
      </w:r>
      <w:r w:rsidRPr="00B36A61">
        <w:rPr>
          <w:color w:val="17365D"/>
        </w:rPr>
        <w:t xml:space="preserve">– </w:t>
      </w:r>
      <w:r w:rsidR="00DC678E" w:rsidRPr="00B36A61">
        <w:rPr>
          <w:noProof w:val="0"/>
          <w:color w:val="17365D"/>
        </w:rPr>
        <w:t>2</w:t>
      </w:r>
      <w:r w:rsidR="00012F5B" w:rsidRPr="00B36A61">
        <w:rPr>
          <w:noProof w:val="0"/>
          <w:color w:val="17365D"/>
        </w:rPr>
        <w:t>39</w:t>
      </w:r>
      <w:r w:rsidR="00716655" w:rsidRPr="00B36A61">
        <w:rPr>
          <w:noProof w:val="0"/>
          <w:color w:val="17365D"/>
        </w:rPr>
        <w:t> </w:t>
      </w:r>
      <w:r w:rsidR="00012F5B" w:rsidRPr="00B36A61">
        <w:rPr>
          <w:noProof w:val="0"/>
          <w:color w:val="17365D"/>
        </w:rPr>
        <w:t>680</w:t>
      </w:r>
      <w:r w:rsidR="00716655" w:rsidRPr="00B36A61">
        <w:rPr>
          <w:noProof w:val="0"/>
          <w:color w:val="17365D"/>
        </w:rPr>
        <w:t> </w:t>
      </w:r>
      <w:r w:rsidR="00012F5B" w:rsidRPr="00B36A61">
        <w:rPr>
          <w:noProof w:val="0"/>
          <w:color w:val="17365D"/>
        </w:rPr>
        <w:t>768</w:t>
      </w:r>
      <w:r w:rsidR="00716655" w:rsidRPr="00B36A61">
        <w:rPr>
          <w:noProof w:val="0"/>
          <w:color w:val="17365D"/>
        </w:rPr>
        <w:t xml:space="preserve"> </w:t>
      </w:r>
      <w:r w:rsidRPr="00B36A61">
        <w:rPr>
          <w:i/>
          <w:noProof w:val="0"/>
          <w:color w:val="17365D"/>
        </w:rPr>
        <w:t xml:space="preserve">euro </w:t>
      </w:r>
      <w:r w:rsidRPr="00B36A61">
        <w:rPr>
          <w:noProof w:val="0"/>
          <w:color w:val="17365D"/>
        </w:rPr>
        <w:t>vērtībā</w:t>
      </w:r>
      <w:r w:rsidRPr="00B36A61">
        <w:rPr>
          <w:color w:val="17365D"/>
        </w:rPr>
        <w:t>;</w:t>
      </w:r>
    </w:p>
    <w:p w14:paraId="06C1B8EE" w14:textId="7BC33C71" w:rsidR="00465888" w:rsidRPr="00B36A61" w:rsidRDefault="00465888" w:rsidP="00694E66">
      <w:pPr>
        <w:pStyle w:val="Bullets"/>
        <w:numPr>
          <w:ilvl w:val="0"/>
          <w:numId w:val="25"/>
        </w:numPr>
        <w:spacing w:after="0"/>
        <w:ind w:left="993" w:hanging="420"/>
        <w:rPr>
          <w:color w:val="17365D"/>
        </w:rPr>
      </w:pPr>
      <w:r w:rsidRPr="00B36A61">
        <w:rPr>
          <w:noProof w:val="0"/>
          <w:color w:val="17365D"/>
        </w:rPr>
        <w:t>no valsts budžeta daļēji finansētu atvasinātu publisku personu un budžeta nefinansētu iestāžu uzturēšanas izdevumu transferti (izdevumu EKK 7800, ieņēmumu kodi 12.3.0.0., 17.1.0.0. un 17.4.0.0.)</w:t>
      </w:r>
      <w:r w:rsidRPr="00B36A61">
        <w:rPr>
          <w:color w:val="17365D"/>
        </w:rPr>
        <w:t xml:space="preserve"> – </w:t>
      </w:r>
      <w:r w:rsidR="00DC678E" w:rsidRPr="00B36A61">
        <w:rPr>
          <w:noProof w:val="0"/>
          <w:color w:val="17365D"/>
        </w:rPr>
        <w:t>7</w:t>
      </w:r>
      <w:r w:rsidR="00716655" w:rsidRPr="00B36A61">
        <w:rPr>
          <w:noProof w:val="0"/>
          <w:color w:val="17365D"/>
        </w:rPr>
        <w:t> </w:t>
      </w:r>
      <w:r w:rsidR="00190C68" w:rsidRPr="00B36A61">
        <w:rPr>
          <w:noProof w:val="0"/>
          <w:color w:val="17365D"/>
        </w:rPr>
        <w:t>683</w:t>
      </w:r>
      <w:r w:rsidR="00716655" w:rsidRPr="00B36A61">
        <w:rPr>
          <w:noProof w:val="0"/>
          <w:color w:val="17365D"/>
        </w:rPr>
        <w:t> </w:t>
      </w:r>
      <w:r w:rsidR="00190C68" w:rsidRPr="00B36A61">
        <w:rPr>
          <w:noProof w:val="0"/>
          <w:color w:val="17365D"/>
        </w:rPr>
        <w:t>750</w:t>
      </w:r>
      <w:r w:rsidR="00716655" w:rsidRPr="00B36A61">
        <w:rPr>
          <w:noProof w:val="0"/>
          <w:color w:val="17365D"/>
        </w:rPr>
        <w:t xml:space="preserve"> </w:t>
      </w:r>
      <w:r w:rsidRPr="00B36A61">
        <w:rPr>
          <w:i/>
          <w:noProof w:val="0"/>
          <w:color w:val="17365D"/>
        </w:rPr>
        <w:t>euro</w:t>
      </w:r>
      <w:r w:rsidRPr="00B36A61">
        <w:rPr>
          <w:color w:val="17365D"/>
        </w:rPr>
        <w:t xml:space="preserve"> </w:t>
      </w:r>
      <w:r w:rsidRPr="00B36A61">
        <w:rPr>
          <w:noProof w:val="0"/>
          <w:color w:val="17365D"/>
        </w:rPr>
        <w:t>vērtībā</w:t>
      </w:r>
      <w:r w:rsidRPr="00B36A61">
        <w:rPr>
          <w:color w:val="17365D"/>
        </w:rPr>
        <w:t>;</w:t>
      </w:r>
    </w:p>
    <w:p w14:paraId="673B5AF4" w14:textId="2CF15816" w:rsidR="00465888" w:rsidRPr="00B36A61" w:rsidRDefault="00465888" w:rsidP="00694E66">
      <w:pPr>
        <w:pStyle w:val="Bullets"/>
        <w:spacing w:after="0"/>
        <w:ind w:left="993" w:hanging="420"/>
        <w:rPr>
          <w:color w:val="17365D"/>
        </w:rPr>
      </w:pPr>
      <w:r w:rsidRPr="00B36A61">
        <w:rPr>
          <w:noProof w:val="0"/>
          <w:color w:val="17365D"/>
        </w:rPr>
        <w:t>valsts budžeta kapitālo izdevumu transferti (izdevumu EKK 9100, ieņēmumu kods 18.2.0.0.) –</w:t>
      </w:r>
      <w:r w:rsidRPr="00B36A61">
        <w:rPr>
          <w:color w:val="17365D"/>
        </w:rPr>
        <w:t xml:space="preserve"> </w:t>
      </w:r>
      <w:r w:rsidR="002B186F" w:rsidRPr="00B36A61">
        <w:rPr>
          <w:noProof w:val="0"/>
          <w:color w:val="17365D"/>
        </w:rPr>
        <w:t>1 171</w:t>
      </w:r>
      <w:r w:rsidR="00716655" w:rsidRPr="00B36A61">
        <w:rPr>
          <w:noProof w:val="0"/>
          <w:color w:val="17365D"/>
        </w:rPr>
        <w:t> </w:t>
      </w:r>
      <w:r w:rsidR="002B186F" w:rsidRPr="00B36A61">
        <w:rPr>
          <w:noProof w:val="0"/>
          <w:color w:val="17365D"/>
        </w:rPr>
        <w:t>189</w:t>
      </w:r>
      <w:r w:rsidR="00716655" w:rsidRPr="00B36A61">
        <w:rPr>
          <w:noProof w:val="0"/>
          <w:color w:val="17365D"/>
        </w:rPr>
        <w:t xml:space="preserve"> </w:t>
      </w:r>
      <w:r w:rsidRPr="00B36A61">
        <w:rPr>
          <w:i/>
          <w:noProof w:val="0"/>
          <w:color w:val="17365D"/>
        </w:rPr>
        <w:t xml:space="preserve">euro </w:t>
      </w:r>
      <w:r w:rsidRPr="00B36A61">
        <w:rPr>
          <w:noProof w:val="0"/>
          <w:color w:val="17365D"/>
        </w:rPr>
        <w:t>vērtībā</w:t>
      </w:r>
      <w:r w:rsidRPr="00B36A61">
        <w:rPr>
          <w:color w:val="17365D"/>
        </w:rPr>
        <w:t>;</w:t>
      </w:r>
    </w:p>
    <w:p w14:paraId="6B1D2339" w14:textId="48882791" w:rsidR="00465888" w:rsidRPr="00B36A61" w:rsidRDefault="00465888" w:rsidP="00694E66">
      <w:pPr>
        <w:pStyle w:val="Bullets"/>
        <w:spacing w:after="0"/>
        <w:ind w:left="993" w:hanging="420"/>
        <w:rPr>
          <w:color w:val="17365D"/>
        </w:rPr>
      </w:pPr>
      <w:r w:rsidRPr="00B36A61">
        <w:rPr>
          <w:noProof w:val="0"/>
          <w:color w:val="17365D"/>
        </w:rPr>
        <w:t>valsts budžeta transferti kapitālajiem izdevumiem citiem budžetiem noteiktam mērķim (izdevumu EKK 9500, ieņēmumu kods 18.3.0.0.)</w:t>
      </w:r>
      <w:r w:rsidRPr="00B36A61">
        <w:rPr>
          <w:color w:val="17365D"/>
        </w:rPr>
        <w:t xml:space="preserve"> – </w:t>
      </w:r>
      <w:r w:rsidR="002B186F" w:rsidRPr="00B36A61">
        <w:rPr>
          <w:noProof w:val="0"/>
          <w:color w:val="17365D"/>
        </w:rPr>
        <w:t>13</w:t>
      </w:r>
      <w:r w:rsidR="00716655" w:rsidRPr="00B36A61">
        <w:rPr>
          <w:noProof w:val="0"/>
          <w:color w:val="17365D"/>
        </w:rPr>
        <w:t> </w:t>
      </w:r>
      <w:r w:rsidR="002B186F" w:rsidRPr="00B36A61">
        <w:rPr>
          <w:noProof w:val="0"/>
          <w:color w:val="17365D"/>
        </w:rPr>
        <w:t>501</w:t>
      </w:r>
      <w:r w:rsidR="00716655" w:rsidRPr="00B36A61">
        <w:rPr>
          <w:noProof w:val="0"/>
          <w:color w:val="17365D"/>
        </w:rPr>
        <w:t> </w:t>
      </w:r>
      <w:r w:rsidR="00DC678E" w:rsidRPr="00B36A61">
        <w:rPr>
          <w:noProof w:val="0"/>
          <w:color w:val="17365D"/>
        </w:rPr>
        <w:t>1</w:t>
      </w:r>
      <w:r w:rsidR="002B186F" w:rsidRPr="00B36A61">
        <w:rPr>
          <w:noProof w:val="0"/>
          <w:color w:val="17365D"/>
        </w:rPr>
        <w:t>38</w:t>
      </w:r>
      <w:r w:rsidR="00716655" w:rsidRPr="00B36A61">
        <w:rPr>
          <w:noProof w:val="0"/>
          <w:color w:val="17365D"/>
        </w:rPr>
        <w:t xml:space="preserve"> </w:t>
      </w:r>
      <w:r w:rsidRPr="00B36A61">
        <w:rPr>
          <w:i/>
          <w:noProof w:val="0"/>
          <w:color w:val="17365D"/>
        </w:rPr>
        <w:t xml:space="preserve">euro </w:t>
      </w:r>
      <w:r w:rsidRPr="00B36A61">
        <w:rPr>
          <w:noProof w:val="0"/>
          <w:color w:val="17365D"/>
        </w:rPr>
        <w:t>vērtībā</w:t>
      </w:r>
      <w:r w:rsidRPr="00B36A61">
        <w:rPr>
          <w:color w:val="17365D"/>
        </w:rPr>
        <w:t>;</w:t>
      </w:r>
    </w:p>
    <w:p w14:paraId="57DD20B7" w14:textId="77160EF1" w:rsidR="00465888" w:rsidRPr="00B36A61" w:rsidRDefault="00465888" w:rsidP="00694E66">
      <w:pPr>
        <w:pStyle w:val="Bullets"/>
        <w:spacing w:after="0"/>
        <w:ind w:left="993" w:hanging="420"/>
        <w:rPr>
          <w:color w:val="17365D"/>
        </w:rPr>
      </w:pPr>
      <w:r w:rsidRPr="00B36A61">
        <w:rPr>
          <w:noProof w:val="0"/>
          <w:color w:val="17365D"/>
        </w:rPr>
        <w:t>pārējie valsts budžeta kapitālo izdevumu transferti citiem budžetiem (izdevumu EKK</w:t>
      </w:r>
      <w:r w:rsidR="00F2451C" w:rsidRPr="00B36A61">
        <w:rPr>
          <w:noProof w:val="0"/>
          <w:color w:val="17365D"/>
        </w:rPr>
        <w:t> </w:t>
      </w:r>
      <w:r w:rsidRPr="00B36A61">
        <w:rPr>
          <w:noProof w:val="0"/>
          <w:color w:val="17365D"/>
        </w:rPr>
        <w:t>9700, ieņēmumu kods 18.3.0.0.)</w:t>
      </w:r>
      <w:r w:rsidRPr="00B36A61">
        <w:rPr>
          <w:color w:val="17365D"/>
        </w:rPr>
        <w:t xml:space="preserve"> – </w:t>
      </w:r>
      <w:r w:rsidR="003E633A" w:rsidRPr="00B36A61">
        <w:rPr>
          <w:color w:val="17365D"/>
        </w:rPr>
        <w:t>2</w:t>
      </w:r>
      <w:r w:rsidR="00DC678E" w:rsidRPr="00B36A61">
        <w:rPr>
          <w:noProof w:val="0"/>
          <w:color w:val="17365D"/>
        </w:rPr>
        <w:t>5</w:t>
      </w:r>
      <w:r w:rsidR="00716655" w:rsidRPr="00B36A61">
        <w:rPr>
          <w:noProof w:val="0"/>
          <w:color w:val="17365D"/>
        </w:rPr>
        <w:t> </w:t>
      </w:r>
      <w:r w:rsidR="003E633A" w:rsidRPr="00B36A61">
        <w:rPr>
          <w:noProof w:val="0"/>
          <w:color w:val="17365D"/>
        </w:rPr>
        <w:t>379</w:t>
      </w:r>
      <w:r w:rsidR="00716655" w:rsidRPr="00B36A61">
        <w:rPr>
          <w:noProof w:val="0"/>
          <w:color w:val="17365D"/>
        </w:rPr>
        <w:t> </w:t>
      </w:r>
      <w:r w:rsidR="003E633A" w:rsidRPr="00B36A61">
        <w:rPr>
          <w:noProof w:val="0"/>
          <w:color w:val="17365D"/>
        </w:rPr>
        <w:t>866</w:t>
      </w:r>
      <w:r w:rsidR="00716655" w:rsidRPr="00B36A61">
        <w:rPr>
          <w:noProof w:val="0"/>
          <w:color w:val="17365D"/>
        </w:rPr>
        <w:t xml:space="preserve"> </w:t>
      </w:r>
      <w:r w:rsidRPr="00B36A61">
        <w:rPr>
          <w:i/>
          <w:noProof w:val="0"/>
          <w:color w:val="17365D"/>
        </w:rPr>
        <w:t xml:space="preserve">euro </w:t>
      </w:r>
      <w:r w:rsidRPr="00B36A61">
        <w:rPr>
          <w:noProof w:val="0"/>
          <w:color w:val="17365D"/>
        </w:rPr>
        <w:t>vērtībā</w:t>
      </w:r>
      <w:r w:rsidR="00716655" w:rsidRPr="00B36A61">
        <w:rPr>
          <w:color w:val="17365D"/>
        </w:rPr>
        <w:t>;</w:t>
      </w:r>
    </w:p>
    <w:p w14:paraId="3F873DB5" w14:textId="0F18A8B6" w:rsidR="00716655" w:rsidRPr="00B36A61" w:rsidRDefault="00716655" w:rsidP="004A29E1">
      <w:pPr>
        <w:pStyle w:val="Bullets"/>
        <w:spacing w:after="240"/>
        <w:ind w:left="993" w:hanging="420"/>
        <w:rPr>
          <w:color w:val="17365D"/>
        </w:rPr>
      </w:pPr>
      <w:r w:rsidRPr="00B36A61">
        <w:rPr>
          <w:noProof w:val="0"/>
          <w:color w:val="17365D"/>
        </w:rPr>
        <w:t>no valsts budžeta daļēji finansētu atvasinātu publisku personu un budžeta nefinansētu iestāžu uzturēšanas izdevumu transferti (izdevumu EKK 9800, ieņēmumu kodi 12.3.0</w:t>
      </w:r>
      <w:r w:rsidR="00DC678E" w:rsidRPr="00B36A61">
        <w:rPr>
          <w:noProof w:val="0"/>
          <w:color w:val="17365D"/>
        </w:rPr>
        <w:t xml:space="preserve">.0., 17.1.0.0. un 17.4.0.0.) – </w:t>
      </w:r>
      <w:r w:rsidR="001D7EB9" w:rsidRPr="00B36A61">
        <w:rPr>
          <w:noProof w:val="0"/>
          <w:color w:val="17365D"/>
        </w:rPr>
        <w:t>271</w:t>
      </w:r>
      <w:r w:rsidRPr="00B36A61">
        <w:rPr>
          <w:noProof w:val="0"/>
          <w:color w:val="17365D"/>
        </w:rPr>
        <w:t> </w:t>
      </w:r>
      <w:r w:rsidR="001D7EB9" w:rsidRPr="00B36A61">
        <w:rPr>
          <w:noProof w:val="0"/>
          <w:color w:val="17365D"/>
        </w:rPr>
        <w:t>025</w:t>
      </w:r>
      <w:r w:rsidRPr="00B36A61">
        <w:rPr>
          <w:noProof w:val="0"/>
          <w:color w:val="17365D"/>
        </w:rPr>
        <w:t xml:space="preserve"> </w:t>
      </w:r>
      <w:r w:rsidRPr="00B36A61">
        <w:rPr>
          <w:i/>
          <w:noProof w:val="0"/>
          <w:color w:val="17365D"/>
        </w:rPr>
        <w:t>euro</w:t>
      </w:r>
      <w:r w:rsidRPr="00B36A61">
        <w:rPr>
          <w:i/>
          <w:color w:val="17365D"/>
        </w:rPr>
        <w:t xml:space="preserve"> </w:t>
      </w:r>
      <w:r w:rsidRPr="00B36A61">
        <w:rPr>
          <w:noProof w:val="0"/>
          <w:color w:val="17365D"/>
        </w:rPr>
        <w:t>vērtībā</w:t>
      </w:r>
      <w:r w:rsidRPr="00B36A61">
        <w:rPr>
          <w:color w:val="17365D"/>
        </w:rPr>
        <w:t>.</w:t>
      </w:r>
    </w:p>
    <w:p w14:paraId="4B8BF504" w14:textId="5EF7F585" w:rsidR="00C1163C" w:rsidRPr="00B36A61" w:rsidRDefault="00C1163C" w:rsidP="00E50BC6">
      <w:pPr>
        <w:pStyle w:val="Pamatteksts"/>
        <w:spacing w:after="0"/>
        <w:rPr>
          <w:noProof w:val="0"/>
          <w:color w:val="17365D"/>
        </w:rPr>
      </w:pPr>
      <w:r w:rsidRPr="00B36A61">
        <w:rPr>
          <w:noProof w:val="0"/>
          <w:color w:val="17365D"/>
          <w:u w:val="single"/>
        </w:rPr>
        <w:t>Valsts pamatbudžeta</w:t>
      </w:r>
      <w:r w:rsidRPr="00B36A61">
        <w:rPr>
          <w:noProof w:val="0"/>
          <w:color w:val="17365D"/>
        </w:rPr>
        <w:t xml:space="preserve"> ieņēmumi un izdevumi konsolidēti </w:t>
      </w:r>
      <w:r w:rsidR="00821C8B" w:rsidRPr="00B36A61">
        <w:rPr>
          <w:b/>
          <w:bCs/>
          <w:noProof w:val="0"/>
          <w:color w:val="17365D"/>
        </w:rPr>
        <w:t>53</w:t>
      </w:r>
      <w:r w:rsidR="00A905F9" w:rsidRPr="00B36A61">
        <w:rPr>
          <w:b/>
          <w:bCs/>
          <w:noProof w:val="0"/>
          <w:color w:val="17365D"/>
        </w:rPr>
        <w:t> </w:t>
      </w:r>
      <w:r w:rsidR="00821C8B" w:rsidRPr="00B36A61">
        <w:rPr>
          <w:b/>
          <w:bCs/>
          <w:noProof w:val="0"/>
          <w:color w:val="17365D"/>
        </w:rPr>
        <w:t>293</w:t>
      </w:r>
      <w:r w:rsidR="00A905F9" w:rsidRPr="00B36A61">
        <w:rPr>
          <w:b/>
          <w:bCs/>
          <w:noProof w:val="0"/>
          <w:color w:val="17365D"/>
        </w:rPr>
        <w:t> </w:t>
      </w:r>
      <w:r w:rsidR="00821C8B" w:rsidRPr="00B36A61">
        <w:rPr>
          <w:b/>
          <w:bCs/>
          <w:noProof w:val="0"/>
          <w:color w:val="17365D"/>
        </w:rPr>
        <w:t>008</w:t>
      </w:r>
      <w:r w:rsidRPr="00B36A61">
        <w:rPr>
          <w:b/>
          <w:bCs/>
          <w:noProof w:val="0"/>
          <w:color w:val="17365D"/>
        </w:rPr>
        <w:t xml:space="preserve"> </w:t>
      </w:r>
      <w:r w:rsidRPr="00B36A61">
        <w:rPr>
          <w:i/>
          <w:noProof w:val="0"/>
          <w:color w:val="17365D"/>
        </w:rPr>
        <w:t>euro</w:t>
      </w:r>
      <w:r w:rsidRPr="00B36A61">
        <w:rPr>
          <w:b/>
          <w:bCs/>
          <w:noProof w:val="0"/>
          <w:color w:val="17365D"/>
        </w:rPr>
        <w:t xml:space="preserve"> </w:t>
      </w:r>
      <w:r w:rsidRPr="00B36A61">
        <w:rPr>
          <w:bCs/>
          <w:noProof w:val="0"/>
          <w:color w:val="17365D"/>
        </w:rPr>
        <w:t>vērtībā</w:t>
      </w:r>
      <w:r w:rsidRPr="00B36A61">
        <w:rPr>
          <w:noProof w:val="0"/>
          <w:color w:val="17365D"/>
        </w:rPr>
        <w:t xml:space="preserve"> šādās budžeta izpildes pozīcijās:</w:t>
      </w:r>
      <w:r w:rsidRPr="00B36A61">
        <w:rPr>
          <w:b/>
          <w:noProof w:val="0"/>
          <w:color w:val="17365D"/>
          <w:lang w:eastAsia="en-US"/>
        </w:rPr>
        <w:t xml:space="preserve"> </w:t>
      </w:r>
    </w:p>
    <w:p w14:paraId="53438167" w14:textId="0488361A" w:rsidR="00C1163C" w:rsidRPr="00B36A61" w:rsidRDefault="00F62363" w:rsidP="002A4A90">
      <w:pPr>
        <w:pStyle w:val="Bullets"/>
        <w:spacing w:after="0"/>
        <w:ind w:left="993" w:hanging="426"/>
        <w:rPr>
          <w:noProof w:val="0"/>
          <w:color w:val="17365D"/>
        </w:rPr>
      </w:pPr>
      <w:bookmarkStart w:id="1" w:name="_GoBack"/>
      <w:bookmarkEnd w:id="1"/>
      <w:r w:rsidRPr="00B36A61">
        <w:rPr>
          <w:noProof w:val="0"/>
          <w:color w:val="17365D"/>
        </w:rPr>
        <w:t>v</w:t>
      </w:r>
      <w:r w:rsidR="00C1163C" w:rsidRPr="00B36A61">
        <w:rPr>
          <w:noProof w:val="0"/>
          <w:color w:val="17365D"/>
        </w:rPr>
        <w:t xml:space="preserve">alsts budžeta uzturēšanas izdevumu transferti no valsts pamatbudžeta dotācijas no vispārējiem ieņēmumiem uz valsts pamatbudžetu (izdevumu EKK 7131, ieņēmumu kods 18.1.3.1.) – </w:t>
      </w:r>
      <w:r w:rsidR="00364809" w:rsidRPr="00B36A61">
        <w:rPr>
          <w:noProof w:val="0"/>
          <w:color w:val="17365D"/>
        </w:rPr>
        <w:t>18</w:t>
      </w:r>
      <w:r w:rsidR="002A4A90" w:rsidRPr="00B36A61">
        <w:rPr>
          <w:noProof w:val="0"/>
          <w:color w:val="17365D"/>
        </w:rPr>
        <w:t> </w:t>
      </w:r>
      <w:r w:rsidR="00364809" w:rsidRPr="00B36A61">
        <w:rPr>
          <w:noProof w:val="0"/>
          <w:color w:val="17365D"/>
        </w:rPr>
        <w:t>351</w:t>
      </w:r>
      <w:r w:rsidR="004133B3" w:rsidRPr="00B36A61">
        <w:rPr>
          <w:noProof w:val="0"/>
          <w:color w:val="17365D"/>
        </w:rPr>
        <w:t> </w:t>
      </w:r>
      <w:r w:rsidR="00364809" w:rsidRPr="00B36A61">
        <w:rPr>
          <w:noProof w:val="0"/>
          <w:color w:val="17365D"/>
        </w:rPr>
        <w:t>243</w:t>
      </w:r>
      <w:r w:rsidR="004133B3" w:rsidRPr="00B36A61">
        <w:rPr>
          <w:noProof w:val="0"/>
          <w:color w:val="17365D"/>
        </w:rPr>
        <w:t xml:space="preserve"> </w:t>
      </w:r>
      <w:r w:rsidR="00C1163C" w:rsidRPr="00B36A61">
        <w:rPr>
          <w:i/>
          <w:noProof w:val="0"/>
          <w:color w:val="17365D"/>
        </w:rPr>
        <w:t>euro</w:t>
      </w:r>
      <w:r w:rsidR="00C1163C" w:rsidRPr="00B36A61">
        <w:rPr>
          <w:noProof w:val="0"/>
          <w:color w:val="17365D"/>
        </w:rPr>
        <w:t xml:space="preserve"> vērtībā; </w:t>
      </w:r>
    </w:p>
    <w:p w14:paraId="5FC83C49" w14:textId="474051C5" w:rsidR="00C1163C" w:rsidRPr="00B36A61" w:rsidRDefault="00C1163C" w:rsidP="002A4A90">
      <w:pPr>
        <w:pStyle w:val="Bullets"/>
        <w:spacing w:after="0"/>
        <w:ind w:left="993" w:hanging="426"/>
        <w:rPr>
          <w:noProof w:val="0"/>
          <w:color w:val="17365D"/>
        </w:rPr>
      </w:pPr>
      <w:r w:rsidRPr="00B36A61">
        <w:rPr>
          <w:noProof w:val="0"/>
          <w:color w:val="17365D"/>
        </w:rPr>
        <w:t xml:space="preserve">valsts budžeta uzturēšanas izdevumu transferti no valsts pamatbudžeta ārvalstu finanšu palīdzības līdzekļiem uz valsts pamatbudžetu (izdevumu EKK 7132, ieņēmumu kods 18.1.3.2.) – </w:t>
      </w:r>
      <w:r w:rsidR="002A4A90" w:rsidRPr="00B36A61">
        <w:rPr>
          <w:noProof w:val="0"/>
          <w:color w:val="17365D"/>
        </w:rPr>
        <w:t>2 </w:t>
      </w:r>
      <w:r w:rsidR="00364809" w:rsidRPr="00B36A61">
        <w:rPr>
          <w:noProof w:val="0"/>
          <w:color w:val="17365D"/>
        </w:rPr>
        <w:t>500</w:t>
      </w:r>
      <w:r w:rsidR="004133B3" w:rsidRPr="00B36A61">
        <w:rPr>
          <w:noProof w:val="0"/>
          <w:color w:val="17365D"/>
        </w:rPr>
        <w:t> </w:t>
      </w:r>
      <w:r w:rsidR="002A4A90" w:rsidRPr="00B36A61">
        <w:rPr>
          <w:noProof w:val="0"/>
          <w:color w:val="17365D"/>
        </w:rPr>
        <w:t>1</w:t>
      </w:r>
      <w:r w:rsidR="00364809" w:rsidRPr="00B36A61">
        <w:rPr>
          <w:noProof w:val="0"/>
          <w:color w:val="17365D"/>
        </w:rPr>
        <w:t>6</w:t>
      </w:r>
      <w:r w:rsidR="002A4A90" w:rsidRPr="00B36A61">
        <w:rPr>
          <w:noProof w:val="0"/>
          <w:color w:val="17365D"/>
        </w:rPr>
        <w:t>1</w:t>
      </w:r>
      <w:r w:rsidR="004133B3" w:rsidRPr="00B36A61">
        <w:rPr>
          <w:noProof w:val="0"/>
          <w:color w:val="17365D"/>
        </w:rPr>
        <w:t xml:space="preserve"> </w:t>
      </w:r>
      <w:r w:rsidRPr="00B36A61">
        <w:rPr>
          <w:i/>
          <w:noProof w:val="0"/>
          <w:color w:val="17365D"/>
        </w:rPr>
        <w:t>euro</w:t>
      </w:r>
      <w:r w:rsidRPr="00B36A61">
        <w:rPr>
          <w:noProof w:val="0"/>
          <w:color w:val="17365D"/>
        </w:rPr>
        <w:t xml:space="preserve"> vērtībā; </w:t>
      </w:r>
    </w:p>
    <w:p w14:paraId="1FBD9DA1" w14:textId="2DEFE124" w:rsidR="00C1163C" w:rsidRPr="00B36A61" w:rsidRDefault="00C1163C" w:rsidP="002A4A90">
      <w:pPr>
        <w:pStyle w:val="Bullets"/>
        <w:ind w:left="993" w:hanging="426"/>
        <w:rPr>
          <w:color w:val="17365D"/>
        </w:rPr>
      </w:pPr>
      <w:r w:rsidRPr="00B36A61">
        <w:rPr>
          <w:noProof w:val="0"/>
          <w:color w:val="17365D"/>
        </w:rPr>
        <w:t>pārējie valsts budžeta uzturēšanas izdevumu transferti no valsts pamatbudžeta uz valsts pamatbudžetu (izdevumu EKK 7139, ieņēmumu kod</w:t>
      </w:r>
      <w:r w:rsidR="00E83647" w:rsidRPr="00B36A61">
        <w:rPr>
          <w:noProof w:val="0"/>
          <w:color w:val="17365D"/>
        </w:rPr>
        <w:t>i</w:t>
      </w:r>
      <w:r w:rsidRPr="00B36A61">
        <w:rPr>
          <w:noProof w:val="0"/>
          <w:color w:val="17365D"/>
        </w:rPr>
        <w:t xml:space="preserve"> 18.1.3.9.</w:t>
      </w:r>
      <w:r w:rsidR="005E0D64" w:rsidRPr="00B36A61">
        <w:rPr>
          <w:noProof w:val="0"/>
          <w:color w:val="17365D"/>
        </w:rPr>
        <w:t xml:space="preserve"> </w:t>
      </w:r>
      <w:r w:rsidR="001A649A" w:rsidRPr="00B36A61">
        <w:rPr>
          <w:noProof w:val="0"/>
          <w:color w:val="17365D"/>
        </w:rPr>
        <w:t>un 12.3.0.0</w:t>
      </w:r>
      <w:r w:rsidR="005E0D64" w:rsidRPr="00B36A61">
        <w:rPr>
          <w:noProof w:val="0"/>
          <w:color w:val="17365D"/>
        </w:rPr>
        <w:t>.</w:t>
      </w:r>
      <w:r w:rsidRPr="00B36A61">
        <w:rPr>
          <w:noProof w:val="0"/>
          <w:color w:val="17365D"/>
        </w:rPr>
        <w:t xml:space="preserve">) – </w:t>
      </w:r>
      <w:r w:rsidR="002A4A90" w:rsidRPr="00B36A61">
        <w:rPr>
          <w:color w:val="17365D"/>
        </w:rPr>
        <w:t>2</w:t>
      </w:r>
      <w:r w:rsidR="00364809" w:rsidRPr="00B36A61">
        <w:rPr>
          <w:color w:val="17365D"/>
        </w:rPr>
        <w:t> 347 809 </w:t>
      </w:r>
      <w:r w:rsidRPr="00B36A61">
        <w:rPr>
          <w:i/>
          <w:noProof w:val="0"/>
          <w:color w:val="17365D"/>
        </w:rPr>
        <w:t>euro</w:t>
      </w:r>
      <w:r w:rsidRPr="00B36A61">
        <w:rPr>
          <w:noProof w:val="0"/>
          <w:color w:val="17365D"/>
        </w:rPr>
        <w:t xml:space="preserve"> vērtībā; </w:t>
      </w:r>
    </w:p>
    <w:p w14:paraId="4854EC8D" w14:textId="36DA1D7B" w:rsidR="00C1163C" w:rsidRPr="00B36A61" w:rsidRDefault="00C1163C" w:rsidP="002A4A90">
      <w:pPr>
        <w:pStyle w:val="Bullets"/>
        <w:ind w:left="993" w:hanging="426"/>
        <w:rPr>
          <w:noProof w:val="0"/>
          <w:color w:val="17365D"/>
        </w:rPr>
      </w:pPr>
      <w:r w:rsidRPr="00B36A61">
        <w:rPr>
          <w:noProof w:val="0"/>
          <w:color w:val="17365D"/>
        </w:rPr>
        <w:t>atmaksa valsts pamatbudžetā par valsts budžeta iestāžu veiktajiem uzturēšanas izdevumiem Eiropas Savienības politiku instrumentu un pārējās ārvalstu finanšu palīdzības līdzfinansētajos projektos (pasākumos) (izdevumu EKK 75</w:t>
      </w:r>
      <w:r w:rsidR="00EE5412" w:rsidRPr="00B36A61">
        <w:rPr>
          <w:noProof w:val="0"/>
          <w:color w:val="17365D"/>
        </w:rPr>
        <w:t>0</w:t>
      </w:r>
      <w:r w:rsidRPr="00B36A61">
        <w:rPr>
          <w:noProof w:val="0"/>
          <w:color w:val="17365D"/>
        </w:rPr>
        <w:t xml:space="preserve">0, ieņēmumu kodi 21.2.1.0. un 21.7.2.0.) – </w:t>
      </w:r>
      <w:r w:rsidR="002A4A90" w:rsidRPr="00B36A61">
        <w:rPr>
          <w:noProof w:val="0"/>
          <w:color w:val="17365D"/>
        </w:rPr>
        <w:t>2</w:t>
      </w:r>
      <w:r w:rsidR="00364809" w:rsidRPr="00B36A61">
        <w:rPr>
          <w:noProof w:val="0"/>
          <w:color w:val="17365D"/>
        </w:rPr>
        <w:t>5</w:t>
      </w:r>
      <w:r w:rsidR="002A4A90" w:rsidRPr="00B36A61">
        <w:rPr>
          <w:noProof w:val="0"/>
          <w:color w:val="17365D"/>
        </w:rPr>
        <w:t> </w:t>
      </w:r>
      <w:r w:rsidR="00364809" w:rsidRPr="00B36A61">
        <w:rPr>
          <w:noProof w:val="0"/>
          <w:color w:val="17365D"/>
        </w:rPr>
        <w:t>964</w:t>
      </w:r>
      <w:r w:rsidR="002A4A90" w:rsidRPr="00B36A61">
        <w:rPr>
          <w:noProof w:val="0"/>
          <w:color w:val="17365D"/>
        </w:rPr>
        <w:t> </w:t>
      </w:r>
      <w:r w:rsidR="00364809" w:rsidRPr="00B36A61">
        <w:rPr>
          <w:noProof w:val="0"/>
          <w:color w:val="17365D"/>
        </w:rPr>
        <w:t>648</w:t>
      </w:r>
      <w:r w:rsidR="002A4A90" w:rsidRPr="00B36A61">
        <w:rPr>
          <w:noProof w:val="0"/>
          <w:color w:val="17365D"/>
        </w:rPr>
        <w:t xml:space="preserve"> </w:t>
      </w:r>
      <w:r w:rsidRPr="00B36A61">
        <w:rPr>
          <w:i/>
          <w:noProof w:val="0"/>
          <w:color w:val="17365D"/>
        </w:rPr>
        <w:t>euro</w:t>
      </w:r>
      <w:r w:rsidRPr="00B36A61">
        <w:rPr>
          <w:noProof w:val="0"/>
          <w:color w:val="17365D"/>
        </w:rPr>
        <w:t xml:space="preserve"> vērtībā; </w:t>
      </w:r>
    </w:p>
    <w:p w14:paraId="45B2FB75" w14:textId="000A31AB" w:rsidR="00716655" w:rsidRPr="00B36A61" w:rsidRDefault="00716655" w:rsidP="00694E66">
      <w:pPr>
        <w:pStyle w:val="Bullets"/>
        <w:spacing w:after="0"/>
        <w:ind w:left="993" w:hanging="426"/>
        <w:rPr>
          <w:noProof w:val="0"/>
          <w:color w:val="17365D"/>
        </w:rPr>
      </w:pPr>
      <w:r w:rsidRPr="00B36A61">
        <w:rPr>
          <w:noProof w:val="0"/>
          <w:color w:val="17365D"/>
        </w:rPr>
        <w:t xml:space="preserve">izdevumi subsīdijām un dotācijām komersantiem, biedrībām un nodibinājumiem (izdevumu EKK 3200, ieņēmumu kods 12.3.0.0.) – </w:t>
      </w:r>
      <w:r w:rsidR="00364809" w:rsidRPr="00B36A61">
        <w:rPr>
          <w:noProof w:val="0"/>
          <w:color w:val="17365D"/>
        </w:rPr>
        <w:t>4</w:t>
      </w:r>
      <w:r w:rsidR="001A649A" w:rsidRPr="00B36A61">
        <w:rPr>
          <w:noProof w:val="0"/>
          <w:color w:val="17365D"/>
        </w:rPr>
        <w:t> </w:t>
      </w:r>
      <w:r w:rsidR="00364809" w:rsidRPr="00B36A61">
        <w:rPr>
          <w:noProof w:val="0"/>
          <w:color w:val="17365D"/>
        </w:rPr>
        <w:t>127</w:t>
      </w:r>
      <w:r w:rsidR="001A649A" w:rsidRPr="00B36A61">
        <w:rPr>
          <w:noProof w:val="0"/>
          <w:color w:val="17365D"/>
        </w:rPr>
        <w:t> </w:t>
      </w:r>
      <w:r w:rsidR="00364809" w:rsidRPr="00B36A61">
        <w:rPr>
          <w:noProof w:val="0"/>
          <w:color w:val="17365D"/>
        </w:rPr>
        <w:t>624</w:t>
      </w:r>
      <w:r w:rsidR="001A649A" w:rsidRPr="00B36A61">
        <w:rPr>
          <w:noProof w:val="0"/>
          <w:color w:val="17365D"/>
        </w:rPr>
        <w:t> </w:t>
      </w:r>
      <w:r w:rsidRPr="00B36A61">
        <w:rPr>
          <w:i/>
          <w:noProof w:val="0"/>
          <w:color w:val="17365D"/>
        </w:rPr>
        <w:t>euro</w:t>
      </w:r>
      <w:r w:rsidRPr="00B36A61">
        <w:rPr>
          <w:noProof w:val="0"/>
          <w:color w:val="17365D"/>
        </w:rPr>
        <w:t xml:space="preserve"> vērtībā;</w:t>
      </w:r>
    </w:p>
    <w:p w14:paraId="2DB788BB" w14:textId="5A1D7C63" w:rsidR="001A649A" w:rsidRPr="00B36A61" w:rsidRDefault="00465888" w:rsidP="006E05C2">
      <w:pPr>
        <w:pStyle w:val="Bullets"/>
        <w:spacing w:after="240"/>
        <w:ind w:left="992" w:hanging="425"/>
        <w:rPr>
          <w:noProof w:val="0"/>
          <w:color w:val="17365D"/>
        </w:rPr>
      </w:pPr>
      <w:r w:rsidRPr="00B36A61">
        <w:rPr>
          <w:noProof w:val="0"/>
          <w:color w:val="17365D"/>
        </w:rPr>
        <w:t>procentu izdevumi (izdevumu EKK 4300, ieņēmumu kodi 8.4.0.0.) –</w:t>
      </w:r>
      <w:r w:rsidRPr="00B36A61">
        <w:rPr>
          <w:color w:val="17365D"/>
        </w:rPr>
        <w:t xml:space="preserve"> </w:t>
      </w:r>
      <w:r w:rsidR="001A649A" w:rsidRPr="00B36A61">
        <w:rPr>
          <w:noProof w:val="0"/>
          <w:color w:val="17365D"/>
        </w:rPr>
        <w:t>1 </w:t>
      </w:r>
      <w:r w:rsidR="00364809" w:rsidRPr="00B36A61">
        <w:rPr>
          <w:noProof w:val="0"/>
          <w:color w:val="17365D"/>
        </w:rPr>
        <w:t>523</w:t>
      </w:r>
      <w:r w:rsidR="001A649A" w:rsidRPr="00B36A61">
        <w:rPr>
          <w:noProof w:val="0"/>
          <w:color w:val="17365D"/>
        </w:rPr>
        <w:t> </w:t>
      </w:r>
      <w:r w:rsidRPr="00B36A61">
        <w:rPr>
          <w:i/>
          <w:noProof w:val="0"/>
          <w:color w:val="17365D"/>
        </w:rPr>
        <w:t>euro</w:t>
      </w:r>
      <w:r w:rsidR="009C1707" w:rsidRPr="00B36A61">
        <w:rPr>
          <w:noProof w:val="0"/>
          <w:color w:val="17365D"/>
        </w:rPr>
        <w:t xml:space="preserve"> vērtībā.</w:t>
      </w:r>
    </w:p>
    <w:p w14:paraId="62345D5D" w14:textId="60E4AF41" w:rsidR="00C01062" w:rsidRPr="00B36A61" w:rsidRDefault="00C01062" w:rsidP="006E05C2">
      <w:pPr>
        <w:pStyle w:val="Pamatteksts"/>
        <w:spacing w:after="0"/>
        <w:rPr>
          <w:b/>
          <w:noProof w:val="0"/>
          <w:color w:val="17365D"/>
          <w:lang w:eastAsia="en-US"/>
        </w:rPr>
      </w:pPr>
      <w:r w:rsidRPr="00B36A61">
        <w:rPr>
          <w:noProof w:val="0"/>
          <w:color w:val="17365D"/>
          <w:u w:val="single"/>
        </w:rPr>
        <w:t>No valsts budžeta daļēji finansētu atvasināto publisko personu un budžeta nefinansētu iestāžu pamatdarbības</w:t>
      </w:r>
      <w:r w:rsidRPr="00B36A61">
        <w:rPr>
          <w:noProof w:val="0"/>
          <w:color w:val="17365D"/>
        </w:rPr>
        <w:t xml:space="preserve"> ieņēmumi un izdevumi konsolidēti </w:t>
      </w:r>
      <w:r w:rsidR="00D50FF2" w:rsidRPr="00B36A61">
        <w:rPr>
          <w:b/>
          <w:bCs/>
          <w:noProof w:val="0"/>
          <w:color w:val="17365D"/>
        </w:rPr>
        <w:t>1 936 856</w:t>
      </w:r>
      <w:r w:rsidR="002A4A90" w:rsidRPr="00B36A61">
        <w:rPr>
          <w:b/>
          <w:bCs/>
          <w:noProof w:val="0"/>
          <w:color w:val="17365D"/>
        </w:rPr>
        <w:t> </w:t>
      </w:r>
      <w:r w:rsidRPr="00B36A61">
        <w:rPr>
          <w:b/>
          <w:bCs/>
          <w:noProof w:val="0"/>
          <w:color w:val="17365D"/>
        </w:rPr>
        <w:t xml:space="preserve"> </w:t>
      </w:r>
      <w:r w:rsidRPr="00B36A61">
        <w:rPr>
          <w:i/>
          <w:noProof w:val="0"/>
          <w:color w:val="17365D"/>
        </w:rPr>
        <w:t>euro</w:t>
      </w:r>
      <w:r w:rsidRPr="00B36A61">
        <w:rPr>
          <w:b/>
          <w:bCs/>
          <w:noProof w:val="0"/>
          <w:color w:val="17365D"/>
        </w:rPr>
        <w:t xml:space="preserve"> </w:t>
      </w:r>
      <w:r w:rsidRPr="00B36A61">
        <w:rPr>
          <w:bCs/>
          <w:noProof w:val="0"/>
          <w:color w:val="17365D"/>
        </w:rPr>
        <w:t>vērtībā</w:t>
      </w:r>
      <w:r w:rsidRPr="00B36A61">
        <w:rPr>
          <w:noProof w:val="0"/>
          <w:color w:val="17365D"/>
        </w:rPr>
        <w:t xml:space="preserve"> šādā budžeta izpildes pozīcijā:</w:t>
      </w:r>
      <w:r w:rsidRPr="00B36A61">
        <w:rPr>
          <w:b/>
          <w:noProof w:val="0"/>
          <w:color w:val="17365D"/>
          <w:lang w:eastAsia="en-US"/>
        </w:rPr>
        <w:t xml:space="preserve"> </w:t>
      </w:r>
    </w:p>
    <w:p w14:paraId="16F371F4" w14:textId="1DFA6337" w:rsidR="00135CD4" w:rsidRPr="00B36A61" w:rsidRDefault="00C01062" w:rsidP="00661881">
      <w:pPr>
        <w:pStyle w:val="Bullets"/>
        <w:ind w:left="993" w:hanging="426"/>
        <w:rPr>
          <w:noProof w:val="0"/>
          <w:color w:val="17365D"/>
        </w:rPr>
      </w:pPr>
      <w:r w:rsidRPr="00B36A61">
        <w:rPr>
          <w:noProof w:val="0"/>
          <w:color w:val="17365D"/>
        </w:rPr>
        <w:t>no valsts budžeta daļēji finansētu atvasināto publisko personu un budžeta nefinansētu iestāžu savstarpējie transferti (izdevumu EKK 7840, ieņēmumu kods 17.4.0.0) –</w:t>
      </w:r>
      <w:r w:rsidRPr="00B36A61">
        <w:rPr>
          <w:color w:val="17365D"/>
        </w:rPr>
        <w:t xml:space="preserve"> </w:t>
      </w:r>
      <w:r w:rsidR="00D50FF2" w:rsidRPr="00B36A61">
        <w:rPr>
          <w:bCs/>
          <w:noProof w:val="0"/>
          <w:color w:val="17365D"/>
        </w:rPr>
        <w:t>1 936 856</w:t>
      </w:r>
      <w:r w:rsidR="00D50FF2" w:rsidRPr="00B36A61">
        <w:rPr>
          <w:b/>
          <w:bCs/>
          <w:noProof w:val="0"/>
          <w:color w:val="17365D"/>
        </w:rPr>
        <w:t xml:space="preserve">  </w:t>
      </w:r>
      <w:r w:rsidRPr="00B36A61">
        <w:rPr>
          <w:i/>
          <w:noProof w:val="0"/>
          <w:color w:val="17365D"/>
        </w:rPr>
        <w:t>euro</w:t>
      </w:r>
      <w:r w:rsidRPr="00B36A61">
        <w:rPr>
          <w:noProof w:val="0"/>
          <w:color w:val="17365D"/>
        </w:rPr>
        <w:t xml:space="preserve"> vērtībā.</w:t>
      </w:r>
    </w:p>
    <w:sectPr w:rsidR="00135CD4" w:rsidRPr="00B36A61" w:rsidSect="001C4BD9">
      <w:headerReference w:type="default" r:id="rId16"/>
      <w:footerReference w:type="default" r:id="rId17"/>
      <w:footerReference w:type="first" r:id="rId18"/>
      <w:type w:val="continuous"/>
      <w:pgSz w:w="11906" w:h="16838" w:code="9"/>
      <w:pgMar w:top="1134" w:right="851" w:bottom="1134" w:left="1701" w:header="567" w:footer="567" w:gutter="0"/>
      <w:pgNumType w:start="1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ED383" w14:textId="77777777" w:rsidR="00B36A61" w:rsidRDefault="00B36A61">
      <w:pPr>
        <w:spacing w:after="0"/>
      </w:pPr>
      <w:r>
        <w:separator/>
      </w:r>
    </w:p>
  </w:endnote>
  <w:endnote w:type="continuationSeparator" w:id="0">
    <w:p w14:paraId="14089927" w14:textId="77777777" w:rsidR="00B36A61" w:rsidRDefault="00B36A61">
      <w:pPr>
        <w:spacing w:after="0"/>
      </w:pPr>
      <w:r>
        <w:continuationSeparator/>
      </w:r>
    </w:p>
  </w:endnote>
  <w:endnote w:type="continuationNotice" w:id="1">
    <w:p w14:paraId="6BF9EE75" w14:textId="77777777" w:rsidR="00B36A61" w:rsidRDefault="00B36A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Times">
    <w:panose1 w:val="02020603050405020304"/>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3503" w14:textId="5FE8D076" w:rsidR="00B36A61" w:rsidRPr="0075048B" w:rsidRDefault="00B36A61" w:rsidP="00062C52">
    <w:pPr>
      <w:pStyle w:val="Footer"/>
      <w:tabs>
        <w:tab w:val="clear" w:pos="8306"/>
        <w:tab w:val="right" w:pos="9356"/>
      </w:tabs>
      <w:ind w:right="-2"/>
      <w:jc w:val="both"/>
      <w:rPr>
        <w:color w:val="17365D"/>
        <w:szCs w:val="20"/>
      </w:rPr>
    </w:pPr>
    <w:r w:rsidRPr="00987EAE">
      <w:rPr>
        <w:noProof/>
        <w:sz w:val="24"/>
      </w:rPr>
      <mc:AlternateContent>
        <mc:Choice Requires="wps">
          <w:drawing>
            <wp:anchor distT="0" distB="0" distL="114300" distR="114300" simplePos="0" relativeHeight="251658240" behindDoc="0" locked="0" layoutInCell="1" allowOverlap="1" wp14:anchorId="2F9FBF74" wp14:editId="0579D179">
              <wp:simplePos x="0" y="0"/>
              <wp:positionH relativeFrom="column">
                <wp:posOffset>-172720</wp:posOffset>
              </wp:positionH>
              <wp:positionV relativeFrom="paragraph">
                <wp:posOffset>-165735</wp:posOffset>
              </wp:positionV>
              <wp:extent cx="5684400" cy="446400"/>
              <wp:effectExtent l="0" t="0" r="0" b="0"/>
              <wp:wrapNone/>
              <wp:docPr id="1" name="Rounded Rectangle 1"/>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4F81BD">
                          <a:lumMod val="20000"/>
                          <a:lumOff val="80000"/>
                        </a:srgbClr>
                      </a:solidFill>
                      <a:ln w="12700" cap="flat" cmpd="sng" algn="ctr">
                        <a:noFill/>
                        <a:prstDash val="dash"/>
                      </a:ln>
                      <a:effectLst/>
                    </wps:spPr>
                    <wps:txbx>
                      <w:txbxContent>
                        <w:p w14:paraId="3AB5AB37" w14:textId="4C0732AF" w:rsidR="00B36A61" w:rsidRPr="0075048B" w:rsidRDefault="00B36A61" w:rsidP="00952885">
                          <w:pPr>
                            <w:ind w:firstLine="0"/>
                            <w:jc w:val="center"/>
                            <w:rPr>
                              <w:color w:val="17365D"/>
                              <w:sz w:val="20"/>
                              <w:szCs w:val="20"/>
                            </w:rPr>
                          </w:pPr>
                          <w:r w:rsidRPr="002670E9">
                            <w:rPr>
                              <w:color w:val="17365D"/>
                              <w:sz w:val="20"/>
                              <w:szCs w:val="20"/>
                            </w:rPr>
                            <w:t>2_05</w:t>
                          </w:r>
                          <w:r w:rsidRPr="00115610">
                            <w:rPr>
                              <w:color w:val="17365D"/>
                              <w:sz w:val="20"/>
                              <w:szCs w:val="20"/>
                            </w:rPr>
                            <w:t>_FMInf</w:t>
                          </w:r>
                          <w:r>
                            <w:rPr>
                              <w:color w:val="17365D"/>
                              <w:sz w:val="20"/>
                              <w:szCs w:val="20"/>
                            </w:rPr>
                            <w:t>p3.1</w:t>
                          </w:r>
                          <w:r w:rsidRPr="00115610">
                            <w:rPr>
                              <w:color w:val="17365D"/>
                              <w:sz w:val="20"/>
                              <w:szCs w:val="20"/>
                            </w:rPr>
                            <w:t>_</w:t>
                          </w:r>
                          <w:r>
                            <w:rPr>
                              <w:color w:val="17365D"/>
                              <w:sz w:val="20"/>
                              <w:szCs w:val="20"/>
                            </w:rPr>
                            <w:t>160623</w:t>
                          </w:r>
                          <w:r w:rsidRPr="00115610">
                            <w:rPr>
                              <w:color w:val="17365D"/>
                              <w:sz w:val="20"/>
                              <w:szCs w:val="20"/>
                            </w:rPr>
                            <w:t>_sk</w:t>
                          </w:r>
                          <w:r w:rsidRPr="0075048B">
                            <w:rPr>
                              <w:color w:val="17365D"/>
                              <w:sz w:val="20"/>
                              <w:szCs w:val="20"/>
                            </w:rPr>
                            <w:t>; Latvijas Republikas 20</w:t>
                          </w:r>
                          <w:r>
                            <w:rPr>
                              <w:color w:val="17365D"/>
                              <w:sz w:val="20"/>
                              <w:szCs w:val="20"/>
                            </w:rPr>
                            <w:t>22</w:t>
                          </w:r>
                          <w:r w:rsidRPr="0075048B">
                            <w:rPr>
                              <w:color w:val="17365D"/>
                              <w:sz w:val="20"/>
                              <w:szCs w:val="20"/>
                            </w:rPr>
                            <w:t>. gada pārskats par valsts budžeta izpildi un par pašvaldību budžetiem; 2.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9FBF74" id="Rounded Rectangle 1" o:spid="_x0000_s1037" style="position:absolute;left:0;text-align:left;margin-left:-13.6pt;margin-top:-13.05pt;width:447.6pt;height:3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" fillcolor="#dce6f2" stroked="f" strokeweight="1pt">
              <v:stroke dashstyle="dash"/>
              <v:textbox>
                <w:txbxContent>
                  <w:p w14:paraId="3AB5AB37" w14:textId="4C0732AF" w:rsidR="00B36A61" w:rsidRPr="0075048B" w:rsidRDefault="00B36A61" w:rsidP="00952885">
                    <w:pPr>
                      <w:ind w:firstLine="0"/>
                      <w:jc w:val="center"/>
                      <w:rPr>
                        <w:color w:val="17365D"/>
                        <w:sz w:val="20"/>
                        <w:szCs w:val="20"/>
                      </w:rPr>
                    </w:pPr>
                    <w:r w:rsidRPr="002670E9">
                      <w:rPr>
                        <w:color w:val="17365D"/>
                        <w:sz w:val="20"/>
                        <w:szCs w:val="20"/>
                      </w:rPr>
                      <w:t>2_05</w:t>
                    </w:r>
                    <w:r w:rsidRPr="00115610">
                      <w:rPr>
                        <w:color w:val="17365D"/>
                        <w:sz w:val="20"/>
                        <w:szCs w:val="20"/>
                      </w:rPr>
                      <w:t>_FMInf</w:t>
                    </w:r>
                    <w:r>
                      <w:rPr>
                        <w:color w:val="17365D"/>
                        <w:sz w:val="20"/>
                        <w:szCs w:val="20"/>
                      </w:rPr>
                      <w:t>p3.1</w:t>
                    </w:r>
                    <w:r w:rsidRPr="00115610">
                      <w:rPr>
                        <w:color w:val="17365D"/>
                        <w:sz w:val="20"/>
                        <w:szCs w:val="20"/>
                      </w:rPr>
                      <w:t>_</w:t>
                    </w:r>
                    <w:r>
                      <w:rPr>
                        <w:color w:val="17365D"/>
                        <w:sz w:val="20"/>
                        <w:szCs w:val="20"/>
                      </w:rPr>
                      <w:t>160623</w:t>
                    </w:r>
                    <w:r w:rsidRPr="00115610">
                      <w:rPr>
                        <w:color w:val="17365D"/>
                        <w:sz w:val="20"/>
                        <w:szCs w:val="20"/>
                      </w:rPr>
                      <w:t>_sk</w:t>
                    </w:r>
                    <w:r w:rsidRPr="0075048B">
                      <w:rPr>
                        <w:color w:val="17365D"/>
                        <w:sz w:val="20"/>
                        <w:szCs w:val="20"/>
                      </w:rPr>
                      <w:t>; Latvijas Republikas 20</w:t>
                    </w:r>
                    <w:r>
                      <w:rPr>
                        <w:color w:val="17365D"/>
                        <w:sz w:val="20"/>
                        <w:szCs w:val="20"/>
                      </w:rPr>
                      <w:t>22</w:t>
                    </w:r>
                    <w:r w:rsidRPr="0075048B">
                      <w:rPr>
                        <w:color w:val="17365D"/>
                        <w:sz w:val="20"/>
                        <w:szCs w:val="20"/>
                      </w:rPr>
                      <w:t>. gada pārskats par valsts budžeta izpildi un par pašvaldību budžetiem; 2. sējums</w:t>
                    </w:r>
                  </w:p>
                </w:txbxContent>
              </v:textbox>
            </v:roundrect>
          </w:pict>
        </mc:Fallback>
      </mc:AlternateContent>
    </w:r>
    <w:r w:rsidRPr="0096121A">
      <w:rPr>
        <w:noProof/>
        <w:color w:val="17365D" w:themeColor="text2" w:themeShade="BF"/>
      </w:rPr>
      <mc:AlternateContent>
        <mc:Choice Requires="wps">
          <w:drawing>
            <wp:anchor distT="0" distB="0" distL="114300" distR="114300" simplePos="0" relativeHeight="251658241" behindDoc="1" locked="0" layoutInCell="1" allowOverlap="1" wp14:anchorId="47DE4F2A" wp14:editId="753D67F3">
              <wp:simplePos x="0" y="0"/>
              <wp:positionH relativeFrom="column">
                <wp:posOffset>5656580</wp:posOffset>
              </wp:positionH>
              <wp:positionV relativeFrom="paragraph">
                <wp:posOffset>-79375</wp:posOffset>
              </wp:positionV>
              <wp:extent cx="457200" cy="280800"/>
              <wp:effectExtent l="0" t="0" r="0" b="5080"/>
              <wp:wrapNone/>
              <wp:docPr id="8" name="Rounded Rectangle 8"/>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7A5D01" id="Rounded Rectangle 8" o:spid="_x0000_s1026" style="position:absolute;margin-left:445.4pt;margin-top:-6.25pt;width:36pt;height:22.1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" fillcolor="#dbe5f1 [660]" stroked="f" strokeweight="1pt">
              <v:stroke dashstyle="dash"/>
            </v:roundrect>
          </w:pict>
        </mc:Fallback>
      </mc:AlternateContent>
    </w:r>
    <w:r>
      <w:rPr>
        <w:szCs w:val="20"/>
      </w:rPr>
      <w:tab/>
    </w:r>
    <w:r>
      <w:rPr>
        <w:szCs w:val="20"/>
      </w:rPr>
      <w:tab/>
      <w:t xml:space="preserve"> </w:t>
    </w:r>
    <w:r w:rsidRPr="0075048B">
      <w:rPr>
        <w:color w:val="17365D"/>
        <w:szCs w:val="20"/>
      </w:rPr>
      <w:fldChar w:fldCharType="begin"/>
    </w:r>
    <w:r w:rsidRPr="0075048B">
      <w:rPr>
        <w:color w:val="17365D"/>
        <w:szCs w:val="20"/>
      </w:rPr>
      <w:instrText xml:space="preserve"> PAGE   \* MERGEFORMAT </w:instrText>
    </w:r>
    <w:r w:rsidRPr="0075048B">
      <w:rPr>
        <w:color w:val="17365D"/>
        <w:szCs w:val="20"/>
      </w:rPr>
      <w:fldChar w:fldCharType="separate"/>
    </w:r>
    <w:r w:rsidR="008E3860">
      <w:rPr>
        <w:noProof/>
        <w:color w:val="17365D"/>
        <w:szCs w:val="20"/>
      </w:rPr>
      <w:t>14</w:t>
    </w:r>
    <w:r w:rsidRPr="0075048B">
      <w:rPr>
        <w:noProof/>
        <w:color w:val="17365D"/>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E271B" w14:textId="5A82417F" w:rsidR="00B36A61" w:rsidRDefault="00B36A61" w:rsidP="005C7C9F">
    <w:pPr>
      <w:pStyle w:val="Footer"/>
      <w:tabs>
        <w:tab w:val="clear" w:pos="4153"/>
        <w:tab w:val="clear" w:pos="8306"/>
        <w:tab w:val="left" w:pos="8853"/>
        <w:tab w:val="right" w:pos="9354"/>
      </w:tabs>
    </w:pPr>
    <w:r w:rsidRPr="0075048B">
      <w:rPr>
        <w:noProof/>
      </w:rPr>
      <mc:AlternateContent>
        <mc:Choice Requires="wps">
          <w:drawing>
            <wp:anchor distT="0" distB="0" distL="114300" distR="114300" simplePos="0" relativeHeight="251658243" behindDoc="1" locked="0" layoutInCell="1" allowOverlap="1" wp14:anchorId="48E3376D" wp14:editId="098B8EB2">
              <wp:simplePos x="0" y="0"/>
              <wp:positionH relativeFrom="column">
                <wp:posOffset>5656580</wp:posOffset>
              </wp:positionH>
              <wp:positionV relativeFrom="paragraph">
                <wp:posOffset>-79375</wp:posOffset>
              </wp:positionV>
              <wp:extent cx="457200" cy="280800"/>
              <wp:effectExtent l="0" t="0" r="0" b="5080"/>
              <wp:wrapNone/>
              <wp:docPr id="12" name="Rounded Rectangle 12"/>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898142" id="Rounded Rectangle 12" o:spid="_x0000_s1026" style="position:absolute;margin-left:445.4pt;margin-top:-6.25pt;width:36pt;height:22.1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" fillcolor="#dbe5f1 [660]" stroked="f" strokeweight="1pt">
              <v:stroke dashstyle="dash"/>
            </v:roundrect>
          </w:pict>
        </mc:Fallback>
      </mc:AlternateContent>
    </w:r>
    <w:r w:rsidRPr="0075048B">
      <w:rPr>
        <w:noProof/>
      </w:rPr>
      <mc:AlternateContent>
        <mc:Choice Requires="wps">
          <w:drawing>
            <wp:anchor distT="0" distB="0" distL="114300" distR="114300" simplePos="0" relativeHeight="251658242" behindDoc="0" locked="0" layoutInCell="1" allowOverlap="1" wp14:anchorId="4A5CF742" wp14:editId="1433EDA4">
              <wp:simplePos x="0" y="0"/>
              <wp:positionH relativeFrom="column">
                <wp:posOffset>-172720</wp:posOffset>
              </wp:positionH>
              <wp:positionV relativeFrom="paragraph">
                <wp:posOffset>-165735</wp:posOffset>
              </wp:positionV>
              <wp:extent cx="5684400" cy="446400"/>
              <wp:effectExtent l="0" t="0" r="0" b="0"/>
              <wp:wrapNone/>
              <wp:docPr id="11" name="Rounded Rectangle 11"/>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4F81BD">
                          <a:lumMod val="20000"/>
                          <a:lumOff val="80000"/>
                        </a:srgbClr>
                      </a:solidFill>
                      <a:ln w="12700" cap="flat" cmpd="sng" algn="ctr">
                        <a:noFill/>
                        <a:prstDash val="dash"/>
                      </a:ln>
                      <a:effectLst/>
                    </wps:spPr>
                    <wps:txbx>
                      <w:txbxContent>
                        <w:p w14:paraId="61EDD344" w14:textId="1A7B2F27" w:rsidR="00B36A61" w:rsidRPr="0075048B" w:rsidRDefault="00B36A61" w:rsidP="00952885">
                          <w:pPr>
                            <w:ind w:firstLine="0"/>
                            <w:jc w:val="center"/>
                            <w:rPr>
                              <w:color w:val="17365D"/>
                              <w:sz w:val="20"/>
                              <w:szCs w:val="20"/>
                            </w:rPr>
                          </w:pPr>
                          <w:r w:rsidRPr="002670E9">
                            <w:rPr>
                              <w:color w:val="17365D"/>
                              <w:sz w:val="20"/>
                              <w:szCs w:val="20"/>
                            </w:rPr>
                            <w:t>2_05</w:t>
                          </w:r>
                          <w:r w:rsidRPr="00115610">
                            <w:rPr>
                              <w:color w:val="17365D"/>
                              <w:sz w:val="20"/>
                              <w:szCs w:val="20"/>
                            </w:rPr>
                            <w:t>_FMInf</w:t>
                          </w:r>
                          <w:r>
                            <w:rPr>
                              <w:color w:val="17365D"/>
                              <w:sz w:val="20"/>
                              <w:szCs w:val="20"/>
                            </w:rPr>
                            <w:t>p3.1</w:t>
                          </w:r>
                          <w:r w:rsidRPr="00115610">
                            <w:rPr>
                              <w:color w:val="17365D"/>
                              <w:sz w:val="20"/>
                              <w:szCs w:val="20"/>
                            </w:rPr>
                            <w:t>_</w:t>
                          </w:r>
                          <w:r>
                            <w:rPr>
                              <w:color w:val="17365D"/>
                              <w:sz w:val="20"/>
                              <w:szCs w:val="20"/>
                            </w:rPr>
                            <w:t>160623</w:t>
                          </w:r>
                          <w:r w:rsidRPr="00115610">
                            <w:rPr>
                              <w:color w:val="17365D"/>
                              <w:sz w:val="20"/>
                              <w:szCs w:val="20"/>
                            </w:rPr>
                            <w:t>_sk</w:t>
                          </w:r>
                          <w:r w:rsidRPr="0075048B">
                            <w:rPr>
                              <w:color w:val="17365D"/>
                              <w:sz w:val="20"/>
                              <w:szCs w:val="20"/>
                            </w:rPr>
                            <w:t>; Latvijas Republikas 20</w:t>
                          </w:r>
                          <w:r>
                            <w:rPr>
                              <w:color w:val="17365D"/>
                              <w:sz w:val="20"/>
                              <w:szCs w:val="20"/>
                            </w:rPr>
                            <w:t>22</w:t>
                          </w:r>
                          <w:r w:rsidRPr="0075048B">
                            <w:rPr>
                              <w:color w:val="17365D"/>
                              <w:sz w:val="20"/>
                              <w:szCs w:val="20"/>
                            </w:rPr>
                            <w:t>. gada pārskats par valsts budžeta izpildi un par pašvaldību budžetiem; 2.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CF742" id="Rounded Rectangle 11" o:spid="_x0000_s1038" style="position:absolute;margin-left:-13.6pt;margin-top:-13.05pt;width:447.6pt;height:35.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" fillcolor="#dce6f2" stroked="f" strokeweight="1pt">
              <v:stroke dashstyle="dash"/>
              <v:textbox>
                <w:txbxContent>
                  <w:p w14:paraId="61EDD344" w14:textId="1A7B2F27" w:rsidR="00B36A61" w:rsidRPr="0075048B" w:rsidRDefault="00B36A61" w:rsidP="00952885">
                    <w:pPr>
                      <w:ind w:firstLine="0"/>
                      <w:jc w:val="center"/>
                      <w:rPr>
                        <w:color w:val="17365D"/>
                        <w:sz w:val="20"/>
                        <w:szCs w:val="20"/>
                      </w:rPr>
                    </w:pPr>
                    <w:r w:rsidRPr="002670E9">
                      <w:rPr>
                        <w:color w:val="17365D"/>
                        <w:sz w:val="20"/>
                        <w:szCs w:val="20"/>
                      </w:rPr>
                      <w:t>2_05</w:t>
                    </w:r>
                    <w:r w:rsidRPr="00115610">
                      <w:rPr>
                        <w:color w:val="17365D"/>
                        <w:sz w:val="20"/>
                        <w:szCs w:val="20"/>
                      </w:rPr>
                      <w:t>_FMInf</w:t>
                    </w:r>
                    <w:r>
                      <w:rPr>
                        <w:color w:val="17365D"/>
                        <w:sz w:val="20"/>
                        <w:szCs w:val="20"/>
                      </w:rPr>
                      <w:t>p3.1</w:t>
                    </w:r>
                    <w:r w:rsidRPr="00115610">
                      <w:rPr>
                        <w:color w:val="17365D"/>
                        <w:sz w:val="20"/>
                        <w:szCs w:val="20"/>
                      </w:rPr>
                      <w:t>_</w:t>
                    </w:r>
                    <w:r>
                      <w:rPr>
                        <w:color w:val="17365D"/>
                        <w:sz w:val="20"/>
                        <w:szCs w:val="20"/>
                      </w:rPr>
                      <w:t>160623</w:t>
                    </w:r>
                    <w:r w:rsidRPr="00115610">
                      <w:rPr>
                        <w:color w:val="17365D"/>
                        <w:sz w:val="20"/>
                        <w:szCs w:val="20"/>
                      </w:rPr>
                      <w:t>_sk</w:t>
                    </w:r>
                    <w:r w:rsidRPr="0075048B">
                      <w:rPr>
                        <w:color w:val="17365D"/>
                        <w:sz w:val="20"/>
                        <w:szCs w:val="20"/>
                      </w:rPr>
                      <w:t>; Latvijas Republikas 20</w:t>
                    </w:r>
                    <w:r>
                      <w:rPr>
                        <w:color w:val="17365D"/>
                        <w:sz w:val="20"/>
                        <w:szCs w:val="20"/>
                      </w:rPr>
                      <w:t>22</w:t>
                    </w:r>
                    <w:r w:rsidRPr="0075048B">
                      <w:rPr>
                        <w:color w:val="17365D"/>
                        <w:sz w:val="20"/>
                        <w:szCs w:val="20"/>
                      </w:rPr>
                      <w:t>. gada pārskats par valsts budžeta izpildi un par pašvaldību budžetiem; 2. sējums</w:t>
                    </w:r>
                  </w:p>
                </w:txbxContent>
              </v:textbox>
            </v:roundrect>
          </w:pict>
        </mc:Fallback>
      </mc:AlternateContent>
    </w:r>
    <w:r>
      <w:rPr>
        <w:color w:val="17365D"/>
      </w:rPr>
      <w:t>13</w:t>
    </w:r>
    <w:r>
      <w:rPr>
        <w:color w:val="17365D"/>
      </w:rPr>
      <w:tab/>
      <w:t xml:space="preserve"> </w:t>
    </w:r>
    <w:r>
      <w:rPr>
        <w:color w:val="17365D"/>
      </w:rPr>
      <w:tab/>
      <w:t>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52DFD" w14:textId="77777777" w:rsidR="00B36A61" w:rsidRPr="0037200B" w:rsidRDefault="00B36A61">
      <w:pPr>
        <w:spacing w:after="0"/>
        <w:rPr>
          <w:color w:val="17365D"/>
        </w:rPr>
      </w:pPr>
      <w:r w:rsidRPr="0037200B">
        <w:rPr>
          <w:color w:val="17365D"/>
        </w:rPr>
        <w:separator/>
      </w:r>
    </w:p>
  </w:footnote>
  <w:footnote w:type="continuationSeparator" w:id="0">
    <w:p w14:paraId="3DEFA869" w14:textId="77777777" w:rsidR="00B36A61" w:rsidRDefault="00B36A61">
      <w:pPr>
        <w:spacing w:after="0"/>
      </w:pPr>
      <w:r>
        <w:continuationSeparator/>
      </w:r>
    </w:p>
  </w:footnote>
  <w:footnote w:type="continuationNotice" w:id="1">
    <w:p w14:paraId="193C315D" w14:textId="77777777" w:rsidR="00B36A61" w:rsidRDefault="00B36A61">
      <w:pPr>
        <w:spacing w:after="0"/>
      </w:pPr>
    </w:p>
  </w:footnote>
  <w:footnote w:id="2">
    <w:p w14:paraId="18208F7C" w14:textId="7FE4D885" w:rsidR="00B36A61" w:rsidRPr="00F06476" w:rsidRDefault="00B36A61">
      <w:pPr>
        <w:pStyle w:val="FootnoteText"/>
        <w:rPr>
          <w:color w:val="17365D"/>
        </w:rPr>
      </w:pPr>
      <w:r w:rsidRPr="00C939EF">
        <w:rPr>
          <w:rStyle w:val="FootnoteReference"/>
          <w:color w:val="17365D"/>
        </w:rPr>
        <w:footnoteRef/>
      </w:r>
      <w:r w:rsidRPr="00C939EF">
        <w:rPr>
          <w:color w:val="17365D"/>
        </w:rPr>
        <w:t xml:space="preserve"> Budžeta nefinansētas institūcijas: valsts aģentūra “Civilās aviācijas aģentūra”, valsts aģentūra “Valsts dzelzceļa tehniskā inspekcija”, Latvijas Republikas Valsts dzelzceļa administrācija, </w:t>
      </w:r>
      <w:r>
        <w:rPr>
          <w:color w:val="17365D"/>
        </w:rPr>
        <w:t xml:space="preserve">Transporta nelaimes gadījumu un </w:t>
      </w:r>
      <w:r w:rsidRPr="00F06476">
        <w:rPr>
          <w:color w:val="17365D"/>
        </w:rPr>
        <w:t>incidentu izmeklēšanas birojs, Zāļu valsts aģentūra, Patentu valde un valsts aģentūra “Latvijas Nacionālais akreditācijas birojs”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F93EF" w14:textId="3E321E4D" w:rsidR="00B36A61" w:rsidRPr="00C32586" w:rsidRDefault="00B36A61" w:rsidP="00413C98">
    <w:pPr>
      <w:spacing w:after="300"/>
      <w:ind w:left="-284" w:firstLine="0"/>
      <w:jc w:val="center"/>
      <w:rPr>
        <w:rFonts w:eastAsiaTheme="majorEastAsia" w:cstheme="majorBidi"/>
        <w:caps/>
        <w:color w:val="012169"/>
        <w:spacing w:val="5"/>
        <w:kern w:val="28"/>
        <w:sz w:val="20"/>
        <w:szCs w:val="20"/>
      </w:rPr>
    </w:pPr>
    <w:r w:rsidRPr="00C32586">
      <w:rPr>
        <w:rFonts w:eastAsiaTheme="majorEastAsia" w:cstheme="majorBidi"/>
        <w:caps/>
        <w:color w:val="012169"/>
        <w:spacing w:val="5"/>
        <w:kern w:val="28"/>
        <w:sz w:val="20"/>
        <w:szCs w:val="20"/>
      </w:rPr>
      <w:t xml:space="preserve">Skaidrojums par </w:t>
    </w:r>
    <w:r>
      <w:rPr>
        <w:rFonts w:eastAsiaTheme="majorEastAsia" w:cstheme="majorBidi"/>
        <w:caps/>
        <w:color w:val="012169"/>
        <w:spacing w:val="5"/>
        <w:kern w:val="28"/>
        <w:sz w:val="20"/>
        <w:szCs w:val="20"/>
      </w:rPr>
      <w:t>KONSOLIDĒTO VALSTS</w:t>
    </w:r>
    <w:r w:rsidRPr="00C32586">
      <w:rPr>
        <w:rFonts w:eastAsiaTheme="majorEastAsia" w:cstheme="majorBidi"/>
        <w:caps/>
        <w:color w:val="012169"/>
        <w:spacing w:val="5"/>
        <w:kern w:val="28"/>
        <w:sz w:val="20"/>
        <w:szCs w:val="20"/>
      </w:rPr>
      <w:t xml:space="preserve"> budžet</w:t>
    </w:r>
    <w:r>
      <w:rPr>
        <w:rFonts w:eastAsiaTheme="majorEastAsia" w:cstheme="majorBidi"/>
        <w:caps/>
        <w:color w:val="012169"/>
        <w:spacing w:val="5"/>
        <w:kern w:val="28"/>
        <w:sz w:val="20"/>
        <w:szCs w:val="20"/>
      </w:rPr>
      <w:t>A</w:t>
    </w:r>
    <w:r w:rsidRPr="00C32586">
      <w:rPr>
        <w:rFonts w:eastAsiaTheme="majorEastAsia" w:cstheme="majorBidi"/>
        <w:caps/>
        <w:color w:val="012169"/>
        <w:spacing w:val="5"/>
        <w:kern w:val="28"/>
        <w:sz w:val="20"/>
        <w:szCs w:val="20"/>
      </w:rPr>
      <w:t xml:space="preserve"> izpildi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14D5"/>
    <w:multiLevelType w:val="hybridMultilevel"/>
    <w:tmpl w:val="C818CF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4F42C1E"/>
    <w:multiLevelType w:val="hybridMultilevel"/>
    <w:tmpl w:val="6F268476"/>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 w15:restartNumberingAfterBreak="0">
    <w:nsid w:val="08AD72FF"/>
    <w:multiLevelType w:val="hybridMultilevel"/>
    <w:tmpl w:val="DFD20F2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A6B5A16"/>
    <w:multiLevelType w:val="hybridMultilevel"/>
    <w:tmpl w:val="B2B4305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 w15:restartNumberingAfterBreak="0">
    <w:nsid w:val="0ACE4420"/>
    <w:multiLevelType w:val="multilevel"/>
    <w:tmpl w:val="66C2B8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F13AEA"/>
    <w:multiLevelType w:val="hybridMultilevel"/>
    <w:tmpl w:val="2F4CDB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5022DAA"/>
    <w:multiLevelType w:val="hybridMultilevel"/>
    <w:tmpl w:val="915C02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65C6975"/>
    <w:multiLevelType w:val="hybridMultilevel"/>
    <w:tmpl w:val="D99847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9F43E61"/>
    <w:multiLevelType w:val="hybridMultilevel"/>
    <w:tmpl w:val="A51A544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0" w15:restartNumberingAfterBreak="0">
    <w:nsid w:val="2E547E20"/>
    <w:multiLevelType w:val="hybridMultilevel"/>
    <w:tmpl w:val="1410EA60"/>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11" w15:restartNumberingAfterBreak="0">
    <w:nsid w:val="2EFA7913"/>
    <w:multiLevelType w:val="hybridMultilevel"/>
    <w:tmpl w:val="962A72E6"/>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2"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13" w15:restartNumberingAfterBreak="0">
    <w:nsid w:val="32A228B3"/>
    <w:multiLevelType w:val="hybridMultilevel"/>
    <w:tmpl w:val="623AE5B4"/>
    <w:lvl w:ilvl="0" w:tplc="04260001">
      <w:start w:val="1"/>
      <w:numFmt w:val="bullet"/>
      <w:lvlText w:val=""/>
      <w:lvlJc w:val="left"/>
      <w:pPr>
        <w:ind w:left="928"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4" w15:restartNumberingAfterBreak="0">
    <w:nsid w:val="32AA5A9E"/>
    <w:multiLevelType w:val="hybridMultilevel"/>
    <w:tmpl w:val="302C8E28"/>
    <w:lvl w:ilvl="0" w:tplc="04260001">
      <w:start w:val="1"/>
      <w:numFmt w:val="bullet"/>
      <w:lvlText w:val=""/>
      <w:lvlJc w:val="left"/>
      <w:pPr>
        <w:ind w:left="1287" w:hanging="360"/>
      </w:pPr>
      <w:rPr>
        <w:rFonts w:ascii="Symbol" w:hAnsi="Symbol" w:hint="default"/>
      </w:rPr>
    </w:lvl>
    <w:lvl w:ilvl="1" w:tplc="4DFE99C2">
      <w:numFmt w:val="bullet"/>
      <w:lvlText w:val="•"/>
      <w:lvlJc w:val="left"/>
      <w:pPr>
        <w:ind w:left="2787" w:hanging="1140"/>
      </w:pPr>
      <w:rPr>
        <w:rFonts w:ascii="Times New Roman" w:eastAsia="Times New Roman"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5" w15:restartNumberingAfterBreak="0">
    <w:nsid w:val="36E7762F"/>
    <w:multiLevelType w:val="hybridMultilevel"/>
    <w:tmpl w:val="86528B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E37732E"/>
    <w:multiLevelType w:val="hybridMultilevel"/>
    <w:tmpl w:val="06902E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25566BC"/>
    <w:multiLevelType w:val="multilevel"/>
    <w:tmpl w:val="04D6F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226DF1"/>
    <w:multiLevelType w:val="hybridMultilevel"/>
    <w:tmpl w:val="D3527E7E"/>
    <w:lvl w:ilvl="0" w:tplc="04260001">
      <w:start w:val="1"/>
      <w:numFmt w:val="bullet"/>
      <w:lvlText w:val=""/>
      <w:lvlJc w:val="left"/>
      <w:pPr>
        <w:ind w:left="1287" w:hanging="360"/>
      </w:pPr>
      <w:rPr>
        <w:rFonts w:ascii="Symbol" w:hAnsi="Symbol" w:hint="default"/>
      </w:rPr>
    </w:lvl>
    <w:lvl w:ilvl="1" w:tplc="19843E12">
      <w:numFmt w:val="bullet"/>
      <w:lvlText w:val="•"/>
      <w:lvlJc w:val="left"/>
      <w:pPr>
        <w:ind w:left="2007" w:hanging="360"/>
      </w:pPr>
      <w:rPr>
        <w:rFonts w:ascii="Times New Roman" w:eastAsia="Times New Roman"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0" w15:restartNumberingAfterBreak="0">
    <w:nsid w:val="47D90160"/>
    <w:multiLevelType w:val="hybridMultilevel"/>
    <w:tmpl w:val="D03ACC96"/>
    <w:lvl w:ilvl="0" w:tplc="04260001">
      <w:start w:val="1"/>
      <w:numFmt w:val="bullet"/>
      <w:lvlText w:val=""/>
      <w:lvlJc w:val="left"/>
      <w:pPr>
        <w:ind w:left="1211" w:hanging="360"/>
      </w:pPr>
      <w:rPr>
        <w:rFonts w:ascii="Symbol" w:hAnsi="Symbol" w:hint="default"/>
      </w:rPr>
    </w:lvl>
    <w:lvl w:ilvl="1" w:tplc="4DFE99C2">
      <w:numFmt w:val="bullet"/>
      <w:lvlText w:val="•"/>
      <w:lvlJc w:val="left"/>
      <w:pPr>
        <w:ind w:left="2787" w:hanging="1140"/>
      </w:pPr>
      <w:rPr>
        <w:rFonts w:ascii="Times New Roman" w:eastAsia="Times New Roman"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1" w15:restartNumberingAfterBreak="0">
    <w:nsid w:val="4F361EF1"/>
    <w:multiLevelType w:val="hybridMultilevel"/>
    <w:tmpl w:val="83CE1D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18A6C22"/>
    <w:multiLevelType w:val="hybridMultilevel"/>
    <w:tmpl w:val="C87231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5D21ADA"/>
    <w:multiLevelType w:val="hybridMultilevel"/>
    <w:tmpl w:val="B90A38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25" w15:restartNumberingAfterBreak="0">
    <w:nsid w:val="60F844DF"/>
    <w:multiLevelType w:val="hybridMultilevel"/>
    <w:tmpl w:val="AFB6517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6" w15:restartNumberingAfterBreak="0">
    <w:nsid w:val="65425875"/>
    <w:multiLevelType w:val="hybridMultilevel"/>
    <w:tmpl w:val="65889CC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7" w15:restartNumberingAfterBreak="0">
    <w:nsid w:val="67A03DE2"/>
    <w:multiLevelType w:val="hybridMultilevel"/>
    <w:tmpl w:val="97D097A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D3C5635"/>
    <w:multiLevelType w:val="hybridMultilevel"/>
    <w:tmpl w:val="4FC01128"/>
    <w:lvl w:ilvl="0" w:tplc="67C43640">
      <w:start w:val="1"/>
      <w:numFmt w:val="bullet"/>
      <w:pStyle w:val="Bullets"/>
      <w:lvlText w:val=""/>
      <w:lvlJc w:val="left"/>
      <w:pPr>
        <w:ind w:left="1211" w:hanging="360"/>
      </w:pPr>
      <w:rPr>
        <w:rFonts w:ascii="Symbol" w:hAnsi="Symbol" w:hint="default"/>
      </w:rPr>
    </w:lvl>
    <w:lvl w:ilvl="1" w:tplc="4DFE99C2">
      <w:numFmt w:val="bullet"/>
      <w:lvlText w:val="•"/>
      <w:lvlJc w:val="left"/>
      <w:pPr>
        <w:ind w:left="2787" w:hanging="1140"/>
      </w:pPr>
      <w:rPr>
        <w:rFonts w:ascii="Times New Roman" w:eastAsia="Times New Roman"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9" w15:restartNumberingAfterBreak="0">
    <w:nsid w:val="6DDB33A2"/>
    <w:multiLevelType w:val="hybridMultilevel"/>
    <w:tmpl w:val="FFC6DD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02517F1"/>
    <w:multiLevelType w:val="hybridMultilevel"/>
    <w:tmpl w:val="4A62F6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1201610"/>
    <w:multiLevelType w:val="hybridMultilevel"/>
    <w:tmpl w:val="406277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7AA14A2"/>
    <w:multiLevelType w:val="hybridMultilevel"/>
    <w:tmpl w:val="395C02E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046441"/>
    <w:multiLevelType w:val="hybridMultilevel"/>
    <w:tmpl w:val="77AA24C2"/>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num w:numId="1">
    <w:abstractNumId w:val="18"/>
  </w:num>
  <w:num w:numId="2">
    <w:abstractNumId w:val="8"/>
  </w:num>
  <w:num w:numId="3">
    <w:abstractNumId w:val="12"/>
  </w:num>
  <w:num w:numId="4">
    <w:abstractNumId w:val="24"/>
  </w:num>
  <w:num w:numId="5">
    <w:abstractNumId w:val="28"/>
  </w:num>
  <w:num w:numId="6">
    <w:abstractNumId w:val="33"/>
  </w:num>
  <w:num w:numId="7">
    <w:abstractNumId w:val="16"/>
  </w:num>
  <w:num w:numId="8">
    <w:abstractNumId w:val="29"/>
  </w:num>
  <w:num w:numId="9">
    <w:abstractNumId w:val="13"/>
  </w:num>
  <w:num w:numId="10">
    <w:abstractNumId w:val="14"/>
  </w:num>
  <w:num w:numId="11">
    <w:abstractNumId w:val="11"/>
  </w:num>
  <w:num w:numId="12">
    <w:abstractNumId w:val="30"/>
  </w:num>
  <w:num w:numId="13">
    <w:abstractNumId w:val="0"/>
  </w:num>
  <w:num w:numId="14">
    <w:abstractNumId w:val="7"/>
  </w:num>
  <w:num w:numId="15">
    <w:abstractNumId w:val="5"/>
  </w:num>
  <w:num w:numId="16">
    <w:abstractNumId w:val="31"/>
  </w:num>
  <w:num w:numId="17">
    <w:abstractNumId w:val="6"/>
  </w:num>
  <w:num w:numId="18">
    <w:abstractNumId w:val="15"/>
  </w:num>
  <w:num w:numId="19">
    <w:abstractNumId w:val="9"/>
  </w:num>
  <w:num w:numId="20">
    <w:abstractNumId w:val="19"/>
  </w:num>
  <w:num w:numId="21">
    <w:abstractNumId w:val="2"/>
  </w:num>
  <w:num w:numId="22">
    <w:abstractNumId w:val="28"/>
  </w:num>
  <w:num w:numId="23">
    <w:abstractNumId w:val="28"/>
  </w:num>
  <w:num w:numId="24">
    <w:abstractNumId w:val="32"/>
  </w:num>
  <w:num w:numId="25">
    <w:abstractNumId w:val="20"/>
  </w:num>
  <w:num w:numId="26">
    <w:abstractNumId w:val="28"/>
  </w:num>
  <w:num w:numId="27">
    <w:abstractNumId w:val="28"/>
  </w:num>
  <w:num w:numId="28">
    <w:abstractNumId w:val="28"/>
  </w:num>
  <w:num w:numId="29">
    <w:abstractNumId w:val="27"/>
  </w:num>
  <w:num w:numId="30">
    <w:abstractNumId w:val="21"/>
  </w:num>
  <w:num w:numId="31">
    <w:abstractNumId w:val="23"/>
  </w:num>
  <w:num w:numId="32">
    <w:abstractNumId w:val="17"/>
  </w:num>
  <w:num w:numId="33">
    <w:abstractNumId w:val="28"/>
  </w:num>
  <w:num w:numId="34">
    <w:abstractNumId w:val="22"/>
  </w:num>
  <w:num w:numId="35">
    <w:abstractNumId w:val="3"/>
  </w:num>
  <w:num w:numId="36">
    <w:abstractNumId w:val="26"/>
  </w:num>
  <w:num w:numId="37">
    <w:abstractNumId w:val="25"/>
  </w:num>
  <w:num w:numId="38">
    <w:abstractNumId w:val="1"/>
  </w:num>
  <w:num w:numId="39">
    <w:abstractNumId w:val="28"/>
  </w:num>
  <w:num w:numId="40">
    <w:abstractNumId w:val="28"/>
  </w:num>
  <w:num w:numId="41">
    <w:abstractNumId w:val="28"/>
  </w:num>
  <w:num w:numId="42">
    <w:abstractNumId w:val="28"/>
  </w:num>
  <w:num w:numId="43">
    <w:abstractNumId w:val="28"/>
  </w:num>
  <w:num w:numId="44">
    <w:abstractNumId w:val="10"/>
  </w:num>
  <w:num w:numId="45">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hideSpellingErrors/>
  <w:proofState w:spelling="clean" w:grammar="clean"/>
  <w:defaultTabStop w:val="720"/>
  <w:characterSpacingControl w:val="doNotCompress"/>
  <w:hdrShapeDefaults>
    <o:shapedefaults v:ext="edit" spidmax="690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82A"/>
    <w:rsid w:val="000007C4"/>
    <w:rsid w:val="00001ECC"/>
    <w:rsid w:val="00002BFC"/>
    <w:rsid w:val="00003148"/>
    <w:rsid w:val="000034E8"/>
    <w:rsid w:val="00003995"/>
    <w:rsid w:val="00003D6B"/>
    <w:rsid w:val="00005DF2"/>
    <w:rsid w:val="00006082"/>
    <w:rsid w:val="000073BA"/>
    <w:rsid w:val="00007743"/>
    <w:rsid w:val="00007A22"/>
    <w:rsid w:val="00010513"/>
    <w:rsid w:val="000107D7"/>
    <w:rsid w:val="0001123B"/>
    <w:rsid w:val="000113A4"/>
    <w:rsid w:val="000116C6"/>
    <w:rsid w:val="0001204A"/>
    <w:rsid w:val="00012085"/>
    <w:rsid w:val="00012111"/>
    <w:rsid w:val="000128DB"/>
    <w:rsid w:val="00012A70"/>
    <w:rsid w:val="00012F5B"/>
    <w:rsid w:val="00013167"/>
    <w:rsid w:val="00013211"/>
    <w:rsid w:val="00016915"/>
    <w:rsid w:val="00017ED4"/>
    <w:rsid w:val="0002031A"/>
    <w:rsid w:val="0002124B"/>
    <w:rsid w:val="000214C7"/>
    <w:rsid w:val="000220A8"/>
    <w:rsid w:val="000228DD"/>
    <w:rsid w:val="00023B7A"/>
    <w:rsid w:val="000245AA"/>
    <w:rsid w:val="000245C9"/>
    <w:rsid w:val="00025B12"/>
    <w:rsid w:val="0002625D"/>
    <w:rsid w:val="000264D0"/>
    <w:rsid w:val="00026A26"/>
    <w:rsid w:val="00026D5A"/>
    <w:rsid w:val="00026F25"/>
    <w:rsid w:val="000278EF"/>
    <w:rsid w:val="00030177"/>
    <w:rsid w:val="00030B4E"/>
    <w:rsid w:val="000322DC"/>
    <w:rsid w:val="00032CEE"/>
    <w:rsid w:val="000336CD"/>
    <w:rsid w:val="0003376F"/>
    <w:rsid w:val="00034987"/>
    <w:rsid w:val="00034E1D"/>
    <w:rsid w:val="00034F0E"/>
    <w:rsid w:val="00036D48"/>
    <w:rsid w:val="000377F3"/>
    <w:rsid w:val="00037E94"/>
    <w:rsid w:val="0004035C"/>
    <w:rsid w:val="00040475"/>
    <w:rsid w:val="000405D3"/>
    <w:rsid w:val="00040A87"/>
    <w:rsid w:val="00040AB1"/>
    <w:rsid w:val="00040E88"/>
    <w:rsid w:val="000418D2"/>
    <w:rsid w:val="00042B43"/>
    <w:rsid w:val="00042DF8"/>
    <w:rsid w:val="00043910"/>
    <w:rsid w:val="00043F8F"/>
    <w:rsid w:val="000443AA"/>
    <w:rsid w:val="000443D8"/>
    <w:rsid w:val="00044AE8"/>
    <w:rsid w:val="00045E74"/>
    <w:rsid w:val="00045FE8"/>
    <w:rsid w:val="00046FA2"/>
    <w:rsid w:val="0005004F"/>
    <w:rsid w:val="00051378"/>
    <w:rsid w:val="00051B15"/>
    <w:rsid w:val="00051E0E"/>
    <w:rsid w:val="0005326D"/>
    <w:rsid w:val="00053E72"/>
    <w:rsid w:val="00054896"/>
    <w:rsid w:val="000551CD"/>
    <w:rsid w:val="00055C2B"/>
    <w:rsid w:val="00055CF1"/>
    <w:rsid w:val="0005675C"/>
    <w:rsid w:val="0006007A"/>
    <w:rsid w:val="0006032F"/>
    <w:rsid w:val="000611F4"/>
    <w:rsid w:val="00061B91"/>
    <w:rsid w:val="00061E92"/>
    <w:rsid w:val="000624B6"/>
    <w:rsid w:val="00062C52"/>
    <w:rsid w:val="00062EDE"/>
    <w:rsid w:val="00062FB6"/>
    <w:rsid w:val="000636CB"/>
    <w:rsid w:val="00063747"/>
    <w:rsid w:val="00064B26"/>
    <w:rsid w:val="00064B79"/>
    <w:rsid w:val="00064BD6"/>
    <w:rsid w:val="00064FFD"/>
    <w:rsid w:val="000659AE"/>
    <w:rsid w:val="00066267"/>
    <w:rsid w:val="000673BA"/>
    <w:rsid w:val="000700B1"/>
    <w:rsid w:val="0007067C"/>
    <w:rsid w:val="00070B97"/>
    <w:rsid w:val="00070F2E"/>
    <w:rsid w:val="00071321"/>
    <w:rsid w:val="00071BD4"/>
    <w:rsid w:val="000725E5"/>
    <w:rsid w:val="0007289C"/>
    <w:rsid w:val="00072ABC"/>
    <w:rsid w:val="000730A2"/>
    <w:rsid w:val="00073EEB"/>
    <w:rsid w:val="00074733"/>
    <w:rsid w:val="00074964"/>
    <w:rsid w:val="00075B9A"/>
    <w:rsid w:val="00075DD5"/>
    <w:rsid w:val="000767D1"/>
    <w:rsid w:val="000770FD"/>
    <w:rsid w:val="00077E8B"/>
    <w:rsid w:val="00077E91"/>
    <w:rsid w:val="00080004"/>
    <w:rsid w:val="00080BDD"/>
    <w:rsid w:val="00080E8D"/>
    <w:rsid w:val="000810A5"/>
    <w:rsid w:val="00081CB2"/>
    <w:rsid w:val="000820D2"/>
    <w:rsid w:val="00082D96"/>
    <w:rsid w:val="000832D1"/>
    <w:rsid w:val="000837C5"/>
    <w:rsid w:val="00083AC4"/>
    <w:rsid w:val="000840B7"/>
    <w:rsid w:val="00084E51"/>
    <w:rsid w:val="00084E80"/>
    <w:rsid w:val="00085EAD"/>
    <w:rsid w:val="0008618A"/>
    <w:rsid w:val="000872BB"/>
    <w:rsid w:val="00087FAC"/>
    <w:rsid w:val="00091010"/>
    <w:rsid w:val="000911ED"/>
    <w:rsid w:val="0009133A"/>
    <w:rsid w:val="00091826"/>
    <w:rsid w:val="00091923"/>
    <w:rsid w:val="00092AD2"/>
    <w:rsid w:val="00092F02"/>
    <w:rsid w:val="00093187"/>
    <w:rsid w:val="00093EF5"/>
    <w:rsid w:val="0009483E"/>
    <w:rsid w:val="00095209"/>
    <w:rsid w:val="00095419"/>
    <w:rsid w:val="00096449"/>
    <w:rsid w:val="00096518"/>
    <w:rsid w:val="00096611"/>
    <w:rsid w:val="00097688"/>
    <w:rsid w:val="000A03B6"/>
    <w:rsid w:val="000A0514"/>
    <w:rsid w:val="000A119D"/>
    <w:rsid w:val="000A1807"/>
    <w:rsid w:val="000A2542"/>
    <w:rsid w:val="000A2B31"/>
    <w:rsid w:val="000A2B91"/>
    <w:rsid w:val="000A2E5E"/>
    <w:rsid w:val="000A3036"/>
    <w:rsid w:val="000A35E4"/>
    <w:rsid w:val="000A3BCE"/>
    <w:rsid w:val="000A48C4"/>
    <w:rsid w:val="000A4A1D"/>
    <w:rsid w:val="000A4B5F"/>
    <w:rsid w:val="000A508D"/>
    <w:rsid w:val="000A5E74"/>
    <w:rsid w:val="000A6440"/>
    <w:rsid w:val="000A68BF"/>
    <w:rsid w:val="000A6CFF"/>
    <w:rsid w:val="000A70E2"/>
    <w:rsid w:val="000A7473"/>
    <w:rsid w:val="000B2B5F"/>
    <w:rsid w:val="000B2F3F"/>
    <w:rsid w:val="000B451A"/>
    <w:rsid w:val="000B49CC"/>
    <w:rsid w:val="000B501E"/>
    <w:rsid w:val="000B540C"/>
    <w:rsid w:val="000B54CD"/>
    <w:rsid w:val="000B5D8C"/>
    <w:rsid w:val="000B603B"/>
    <w:rsid w:val="000B6BDB"/>
    <w:rsid w:val="000B6DC5"/>
    <w:rsid w:val="000B7139"/>
    <w:rsid w:val="000C1771"/>
    <w:rsid w:val="000C2179"/>
    <w:rsid w:val="000C272B"/>
    <w:rsid w:val="000C3018"/>
    <w:rsid w:val="000C38B5"/>
    <w:rsid w:val="000C4D92"/>
    <w:rsid w:val="000C4F60"/>
    <w:rsid w:val="000C5510"/>
    <w:rsid w:val="000C6C10"/>
    <w:rsid w:val="000C7045"/>
    <w:rsid w:val="000C740C"/>
    <w:rsid w:val="000C7B2D"/>
    <w:rsid w:val="000C7D80"/>
    <w:rsid w:val="000D06C9"/>
    <w:rsid w:val="000D0722"/>
    <w:rsid w:val="000D2129"/>
    <w:rsid w:val="000D406C"/>
    <w:rsid w:val="000D4329"/>
    <w:rsid w:val="000D4791"/>
    <w:rsid w:val="000D5005"/>
    <w:rsid w:val="000D5024"/>
    <w:rsid w:val="000D5668"/>
    <w:rsid w:val="000D60CE"/>
    <w:rsid w:val="000D6B2C"/>
    <w:rsid w:val="000D70BE"/>
    <w:rsid w:val="000D7BEA"/>
    <w:rsid w:val="000E0FF4"/>
    <w:rsid w:val="000E1DCA"/>
    <w:rsid w:val="000E21B1"/>
    <w:rsid w:val="000E2CBB"/>
    <w:rsid w:val="000E38A0"/>
    <w:rsid w:val="000E397A"/>
    <w:rsid w:val="000E5129"/>
    <w:rsid w:val="000E5616"/>
    <w:rsid w:val="000E570C"/>
    <w:rsid w:val="000E62ED"/>
    <w:rsid w:val="000E6700"/>
    <w:rsid w:val="000E6E40"/>
    <w:rsid w:val="000E6EC6"/>
    <w:rsid w:val="000E7BCB"/>
    <w:rsid w:val="000F089F"/>
    <w:rsid w:val="000F0D58"/>
    <w:rsid w:val="000F1BA9"/>
    <w:rsid w:val="000F28AF"/>
    <w:rsid w:val="000F2E62"/>
    <w:rsid w:val="000F3004"/>
    <w:rsid w:val="000F3139"/>
    <w:rsid w:val="000F3448"/>
    <w:rsid w:val="000F3AAE"/>
    <w:rsid w:val="000F3CB5"/>
    <w:rsid w:val="000F3DA4"/>
    <w:rsid w:val="000F4892"/>
    <w:rsid w:val="000F4C06"/>
    <w:rsid w:val="000F4E1E"/>
    <w:rsid w:val="000F547F"/>
    <w:rsid w:val="000F55F1"/>
    <w:rsid w:val="000F5D93"/>
    <w:rsid w:val="000F7A1B"/>
    <w:rsid w:val="000F7E81"/>
    <w:rsid w:val="00102664"/>
    <w:rsid w:val="0010298B"/>
    <w:rsid w:val="00102F22"/>
    <w:rsid w:val="001033B0"/>
    <w:rsid w:val="001045AB"/>
    <w:rsid w:val="001046E7"/>
    <w:rsid w:val="00104BA3"/>
    <w:rsid w:val="00105939"/>
    <w:rsid w:val="00105F57"/>
    <w:rsid w:val="001061DB"/>
    <w:rsid w:val="00106725"/>
    <w:rsid w:val="00107854"/>
    <w:rsid w:val="00110A2A"/>
    <w:rsid w:val="00110BC1"/>
    <w:rsid w:val="001111B9"/>
    <w:rsid w:val="00111A40"/>
    <w:rsid w:val="001122A6"/>
    <w:rsid w:val="00112728"/>
    <w:rsid w:val="00112B2C"/>
    <w:rsid w:val="00113159"/>
    <w:rsid w:val="001132B3"/>
    <w:rsid w:val="00114BB6"/>
    <w:rsid w:val="0011526D"/>
    <w:rsid w:val="001152D1"/>
    <w:rsid w:val="00115610"/>
    <w:rsid w:val="001156C0"/>
    <w:rsid w:val="001165E3"/>
    <w:rsid w:val="00116D34"/>
    <w:rsid w:val="00116F2C"/>
    <w:rsid w:val="001176B1"/>
    <w:rsid w:val="001179DC"/>
    <w:rsid w:val="00117C41"/>
    <w:rsid w:val="00117DD6"/>
    <w:rsid w:val="00117FDB"/>
    <w:rsid w:val="0012009F"/>
    <w:rsid w:val="001208B5"/>
    <w:rsid w:val="0012190E"/>
    <w:rsid w:val="00121F08"/>
    <w:rsid w:val="0012212D"/>
    <w:rsid w:val="0012339D"/>
    <w:rsid w:val="0012348E"/>
    <w:rsid w:val="001237CD"/>
    <w:rsid w:val="001241C2"/>
    <w:rsid w:val="00125CD8"/>
    <w:rsid w:val="00126A5A"/>
    <w:rsid w:val="00126B3B"/>
    <w:rsid w:val="00127BD4"/>
    <w:rsid w:val="00127FBA"/>
    <w:rsid w:val="00130F87"/>
    <w:rsid w:val="00131467"/>
    <w:rsid w:val="0013150D"/>
    <w:rsid w:val="0013255B"/>
    <w:rsid w:val="0013267D"/>
    <w:rsid w:val="00132B10"/>
    <w:rsid w:val="001330E2"/>
    <w:rsid w:val="00134836"/>
    <w:rsid w:val="00135298"/>
    <w:rsid w:val="00135852"/>
    <w:rsid w:val="00135CD4"/>
    <w:rsid w:val="00135E39"/>
    <w:rsid w:val="0014021B"/>
    <w:rsid w:val="0014041A"/>
    <w:rsid w:val="0014087D"/>
    <w:rsid w:val="00140997"/>
    <w:rsid w:val="00141D39"/>
    <w:rsid w:val="00142816"/>
    <w:rsid w:val="00142831"/>
    <w:rsid w:val="00142B31"/>
    <w:rsid w:val="001431AC"/>
    <w:rsid w:val="001437CD"/>
    <w:rsid w:val="00143891"/>
    <w:rsid w:val="00143C34"/>
    <w:rsid w:val="00143D9B"/>
    <w:rsid w:val="00143DD4"/>
    <w:rsid w:val="00143FCE"/>
    <w:rsid w:val="0014468F"/>
    <w:rsid w:val="00144CD2"/>
    <w:rsid w:val="00145B8D"/>
    <w:rsid w:val="001467D1"/>
    <w:rsid w:val="00146F87"/>
    <w:rsid w:val="0014748F"/>
    <w:rsid w:val="001479AA"/>
    <w:rsid w:val="00147FC5"/>
    <w:rsid w:val="00151075"/>
    <w:rsid w:val="00151661"/>
    <w:rsid w:val="00151D04"/>
    <w:rsid w:val="001523E5"/>
    <w:rsid w:val="001525D4"/>
    <w:rsid w:val="00152DD8"/>
    <w:rsid w:val="00153C95"/>
    <w:rsid w:val="00153E32"/>
    <w:rsid w:val="0015469A"/>
    <w:rsid w:val="00155E0A"/>
    <w:rsid w:val="001569D1"/>
    <w:rsid w:val="00156DEC"/>
    <w:rsid w:val="001577AF"/>
    <w:rsid w:val="00160489"/>
    <w:rsid w:val="0016078D"/>
    <w:rsid w:val="0016235F"/>
    <w:rsid w:val="00162614"/>
    <w:rsid w:val="00162821"/>
    <w:rsid w:val="0016305B"/>
    <w:rsid w:val="00163149"/>
    <w:rsid w:val="00163E73"/>
    <w:rsid w:val="0016448B"/>
    <w:rsid w:val="00166874"/>
    <w:rsid w:val="00166D9C"/>
    <w:rsid w:val="001671B7"/>
    <w:rsid w:val="00167ABE"/>
    <w:rsid w:val="00167C03"/>
    <w:rsid w:val="00167DDB"/>
    <w:rsid w:val="00167EFF"/>
    <w:rsid w:val="00170F82"/>
    <w:rsid w:val="00170F87"/>
    <w:rsid w:val="00171A8E"/>
    <w:rsid w:val="00171D87"/>
    <w:rsid w:val="001723F7"/>
    <w:rsid w:val="0017340F"/>
    <w:rsid w:val="001734D8"/>
    <w:rsid w:val="0017384F"/>
    <w:rsid w:val="00173995"/>
    <w:rsid w:val="00173D34"/>
    <w:rsid w:val="00174126"/>
    <w:rsid w:val="00174F26"/>
    <w:rsid w:val="00175BAE"/>
    <w:rsid w:val="00176553"/>
    <w:rsid w:val="0017775D"/>
    <w:rsid w:val="00177A67"/>
    <w:rsid w:val="0018023C"/>
    <w:rsid w:val="001809BF"/>
    <w:rsid w:val="00180C0E"/>
    <w:rsid w:val="001814B4"/>
    <w:rsid w:val="001814D2"/>
    <w:rsid w:val="0018174D"/>
    <w:rsid w:val="001817F5"/>
    <w:rsid w:val="001823A0"/>
    <w:rsid w:val="00182413"/>
    <w:rsid w:val="00182993"/>
    <w:rsid w:val="0018306D"/>
    <w:rsid w:val="00183280"/>
    <w:rsid w:val="00186752"/>
    <w:rsid w:val="001868DF"/>
    <w:rsid w:val="0018705C"/>
    <w:rsid w:val="00187739"/>
    <w:rsid w:val="0018784C"/>
    <w:rsid w:val="0019052E"/>
    <w:rsid w:val="001907AD"/>
    <w:rsid w:val="00190890"/>
    <w:rsid w:val="00190C68"/>
    <w:rsid w:val="00191227"/>
    <w:rsid w:val="001916BC"/>
    <w:rsid w:val="001926A9"/>
    <w:rsid w:val="0019271F"/>
    <w:rsid w:val="00192D04"/>
    <w:rsid w:val="001930A5"/>
    <w:rsid w:val="00193266"/>
    <w:rsid w:val="0019597D"/>
    <w:rsid w:val="00196309"/>
    <w:rsid w:val="0019674D"/>
    <w:rsid w:val="001968FF"/>
    <w:rsid w:val="00197D5A"/>
    <w:rsid w:val="001A0474"/>
    <w:rsid w:val="001A0CE9"/>
    <w:rsid w:val="001A17F6"/>
    <w:rsid w:val="001A1856"/>
    <w:rsid w:val="001A1C7D"/>
    <w:rsid w:val="001A1D8C"/>
    <w:rsid w:val="001A3099"/>
    <w:rsid w:val="001A3BEC"/>
    <w:rsid w:val="001A4410"/>
    <w:rsid w:val="001A586A"/>
    <w:rsid w:val="001A5D24"/>
    <w:rsid w:val="001A60F0"/>
    <w:rsid w:val="001A649A"/>
    <w:rsid w:val="001A6F70"/>
    <w:rsid w:val="001A7176"/>
    <w:rsid w:val="001A786D"/>
    <w:rsid w:val="001A7C73"/>
    <w:rsid w:val="001A7CA9"/>
    <w:rsid w:val="001B08F6"/>
    <w:rsid w:val="001B0F04"/>
    <w:rsid w:val="001B2ED1"/>
    <w:rsid w:val="001B3291"/>
    <w:rsid w:val="001B3546"/>
    <w:rsid w:val="001B3B17"/>
    <w:rsid w:val="001B41D7"/>
    <w:rsid w:val="001B526A"/>
    <w:rsid w:val="001B5284"/>
    <w:rsid w:val="001B549A"/>
    <w:rsid w:val="001B5F9B"/>
    <w:rsid w:val="001C048B"/>
    <w:rsid w:val="001C06B3"/>
    <w:rsid w:val="001C1082"/>
    <w:rsid w:val="001C223E"/>
    <w:rsid w:val="001C2251"/>
    <w:rsid w:val="001C388D"/>
    <w:rsid w:val="001C39FB"/>
    <w:rsid w:val="001C4BD9"/>
    <w:rsid w:val="001C540D"/>
    <w:rsid w:val="001C54B2"/>
    <w:rsid w:val="001C5B10"/>
    <w:rsid w:val="001C5D9B"/>
    <w:rsid w:val="001C6040"/>
    <w:rsid w:val="001C627A"/>
    <w:rsid w:val="001C6D4C"/>
    <w:rsid w:val="001C73FC"/>
    <w:rsid w:val="001C7CB7"/>
    <w:rsid w:val="001D01AC"/>
    <w:rsid w:val="001D0298"/>
    <w:rsid w:val="001D06B0"/>
    <w:rsid w:val="001D0CFD"/>
    <w:rsid w:val="001D0F07"/>
    <w:rsid w:val="001D10BD"/>
    <w:rsid w:val="001D1B95"/>
    <w:rsid w:val="001D2C68"/>
    <w:rsid w:val="001D34DA"/>
    <w:rsid w:val="001D3CAC"/>
    <w:rsid w:val="001D4302"/>
    <w:rsid w:val="001D4336"/>
    <w:rsid w:val="001D4E2D"/>
    <w:rsid w:val="001D6C0C"/>
    <w:rsid w:val="001D7055"/>
    <w:rsid w:val="001D706B"/>
    <w:rsid w:val="001D7D3F"/>
    <w:rsid w:val="001D7EB9"/>
    <w:rsid w:val="001E082A"/>
    <w:rsid w:val="001E2CBA"/>
    <w:rsid w:val="001E3D0B"/>
    <w:rsid w:val="001E491D"/>
    <w:rsid w:val="001E5C74"/>
    <w:rsid w:val="001E6633"/>
    <w:rsid w:val="001E764E"/>
    <w:rsid w:val="001F0600"/>
    <w:rsid w:val="001F0E18"/>
    <w:rsid w:val="001F11C2"/>
    <w:rsid w:val="001F27FA"/>
    <w:rsid w:val="001F2FBE"/>
    <w:rsid w:val="001F55C7"/>
    <w:rsid w:val="001F57FD"/>
    <w:rsid w:val="001F64C1"/>
    <w:rsid w:val="001F6BE2"/>
    <w:rsid w:val="001F75C9"/>
    <w:rsid w:val="001F7FDA"/>
    <w:rsid w:val="00200010"/>
    <w:rsid w:val="0020093D"/>
    <w:rsid w:val="0020254B"/>
    <w:rsid w:val="0020265A"/>
    <w:rsid w:val="00202BBC"/>
    <w:rsid w:val="00203054"/>
    <w:rsid w:val="0020342F"/>
    <w:rsid w:val="002055E7"/>
    <w:rsid w:val="002076D9"/>
    <w:rsid w:val="00207FA0"/>
    <w:rsid w:val="00207FC9"/>
    <w:rsid w:val="00210427"/>
    <w:rsid w:val="00210DE8"/>
    <w:rsid w:val="00211747"/>
    <w:rsid w:val="00211C37"/>
    <w:rsid w:val="002135C7"/>
    <w:rsid w:val="002146CB"/>
    <w:rsid w:val="0021481F"/>
    <w:rsid w:val="0021485A"/>
    <w:rsid w:val="002159E0"/>
    <w:rsid w:val="00216337"/>
    <w:rsid w:val="00216560"/>
    <w:rsid w:val="00217089"/>
    <w:rsid w:val="002172FD"/>
    <w:rsid w:val="00217656"/>
    <w:rsid w:val="00217D14"/>
    <w:rsid w:val="00220712"/>
    <w:rsid w:val="00220918"/>
    <w:rsid w:val="00220956"/>
    <w:rsid w:val="00221317"/>
    <w:rsid w:val="0022185B"/>
    <w:rsid w:val="002220F7"/>
    <w:rsid w:val="00222D5E"/>
    <w:rsid w:val="0022330B"/>
    <w:rsid w:val="00224DC1"/>
    <w:rsid w:val="00224EAF"/>
    <w:rsid w:val="00224EFA"/>
    <w:rsid w:val="002251F8"/>
    <w:rsid w:val="00226D34"/>
    <w:rsid w:val="002277FA"/>
    <w:rsid w:val="00227943"/>
    <w:rsid w:val="00227A9C"/>
    <w:rsid w:val="00227E5B"/>
    <w:rsid w:val="0023015C"/>
    <w:rsid w:val="002306CB"/>
    <w:rsid w:val="002308F9"/>
    <w:rsid w:val="00230F95"/>
    <w:rsid w:val="002313CF"/>
    <w:rsid w:val="002318CE"/>
    <w:rsid w:val="0023225C"/>
    <w:rsid w:val="00232D5D"/>
    <w:rsid w:val="00232D77"/>
    <w:rsid w:val="00234603"/>
    <w:rsid w:val="00234723"/>
    <w:rsid w:val="002347F0"/>
    <w:rsid w:val="00234AF5"/>
    <w:rsid w:val="0023544C"/>
    <w:rsid w:val="00235478"/>
    <w:rsid w:val="002354CB"/>
    <w:rsid w:val="00235F0B"/>
    <w:rsid w:val="00236B43"/>
    <w:rsid w:val="00237DEF"/>
    <w:rsid w:val="002408F3"/>
    <w:rsid w:val="00240AAD"/>
    <w:rsid w:val="00241DCF"/>
    <w:rsid w:val="00241EE6"/>
    <w:rsid w:val="00242627"/>
    <w:rsid w:val="00242B41"/>
    <w:rsid w:val="002437E3"/>
    <w:rsid w:val="0024456C"/>
    <w:rsid w:val="00244CC2"/>
    <w:rsid w:val="002450B7"/>
    <w:rsid w:val="00245401"/>
    <w:rsid w:val="002463CC"/>
    <w:rsid w:val="00250006"/>
    <w:rsid w:val="00250F01"/>
    <w:rsid w:val="0025135F"/>
    <w:rsid w:val="002514EE"/>
    <w:rsid w:val="00251B91"/>
    <w:rsid w:val="0025268B"/>
    <w:rsid w:val="002539D7"/>
    <w:rsid w:val="00253CA2"/>
    <w:rsid w:val="00253FFF"/>
    <w:rsid w:val="00254BCB"/>
    <w:rsid w:val="00255052"/>
    <w:rsid w:val="002550E8"/>
    <w:rsid w:val="0025516D"/>
    <w:rsid w:val="002551C1"/>
    <w:rsid w:val="00255AB6"/>
    <w:rsid w:val="00256787"/>
    <w:rsid w:val="00257369"/>
    <w:rsid w:val="002578C4"/>
    <w:rsid w:val="002603CF"/>
    <w:rsid w:val="002606E8"/>
    <w:rsid w:val="00260FE2"/>
    <w:rsid w:val="00261B35"/>
    <w:rsid w:val="00263328"/>
    <w:rsid w:val="00264773"/>
    <w:rsid w:val="00266174"/>
    <w:rsid w:val="002670E9"/>
    <w:rsid w:val="002671E1"/>
    <w:rsid w:val="002673EB"/>
    <w:rsid w:val="00267DE2"/>
    <w:rsid w:val="00270F4D"/>
    <w:rsid w:val="00271B20"/>
    <w:rsid w:val="00271D7D"/>
    <w:rsid w:val="00271E4B"/>
    <w:rsid w:val="0027209A"/>
    <w:rsid w:val="0027438F"/>
    <w:rsid w:val="002748AA"/>
    <w:rsid w:val="00274A1A"/>
    <w:rsid w:val="0027576E"/>
    <w:rsid w:val="002757F0"/>
    <w:rsid w:val="0027645F"/>
    <w:rsid w:val="002765BC"/>
    <w:rsid w:val="00276D3D"/>
    <w:rsid w:val="00276D5E"/>
    <w:rsid w:val="002772D8"/>
    <w:rsid w:val="00277331"/>
    <w:rsid w:val="00277661"/>
    <w:rsid w:val="00280A7E"/>
    <w:rsid w:val="00280A82"/>
    <w:rsid w:val="0028260F"/>
    <w:rsid w:val="00283D53"/>
    <w:rsid w:val="00283DBF"/>
    <w:rsid w:val="00284451"/>
    <w:rsid w:val="0028467A"/>
    <w:rsid w:val="00284A81"/>
    <w:rsid w:val="0028612D"/>
    <w:rsid w:val="002872A8"/>
    <w:rsid w:val="0028768E"/>
    <w:rsid w:val="00287E9C"/>
    <w:rsid w:val="00287F42"/>
    <w:rsid w:val="0029020A"/>
    <w:rsid w:val="00290B1A"/>
    <w:rsid w:val="00290BBE"/>
    <w:rsid w:val="00291A89"/>
    <w:rsid w:val="00292515"/>
    <w:rsid w:val="00292610"/>
    <w:rsid w:val="00292EC2"/>
    <w:rsid w:val="00293CC8"/>
    <w:rsid w:val="002949D8"/>
    <w:rsid w:val="0029688E"/>
    <w:rsid w:val="00296AAC"/>
    <w:rsid w:val="00296BD0"/>
    <w:rsid w:val="00297F92"/>
    <w:rsid w:val="002A0192"/>
    <w:rsid w:val="002A0853"/>
    <w:rsid w:val="002A0B3F"/>
    <w:rsid w:val="002A1083"/>
    <w:rsid w:val="002A1764"/>
    <w:rsid w:val="002A18FF"/>
    <w:rsid w:val="002A311B"/>
    <w:rsid w:val="002A382F"/>
    <w:rsid w:val="002A4A90"/>
    <w:rsid w:val="002A5376"/>
    <w:rsid w:val="002A57D4"/>
    <w:rsid w:val="002A5877"/>
    <w:rsid w:val="002A5966"/>
    <w:rsid w:val="002A666B"/>
    <w:rsid w:val="002A6B7D"/>
    <w:rsid w:val="002A7058"/>
    <w:rsid w:val="002A7B83"/>
    <w:rsid w:val="002B03C0"/>
    <w:rsid w:val="002B0ADE"/>
    <w:rsid w:val="002B0D27"/>
    <w:rsid w:val="002B0F23"/>
    <w:rsid w:val="002B1465"/>
    <w:rsid w:val="002B186F"/>
    <w:rsid w:val="002B18CF"/>
    <w:rsid w:val="002B1CAE"/>
    <w:rsid w:val="002B203F"/>
    <w:rsid w:val="002B2B67"/>
    <w:rsid w:val="002B2DE1"/>
    <w:rsid w:val="002B3923"/>
    <w:rsid w:val="002B441F"/>
    <w:rsid w:val="002B45C8"/>
    <w:rsid w:val="002B6056"/>
    <w:rsid w:val="002B6739"/>
    <w:rsid w:val="002B6AB2"/>
    <w:rsid w:val="002B6C9F"/>
    <w:rsid w:val="002B6F65"/>
    <w:rsid w:val="002B7013"/>
    <w:rsid w:val="002B7744"/>
    <w:rsid w:val="002B7DA8"/>
    <w:rsid w:val="002C08EA"/>
    <w:rsid w:val="002C0E32"/>
    <w:rsid w:val="002C10A1"/>
    <w:rsid w:val="002C1892"/>
    <w:rsid w:val="002C201A"/>
    <w:rsid w:val="002C22F2"/>
    <w:rsid w:val="002C2CB4"/>
    <w:rsid w:val="002C4769"/>
    <w:rsid w:val="002C47D0"/>
    <w:rsid w:val="002C577A"/>
    <w:rsid w:val="002C57AB"/>
    <w:rsid w:val="002C5A95"/>
    <w:rsid w:val="002C65AA"/>
    <w:rsid w:val="002C65FD"/>
    <w:rsid w:val="002C6E11"/>
    <w:rsid w:val="002C7321"/>
    <w:rsid w:val="002C7F64"/>
    <w:rsid w:val="002D0BF6"/>
    <w:rsid w:val="002D20BC"/>
    <w:rsid w:val="002D4596"/>
    <w:rsid w:val="002D4EE5"/>
    <w:rsid w:val="002D54DE"/>
    <w:rsid w:val="002D5682"/>
    <w:rsid w:val="002D57B3"/>
    <w:rsid w:val="002D5981"/>
    <w:rsid w:val="002D5EA8"/>
    <w:rsid w:val="002D6033"/>
    <w:rsid w:val="002D68A0"/>
    <w:rsid w:val="002D6E2E"/>
    <w:rsid w:val="002D7169"/>
    <w:rsid w:val="002D7172"/>
    <w:rsid w:val="002D7DB3"/>
    <w:rsid w:val="002E01F2"/>
    <w:rsid w:val="002E0796"/>
    <w:rsid w:val="002E0824"/>
    <w:rsid w:val="002E151B"/>
    <w:rsid w:val="002E1524"/>
    <w:rsid w:val="002E211B"/>
    <w:rsid w:val="002E3157"/>
    <w:rsid w:val="002E3984"/>
    <w:rsid w:val="002E4712"/>
    <w:rsid w:val="002E4EF8"/>
    <w:rsid w:val="002E56B0"/>
    <w:rsid w:val="002E5819"/>
    <w:rsid w:val="002E5B6E"/>
    <w:rsid w:val="002E662A"/>
    <w:rsid w:val="002E7198"/>
    <w:rsid w:val="002E723E"/>
    <w:rsid w:val="002E762A"/>
    <w:rsid w:val="002E7B35"/>
    <w:rsid w:val="002F0087"/>
    <w:rsid w:val="002F10C4"/>
    <w:rsid w:val="002F2B3A"/>
    <w:rsid w:val="002F45C7"/>
    <w:rsid w:val="002F5192"/>
    <w:rsid w:val="002F56E1"/>
    <w:rsid w:val="002F5A63"/>
    <w:rsid w:val="002F5F22"/>
    <w:rsid w:val="002F6FE4"/>
    <w:rsid w:val="00300415"/>
    <w:rsid w:val="0030073F"/>
    <w:rsid w:val="00300830"/>
    <w:rsid w:val="003010D6"/>
    <w:rsid w:val="003010E8"/>
    <w:rsid w:val="003011B4"/>
    <w:rsid w:val="00302DF4"/>
    <w:rsid w:val="003059ED"/>
    <w:rsid w:val="00305BEA"/>
    <w:rsid w:val="003062E0"/>
    <w:rsid w:val="00306B12"/>
    <w:rsid w:val="00306DAE"/>
    <w:rsid w:val="00307DD6"/>
    <w:rsid w:val="003101D4"/>
    <w:rsid w:val="00310740"/>
    <w:rsid w:val="00310B87"/>
    <w:rsid w:val="00311043"/>
    <w:rsid w:val="0031107C"/>
    <w:rsid w:val="003110DB"/>
    <w:rsid w:val="0031117C"/>
    <w:rsid w:val="00311D5E"/>
    <w:rsid w:val="00312095"/>
    <w:rsid w:val="00312462"/>
    <w:rsid w:val="00312E00"/>
    <w:rsid w:val="003136F6"/>
    <w:rsid w:val="00313B75"/>
    <w:rsid w:val="00314D5A"/>
    <w:rsid w:val="00314EBD"/>
    <w:rsid w:val="00315083"/>
    <w:rsid w:val="00315BDE"/>
    <w:rsid w:val="00315C1E"/>
    <w:rsid w:val="00315F0D"/>
    <w:rsid w:val="00316A7F"/>
    <w:rsid w:val="00316FDC"/>
    <w:rsid w:val="0031702C"/>
    <w:rsid w:val="00317323"/>
    <w:rsid w:val="003200D1"/>
    <w:rsid w:val="00320248"/>
    <w:rsid w:val="003215F2"/>
    <w:rsid w:val="003220D9"/>
    <w:rsid w:val="00322822"/>
    <w:rsid w:val="00322CA1"/>
    <w:rsid w:val="00324542"/>
    <w:rsid w:val="00324E77"/>
    <w:rsid w:val="00325A54"/>
    <w:rsid w:val="003269A2"/>
    <w:rsid w:val="00327E21"/>
    <w:rsid w:val="0033060D"/>
    <w:rsid w:val="003306D0"/>
    <w:rsid w:val="00330A8D"/>
    <w:rsid w:val="00330ECB"/>
    <w:rsid w:val="0033276A"/>
    <w:rsid w:val="00332959"/>
    <w:rsid w:val="0033310F"/>
    <w:rsid w:val="003346E4"/>
    <w:rsid w:val="00334780"/>
    <w:rsid w:val="00335908"/>
    <w:rsid w:val="00337132"/>
    <w:rsid w:val="00337D5C"/>
    <w:rsid w:val="00340666"/>
    <w:rsid w:val="00340A8B"/>
    <w:rsid w:val="00340E9C"/>
    <w:rsid w:val="00342DE2"/>
    <w:rsid w:val="003430B2"/>
    <w:rsid w:val="0034383C"/>
    <w:rsid w:val="00343F06"/>
    <w:rsid w:val="0034457F"/>
    <w:rsid w:val="00344ABF"/>
    <w:rsid w:val="00344D28"/>
    <w:rsid w:val="00345145"/>
    <w:rsid w:val="00345253"/>
    <w:rsid w:val="00345432"/>
    <w:rsid w:val="00345D0C"/>
    <w:rsid w:val="00347FCC"/>
    <w:rsid w:val="003501E3"/>
    <w:rsid w:val="00351077"/>
    <w:rsid w:val="003515BE"/>
    <w:rsid w:val="00351E3D"/>
    <w:rsid w:val="00352999"/>
    <w:rsid w:val="0035308D"/>
    <w:rsid w:val="00353268"/>
    <w:rsid w:val="00353FA0"/>
    <w:rsid w:val="0035741D"/>
    <w:rsid w:val="003576ED"/>
    <w:rsid w:val="0035773A"/>
    <w:rsid w:val="00357BA1"/>
    <w:rsid w:val="00357F71"/>
    <w:rsid w:val="00360C9D"/>
    <w:rsid w:val="0036120B"/>
    <w:rsid w:val="003629DB"/>
    <w:rsid w:val="00363743"/>
    <w:rsid w:val="00364336"/>
    <w:rsid w:val="00364809"/>
    <w:rsid w:val="00364DB9"/>
    <w:rsid w:val="00364EDC"/>
    <w:rsid w:val="00365401"/>
    <w:rsid w:val="003662B2"/>
    <w:rsid w:val="0036659C"/>
    <w:rsid w:val="003667A7"/>
    <w:rsid w:val="00366B85"/>
    <w:rsid w:val="0037013F"/>
    <w:rsid w:val="003702D7"/>
    <w:rsid w:val="003703B2"/>
    <w:rsid w:val="00370E3A"/>
    <w:rsid w:val="003712EB"/>
    <w:rsid w:val="00371BAC"/>
    <w:rsid w:val="0037200B"/>
    <w:rsid w:val="00372032"/>
    <w:rsid w:val="003727C5"/>
    <w:rsid w:val="003735F8"/>
    <w:rsid w:val="00373787"/>
    <w:rsid w:val="003743E6"/>
    <w:rsid w:val="0037491A"/>
    <w:rsid w:val="00375027"/>
    <w:rsid w:val="003752BC"/>
    <w:rsid w:val="00375510"/>
    <w:rsid w:val="003756B7"/>
    <w:rsid w:val="003758A7"/>
    <w:rsid w:val="00375C64"/>
    <w:rsid w:val="00375D5A"/>
    <w:rsid w:val="00375FE8"/>
    <w:rsid w:val="00376AA6"/>
    <w:rsid w:val="0037796C"/>
    <w:rsid w:val="003804EB"/>
    <w:rsid w:val="00380F11"/>
    <w:rsid w:val="003813F1"/>
    <w:rsid w:val="00382C64"/>
    <w:rsid w:val="0038304A"/>
    <w:rsid w:val="0038468D"/>
    <w:rsid w:val="00385664"/>
    <w:rsid w:val="00385906"/>
    <w:rsid w:val="00385D61"/>
    <w:rsid w:val="003906A1"/>
    <w:rsid w:val="00390D4C"/>
    <w:rsid w:val="00391A7B"/>
    <w:rsid w:val="0039221B"/>
    <w:rsid w:val="00392A1F"/>
    <w:rsid w:val="00392ED1"/>
    <w:rsid w:val="0039316E"/>
    <w:rsid w:val="00393328"/>
    <w:rsid w:val="003937FF"/>
    <w:rsid w:val="00394195"/>
    <w:rsid w:val="0039460E"/>
    <w:rsid w:val="003946C2"/>
    <w:rsid w:val="00394FC4"/>
    <w:rsid w:val="00395AC6"/>
    <w:rsid w:val="00396380"/>
    <w:rsid w:val="003964D9"/>
    <w:rsid w:val="00396B4C"/>
    <w:rsid w:val="00396D46"/>
    <w:rsid w:val="00397485"/>
    <w:rsid w:val="00397E8C"/>
    <w:rsid w:val="003A04EF"/>
    <w:rsid w:val="003A1236"/>
    <w:rsid w:val="003A127F"/>
    <w:rsid w:val="003A1479"/>
    <w:rsid w:val="003A1E21"/>
    <w:rsid w:val="003A2F59"/>
    <w:rsid w:val="003A38BF"/>
    <w:rsid w:val="003A4341"/>
    <w:rsid w:val="003A459C"/>
    <w:rsid w:val="003A45F2"/>
    <w:rsid w:val="003A47BD"/>
    <w:rsid w:val="003A576F"/>
    <w:rsid w:val="003A58DA"/>
    <w:rsid w:val="003A6278"/>
    <w:rsid w:val="003A6670"/>
    <w:rsid w:val="003A66B7"/>
    <w:rsid w:val="003A734F"/>
    <w:rsid w:val="003A754F"/>
    <w:rsid w:val="003A759A"/>
    <w:rsid w:val="003A7CB4"/>
    <w:rsid w:val="003B0DF3"/>
    <w:rsid w:val="003B12E3"/>
    <w:rsid w:val="003B168B"/>
    <w:rsid w:val="003B16D7"/>
    <w:rsid w:val="003B1874"/>
    <w:rsid w:val="003B35DB"/>
    <w:rsid w:val="003B3908"/>
    <w:rsid w:val="003B3B90"/>
    <w:rsid w:val="003B3DDE"/>
    <w:rsid w:val="003B4077"/>
    <w:rsid w:val="003B42B7"/>
    <w:rsid w:val="003B5581"/>
    <w:rsid w:val="003B58CD"/>
    <w:rsid w:val="003B599A"/>
    <w:rsid w:val="003B6FC2"/>
    <w:rsid w:val="003B74EE"/>
    <w:rsid w:val="003B7C3A"/>
    <w:rsid w:val="003B7CE1"/>
    <w:rsid w:val="003C0E2E"/>
    <w:rsid w:val="003C1F86"/>
    <w:rsid w:val="003C2848"/>
    <w:rsid w:val="003C2A3B"/>
    <w:rsid w:val="003C3051"/>
    <w:rsid w:val="003C30B2"/>
    <w:rsid w:val="003C315A"/>
    <w:rsid w:val="003C32F3"/>
    <w:rsid w:val="003C3DEB"/>
    <w:rsid w:val="003C3E17"/>
    <w:rsid w:val="003C3F12"/>
    <w:rsid w:val="003C468D"/>
    <w:rsid w:val="003C599A"/>
    <w:rsid w:val="003C5AC6"/>
    <w:rsid w:val="003C5B03"/>
    <w:rsid w:val="003C5F4D"/>
    <w:rsid w:val="003C7A3B"/>
    <w:rsid w:val="003C7D48"/>
    <w:rsid w:val="003D08A5"/>
    <w:rsid w:val="003D0D2D"/>
    <w:rsid w:val="003D1185"/>
    <w:rsid w:val="003D159A"/>
    <w:rsid w:val="003D15A5"/>
    <w:rsid w:val="003D19E7"/>
    <w:rsid w:val="003D1E50"/>
    <w:rsid w:val="003D250E"/>
    <w:rsid w:val="003D2CDA"/>
    <w:rsid w:val="003D3208"/>
    <w:rsid w:val="003D3D5D"/>
    <w:rsid w:val="003D4152"/>
    <w:rsid w:val="003D4476"/>
    <w:rsid w:val="003D59BE"/>
    <w:rsid w:val="003D5CF9"/>
    <w:rsid w:val="003D62A4"/>
    <w:rsid w:val="003D7FDE"/>
    <w:rsid w:val="003E033C"/>
    <w:rsid w:val="003E04DD"/>
    <w:rsid w:val="003E0883"/>
    <w:rsid w:val="003E0A35"/>
    <w:rsid w:val="003E0AD8"/>
    <w:rsid w:val="003E11D7"/>
    <w:rsid w:val="003E2953"/>
    <w:rsid w:val="003E2C31"/>
    <w:rsid w:val="003E3DEE"/>
    <w:rsid w:val="003E42B2"/>
    <w:rsid w:val="003E442C"/>
    <w:rsid w:val="003E5058"/>
    <w:rsid w:val="003E509F"/>
    <w:rsid w:val="003E513F"/>
    <w:rsid w:val="003E5438"/>
    <w:rsid w:val="003E5606"/>
    <w:rsid w:val="003E5AA2"/>
    <w:rsid w:val="003E619E"/>
    <w:rsid w:val="003E633A"/>
    <w:rsid w:val="003E6806"/>
    <w:rsid w:val="003F0759"/>
    <w:rsid w:val="003F0C52"/>
    <w:rsid w:val="003F1125"/>
    <w:rsid w:val="003F1A86"/>
    <w:rsid w:val="003F2ABF"/>
    <w:rsid w:val="003F2D21"/>
    <w:rsid w:val="003F3930"/>
    <w:rsid w:val="003F395B"/>
    <w:rsid w:val="003F3D74"/>
    <w:rsid w:val="003F41B4"/>
    <w:rsid w:val="003F41E6"/>
    <w:rsid w:val="003F421F"/>
    <w:rsid w:val="003F4917"/>
    <w:rsid w:val="003F4B44"/>
    <w:rsid w:val="003F4DDA"/>
    <w:rsid w:val="003F67F2"/>
    <w:rsid w:val="003F6898"/>
    <w:rsid w:val="003F6C30"/>
    <w:rsid w:val="003F6DF9"/>
    <w:rsid w:val="003F7945"/>
    <w:rsid w:val="003F7BF7"/>
    <w:rsid w:val="003F7EBC"/>
    <w:rsid w:val="004001BB"/>
    <w:rsid w:val="0040084D"/>
    <w:rsid w:val="00401128"/>
    <w:rsid w:val="004019F0"/>
    <w:rsid w:val="00401AA7"/>
    <w:rsid w:val="00402734"/>
    <w:rsid w:val="0040326F"/>
    <w:rsid w:val="00403393"/>
    <w:rsid w:val="004035E4"/>
    <w:rsid w:val="00403BE0"/>
    <w:rsid w:val="00403D5C"/>
    <w:rsid w:val="00403E64"/>
    <w:rsid w:val="004045CB"/>
    <w:rsid w:val="00405188"/>
    <w:rsid w:val="00405AD2"/>
    <w:rsid w:val="004063FE"/>
    <w:rsid w:val="004079A0"/>
    <w:rsid w:val="0041142B"/>
    <w:rsid w:val="00411FD3"/>
    <w:rsid w:val="00412051"/>
    <w:rsid w:val="004120B6"/>
    <w:rsid w:val="00412F06"/>
    <w:rsid w:val="004133B3"/>
    <w:rsid w:val="004134D1"/>
    <w:rsid w:val="00413AE2"/>
    <w:rsid w:val="00413C98"/>
    <w:rsid w:val="004140E1"/>
    <w:rsid w:val="00415009"/>
    <w:rsid w:val="0041596D"/>
    <w:rsid w:val="00416D3C"/>
    <w:rsid w:val="004205F2"/>
    <w:rsid w:val="00420DE7"/>
    <w:rsid w:val="0042117E"/>
    <w:rsid w:val="00421711"/>
    <w:rsid w:val="0042199B"/>
    <w:rsid w:val="00421B06"/>
    <w:rsid w:val="00421E60"/>
    <w:rsid w:val="00422828"/>
    <w:rsid w:val="00422ECE"/>
    <w:rsid w:val="00423A51"/>
    <w:rsid w:val="004241DB"/>
    <w:rsid w:val="0042460E"/>
    <w:rsid w:val="0042472A"/>
    <w:rsid w:val="00424B05"/>
    <w:rsid w:val="0042557A"/>
    <w:rsid w:val="0042560A"/>
    <w:rsid w:val="00425742"/>
    <w:rsid w:val="0042576A"/>
    <w:rsid w:val="0042593E"/>
    <w:rsid w:val="00425ED6"/>
    <w:rsid w:val="004269DD"/>
    <w:rsid w:val="00427027"/>
    <w:rsid w:val="00427B87"/>
    <w:rsid w:val="004305B1"/>
    <w:rsid w:val="00430958"/>
    <w:rsid w:val="00431B6A"/>
    <w:rsid w:val="0043295B"/>
    <w:rsid w:val="00433D51"/>
    <w:rsid w:val="00433F94"/>
    <w:rsid w:val="00434B19"/>
    <w:rsid w:val="004357EE"/>
    <w:rsid w:val="004358B4"/>
    <w:rsid w:val="00435A1D"/>
    <w:rsid w:val="004360A8"/>
    <w:rsid w:val="00436837"/>
    <w:rsid w:val="0043687E"/>
    <w:rsid w:val="00436B08"/>
    <w:rsid w:val="00437008"/>
    <w:rsid w:val="00437419"/>
    <w:rsid w:val="00437740"/>
    <w:rsid w:val="0043787F"/>
    <w:rsid w:val="00440287"/>
    <w:rsid w:val="00440A76"/>
    <w:rsid w:val="00440F05"/>
    <w:rsid w:val="004412AF"/>
    <w:rsid w:val="004417C3"/>
    <w:rsid w:val="00441E98"/>
    <w:rsid w:val="004452A7"/>
    <w:rsid w:val="00445685"/>
    <w:rsid w:val="00446EF9"/>
    <w:rsid w:val="00447271"/>
    <w:rsid w:val="0044765D"/>
    <w:rsid w:val="004478E1"/>
    <w:rsid w:val="00447C75"/>
    <w:rsid w:val="004500F9"/>
    <w:rsid w:val="0045112E"/>
    <w:rsid w:val="004511B5"/>
    <w:rsid w:val="00451960"/>
    <w:rsid w:val="0045242E"/>
    <w:rsid w:val="00452FB1"/>
    <w:rsid w:val="00453350"/>
    <w:rsid w:val="004538C5"/>
    <w:rsid w:val="00454460"/>
    <w:rsid w:val="00455230"/>
    <w:rsid w:val="00456BF7"/>
    <w:rsid w:val="00456D47"/>
    <w:rsid w:val="0045746A"/>
    <w:rsid w:val="00457718"/>
    <w:rsid w:val="00457822"/>
    <w:rsid w:val="00457844"/>
    <w:rsid w:val="00457DCC"/>
    <w:rsid w:val="00457EC4"/>
    <w:rsid w:val="004609AD"/>
    <w:rsid w:val="00460ABD"/>
    <w:rsid w:val="00461266"/>
    <w:rsid w:val="004612EB"/>
    <w:rsid w:val="0046179E"/>
    <w:rsid w:val="004627AD"/>
    <w:rsid w:val="00462F53"/>
    <w:rsid w:val="00463D38"/>
    <w:rsid w:val="00463E02"/>
    <w:rsid w:val="00463F97"/>
    <w:rsid w:val="00463FFC"/>
    <w:rsid w:val="00464B32"/>
    <w:rsid w:val="00464CB3"/>
    <w:rsid w:val="00464E8E"/>
    <w:rsid w:val="00464F58"/>
    <w:rsid w:val="004656E1"/>
    <w:rsid w:val="00465721"/>
    <w:rsid w:val="00465848"/>
    <w:rsid w:val="00465888"/>
    <w:rsid w:val="00465C6B"/>
    <w:rsid w:val="00466A60"/>
    <w:rsid w:val="00466FAD"/>
    <w:rsid w:val="00467DCC"/>
    <w:rsid w:val="00467DFA"/>
    <w:rsid w:val="0047066E"/>
    <w:rsid w:val="00470A98"/>
    <w:rsid w:val="00470E10"/>
    <w:rsid w:val="0047111B"/>
    <w:rsid w:val="00471317"/>
    <w:rsid w:val="004714A8"/>
    <w:rsid w:val="00471912"/>
    <w:rsid w:val="00472183"/>
    <w:rsid w:val="00472184"/>
    <w:rsid w:val="0047240D"/>
    <w:rsid w:val="00473B44"/>
    <w:rsid w:val="00474620"/>
    <w:rsid w:val="00474D40"/>
    <w:rsid w:val="004753B6"/>
    <w:rsid w:val="00475516"/>
    <w:rsid w:val="004765DA"/>
    <w:rsid w:val="00476967"/>
    <w:rsid w:val="004769C2"/>
    <w:rsid w:val="00476F36"/>
    <w:rsid w:val="00477212"/>
    <w:rsid w:val="00477FD9"/>
    <w:rsid w:val="00480814"/>
    <w:rsid w:val="00480B65"/>
    <w:rsid w:val="004816A0"/>
    <w:rsid w:val="00481739"/>
    <w:rsid w:val="00481A75"/>
    <w:rsid w:val="00481CE3"/>
    <w:rsid w:val="004831A5"/>
    <w:rsid w:val="00483E27"/>
    <w:rsid w:val="004846DF"/>
    <w:rsid w:val="00484DF8"/>
    <w:rsid w:val="0048644B"/>
    <w:rsid w:val="004864A9"/>
    <w:rsid w:val="004879AD"/>
    <w:rsid w:val="00487B6B"/>
    <w:rsid w:val="00490626"/>
    <w:rsid w:val="00490F29"/>
    <w:rsid w:val="00491593"/>
    <w:rsid w:val="004915CE"/>
    <w:rsid w:val="00491C02"/>
    <w:rsid w:val="00491FC2"/>
    <w:rsid w:val="004924FB"/>
    <w:rsid w:val="00492698"/>
    <w:rsid w:val="004927E4"/>
    <w:rsid w:val="0049338D"/>
    <w:rsid w:val="004944E3"/>
    <w:rsid w:val="004954BD"/>
    <w:rsid w:val="004971A3"/>
    <w:rsid w:val="00497C69"/>
    <w:rsid w:val="004A060A"/>
    <w:rsid w:val="004A0EBD"/>
    <w:rsid w:val="004A13CE"/>
    <w:rsid w:val="004A1A44"/>
    <w:rsid w:val="004A245E"/>
    <w:rsid w:val="004A2702"/>
    <w:rsid w:val="004A29E1"/>
    <w:rsid w:val="004A2F42"/>
    <w:rsid w:val="004A3581"/>
    <w:rsid w:val="004A3777"/>
    <w:rsid w:val="004A5678"/>
    <w:rsid w:val="004A5824"/>
    <w:rsid w:val="004A5A7E"/>
    <w:rsid w:val="004A5E89"/>
    <w:rsid w:val="004A634F"/>
    <w:rsid w:val="004A6878"/>
    <w:rsid w:val="004A6D89"/>
    <w:rsid w:val="004A73FE"/>
    <w:rsid w:val="004B0AC9"/>
    <w:rsid w:val="004B0C3A"/>
    <w:rsid w:val="004B1385"/>
    <w:rsid w:val="004B1D14"/>
    <w:rsid w:val="004B2213"/>
    <w:rsid w:val="004B3034"/>
    <w:rsid w:val="004B35F9"/>
    <w:rsid w:val="004B3A57"/>
    <w:rsid w:val="004B3A85"/>
    <w:rsid w:val="004B4053"/>
    <w:rsid w:val="004B52D3"/>
    <w:rsid w:val="004B5A41"/>
    <w:rsid w:val="004B6875"/>
    <w:rsid w:val="004B7A9C"/>
    <w:rsid w:val="004C0586"/>
    <w:rsid w:val="004C0808"/>
    <w:rsid w:val="004C1284"/>
    <w:rsid w:val="004C1A16"/>
    <w:rsid w:val="004C2091"/>
    <w:rsid w:val="004C24D6"/>
    <w:rsid w:val="004C2C7D"/>
    <w:rsid w:val="004C430E"/>
    <w:rsid w:val="004C47F0"/>
    <w:rsid w:val="004C5066"/>
    <w:rsid w:val="004C5172"/>
    <w:rsid w:val="004C5177"/>
    <w:rsid w:val="004C51CC"/>
    <w:rsid w:val="004C520B"/>
    <w:rsid w:val="004C5487"/>
    <w:rsid w:val="004C5C71"/>
    <w:rsid w:val="004C6B1C"/>
    <w:rsid w:val="004C71CD"/>
    <w:rsid w:val="004C7962"/>
    <w:rsid w:val="004C7A73"/>
    <w:rsid w:val="004C7E09"/>
    <w:rsid w:val="004D00FB"/>
    <w:rsid w:val="004D0DA5"/>
    <w:rsid w:val="004D1D32"/>
    <w:rsid w:val="004D201F"/>
    <w:rsid w:val="004D3149"/>
    <w:rsid w:val="004D3A35"/>
    <w:rsid w:val="004D40FB"/>
    <w:rsid w:val="004D4EE2"/>
    <w:rsid w:val="004D59F9"/>
    <w:rsid w:val="004D704B"/>
    <w:rsid w:val="004D7485"/>
    <w:rsid w:val="004D7AB9"/>
    <w:rsid w:val="004E0C17"/>
    <w:rsid w:val="004E0E13"/>
    <w:rsid w:val="004E182B"/>
    <w:rsid w:val="004E1E0B"/>
    <w:rsid w:val="004E212F"/>
    <w:rsid w:val="004E2434"/>
    <w:rsid w:val="004E2476"/>
    <w:rsid w:val="004E2537"/>
    <w:rsid w:val="004E28A8"/>
    <w:rsid w:val="004E37CE"/>
    <w:rsid w:val="004E3C51"/>
    <w:rsid w:val="004E4393"/>
    <w:rsid w:val="004E44BB"/>
    <w:rsid w:val="004E4721"/>
    <w:rsid w:val="004E5437"/>
    <w:rsid w:val="004E55DB"/>
    <w:rsid w:val="004E5CF0"/>
    <w:rsid w:val="004E796B"/>
    <w:rsid w:val="004F00EA"/>
    <w:rsid w:val="004F0656"/>
    <w:rsid w:val="004F0B26"/>
    <w:rsid w:val="004F109E"/>
    <w:rsid w:val="004F16A5"/>
    <w:rsid w:val="004F1E91"/>
    <w:rsid w:val="004F25F8"/>
    <w:rsid w:val="004F2BBB"/>
    <w:rsid w:val="004F2C33"/>
    <w:rsid w:val="004F2DEF"/>
    <w:rsid w:val="004F3190"/>
    <w:rsid w:val="004F351A"/>
    <w:rsid w:val="004F36F3"/>
    <w:rsid w:val="004F38BA"/>
    <w:rsid w:val="004F4FBB"/>
    <w:rsid w:val="004F5433"/>
    <w:rsid w:val="004F6401"/>
    <w:rsid w:val="004F6D35"/>
    <w:rsid w:val="0050018E"/>
    <w:rsid w:val="00500C8A"/>
    <w:rsid w:val="00501474"/>
    <w:rsid w:val="00502D23"/>
    <w:rsid w:val="00503276"/>
    <w:rsid w:val="005034BB"/>
    <w:rsid w:val="00503504"/>
    <w:rsid w:val="00503D44"/>
    <w:rsid w:val="00503E05"/>
    <w:rsid w:val="005046B9"/>
    <w:rsid w:val="00504AF0"/>
    <w:rsid w:val="00505C20"/>
    <w:rsid w:val="0050608C"/>
    <w:rsid w:val="00506353"/>
    <w:rsid w:val="00506776"/>
    <w:rsid w:val="00506BB9"/>
    <w:rsid w:val="00506E03"/>
    <w:rsid w:val="00506E4C"/>
    <w:rsid w:val="005075CB"/>
    <w:rsid w:val="00507970"/>
    <w:rsid w:val="0051093D"/>
    <w:rsid w:val="00510D1D"/>
    <w:rsid w:val="00510D82"/>
    <w:rsid w:val="00510F0D"/>
    <w:rsid w:val="00511180"/>
    <w:rsid w:val="00511C8A"/>
    <w:rsid w:val="00511F6C"/>
    <w:rsid w:val="0051204E"/>
    <w:rsid w:val="005123EA"/>
    <w:rsid w:val="0051263B"/>
    <w:rsid w:val="00512CCA"/>
    <w:rsid w:val="0051456E"/>
    <w:rsid w:val="005147A7"/>
    <w:rsid w:val="0051481F"/>
    <w:rsid w:val="00514C16"/>
    <w:rsid w:val="0051603F"/>
    <w:rsid w:val="00516EF6"/>
    <w:rsid w:val="00517218"/>
    <w:rsid w:val="00517ABA"/>
    <w:rsid w:val="0052022A"/>
    <w:rsid w:val="00520C64"/>
    <w:rsid w:val="00520CDF"/>
    <w:rsid w:val="005211F2"/>
    <w:rsid w:val="00522012"/>
    <w:rsid w:val="0052202A"/>
    <w:rsid w:val="00522C0A"/>
    <w:rsid w:val="00522CCB"/>
    <w:rsid w:val="00522E69"/>
    <w:rsid w:val="00522E82"/>
    <w:rsid w:val="005235C0"/>
    <w:rsid w:val="00523FC0"/>
    <w:rsid w:val="00524951"/>
    <w:rsid w:val="00524CA3"/>
    <w:rsid w:val="00525287"/>
    <w:rsid w:val="00525444"/>
    <w:rsid w:val="00525C24"/>
    <w:rsid w:val="00525EFF"/>
    <w:rsid w:val="00527626"/>
    <w:rsid w:val="005304CA"/>
    <w:rsid w:val="00530B6A"/>
    <w:rsid w:val="00530D6C"/>
    <w:rsid w:val="00531070"/>
    <w:rsid w:val="00531C1D"/>
    <w:rsid w:val="00531DB2"/>
    <w:rsid w:val="0053244F"/>
    <w:rsid w:val="00533ABC"/>
    <w:rsid w:val="00534DF7"/>
    <w:rsid w:val="005360C9"/>
    <w:rsid w:val="0053655C"/>
    <w:rsid w:val="0053689E"/>
    <w:rsid w:val="00536DFF"/>
    <w:rsid w:val="005375B0"/>
    <w:rsid w:val="00537944"/>
    <w:rsid w:val="005406CF"/>
    <w:rsid w:val="00540848"/>
    <w:rsid w:val="00540E7E"/>
    <w:rsid w:val="0054160E"/>
    <w:rsid w:val="0054182E"/>
    <w:rsid w:val="0054195C"/>
    <w:rsid w:val="00542037"/>
    <w:rsid w:val="005438BC"/>
    <w:rsid w:val="0054396E"/>
    <w:rsid w:val="00544147"/>
    <w:rsid w:val="005447B8"/>
    <w:rsid w:val="00544AB1"/>
    <w:rsid w:val="00546091"/>
    <w:rsid w:val="0054631C"/>
    <w:rsid w:val="005472A6"/>
    <w:rsid w:val="0054732A"/>
    <w:rsid w:val="0054767E"/>
    <w:rsid w:val="005478B9"/>
    <w:rsid w:val="00547BC3"/>
    <w:rsid w:val="00551749"/>
    <w:rsid w:val="00551E2D"/>
    <w:rsid w:val="00553AC5"/>
    <w:rsid w:val="00554158"/>
    <w:rsid w:val="005546F0"/>
    <w:rsid w:val="00554B3E"/>
    <w:rsid w:val="00555EF5"/>
    <w:rsid w:val="00555FAF"/>
    <w:rsid w:val="005564C0"/>
    <w:rsid w:val="0055662E"/>
    <w:rsid w:val="00556675"/>
    <w:rsid w:val="0055794C"/>
    <w:rsid w:val="00557A88"/>
    <w:rsid w:val="00560490"/>
    <w:rsid w:val="0056080D"/>
    <w:rsid w:val="00560C7B"/>
    <w:rsid w:val="00561A8E"/>
    <w:rsid w:val="00561F2F"/>
    <w:rsid w:val="005623AC"/>
    <w:rsid w:val="00562922"/>
    <w:rsid w:val="00562BAC"/>
    <w:rsid w:val="0056323B"/>
    <w:rsid w:val="00563ED7"/>
    <w:rsid w:val="00564349"/>
    <w:rsid w:val="0056450F"/>
    <w:rsid w:val="00564DE6"/>
    <w:rsid w:val="00565405"/>
    <w:rsid w:val="00565876"/>
    <w:rsid w:val="00566866"/>
    <w:rsid w:val="005672B3"/>
    <w:rsid w:val="005679F9"/>
    <w:rsid w:val="00567BB3"/>
    <w:rsid w:val="00567C04"/>
    <w:rsid w:val="005703C7"/>
    <w:rsid w:val="005707BA"/>
    <w:rsid w:val="00571443"/>
    <w:rsid w:val="005715FB"/>
    <w:rsid w:val="00571BA5"/>
    <w:rsid w:val="005724EA"/>
    <w:rsid w:val="0057275A"/>
    <w:rsid w:val="005730FD"/>
    <w:rsid w:val="005732B7"/>
    <w:rsid w:val="005737D5"/>
    <w:rsid w:val="00574351"/>
    <w:rsid w:val="0057440B"/>
    <w:rsid w:val="00574964"/>
    <w:rsid w:val="00574D10"/>
    <w:rsid w:val="00574FB1"/>
    <w:rsid w:val="00575B74"/>
    <w:rsid w:val="00575DA2"/>
    <w:rsid w:val="00576378"/>
    <w:rsid w:val="00576B1B"/>
    <w:rsid w:val="00577618"/>
    <w:rsid w:val="00577A76"/>
    <w:rsid w:val="00577B6A"/>
    <w:rsid w:val="00577F86"/>
    <w:rsid w:val="00581118"/>
    <w:rsid w:val="005811FE"/>
    <w:rsid w:val="00582321"/>
    <w:rsid w:val="005823D1"/>
    <w:rsid w:val="005825D7"/>
    <w:rsid w:val="00582C4F"/>
    <w:rsid w:val="00582EA6"/>
    <w:rsid w:val="0058400A"/>
    <w:rsid w:val="00584D8F"/>
    <w:rsid w:val="005857F0"/>
    <w:rsid w:val="00585F06"/>
    <w:rsid w:val="00585FAE"/>
    <w:rsid w:val="005865F5"/>
    <w:rsid w:val="00586606"/>
    <w:rsid w:val="00586719"/>
    <w:rsid w:val="00586765"/>
    <w:rsid w:val="00586F30"/>
    <w:rsid w:val="00587395"/>
    <w:rsid w:val="00587E38"/>
    <w:rsid w:val="0059002C"/>
    <w:rsid w:val="00590895"/>
    <w:rsid w:val="00591A32"/>
    <w:rsid w:val="00591F1F"/>
    <w:rsid w:val="00593079"/>
    <w:rsid w:val="00593089"/>
    <w:rsid w:val="005945C4"/>
    <w:rsid w:val="005957E5"/>
    <w:rsid w:val="00595812"/>
    <w:rsid w:val="0059585F"/>
    <w:rsid w:val="00595913"/>
    <w:rsid w:val="005959E2"/>
    <w:rsid w:val="00596805"/>
    <w:rsid w:val="00596B11"/>
    <w:rsid w:val="00597124"/>
    <w:rsid w:val="005972F1"/>
    <w:rsid w:val="00597737"/>
    <w:rsid w:val="00597CEF"/>
    <w:rsid w:val="005A0C49"/>
    <w:rsid w:val="005A0F71"/>
    <w:rsid w:val="005A278F"/>
    <w:rsid w:val="005A2900"/>
    <w:rsid w:val="005A299C"/>
    <w:rsid w:val="005A32F4"/>
    <w:rsid w:val="005A47D1"/>
    <w:rsid w:val="005A4D6D"/>
    <w:rsid w:val="005A5A06"/>
    <w:rsid w:val="005A5D3D"/>
    <w:rsid w:val="005A62D9"/>
    <w:rsid w:val="005A62FD"/>
    <w:rsid w:val="005A6CEB"/>
    <w:rsid w:val="005A73EA"/>
    <w:rsid w:val="005A76F8"/>
    <w:rsid w:val="005A7D8C"/>
    <w:rsid w:val="005B014B"/>
    <w:rsid w:val="005B0ECD"/>
    <w:rsid w:val="005B12DF"/>
    <w:rsid w:val="005B1398"/>
    <w:rsid w:val="005B1993"/>
    <w:rsid w:val="005B227C"/>
    <w:rsid w:val="005B2507"/>
    <w:rsid w:val="005B268C"/>
    <w:rsid w:val="005B2692"/>
    <w:rsid w:val="005B313E"/>
    <w:rsid w:val="005B3156"/>
    <w:rsid w:val="005B36C9"/>
    <w:rsid w:val="005B3BFC"/>
    <w:rsid w:val="005B3F97"/>
    <w:rsid w:val="005B5416"/>
    <w:rsid w:val="005B5787"/>
    <w:rsid w:val="005B7525"/>
    <w:rsid w:val="005B79DF"/>
    <w:rsid w:val="005C0108"/>
    <w:rsid w:val="005C0511"/>
    <w:rsid w:val="005C082F"/>
    <w:rsid w:val="005C1B52"/>
    <w:rsid w:val="005C1D54"/>
    <w:rsid w:val="005C1DED"/>
    <w:rsid w:val="005C2920"/>
    <w:rsid w:val="005C30EB"/>
    <w:rsid w:val="005C3100"/>
    <w:rsid w:val="005C3219"/>
    <w:rsid w:val="005C3801"/>
    <w:rsid w:val="005C3D7F"/>
    <w:rsid w:val="005C3F3F"/>
    <w:rsid w:val="005C403E"/>
    <w:rsid w:val="005C4085"/>
    <w:rsid w:val="005C4207"/>
    <w:rsid w:val="005C4835"/>
    <w:rsid w:val="005C4F44"/>
    <w:rsid w:val="005C4FA3"/>
    <w:rsid w:val="005C508A"/>
    <w:rsid w:val="005C55A9"/>
    <w:rsid w:val="005C5A93"/>
    <w:rsid w:val="005C6366"/>
    <w:rsid w:val="005C6C41"/>
    <w:rsid w:val="005C6D06"/>
    <w:rsid w:val="005C7631"/>
    <w:rsid w:val="005C7656"/>
    <w:rsid w:val="005C7793"/>
    <w:rsid w:val="005C7C9F"/>
    <w:rsid w:val="005D016A"/>
    <w:rsid w:val="005D0715"/>
    <w:rsid w:val="005D0C69"/>
    <w:rsid w:val="005D11A5"/>
    <w:rsid w:val="005D200C"/>
    <w:rsid w:val="005D317B"/>
    <w:rsid w:val="005D356D"/>
    <w:rsid w:val="005D43EB"/>
    <w:rsid w:val="005D4C73"/>
    <w:rsid w:val="005D5616"/>
    <w:rsid w:val="005D59BA"/>
    <w:rsid w:val="005D5C71"/>
    <w:rsid w:val="005D64BC"/>
    <w:rsid w:val="005D667F"/>
    <w:rsid w:val="005D7884"/>
    <w:rsid w:val="005E05A4"/>
    <w:rsid w:val="005E0D64"/>
    <w:rsid w:val="005E0F9A"/>
    <w:rsid w:val="005E151F"/>
    <w:rsid w:val="005E1B28"/>
    <w:rsid w:val="005E2A18"/>
    <w:rsid w:val="005E4366"/>
    <w:rsid w:val="005E4B50"/>
    <w:rsid w:val="005E5424"/>
    <w:rsid w:val="005E63B2"/>
    <w:rsid w:val="005E66BE"/>
    <w:rsid w:val="005E6A77"/>
    <w:rsid w:val="005F0301"/>
    <w:rsid w:val="005F04A5"/>
    <w:rsid w:val="005F0515"/>
    <w:rsid w:val="005F06DB"/>
    <w:rsid w:val="005F0F7D"/>
    <w:rsid w:val="005F16AF"/>
    <w:rsid w:val="005F1D81"/>
    <w:rsid w:val="005F1FC0"/>
    <w:rsid w:val="005F2846"/>
    <w:rsid w:val="005F46F3"/>
    <w:rsid w:val="005F47E1"/>
    <w:rsid w:val="005F5273"/>
    <w:rsid w:val="005F5564"/>
    <w:rsid w:val="005F5B0E"/>
    <w:rsid w:val="005F5B5C"/>
    <w:rsid w:val="005F5F71"/>
    <w:rsid w:val="005F74C9"/>
    <w:rsid w:val="005F7993"/>
    <w:rsid w:val="005F7AC1"/>
    <w:rsid w:val="005F7B42"/>
    <w:rsid w:val="00600771"/>
    <w:rsid w:val="00600B5A"/>
    <w:rsid w:val="006026E0"/>
    <w:rsid w:val="00602CE5"/>
    <w:rsid w:val="00603124"/>
    <w:rsid w:val="00603342"/>
    <w:rsid w:val="006033F8"/>
    <w:rsid w:val="00604A07"/>
    <w:rsid w:val="0060589F"/>
    <w:rsid w:val="00606718"/>
    <w:rsid w:val="00606A67"/>
    <w:rsid w:val="00606E73"/>
    <w:rsid w:val="00607065"/>
    <w:rsid w:val="0060730D"/>
    <w:rsid w:val="00607551"/>
    <w:rsid w:val="006079DC"/>
    <w:rsid w:val="006101EB"/>
    <w:rsid w:val="00610961"/>
    <w:rsid w:val="00611396"/>
    <w:rsid w:val="00611B07"/>
    <w:rsid w:val="00611E9E"/>
    <w:rsid w:val="006127E9"/>
    <w:rsid w:val="00612A38"/>
    <w:rsid w:val="00612A5F"/>
    <w:rsid w:val="00612EF5"/>
    <w:rsid w:val="00612FBD"/>
    <w:rsid w:val="00613264"/>
    <w:rsid w:val="0061427F"/>
    <w:rsid w:val="0061459B"/>
    <w:rsid w:val="00614AB8"/>
    <w:rsid w:val="00615D00"/>
    <w:rsid w:val="006171E1"/>
    <w:rsid w:val="0061729D"/>
    <w:rsid w:val="0062026E"/>
    <w:rsid w:val="00620AE8"/>
    <w:rsid w:val="00620B89"/>
    <w:rsid w:val="0062142F"/>
    <w:rsid w:val="0062171E"/>
    <w:rsid w:val="00621863"/>
    <w:rsid w:val="00622514"/>
    <w:rsid w:val="00623522"/>
    <w:rsid w:val="006236B4"/>
    <w:rsid w:val="00623CCF"/>
    <w:rsid w:val="0062406C"/>
    <w:rsid w:val="0062413D"/>
    <w:rsid w:val="00624CB7"/>
    <w:rsid w:val="00624D2D"/>
    <w:rsid w:val="00625209"/>
    <w:rsid w:val="00625ECF"/>
    <w:rsid w:val="00626425"/>
    <w:rsid w:val="006271FE"/>
    <w:rsid w:val="0062747E"/>
    <w:rsid w:val="006307C8"/>
    <w:rsid w:val="00630F31"/>
    <w:rsid w:val="006311A6"/>
    <w:rsid w:val="0063371A"/>
    <w:rsid w:val="00633879"/>
    <w:rsid w:val="006339D4"/>
    <w:rsid w:val="006345D3"/>
    <w:rsid w:val="00634DA7"/>
    <w:rsid w:val="00634F22"/>
    <w:rsid w:val="00635133"/>
    <w:rsid w:val="006355F1"/>
    <w:rsid w:val="0063588F"/>
    <w:rsid w:val="00635924"/>
    <w:rsid w:val="00635F2D"/>
    <w:rsid w:val="00636A73"/>
    <w:rsid w:val="00636A9C"/>
    <w:rsid w:val="00636FD4"/>
    <w:rsid w:val="00637471"/>
    <w:rsid w:val="0064022F"/>
    <w:rsid w:val="00640A86"/>
    <w:rsid w:val="00640B89"/>
    <w:rsid w:val="006422BB"/>
    <w:rsid w:val="0064323B"/>
    <w:rsid w:val="0064349B"/>
    <w:rsid w:val="00643B9B"/>
    <w:rsid w:val="00643EC3"/>
    <w:rsid w:val="00643F66"/>
    <w:rsid w:val="006447C6"/>
    <w:rsid w:val="0064622B"/>
    <w:rsid w:val="00646B0C"/>
    <w:rsid w:val="006475A2"/>
    <w:rsid w:val="00647DC6"/>
    <w:rsid w:val="00647DF1"/>
    <w:rsid w:val="0065043C"/>
    <w:rsid w:val="006517DF"/>
    <w:rsid w:val="00651A21"/>
    <w:rsid w:val="00651F22"/>
    <w:rsid w:val="00653156"/>
    <w:rsid w:val="00653C88"/>
    <w:rsid w:val="00654E14"/>
    <w:rsid w:val="00654E48"/>
    <w:rsid w:val="0065519F"/>
    <w:rsid w:val="006558F2"/>
    <w:rsid w:val="00655961"/>
    <w:rsid w:val="00655DB4"/>
    <w:rsid w:val="00657B1D"/>
    <w:rsid w:val="00657BCB"/>
    <w:rsid w:val="006601B1"/>
    <w:rsid w:val="00660261"/>
    <w:rsid w:val="00660300"/>
    <w:rsid w:val="00660F95"/>
    <w:rsid w:val="006617F5"/>
    <w:rsid w:val="00661881"/>
    <w:rsid w:val="006618F3"/>
    <w:rsid w:val="0066192B"/>
    <w:rsid w:val="00661B61"/>
    <w:rsid w:val="00661D26"/>
    <w:rsid w:val="0066201B"/>
    <w:rsid w:val="00662862"/>
    <w:rsid w:val="00662A56"/>
    <w:rsid w:val="00662CAB"/>
    <w:rsid w:val="00663F95"/>
    <w:rsid w:val="0066406B"/>
    <w:rsid w:val="006641F5"/>
    <w:rsid w:val="00665362"/>
    <w:rsid w:val="00665C97"/>
    <w:rsid w:val="00666202"/>
    <w:rsid w:val="00666768"/>
    <w:rsid w:val="00667385"/>
    <w:rsid w:val="00667495"/>
    <w:rsid w:val="0066772F"/>
    <w:rsid w:val="00667AA2"/>
    <w:rsid w:val="00667D45"/>
    <w:rsid w:val="0067036A"/>
    <w:rsid w:val="00671AA1"/>
    <w:rsid w:val="00672BB3"/>
    <w:rsid w:val="00672E14"/>
    <w:rsid w:val="006746EE"/>
    <w:rsid w:val="00674765"/>
    <w:rsid w:val="00674A02"/>
    <w:rsid w:val="00674ACB"/>
    <w:rsid w:val="00675333"/>
    <w:rsid w:val="006756C7"/>
    <w:rsid w:val="00675988"/>
    <w:rsid w:val="006759E6"/>
    <w:rsid w:val="00675FF6"/>
    <w:rsid w:val="0067745B"/>
    <w:rsid w:val="00677F96"/>
    <w:rsid w:val="00677FBE"/>
    <w:rsid w:val="00680D3B"/>
    <w:rsid w:val="006810AC"/>
    <w:rsid w:val="00681BD5"/>
    <w:rsid w:val="00682288"/>
    <w:rsid w:val="006824D0"/>
    <w:rsid w:val="0068292A"/>
    <w:rsid w:val="00683B86"/>
    <w:rsid w:val="00683D62"/>
    <w:rsid w:val="00684C3A"/>
    <w:rsid w:val="006855DE"/>
    <w:rsid w:val="0068560C"/>
    <w:rsid w:val="00686B64"/>
    <w:rsid w:val="00687F81"/>
    <w:rsid w:val="00691F28"/>
    <w:rsid w:val="006928AC"/>
    <w:rsid w:val="006933A1"/>
    <w:rsid w:val="00693C0F"/>
    <w:rsid w:val="006945F6"/>
    <w:rsid w:val="00694C33"/>
    <w:rsid w:val="00694E66"/>
    <w:rsid w:val="00695248"/>
    <w:rsid w:val="006958C5"/>
    <w:rsid w:val="00695CE8"/>
    <w:rsid w:val="00696CB9"/>
    <w:rsid w:val="00696FC7"/>
    <w:rsid w:val="006970F2"/>
    <w:rsid w:val="006976C0"/>
    <w:rsid w:val="00697F22"/>
    <w:rsid w:val="006A024D"/>
    <w:rsid w:val="006A0E4E"/>
    <w:rsid w:val="006A1389"/>
    <w:rsid w:val="006A14F2"/>
    <w:rsid w:val="006A152D"/>
    <w:rsid w:val="006A2558"/>
    <w:rsid w:val="006A2742"/>
    <w:rsid w:val="006A27A0"/>
    <w:rsid w:val="006A2E22"/>
    <w:rsid w:val="006A3A25"/>
    <w:rsid w:val="006A3A75"/>
    <w:rsid w:val="006A46CB"/>
    <w:rsid w:val="006A4A8E"/>
    <w:rsid w:val="006A5F13"/>
    <w:rsid w:val="006A6133"/>
    <w:rsid w:val="006A6326"/>
    <w:rsid w:val="006A6E4D"/>
    <w:rsid w:val="006A7956"/>
    <w:rsid w:val="006B05B6"/>
    <w:rsid w:val="006B0847"/>
    <w:rsid w:val="006B17B5"/>
    <w:rsid w:val="006B244A"/>
    <w:rsid w:val="006B25BE"/>
    <w:rsid w:val="006B29E8"/>
    <w:rsid w:val="006B3199"/>
    <w:rsid w:val="006B35AD"/>
    <w:rsid w:val="006B4450"/>
    <w:rsid w:val="006B45B2"/>
    <w:rsid w:val="006B620A"/>
    <w:rsid w:val="006B6CA2"/>
    <w:rsid w:val="006B6E41"/>
    <w:rsid w:val="006B7C49"/>
    <w:rsid w:val="006B7F01"/>
    <w:rsid w:val="006B7FFB"/>
    <w:rsid w:val="006C0106"/>
    <w:rsid w:val="006C0191"/>
    <w:rsid w:val="006C050C"/>
    <w:rsid w:val="006C0DF3"/>
    <w:rsid w:val="006C169B"/>
    <w:rsid w:val="006C16BC"/>
    <w:rsid w:val="006C1778"/>
    <w:rsid w:val="006C17C0"/>
    <w:rsid w:val="006C1857"/>
    <w:rsid w:val="006C19D9"/>
    <w:rsid w:val="006C22A9"/>
    <w:rsid w:val="006C2974"/>
    <w:rsid w:val="006C3558"/>
    <w:rsid w:val="006C39BB"/>
    <w:rsid w:val="006C44F7"/>
    <w:rsid w:val="006C4516"/>
    <w:rsid w:val="006C471C"/>
    <w:rsid w:val="006C4883"/>
    <w:rsid w:val="006C5310"/>
    <w:rsid w:val="006C60F3"/>
    <w:rsid w:val="006C618C"/>
    <w:rsid w:val="006C6504"/>
    <w:rsid w:val="006C6B14"/>
    <w:rsid w:val="006C713C"/>
    <w:rsid w:val="006C717F"/>
    <w:rsid w:val="006C762B"/>
    <w:rsid w:val="006C790A"/>
    <w:rsid w:val="006C7C22"/>
    <w:rsid w:val="006C7DAB"/>
    <w:rsid w:val="006C7F3C"/>
    <w:rsid w:val="006D02FF"/>
    <w:rsid w:val="006D16DE"/>
    <w:rsid w:val="006D226A"/>
    <w:rsid w:val="006D25F1"/>
    <w:rsid w:val="006D2861"/>
    <w:rsid w:val="006D2C83"/>
    <w:rsid w:val="006D6147"/>
    <w:rsid w:val="006D61B0"/>
    <w:rsid w:val="006D678B"/>
    <w:rsid w:val="006D6D1F"/>
    <w:rsid w:val="006D7436"/>
    <w:rsid w:val="006E05C2"/>
    <w:rsid w:val="006E0814"/>
    <w:rsid w:val="006E0EFD"/>
    <w:rsid w:val="006E0F45"/>
    <w:rsid w:val="006E0F73"/>
    <w:rsid w:val="006E10D9"/>
    <w:rsid w:val="006E14C0"/>
    <w:rsid w:val="006E1C62"/>
    <w:rsid w:val="006E1DB0"/>
    <w:rsid w:val="006E254A"/>
    <w:rsid w:val="006E2733"/>
    <w:rsid w:val="006E2C1A"/>
    <w:rsid w:val="006E339B"/>
    <w:rsid w:val="006E3844"/>
    <w:rsid w:val="006E3F9E"/>
    <w:rsid w:val="006E4106"/>
    <w:rsid w:val="006E4335"/>
    <w:rsid w:val="006E4DAB"/>
    <w:rsid w:val="006E4F97"/>
    <w:rsid w:val="006E4FDD"/>
    <w:rsid w:val="006E545B"/>
    <w:rsid w:val="006E60D6"/>
    <w:rsid w:val="006E69F0"/>
    <w:rsid w:val="006E6A68"/>
    <w:rsid w:val="006E6B2B"/>
    <w:rsid w:val="006E6ED9"/>
    <w:rsid w:val="006F0475"/>
    <w:rsid w:val="006F09B0"/>
    <w:rsid w:val="006F09BF"/>
    <w:rsid w:val="006F1421"/>
    <w:rsid w:val="006F15A4"/>
    <w:rsid w:val="006F1C25"/>
    <w:rsid w:val="006F2E62"/>
    <w:rsid w:val="006F3489"/>
    <w:rsid w:val="006F38E5"/>
    <w:rsid w:val="006F3ADF"/>
    <w:rsid w:val="006F46D7"/>
    <w:rsid w:val="006F488F"/>
    <w:rsid w:val="006F4AF2"/>
    <w:rsid w:val="006F528E"/>
    <w:rsid w:val="006F6083"/>
    <w:rsid w:val="006F69A9"/>
    <w:rsid w:val="00700B1A"/>
    <w:rsid w:val="007014D3"/>
    <w:rsid w:val="007030F5"/>
    <w:rsid w:val="00703AF6"/>
    <w:rsid w:val="00703E47"/>
    <w:rsid w:val="00704395"/>
    <w:rsid w:val="00704CD8"/>
    <w:rsid w:val="00704D15"/>
    <w:rsid w:val="00705B29"/>
    <w:rsid w:val="007064DD"/>
    <w:rsid w:val="0070667F"/>
    <w:rsid w:val="007067EF"/>
    <w:rsid w:val="007071FB"/>
    <w:rsid w:val="00707994"/>
    <w:rsid w:val="007111C2"/>
    <w:rsid w:val="00711F5E"/>
    <w:rsid w:val="00712492"/>
    <w:rsid w:val="00712F46"/>
    <w:rsid w:val="007138BA"/>
    <w:rsid w:val="00714673"/>
    <w:rsid w:val="00714AA6"/>
    <w:rsid w:val="00714E4E"/>
    <w:rsid w:val="0071616E"/>
    <w:rsid w:val="00716655"/>
    <w:rsid w:val="00716699"/>
    <w:rsid w:val="007173C8"/>
    <w:rsid w:val="007178C8"/>
    <w:rsid w:val="007178D7"/>
    <w:rsid w:val="007203E7"/>
    <w:rsid w:val="00720531"/>
    <w:rsid w:val="00720E13"/>
    <w:rsid w:val="0072109D"/>
    <w:rsid w:val="00721158"/>
    <w:rsid w:val="0072147A"/>
    <w:rsid w:val="00721BDB"/>
    <w:rsid w:val="00721F76"/>
    <w:rsid w:val="0072231D"/>
    <w:rsid w:val="007248CB"/>
    <w:rsid w:val="00724BB2"/>
    <w:rsid w:val="007258ED"/>
    <w:rsid w:val="00726EA0"/>
    <w:rsid w:val="00726F8E"/>
    <w:rsid w:val="0072750F"/>
    <w:rsid w:val="00727AC0"/>
    <w:rsid w:val="00727DBA"/>
    <w:rsid w:val="007300B0"/>
    <w:rsid w:val="00730715"/>
    <w:rsid w:val="007312BA"/>
    <w:rsid w:val="00731762"/>
    <w:rsid w:val="007319A7"/>
    <w:rsid w:val="00732009"/>
    <w:rsid w:val="007327D1"/>
    <w:rsid w:val="00732CDC"/>
    <w:rsid w:val="00732ED7"/>
    <w:rsid w:val="007338F6"/>
    <w:rsid w:val="00733C69"/>
    <w:rsid w:val="00734379"/>
    <w:rsid w:val="00735292"/>
    <w:rsid w:val="00735B9B"/>
    <w:rsid w:val="007364F3"/>
    <w:rsid w:val="00736531"/>
    <w:rsid w:val="00737434"/>
    <w:rsid w:val="007374D8"/>
    <w:rsid w:val="0073774C"/>
    <w:rsid w:val="0073784D"/>
    <w:rsid w:val="00740140"/>
    <w:rsid w:val="00740142"/>
    <w:rsid w:val="007403F3"/>
    <w:rsid w:val="007404E6"/>
    <w:rsid w:val="00740C03"/>
    <w:rsid w:val="00741420"/>
    <w:rsid w:val="00741734"/>
    <w:rsid w:val="00741D94"/>
    <w:rsid w:val="00743CFA"/>
    <w:rsid w:val="00743D32"/>
    <w:rsid w:val="00743F68"/>
    <w:rsid w:val="00744F6E"/>
    <w:rsid w:val="007452D8"/>
    <w:rsid w:val="0074579B"/>
    <w:rsid w:val="007467E4"/>
    <w:rsid w:val="0074686F"/>
    <w:rsid w:val="00746B5E"/>
    <w:rsid w:val="00746EC6"/>
    <w:rsid w:val="00747E73"/>
    <w:rsid w:val="00750389"/>
    <w:rsid w:val="0075048B"/>
    <w:rsid w:val="007505E5"/>
    <w:rsid w:val="0075070D"/>
    <w:rsid w:val="00751635"/>
    <w:rsid w:val="0075169A"/>
    <w:rsid w:val="007534A2"/>
    <w:rsid w:val="00753A97"/>
    <w:rsid w:val="0075754C"/>
    <w:rsid w:val="007606C1"/>
    <w:rsid w:val="007615FB"/>
    <w:rsid w:val="00761D6E"/>
    <w:rsid w:val="0076256C"/>
    <w:rsid w:val="00762D66"/>
    <w:rsid w:val="0076310A"/>
    <w:rsid w:val="007635A2"/>
    <w:rsid w:val="00764244"/>
    <w:rsid w:val="00765614"/>
    <w:rsid w:val="00765C3F"/>
    <w:rsid w:val="00765F7C"/>
    <w:rsid w:val="007663A4"/>
    <w:rsid w:val="007665DC"/>
    <w:rsid w:val="0076665A"/>
    <w:rsid w:val="00766B67"/>
    <w:rsid w:val="007700AF"/>
    <w:rsid w:val="007702D2"/>
    <w:rsid w:val="00770AB7"/>
    <w:rsid w:val="00770EDA"/>
    <w:rsid w:val="007710ED"/>
    <w:rsid w:val="00771B05"/>
    <w:rsid w:val="00771C01"/>
    <w:rsid w:val="00771DDF"/>
    <w:rsid w:val="00772E8A"/>
    <w:rsid w:val="007741D4"/>
    <w:rsid w:val="00774341"/>
    <w:rsid w:val="007750E3"/>
    <w:rsid w:val="00775AE2"/>
    <w:rsid w:val="0077651F"/>
    <w:rsid w:val="0077666B"/>
    <w:rsid w:val="00776AD2"/>
    <w:rsid w:val="0077730F"/>
    <w:rsid w:val="00777922"/>
    <w:rsid w:val="00777A13"/>
    <w:rsid w:val="007800F9"/>
    <w:rsid w:val="00780317"/>
    <w:rsid w:val="00780F43"/>
    <w:rsid w:val="0078103D"/>
    <w:rsid w:val="0078157D"/>
    <w:rsid w:val="0078159B"/>
    <w:rsid w:val="00782856"/>
    <w:rsid w:val="00782C79"/>
    <w:rsid w:val="00782E20"/>
    <w:rsid w:val="00783ED4"/>
    <w:rsid w:val="00785610"/>
    <w:rsid w:val="007857C6"/>
    <w:rsid w:val="00785911"/>
    <w:rsid w:val="00785DDB"/>
    <w:rsid w:val="00786337"/>
    <w:rsid w:val="00786EB8"/>
    <w:rsid w:val="007873F3"/>
    <w:rsid w:val="00790983"/>
    <w:rsid w:val="0079187C"/>
    <w:rsid w:val="00791A3C"/>
    <w:rsid w:val="00791BEC"/>
    <w:rsid w:val="0079375C"/>
    <w:rsid w:val="00793D8A"/>
    <w:rsid w:val="007949AF"/>
    <w:rsid w:val="007952F1"/>
    <w:rsid w:val="00795BC3"/>
    <w:rsid w:val="0079645B"/>
    <w:rsid w:val="0079778E"/>
    <w:rsid w:val="00797BB5"/>
    <w:rsid w:val="007A056D"/>
    <w:rsid w:val="007A09E6"/>
    <w:rsid w:val="007A1242"/>
    <w:rsid w:val="007A1AAD"/>
    <w:rsid w:val="007A1FAF"/>
    <w:rsid w:val="007A25DF"/>
    <w:rsid w:val="007A2CF1"/>
    <w:rsid w:val="007A2E97"/>
    <w:rsid w:val="007A3759"/>
    <w:rsid w:val="007A3778"/>
    <w:rsid w:val="007A3D4A"/>
    <w:rsid w:val="007A3D84"/>
    <w:rsid w:val="007A42B4"/>
    <w:rsid w:val="007A5333"/>
    <w:rsid w:val="007A6485"/>
    <w:rsid w:val="007A6EA4"/>
    <w:rsid w:val="007A6FCA"/>
    <w:rsid w:val="007A71A6"/>
    <w:rsid w:val="007A7F3C"/>
    <w:rsid w:val="007B0E6C"/>
    <w:rsid w:val="007B15B8"/>
    <w:rsid w:val="007B1F4A"/>
    <w:rsid w:val="007B232C"/>
    <w:rsid w:val="007B2E76"/>
    <w:rsid w:val="007B3183"/>
    <w:rsid w:val="007B38C7"/>
    <w:rsid w:val="007B41E1"/>
    <w:rsid w:val="007B4566"/>
    <w:rsid w:val="007B4AE2"/>
    <w:rsid w:val="007B551B"/>
    <w:rsid w:val="007B59AC"/>
    <w:rsid w:val="007B6178"/>
    <w:rsid w:val="007B7289"/>
    <w:rsid w:val="007B7E2B"/>
    <w:rsid w:val="007C0A66"/>
    <w:rsid w:val="007C1173"/>
    <w:rsid w:val="007C2471"/>
    <w:rsid w:val="007C254D"/>
    <w:rsid w:val="007C2679"/>
    <w:rsid w:val="007C3B71"/>
    <w:rsid w:val="007C3D64"/>
    <w:rsid w:val="007C42E4"/>
    <w:rsid w:val="007C4310"/>
    <w:rsid w:val="007C4540"/>
    <w:rsid w:val="007C49A2"/>
    <w:rsid w:val="007C4B1C"/>
    <w:rsid w:val="007C58FB"/>
    <w:rsid w:val="007C5B0A"/>
    <w:rsid w:val="007C65B3"/>
    <w:rsid w:val="007C69B2"/>
    <w:rsid w:val="007D00C5"/>
    <w:rsid w:val="007D07F2"/>
    <w:rsid w:val="007D0CB2"/>
    <w:rsid w:val="007D0EF7"/>
    <w:rsid w:val="007D1986"/>
    <w:rsid w:val="007D19C3"/>
    <w:rsid w:val="007D209F"/>
    <w:rsid w:val="007D3530"/>
    <w:rsid w:val="007D3A52"/>
    <w:rsid w:val="007D429C"/>
    <w:rsid w:val="007D4655"/>
    <w:rsid w:val="007D4863"/>
    <w:rsid w:val="007D4D91"/>
    <w:rsid w:val="007D50D8"/>
    <w:rsid w:val="007D534F"/>
    <w:rsid w:val="007D5507"/>
    <w:rsid w:val="007D572F"/>
    <w:rsid w:val="007D6EDE"/>
    <w:rsid w:val="007D7251"/>
    <w:rsid w:val="007D76FF"/>
    <w:rsid w:val="007D7D55"/>
    <w:rsid w:val="007E09BE"/>
    <w:rsid w:val="007E19A0"/>
    <w:rsid w:val="007E2C50"/>
    <w:rsid w:val="007E348B"/>
    <w:rsid w:val="007E4534"/>
    <w:rsid w:val="007E478C"/>
    <w:rsid w:val="007E493B"/>
    <w:rsid w:val="007E53F2"/>
    <w:rsid w:val="007E5DC0"/>
    <w:rsid w:val="007E75F3"/>
    <w:rsid w:val="007E7D4A"/>
    <w:rsid w:val="007E7EDE"/>
    <w:rsid w:val="007F0049"/>
    <w:rsid w:val="007F0E37"/>
    <w:rsid w:val="007F0F67"/>
    <w:rsid w:val="007F1CA4"/>
    <w:rsid w:val="007F200C"/>
    <w:rsid w:val="007F2761"/>
    <w:rsid w:val="007F294E"/>
    <w:rsid w:val="007F357D"/>
    <w:rsid w:val="007F3C6F"/>
    <w:rsid w:val="007F5BB7"/>
    <w:rsid w:val="007F6325"/>
    <w:rsid w:val="007F70F2"/>
    <w:rsid w:val="007F71EF"/>
    <w:rsid w:val="007F7828"/>
    <w:rsid w:val="007F7893"/>
    <w:rsid w:val="00801389"/>
    <w:rsid w:val="008014ED"/>
    <w:rsid w:val="00801F45"/>
    <w:rsid w:val="00802344"/>
    <w:rsid w:val="008028A5"/>
    <w:rsid w:val="00802CBF"/>
    <w:rsid w:val="00803591"/>
    <w:rsid w:val="008036AD"/>
    <w:rsid w:val="00803C58"/>
    <w:rsid w:val="00803DD4"/>
    <w:rsid w:val="00804D69"/>
    <w:rsid w:val="00804DCB"/>
    <w:rsid w:val="00810483"/>
    <w:rsid w:val="008105C4"/>
    <w:rsid w:val="00811E96"/>
    <w:rsid w:val="00812213"/>
    <w:rsid w:val="008130E1"/>
    <w:rsid w:val="008139FD"/>
    <w:rsid w:val="008150AF"/>
    <w:rsid w:val="00815A40"/>
    <w:rsid w:val="00816638"/>
    <w:rsid w:val="00817982"/>
    <w:rsid w:val="00817A43"/>
    <w:rsid w:val="00820517"/>
    <w:rsid w:val="008216EA"/>
    <w:rsid w:val="00821C8B"/>
    <w:rsid w:val="00822E93"/>
    <w:rsid w:val="00823EFF"/>
    <w:rsid w:val="00824C89"/>
    <w:rsid w:val="00824C93"/>
    <w:rsid w:val="00824E8C"/>
    <w:rsid w:val="0082540A"/>
    <w:rsid w:val="00825625"/>
    <w:rsid w:val="008259EC"/>
    <w:rsid w:val="008262BE"/>
    <w:rsid w:val="00826620"/>
    <w:rsid w:val="008274AE"/>
    <w:rsid w:val="00830186"/>
    <w:rsid w:val="00830B97"/>
    <w:rsid w:val="00830C9C"/>
    <w:rsid w:val="00831EB8"/>
    <w:rsid w:val="0083385F"/>
    <w:rsid w:val="00833D4C"/>
    <w:rsid w:val="00833DED"/>
    <w:rsid w:val="0083513E"/>
    <w:rsid w:val="00835396"/>
    <w:rsid w:val="008353E1"/>
    <w:rsid w:val="008357B3"/>
    <w:rsid w:val="0083590C"/>
    <w:rsid w:val="00835B0B"/>
    <w:rsid w:val="00836674"/>
    <w:rsid w:val="008374D6"/>
    <w:rsid w:val="008374E9"/>
    <w:rsid w:val="0083793D"/>
    <w:rsid w:val="0084047F"/>
    <w:rsid w:val="008407E9"/>
    <w:rsid w:val="00840B15"/>
    <w:rsid w:val="00841565"/>
    <w:rsid w:val="008422BC"/>
    <w:rsid w:val="00842778"/>
    <w:rsid w:val="008427DD"/>
    <w:rsid w:val="008432FC"/>
    <w:rsid w:val="0084330D"/>
    <w:rsid w:val="008441C1"/>
    <w:rsid w:val="00845173"/>
    <w:rsid w:val="008455BF"/>
    <w:rsid w:val="00845743"/>
    <w:rsid w:val="00846662"/>
    <w:rsid w:val="00850074"/>
    <w:rsid w:val="0085033C"/>
    <w:rsid w:val="008505DD"/>
    <w:rsid w:val="00850644"/>
    <w:rsid w:val="00850B23"/>
    <w:rsid w:val="00850E7D"/>
    <w:rsid w:val="008519F2"/>
    <w:rsid w:val="008521DD"/>
    <w:rsid w:val="00852587"/>
    <w:rsid w:val="008531CB"/>
    <w:rsid w:val="0085321A"/>
    <w:rsid w:val="00853889"/>
    <w:rsid w:val="00853A29"/>
    <w:rsid w:val="00853CB2"/>
    <w:rsid w:val="008547BC"/>
    <w:rsid w:val="00854BCF"/>
    <w:rsid w:val="008555C9"/>
    <w:rsid w:val="008558DD"/>
    <w:rsid w:val="00855A3E"/>
    <w:rsid w:val="00856306"/>
    <w:rsid w:val="0085654E"/>
    <w:rsid w:val="00856B00"/>
    <w:rsid w:val="008571B0"/>
    <w:rsid w:val="008575C5"/>
    <w:rsid w:val="00857CC3"/>
    <w:rsid w:val="0086045F"/>
    <w:rsid w:val="0086062E"/>
    <w:rsid w:val="008609BB"/>
    <w:rsid w:val="00860CC7"/>
    <w:rsid w:val="00861B12"/>
    <w:rsid w:val="0086247C"/>
    <w:rsid w:val="00863CCA"/>
    <w:rsid w:val="008643B3"/>
    <w:rsid w:val="008645C9"/>
    <w:rsid w:val="008646C5"/>
    <w:rsid w:val="008646F5"/>
    <w:rsid w:val="00864A5B"/>
    <w:rsid w:val="00865CD2"/>
    <w:rsid w:val="00865DA3"/>
    <w:rsid w:val="00865DE7"/>
    <w:rsid w:val="008664DE"/>
    <w:rsid w:val="00866999"/>
    <w:rsid w:val="00866C91"/>
    <w:rsid w:val="00867133"/>
    <w:rsid w:val="008671E9"/>
    <w:rsid w:val="00867781"/>
    <w:rsid w:val="00867A86"/>
    <w:rsid w:val="00867B13"/>
    <w:rsid w:val="00867BAA"/>
    <w:rsid w:val="00867D88"/>
    <w:rsid w:val="00867F03"/>
    <w:rsid w:val="00867F62"/>
    <w:rsid w:val="0087043E"/>
    <w:rsid w:val="00870DE3"/>
    <w:rsid w:val="008714ED"/>
    <w:rsid w:val="00872131"/>
    <w:rsid w:val="0087237E"/>
    <w:rsid w:val="0087277C"/>
    <w:rsid w:val="00872A7C"/>
    <w:rsid w:val="00872BF7"/>
    <w:rsid w:val="00872D21"/>
    <w:rsid w:val="00872FC5"/>
    <w:rsid w:val="008739F9"/>
    <w:rsid w:val="008749C8"/>
    <w:rsid w:val="00875713"/>
    <w:rsid w:val="00875889"/>
    <w:rsid w:val="00876E6A"/>
    <w:rsid w:val="008771F7"/>
    <w:rsid w:val="00877EB3"/>
    <w:rsid w:val="00877F01"/>
    <w:rsid w:val="008807C8"/>
    <w:rsid w:val="008807EF"/>
    <w:rsid w:val="00880D52"/>
    <w:rsid w:val="008810B2"/>
    <w:rsid w:val="008811CE"/>
    <w:rsid w:val="00881422"/>
    <w:rsid w:val="00881EAD"/>
    <w:rsid w:val="008827C7"/>
    <w:rsid w:val="008828CD"/>
    <w:rsid w:val="008846C2"/>
    <w:rsid w:val="008850A1"/>
    <w:rsid w:val="008852E4"/>
    <w:rsid w:val="008862BC"/>
    <w:rsid w:val="008864BD"/>
    <w:rsid w:val="00886A9C"/>
    <w:rsid w:val="008900C0"/>
    <w:rsid w:val="00890130"/>
    <w:rsid w:val="008905A6"/>
    <w:rsid w:val="00890FBC"/>
    <w:rsid w:val="008910E6"/>
    <w:rsid w:val="008912CF"/>
    <w:rsid w:val="00891805"/>
    <w:rsid w:val="00891DB2"/>
    <w:rsid w:val="00892A59"/>
    <w:rsid w:val="00893F94"/>
    <w:rsid w:val="00894193"/>
    <w:rsid w:val="008948C8"/>
    <w:rsid w:val="00894F99"/>
    <w:rsid w:val="00895501"/>
    <w:rsid w:val="0089551D"/>
    <w:rsid w:val="008959E9"/>
    <w:rsid w:val="00895D68"/>
    <w:rsid w:val="008961CE"/>
    <w:rsid w:val="008962CE"/>
    <w:rsid w:val="008966D9"/>
    <w:rsid w:val="00897E2B"/>
    <w:rsid w:val="00897FA2"/>
    <w:rsid w:val="008A07F9"/>
    <w:rsid w:val="008A0FE5"/>
    <w:rsid w:val="008A13E0"/>
    <w:rsid w:val="008A1689"/>
    <w:rsid w:val="008A178D"/>
    <w:rsid w:val="008A1B53"/>
    <w:rsid w:val="008A1D5C"/>
    <w:rsid w:val="008A1FEA"/>
    <w:rsid w:val="008A28F7"/>
    <w:rsid w:val="008A4A02"/>
    <w:rsid w:val="008A4C79"/>
    <w:rsid w:val="008A4DF8"/>
    <w:rsid w:val="008A6649"/>
    <w:rsid w:val="008A6AB5"/>
    <w:rsid w:val="008A7285"/>
    <w:rsid w:val="008B004C"/>
    <w:rsid w:val="008B07ED"/>
    <w:rsid w:val="008B0A22"/>
    <w:rsid w:val="008B1CD6"/>
    <w:rsid w:val="008B1F5D"/>
    <w:rsid w:val="008B3658"/>
    <w:rsid w:val="008B48F1"/>
    <w:rsid w:val="008B4B31"/>
    <w:rsid w:val="008B5F37"/>
    <w:rsid w:val="008B6ABA"/>
    <w:rsid w:val="008B6EAB"/>
    <w:rsid w:val="008B750A"/>
    <w:rsid w:val="008B76A2"/>
    <w:rsid w:val="008C056E"/>
    <w:rsid w:val="008C0D15"/>
    <w:rsid w:val="008C0D91"/>
    <w:rsid w:val="008C1B84"/>
    <w:rsid w:val="008C2034"/>
    <w:rsid w:val="008C39E8"/>
    <w:rsid w:val="008C3A4F"/>
    <w:rsid w:val="008C406E"/>
    <w:rsid w:val="008C4735"/>
    <w:rsid w:val="008C5F8D"/>
    <w:rsid w:val="008C60B9"/>
    <w:rsid w:val="008C6BA1"/>
    <w:rsid w:val="008C6E3C"/>
    <w:rsid w:val="008C72D2"/>
    <w:rsid w:val="008C783E"/>
    <w:rsid w:val="008D18EC"/>
    <w:rsid w:val="008D1F37"/>
    <w:rsid w:val="008D265B"/>
    <w:rsid w:val="008D2AF3"/>
    <w:rsid w:val="008D2C75"/>
    <w:rsid w:val="008D3A60"/>
    <w:rsid w:val="008D3C2F"/>
    <w:rsid w:val="008D420D"/>
    <w:rsid w:val="008D42FD"/>
    <w:rsid w:val="008D481D"/>
    <w:rsid w:val="008D4A01"/>
    <w:rsid w:val="008D57F5"/>
    <w:rsid w:val="008D588B"/>
    <w:rsid w:val="008D5A87"/>
    <w:rsid w:val="008D72FB"/>
    <w:rsid w:val="008E0677"/>
    <w:rsid w:val="008E0809"/>
    <w:rsid w:val="008E175F"/>
    <w:rsid w:val="008E1E85"/>
    <w:rsid w:val="008E33E3"/>
    <w:rsid w:val="008E345B"/>
    <w:rsid w:val="008E3860"/>
    <w:rsid w:val="008E5522"/>
    <w:rsid w:val="008E595F"/>
    <w:rsid w:val="008E5B34"/>
    <w:rsid w:val="008E6424"/>
    <w:rsid w:val="008E6801"/>
    <w:rsid w:val="008E6DF1"/>
    <w:rsid w:val="008E7350"/>
    <w:rsid w:val="008E7352"/>
    <w:rsid w:val="008E7D32"/>
    <w:rsid w:val="008F0065"/>
    <w:rsid w:val="008F02FF"/>
    <w:rsid w:val="008F0899"/>
    <w:rsid w:val="008F0AF9"/>
    <w:rsid w:val="008F121B"/>
    <w:rsid w:val="008F14EF"/>
    <w:rsid w:val="008F1950"/>
    <w:rsid w:val="008F2332"/>
    <w:rsid w:val="008F24AD"/>
    <w:rsid w:val="008F2503"/>
    <w:rsid w:val="008F2512"/>
    <w:rsid w:val="008F27E8"/>
    <w:rsid w:val="008F2B0E"/>
    <w:rsid w:val="008F3A92"/>
    <w:rsid w:val="008F3FF4"/>
    <w:rsid w:val="008F41E6"/>
    <w:rsid w:val="008F48DE"/>
    <w:rsid w:val="008F5BEC"/>
    <w:rsid w:val="008F5EB9"/>
    <w:rsid w:val="008F626E"/>
    <w:rsid w:val="008F6CD4"/>
    <w:rsid w:val="008F6DD5"/>
    <w:rsid w:val="008F6FF5"/>
    <w:rsid w:val="00900977"/>
    <w:rsid w:val="00900FA9"/>
    <w:rsid w:val="0090118E"/>
    <w:rsid w:val="0090202A"/>
    <w:rsid w:val="00902810"/>
    <w:rsid w:val="009038C7"/>
    <w:rsid w:val="0090452D"/>
    <w:rsid w:val="00904BD6"/>
    <w:rsid w:val="0090520F"/>
    <w:rsid w:val="00905EF6"/>
    <w:rsid w:val="00906C7A"/>
    <w:rsid w:val="009076FD"/>
    <w:rsid w:val="00907997"/>
    <w:rsid w:val="009108C1"/>
    <w:rsid w:val="00911077"/>
    <w:rsid w:val="00911A55"/>
    <w:rsid w:val="0091211C"/>
    <w:rsid w:val="00912D23"/>
    <w:rsid w:val="009137D6"/>
    <w:rsid w:val="00914142"/>
    <w:rsid w:val="009148C1"/>
    <w:rsid w:val="0091499A"/>
    <w:rsid w:val="00914CF2"/>
    <w:rsid w:val="009158C7"/>
    <w:rsid w:val="00915BA3"/>
    <w:rsid w:val="00915F3B"/>
    <w:rsid w:val="00916378"/>
    <w:rsid w:val="00916477"/>
    <w:rsid w:val="00916617"/>
    <w:rsid w:val="009168AB"/>
    <w:rsid w:val="00920EE3"/>
    <w:rsid w:val="009213CE"/>
    <w:rsid w:val="00921BDD"/>
    <w:rsid w:val="00921FBC"/>
    <w:rsid w:val="009237AF"/>
    <w:rsid w:val="00923E69"/>
    <w:rsid w:val="00925FB7"/>
    <w:rsid w:val="0092667E"/>
    <w:rsid w:val="00926EF0"/>
    <w:rsid w:val="0092709F"/>
    <w:rsid w:val="00927171"/>
    <w:rsid w:val="009279E2"/>
    <w:rsid w:val="009303E9"/>
    <w:rsid w:val="00930CE0"/>
    <w:rsid w:val="00931C38"/>
    <w:rsid w:val="00931D33"/>
    <w:rsid w:val="00932364"/>
    <w:rsid w:val="00933017"/>
    <w:rsid w:val="009332F1"/>
    <w:rsid w:val="00933861"/>
    <w:rsid w:val="00933E35"/>
    <w:rsid w:val="00935043"/>
    <w:rsid w:val="00935363"/>
    <w:rsid w:val="00935AF5"/>
    <w:rsid w:val="00935E51"/>
    <w:rsid w:val="00936D4E"/>
    <w:rsid w:val="00937369"/>
    <w:rsid w:val="00937564"/>
    <w:rsid w:val="00937EA1"/>
    <w:rsid w:val="00937F18"/>
    <w:rsid w:val="009409D9"/>
    <w:rsid w:val="00940FAB"/>
    <w:rsid w:val="0094218F"/>
    <w:rsid w:val="009422F2"/>
    <w:rsid w:val="0094252A"/>
    <w:rsid w:val="00942692"/>
    <w:rsid w:val="00942C3B"/>
    <w:rsid w:val="00943193"/>
    <w:rsid w:val="00943A00"/>
    <w:rsid w:val="00943A6D"/>
    <w:rsid w:val="00944562"/>
    <w:rsid w:val="0094459F"/>
    <w:rsid w:val="00944625"/>
    <w:rsid w:val="0094496A"/>
    <w:rsid w:val="00944CCF"/>
    <w:rsid w:val="0094524F"/>
    <w:rsid w:val="00945F6B"/>
    <w:rsid w:val="00946239"/>
    <w:rsid w:val="00946CAE"/>
    <w:rsid w:val="00950805"/>
    <w:rsid w:val="00950D4B"/>
    <w:rsid w:val="00951B6B"/>
    <w:rsid w:val="009520E7"/>
    <w:rsid w:val="00952199"/>
    <w:rsid w:val="00952885"/>
    <w:rsid w:val="009536A6"/>
    <w:rsid w:val="00954B6F"/>
    <w:rsid w:val="00954F3B"/>
    <w:rsid w:val="00955F9E"/>
    <w:rsid w:val="009563F6"/>
    <w:rsid w:val="00956776"/>
    <w:rsid w:val="00956A60"/>
    <w:rsid w:val="00957C8F"/>
    <w:rsid w:val="009614E6"/>
    <w:rsid w:val="00961C18"/>
    <w:rsid w:val="00962552"/>
    <w:rsid w:val="009625D2"/>
    <w:rsid w:val="00962AB4"/>
    <w:rsid w:val="00962CF1"/>
    <w:rsid w:val="00962E65"/>
    <w:rsid w:val="00963877"/>
    <w:rsid w:val="00963CBE"/>
    <w:rsid w:val="00964339"/>
    <w:rsid w:val="00964DAF"/>
    <w:rsid w:val="0096552B"/>
    <w:rsid w:val="009657D5"/>
    <w:rsid w:val="00965978"/>
    <w:rsid w:val="0096626E"/>
    <w:rsid w:val="009669DE"/>
    <w:rsid w:val="0096794E"/>
    <w:rsid w:val="009704FB"/>
    <w:rsid w:val="00970C7D"/>
    <w:rsid w:val="00972683"/>
    <w:rsid w:val="0097280E"/>
    <w:rsid w:val="00972955"/>
    <w:rsid w:val="0097296F"/>
    <w:rsid w:val="00972C08"/>
    <w:rsid w:val="00973EC1"/>
    <w:rsid w:val="00974027"/>
    <w:rsid w:val="00975815"/>
    <w:rsid w:val="00975832"/>
    <w:rsid w:val="00975ACC"/>
    <w:rsid w:val="0098064B"/>
    <w:rsid w:val="00980B0B"/>
    <w:rsid w:val="00980F37"/>
    <w:rsid w:val="00981FB0"/>
    <w:rsid w:val="00982499"/>
    <w:rsid w:val="00982C6D"/>
    <w:rsid w:val="009831BC"/>
    <w:rsid w:val="0098354D"/>
    <w:rsid w:val="0098384C"/>
    <w:rsid w:val="0098460E"/>
    <w:rsid w:val="00984D87"/>
    <w:rsid w:val="009854D1"/>
    <w:rsid w:val="0098574B"/>
    <w:rsid w:val="009857FA"/>
    <w:rsid w:val="0098641D"/>
    <w:rsid w:val="00986435"/>
    <w:rsid w:val="00986831"/>
    <w:rsid w:val="00986996"/>
    <w:rsid w:val="00986EEB"/>
    <w:rsid w:val="00987117"/>
    <w:rsid w:val="00987EAE"/>
    <w:rsid w:val="00990941"/>
    <w:rsid w:val="00991891"/>
    <w:rsid w:val="00992432"/>
    <w:rsid w:val="00992887"/>
    <w:rsid w:val="00993116"/>
    <w:rsid w:val="00994384"/>
    <w:rsid w:val="009947E6"/>
    <w:rsid w:val="00994835"/>
    <w:rsid w:val="00994AE1"/>
    <w:rsid w:val="00995777"/>
    <w:rsid w:val="009957FA"/>
    <w:rsid w:val="0099580E"/>
    <w:rsid w:val="00995D12"/>
    <w:rsid w:val="00996144"/>
    <w:rsid w:val="0099642C"/>
    <w:rsid w:val="0099666E"/>
    <w:rsid w:val="0099673D"/>
    <w:rsid w:val="00996BA0"/>
    <w:rsid w:val="0099732A"/>
    <w:rsid w:val="009A0B45"/>
    <w:rsid w:val="009A0DCA"/>
    <w:rsid w:val="009A0F3E"/>
    <w:rsid w:val="009A134F"/>
    <w:rsid w:val="009A16FD"/>
    <w:rsid w:val="009A1E2F"/>
    <w:rsid w:val="009A1FE7"/>
    <w:rsid w:val="009A25F9"/>
    <w:rsid w:val="009A29EC"/>
    <w:rsid w:val="009A3271"/>
    <w:rsid w:val="009A3342"/>
    <w:rsid w:val="009A359B"/>
    <w:rsid w:val="009A3632"/>
    <w:rsid w:val="009A41F6"/>
    <w:rsid w:val="009A4724"/>
    <w:rsid w:val="009A4E97"/>
    <w:rsid w:val="009A52DB"/>
    <w:rsid w:val="009A581D"/>
    <w:rsid w:val="009A5A16"/>
    <w:rsid w:val="009A65C8"/>
    <w:rsid w:val="009B052F"/>
    <w:rsid w:val="009B2321"/>
    <w:rsid w:val="009B2836"/>
    <w:rsid w:val="009B2F98"/>
    <w:rsid w:val="009B345C"/>
    <w:rsid w:val="009B3CDB"/>
    <w:rsid w:val="009B50BB"/>
    <w:rsid w:val="009B546A"/>
    <w:rsid w:val="009B5487"/>
    <w:rsid w:val="009B6316"/>
    <w:rsid w:val="009B6BE2"/>
    <w:rsid w:val="009B6D19"/>
    <w:rsid w:val="009B788D"/>
    <w:rsid w:val="009C1707"/>
    <w:rsid w:val="009C1C6C"/>
    <w:rsid w:val="009C3000"/>
    <w:rsid w:val="009C3AC7"/>
    <w:rsid w:val="009C3BBA"/>
    <w:rsid w:val="009C3CB2"/>
    <w:rsid w:val="009C3EFD"/>
    <w:rsid w:val="009C40A3"/>
    <w:rsid w:val="009C490A"/>
    <w:rsid w:val="009C50C4"/>
    <w:rsid w:val="009C584C"/>
    <w:rsid w:val="009C5EE7"/>
    <w:rsid w:val="009C61BC"/>
    <w:rsid w:val="009C6221"/>
    <w:rsid w:val="009C6979"/>
    <w:rsid w:val="009C6C10"/>
    <w:rsid w:val="009C6F4D"/>
    <w:rsid w:val="009C7B4B"/>
    <w:rsid w:val="009D050A"/>
    <w:rsid w:val="009D083C"/>
    <w:rsid w:val="009D0970"/>
    <w:rsid w:val="009D14C4"/>
    <w:rsid w:val="009D1B8B"/>
    <w:rsid w:val="009D1EB9"/>
    <w:rsid w:val="009D297E"/>
    <w:rsid w:val="009D2A15"/>
    <w:rsid w:val="009D2D81"/>
    <w:rsid w:val="009D2FDC"/>
    <w:rsid w:val="009D3053"/>
    <w:rsid w:val="009D4A5E"/>
    <w:rsid w:val="009D6BC8"/>
    <w:rsid w:val="009D6F09"/>
    <w:rsid w:val="009D70F7"/>
    <w:rsid w:val="009D72AE"/>
    <w:rsid w:val="009D7B3C"/>
    <w:rsid w:val="009E0170"/>
    <w:rsid w:val="009E0370"/>
    <w:rsid w:val="009E103F"/>
    <w:rsid w:val="009E216C"/>
    <w:rsid w:val="009E2616"/>
    <w:rsid w:val="009E273B"/>
    <w:rsid w:val="009E303C"/>
    <w:rsid w:val="009E3367"/>
    <w:rsid w:val="009E35F2"/>
    <w:rsid w:val="009E3CAE"/>
    <w:rsid w:val="009E40D3"/>
    <w:rsid w:val="009E496D"/>
    <w:rsid w:val="009E49D8"/>
    <w:rsid w:val="009E51C6"/>
    <w:rsid w:val="009E5640"/>
    <w:rsid w:val="009E59FF"/>
    <w:rsid w:val="009E5BBC"/>
    <w:rsid w:val="009E5E16"/>
    <w:rsid w:val="009F1D76"/>
    <w:rsid w:val="009F248E"/>
    <w:rsid w:val="009F263B"/>
    <w:rsid w:val="009F2FC8"/>
    <w:rsid w:val="009F3590"/>
    <w:rsid w:val="009F3AB1"/>
    <w:rsid w:val="009F4238"/>
    <w:rsid w:val="009F4683"/>
    <w:rsid w:val="009F4843"/>
    <w:rsid w:val="009F4BE3"/>
    <w:rsid w:val="009F5946"/>
    <w:rsid w:val="009F5A41"/>
    <w:rsid w:val="009F64D0"/>
    <w:rsid w:val="009F700C"/>
    <w:rsid w:val="009F73F8"/>
    <w:rsid w:val="009F7990"/>
    <w:rsid w:val="009F7EF2"/>
    <w:rsid w:val="00A00614"/>
    <w:rsid w:val="00A0070B"/>
    <w:rsid w:val="00A01198"/>
    <w:rsid w:val="00A01665"/>
    <w:rsid w:val="00A01792"/>
    <w:rsid w:val="00A019C4"/>
    <w:rsid w:val="00A02030"/>
    <w:rsid w:val="00A03672"/>
    <w:rsid w:val="00A03858"/>
    <w:rsid w:val="00A049C2"/>
    <w:rsid w:val="00A05940"/>
    <w:rsid w:val="00A05D15"/>
    <w:rsid w:val="00A07B9C"/>
    <w:rsid w:val="00A07DD3"/>
    <w:rsid w:val="00A101A1"/>
    <w:rsid w:val="00A106BB"/>
    <w:rsid w:val="00A10945"/>
    <w:rsid w:val="00A10F6E"/>
    <w:rsid w:val="00A1187A"/>
    <w:rsid w:val="00A12D18"/>
    <w:rsid w:val="00A12FBB"/>
    <w:rsid w:val="00A133E4"/>
    <w:rsid w:val="00A1405D"/>
    <w:rsid w:val="00A140F4"/>
    <w:rsid w:val="00A14269"/>
    <w:rsid w:val="00A14ADC"/>
    <w:rsid w:val="00A15037"/>
    <w:rsid w:val="00A161C1"/>
    <w:rsid w:val="00A16C89"/>
    <w:rsid w:val="00A16D63"/>
    <w:rsid w:val="00A17673"/>
    <w:rsid w:val="00A17965"/>
    <w:rsid w:val="00A17E9E"/>
    <w:rsid w:val="00A2089E"/>
    <w:rsid w:val="00A20CA7"/>
    <w:rsid w:val="00A2113F"/>
    <w:rsid w:val="00A2157C"/>
    <w:rsid w:val="00A23577"/>
    <w:rsid w:val="00A24542"/>
    <w:rsid w:val="00A24D0E"/>
    <w:rsid w:val="00A24DE4"/>
    <w:rsid w:val="00A250EC"/>
    <w:rsid w:val="00A25293"/>
    <w:rsid w:val="00A2564C"/>
    <w:rsid w:val="00A25A55"/>
    <w:rsid w:val="00A25B3D"/>
    <w:rsid w:val="00A26877"/>
    <w:rsid w:val="00A26DC6"/>
    <w:rsid w:val="00A3021E"/>
    <w:rsid w:val="00A30A5F"/>
    <w:rsid w:val="00A30DD8"/>
    <w:rsid w:val="00A31435"/>
    <w:rsid w:val="00A31866"/>
    <w:rsid w:val="00A31F06"/>
    <w:rsid w:val="00A32926"/>
    <w:rsid w:val="00A3362C"/>
    <w:rsid w:val="00A33AF7"/>
    <w:rsid w:val="00A342CB"/>
    <w:rsid w:val="00A34770"/>
    <w:rsid w:val="00A349B9"/>
    <w:rsid w:val="00A34AC9"/>
    <w:rsid w:val="00A36AD6"/>
    <w:rsid w:val="00A36B13"/>
    <w:rsid w:val="00A36FCF"/>
    <w:rsid w:val="00A37204"/>
    <w:rsid w:val="00A37B42"/>
    <w:rsid w:val="00A40346"/>
    <w:rsid w:val="00A40DCC"/>
    <w:rsid w:val="00A4214B"/>
    <w:rsid w:val="00A42234"/>
    <w:rsid w:val="00A4300B"/>
    <w:rsid w:val="00A43230"/>
    <w:rsid w:val="00A440C1"/>
    <w:rsid w:val="00A44609"/>
    <w:rsid w:val="00A450DE"/>
    <w:rsid w:val="00A460A8"/>
    <w:rsid w:val="00A46E72"/>
    <w:rsid w:val="00A5066A"/>
    <w:rsid w:val="00A5226B"/>
    <w:rsid w:val="00A5353E"/>
    <w:rsid w:val="00A53B54"/>
    <w:rsid w:val="00A53EBE"/>
    <w:rsid w:val="00A53EFF"/>
    <w:rsid w:val="00A5651E"/>
    <w:rsid w:val="00A56C99"/>
    <w:rsid w:val="00A57595"/>
    <w:rsid w:val="00A57AD8"/>
    <w:rsid w:val="00A57B01"/>
    <w:rsid w:val="00A60242"/>
    <w:rsid w:val="00A604D6"/>
    <w:rsid w:val="00A60689"/>
    <w:rsid w:val="00A607F0"/>
    <w:rsid w:val="00A60EDA"/>
    <w:rsid w:val="00A61423"/>
    <w:rsid w:val="00A614BB"/>
    <w:rsid w:val="00A61571"/>
    <w:rsid w:val="00A61C4F"/>
    <w:rsid w:val="00A62794"/>
    <w:rsid w:val="00A62D82"/>
    <w:rsid w:val="00A6351E"/>
    <w:rsid w:val="00A63CE4"/>
    <w:rsid w:val="00A63E06"/>
    <w:rsid w:val="00A64ECD"/>
    <w:rsid w:val="00A65F7A"/>
    <w:rsid w:val="00A660AB"/>
    <w:rsid w:val="00A66EB3"/>
    <w:rsid w:val="00A67240"/>
    <w:rsid w:val="00A673DC"/>
    <w:rsid w:val="00A675EB"/>
    <w:rsid w:val="00A67F35"/>
    <w:rsid w:val="00A70E92"/>
    <w:rsid w:val="00A715F8"/>
    <w:rsid w:val="00A721F6"/>
    <w:rsid w:val="00A72B2E"/>
    <w:rsid w:val="00A72FB8"/>
    <w:rsid w:val="00A733B5"/>
    <w:rsid w:val="00A752B7"/>
    <w:rsid w:val="00A7577F"/>
    <w:rsid w:val="00A75C42"/>
    <w:rsid w:val="00A76518"/>
    <w:rsid w:val="00A7682D"/>
    <w:rsid w:val="00A76D44"/>
    <w:rsid w:val="00A77479"/>
    <w:rsid w:val="00A77603"/>
    <w:rsid w:val="00A80B52"/>
    <w:rsid w:val="00A81284"/>
    <w:rsid w:val="00A8186E"/>
    <w:rsid w:val="00A824B0"/>
    <w:rsid w:val="00A8268F"/>
    <w:rsid w:val="00A82F51"/>
    <w:rsid w:val="00A833C3"/>
    <w:rsid w:val="00A840EA"/>
    <w:rsid w:val="00A85555"/>
    <w:rsid w:val="00A855DB"/>
    <w:rsid w:val="00A85DBC"/>
    <w:rsid w:val="00A86B3F"/>
    <w:rsid w:val="00A87314"/>
    <w:rsid w:val="00A905CD"/>
    <w:rsid w:val="00A905F9"/>
    <w:rsid w:val="00A91E95"/>
    <w:rsid w:val="00A9204F"/>
    <w:rsid w:val="00A921E4"/>
    <w:rsid w:val="00A932B5"/>
    <w:rsid w:val="00A93341"/>
    <w:rsid w:val="00A9357B"/>
    <w:rsid w:val="00A94033"/>
    <w:rsid w:val="00A94542"/>
    <w:rsid w:val="00A946E5"/>
    <w:rsid w:val="00A94C8C"/>
    <w:rsid w:val="00A952F7"/>
    <w:rsid w:val="00A954FB"/>
    <w:rsid w:val="00A956BE"/>
    <w:rsid w:val="00A9643D"/>
    <w:rsid w:val="00A976C0"/>
    <w:rsid w:val="00A97BCD"/>
    <w:rsid w:val="00AA04F0"/>
    <w:rsid w:val="00AA0735"/>
    <w:rsid w:val="00AA0995"/>
    <w:rsid w:val="00AA0BB2"/>
    <w:rsid w:val="00AA1F22"/>
    <w:rsid w:val="00AA2FBF"/>
    <w:rsid w:val="00AA365E"/>
    <w:rsid w:val="00AA37A3"/>
    <w:rsid w:val="00AA38E7"/>
    <w:rsid w:val="00AA4177"/>
    <w:rsid w:val="00AA431D"/>
    <w:rsid w:val="00AA461C"/>
    <w:rsid w:val="00AA5266"/>
    <w:rsid w:val="00AA5A3B"/>
    <w:rsid w:val="00AA62DE"/>
    <w:rsid w:val="00AA6308"/>
    <w:rsid w:val="00AA63A0"/>
    <w:rsid w:val="00AA6597"/>
    <w:rsid w:val="00AA7427"/>
    <w:rsid w:val="00AA796F"/>
    <w:rsid w:val="00AB007C"/>
    <w:rsid w:val="00AB0711"/>
    <w:rsid w:val="00AB0D81"/>
    <w:rsid w:val="00AB13A5"/>
    <w:rsid w:val="00AB13B4"/>
    <w:rsid w:val="00AB1B0E"/>
    <w:rsid w:val="00AB20E3"/>
    <w:rsid w:val="00AB357C"/>
    <w:rsid w:val="00AB3911"/>
    <w:rsid w:val="00AB3A30"/>
    <w:rsid w:val="00AB5348"/>
    <w:rsid w:val="00AB690D"/>
    <w:rsid w:val="00AB6A8B"/>
    <w:rsid w:val="00AB6D6E"/>
    <w:rsid w:val="00AB73E0"/>
    <w:rsid w:val="00AB7F0B"/>
    <w:rsid w:val="00AC02B4"/>
    <w:rsid w:val="00AC196F"/>
    <w:rsid w:val="00AC22A7"/>
    <w:rsid w:val="00AC2ED2"/>
    <w:rsid w:val="00AC37FF"/>
    <w:rsid w:val="00AC39D7"/>
    <w:rsid w:val="00AC40DF"/>
    <w:rsid w:val="00AC4394"/>
    <w:rsid w:val="00AC4D5F"/>
    <w:rsid w:val="00AC50FD"/>
    <w:rsid w:val="00AC7009"/>
    <w:rsid w:val="00AC71D9"/>
    <w:rsid w:val="00AC790B"/>
    <w:rsid w:val="00AD00DD"/>
    <w:rsid w:val="00AD0882"/>
    <w:rsid w:val="00AD0D40"/>
    <w:rsid w:val="00AD15B7"/>
    <w:rsid w:val="00AD1C37"/>
    <w:rsid w:val="00AD1F80"/>
    <w:rsid w:val="00AD2385"/>
    <w:rsid w:val="00AD25C8"/>
    <w:rsid w:val="00AD28D3"/>
    <w:rsid w:val="00AD2E75"/>
    <w:rsid w:val="00AD342D"/>
    <w:rsid w:val="00AD3618"/>
    <w:rsid w:val="00AD3674"/>
    <w:rsid w:val="00AD37CC"/>
    <w:rsid w:val="00AD4385"/>
    <w:rsid w:val="00AD590E"/>
    <w:rsid w:val="00AD5ABF"/>
    <w:rsid w:val="00AD5F5F"/>
    <w:rsid w:val="00AD6419"/>
    <w:rsid w:val="00AD6505"/>
    <w:rsid w:val="00AD7EF7"/>
    <w:rsid w:val="00AE1BE5"/>
    <w:rsid w:val="00AE2781"/>
    <w:rsid w:val="00AE45C4"/>
    <w:rsid w:val="00AE4765"/>
    <w:rsid w:val="00AE49BE"/>
    <w:rsid w:val="00AE4BAE"/>
    <w:rsid w:val="00AE57A5"/>
    <w:rsid w:val="00AE5A2D"/>
    <w:rsid w:val="00AE5B31"/>
    <w:rsid w:val="00AE5D1C"/>
    <w:rsid w:val="00AE5FD6"/>
    <w:rsid w:val="00AE783D"/>
    <w:rsid w:val="00AF046A"/>
    <w:rsid w:val="00AF155B"/>
    <w:rsid w:val="00AF41DC"/>
    <w:rsid w:val="00AF42AE"/>
    <w:rsid w:val="00AF42D7"/>
    <w:rsid w:val="00AF4F12"/>
    <w:rsid w:val="00AF5CEB"/>
    <w:rsid w:val="00AF5D64"/>
    <w:rsid w:val="00AF5E31"/>
    <w:rsid w:val="00AF610C"/>
    <w:rsid w:val="00AF6C53"/>
    <w:rsid w:val="00AF6E10"/>
    <w:rsid w:val="00AF740A"/>
    <w:rsid w:val="00AF7B18"/>
    <w:rsid w:val="00AF7C97"/>
    <w:rsid w:val="00B01845"/>
    <w:rsid w:val="00B018FA"/>
    <w:rsid w:val="00B02451"/>
    <w:rsid w:val="00B028F5"/>
    <w:rsid w:val="00B0439D"/>
    <w:rsid w:val="00B06A4A"/>
    <w:rsid w:val="00B07BC5"/>
    <w:rsid w:val="00B1087C"/>
    <w:rsid w:val="00B11079"/>
    <w:rsid w:val="00B11377"/>
    <w:rsid w:val="00B1217F"/>
    <w:rsid w:val="00B122B9"/>
    <w:rsid w:val="00B132B3"/>
    <w:rsid w:val="00B14071"/>
    <w:rsid w:val="00B14435"/>
    <w:rsid w:val="00B145D3"/>
    <w:rsid w:val="00B16E7C"/>
    <w:rsid w:val="00B17708"/>
    <w:rsid w:val="00B2069A"/>
    <w:rsid w:val="00B20A73"/>
    <w:rsid w:val="00B20B4F"/>
    <w:rsid w:val="00B20C25"/>
    <w:rsid w:val="00B210FD"/>
    <w:rsid w:val="00B211FD"/>
    <w:rsid w:val="00B227F1"/>
    <w:rsid w:val="00B22B74"/>
    <w:rsid w:val="00B22D56"/>
    <w:rsid w:val="00B22EAF"/>
    <w:rsid w:val="00B23802"/>
    <w:rsid w:val="00B23876"/>
    <w:rsid w:val="00B24EFF"/>
    <w:rsid w:val="00B26141"/>
    <w:rsid w:val="00B26672"/>
    <w:rsid w:val="00B269A4"/>
    <w:rsid w:val="00B27D45"/>
    <w:rsid w:val="00B301DB"/>
    <w:rsid w:val="00B30604"/>
    <w:rsid w:val="00B3080A"/>
    <w:rsid w:val="00B30D75"/>
    <w:rsid w:val="00B318AB"/>
    <w:rsid w:val="00B331BF"/>
    <w:rsid w:val="00B33304"/>
    <w:rsid w:val="00B3492D"/>
    <w:rsid w:val="00B34A91"/>
    <w:rsid w:val="00B34EEA"/>
    <w:rsid w:val="00B350D9"/>
    <w:rsid w:val="00B35235"/>
    <w:rsid w:val="00B3568E"/>
    <w:rsid w:val="00B3606B"/>
    <w:rsid w:val="00B36A61"/>
    <w:rsid w:val="00B36B8A"/>
    <w:rsid w:val="00B37FF4"/>
    <w:rsid w:val="00B402DB"/>
    <w:rsid w:val="00B40F70"/>
    <w:rsid w:val="00B42996"/>
    <w:rsid w:val="00B433BB"/>
    <w:rsid w:val="00B43AF9"/>
    <w:rsid w:val="00B43C5C"/>
    <w:rsid w:val="00B44A4F"/>
    <w:rsid w:val="00B44D09"/>
    <w:rsid w:val="00B45557"/>
    <w:rsid w:val="00B45A6D"/>
    <w:rsid w:val="00B46A07"/>
    <w:rsid w:val="00B50909"/>
    <w:rsid w:val="00B50A4D"/>
    <w:rsid w:val="00B50E32"/>
    <w:rsid w:val="00B515FC"/>
    <w:rsid w:val="00B51A90"/>
    <w:rsid w:val="00B51F4B"/>
    <w:rsid w:val="00B52641"/>
    <w:rsid w:val="00B53358"/>
    <w:rsid w:val="00B538AD"/>
    <w:rsid w:val="00B53A8C"/>
    <w:rsid w:val="00B53FCF"/>
    <w:rsid w:val="00B556DF"/>
    <w:rsid w:val="00B55B13"/>
    <w:rsid w:val="00B561C4"/>
    <w:rsid w:val="00B563B5"/>
    <w:rsid w:val="00B5649E"/>
    <w:rsid w:val="00B57721"/>
    <w:rsid w:val="00B57FBE"/>
    <w:rsid w:val="00B606D2"/>
    <w:rsid w:val="00B608E0"/>
    <w:rsid w:val="00B60942"/>
    <w:rsid w:val="00B60BA9"/>
    <w:rsid w:val="00B61752"/>
    <w:rsid w:val="00B61975"/>
    <w:rsid w:val="00B61FF0"/>
    <w:rsid w:val="00B631A6"/>
    <w:rsid w:val="00B63C27"/>
    <w:rsid w:val="00B6523A"/>
    <w:rsid w:val="00B653D0"/>
    <w:rsid w:val="00B6620B"/>
    <w:rsid w:val="00B66F48"/>
    <w:rsid w:val="00B67595"/>
    <w:rsid w:val="00B67680"/>
    <w:rsid w:val="00B67831"/>
    <w:rsid w:val="00B67890"/>
    <w:rsid w:val="00B67C35"/>
    <w:rsid w:val="00B7021A"/>
    <w:rsid w:val="00B71772"/>
    <w:rsid w:val="00B72097"/>
    <w:rsid w:val="00B72EAB"/>
    <w:rsid w:val="00B734A7"/>
    <w:rsid w:val="00B742FB"/>
    <w:rsid w:val="00B74DF1"/>
    <w:rsid w:val="00B75CDB"/>
    <w:rsid w:val="00B769DC"/>
    <w:rsid w:val="00B773F1"/>
    <w:rsid w:val="00B77606"/>
    <w:rsid w:val="00B7769B"/>
    <w:rsid w:val="00B80844"/>
    <w:rsid w:val="00B8095B"/>
    <w:rsid w:val="00B80EA5"/>
    <w:rsid w:val="00B81742"/>
    <w:rsid w:val="00B817FD"/>
    <w:rsid w:val="00B81BEB"/>
    <w:rsid w:val="00B81D10"/>
    <w:rsid w:val="00B81D6C"/>
    <w:rsid w:val="00B837F4"/>
    <w:rsid w:val="00B83EDF"/>
    <w:rsid w:val="00B85D18"/>
    <w:rsid w:val="00B865AD"/>
    <w:rsid w:val="00B868A5"/>
    <w:rsid w:val="00B878E1"/>
    <w:rsid w:val="00B87A1E"/>
    <w:rsid w:val="00B87EB4"/>
    <w:rsid w:val="00B902DE"/>
    <w:rsid w:val="00B905DD"/>
    <w:rsid w:val="00B909F4"/>
    <w:rsid w:val="00B90A85"/>
    <w:rsid w:val="00B92DAD"/>
    <w:rsid w:val="00B93F4D"/>
    <w:rsid w:val="00B94559"/>
    <w:rsid w:val="00B95160"/>
    <w:rsid w:val="00B9516B"/>
    <w:rsid w:val="00B9525C"/>
    <w:rsid w:val="00B96803"/>
    <w:rsid w:val="00B97E6C"/>
    <w:rsid w:val="00BA09D3"/>
    <w:rsid w:val="00BA144C"/>
    <w:rsid w:val="00BA1A7D"/>
    <w:rsid w:val="00BA1DCC"/>
    <w:rsid w:val="00BA1FD6"/>
    <w:rsid w:val="00BA2DFD"/>
    <w:rsid w:val="00BA38C3"/>
    <w:rsid w:val="00BA3A3B"/>
    <w:rsid w:val="00BA506C"/>
    <w:rsid w:val="00BA6752"/>
    <w:rsid w:val="00BA6B1E"/>
    <w:rsid w:val="00BA6F5A"/>
    <w:rsid w:val="00BA7096"/>
    <w:rsid w:val="00BA70B0"/>
    <w:rsid w:val="00BA7662"/>
    <w:rsid w:val="00BB13B7"/>
    <w:rsid w:val="00BB2245"/>
    <w:rsid w:val="00BB2390"/>
    <w:rsid w:val="00BB464B"/>
    <w:rsid w:val="00BB585D"/>
    <w:rsid w:val="00BB5A8A"/>
    <w:rsid w:val="00BB660F"/>
    <w:rsid w:val="00BB66EE"/>
    <w:rsid w:val="00BB6B49"/>
    <w:rsid w:val="00BB711D"/>
    <w:rsid w:val="00BB74DA"/>
    <w:rsid w:val="00BB7503"/>
    <w:rsid w:val="00BB77D9"/>
    <w:rsid w:val="00BB7D54"/>
    <w:rsid w:val="00BC0042"/>
    <w:rsid w:val="00BC0475"/>
    <w:rsid w:val="00BC05D2"/>
    <w:rsid w:val="00BC1397"/>
    <w:rsid w:val="00BC17D0"/>
    <w:rsid w:val="00BC1C7A"/>
    <w:rsid w:val="00BC1FA9"/>
    <w:rsid w:val="00BC1FAE"/>
    <w:rsid w:val="00BC25C8"/>
    <w:rsid w:val="00BC2611"/>
    <w:rsid w:val="00BC3882"/>
    <w:rsid w:val="00BC4672"/>
    <w:rsid w:val="00BC498F"/>
    <w:rsid w:val="00BC4CC5"/>
    <w:rsid w:val="00BC5339"/>
    <w:rsid w:val="00BC57FB"/>
    <w:rsid w:val="00BC79BA"/>
    <w:rsid w:val="00BD06DB"/>
    <w:rsid w:val="00BD0B3F"/>
    <w:rsid w:val="00BD0C5D"/>
    <w:rsid w:val="00BD122C"/>
    <w:rsid w:val="00BD12AC"/>
    <w:rsid w:val="00BD158E"/>
    <w:rsid w:val="00BD283D"/>
    <w:rsid w:val="00BD29DC"/>
    <w:rsid w:val="00BD2A4E"/>
    <w:rsid w:val="00BD2F2D"/>
    <w:rsid w:val="00BD3B9C"/>
    <w:rsid w:val="00BD50A7"/>
    <w:rsid w:val="00BD51CF"/>
    <w:rsid w:val="00BD51F9"/>
    <w:rsid w:val="00BD5215"/>
    <w:rsid w:val="00BD66B7"/>
    <w:rsid w:val="00BD6975"/>
    <w:rsid w:val="00BD6A37"/>
    <w:rsid w:val="00BD6BB4"/>
    <w:rsid w:val="00BD6D53"/>
    <w:rsid w:val="00BD7031"/>
    <w:rsid w:val="00BD7A82"/>
    <w:rsid w:val="00BE12C5"/>
    <w:rsid w:val="00BE2ACF"/>
    <w:rsid w:val="00BE414C"/>
    <w:rsid w:val="00BE4254"/>
    <w:rsid w:val="00BE4812"/>
    <w:rsid w:val="00BE57AA"/>
    <w:rsid w:val="00BE6124"/>
    <w:rsid w:val="00BE65F7"/>
    <w:rsid w:val="00BE7CF4"/>
    <w:rsid w:val="00BF02EC"/>
    <w:rsid w:val="00BF1360"/>
    <w:rsid w:val="00BF1CF3"/>
    <w:rsid w:val="00BF23C6"/>
    <w:rsid w:val="00BF2535"/>
    <w:rsid w:val="00BF28EF"/>
    <w:rsid w:val="00BF2FA6"/>
    <w:rsid w:val="00BF3FB6"/>
    <w:rsid w:val="00BF4065"/>
    <w:rsid w:val="00BF49C4"/>
    <w:rsid w:val="00BF4BA2"/>
    <w:rsid w:val="00BF4BFC"/>
    <w:rsid w:val="00BF4CF1"/>
    <w:rsid w:val="00BF5BA5"/>
    <w:rsid w:val="00BF6A71"/>
    <w:rsid w:val="00BF6B03"/>
    <w:rsid w:val="00BF6D78"/>
    <w:rsid w:val="00BF7873"/>
    <w:rsid w:val="00BF7C82"/>
    <w:rsid w:val="00C00192"/>
    <w:rsid w:val="00C009A5"/>
    <w:rsid w:val="00C00BEB"/>
    <w:rsid w:val="00C01062"/>
    <w:rsid w:val="00C01908"/>
    <w:rsid w:val="00C024EE"/>
    <w:rsid w:val="00C04123"/>
    <w:rsid w:val="00C046F4"/>
    <w:rsid w:val="00C049A0"/>
    <w:rsid w:val="00C04D09"/>
    <w:rsid w:val="00C04EB3"/>
    <w:rsid w:val="00C05331"/>
    <w:rsid w:val="00C05466"/>
    <w:rsid w:val="00C06215"/>
    <w:rsid w:val="00C0711F"/>
    <w:rsid w:val="00C0716D"/>
    <w:rsid w:val="00C07207"/>
    <w:rsid w:val="00C078FA"/>
    <w:rsid w:val="00C079F7"/>
    <w:rsid w:val="00C100C1"/>
    <w:rsid w:val="00C102EC"/>
    <w:rsid w:val="00C10DA4"/>
    <w:rsid w:val="00C11213"/>
    <w:rsid w:val="00C1163C"/>
    <w:rsid w:val="00C11758"/>
    <w:rsid w:val="00C11766"/>
    <w:rsid w:val="00C11A54"/>
    <w:rsid w:val="00C11CCF"/>
    <w:rsid w:val="00C11F91"/>
    <w:rsid w:val="00C1246A"/>
    <w:rsid w:val="00C12A1A"/>
    <w:rsid w:val="00C12EA7"/>
    <w:rsid w:val="00C13112"/>
    <w:rsid w:val="00C1470B"/>
    <w:rsid w:val="00C14900"/>
    <w:rsid w:val="00C1494D"/>
    <w:rsid w:val="00C14C5B"/>
    <w:rsid w:val="00C14F3E"/>
    <w:rsid w:val="00C1599A"/>
    <w:rsid w:val="00C1635A"/>
    <w:rsid w:val="00C1691A"/>
    <w:rsid w:val="00C17507"/>
    <w:rsid w:val="00C179ED"/>
    <w:rsid w:val="00C17AA2"/>
    <w:rsid w:val="00C17E83"/>
    <w:rsid w:val="00C17F16"/>
    <w:rsid w:val="00C2085C"/>
    <w:rsid w:val="00C21EC9"/>
    <w:rsid w:val="00C221DC"/>
    <w:rsid w:val="00C22342"/>
    <w:rsid w:val="00C223CB"/>
    <w:rsid w:val="00C22F4E"/>
    <w:rsid w:val="00C2340E"/>
    <w:rsid w:val="00C2470B"/>
    <w:rsid w:val="00C2483D"/>
    <w:rsid w:val="00C249AB"/>
    <w:rsid w:val="00C263FD"/>
    <w:rsid w:val="00C264FE"/>
    <w:rsid w:val="00C265DA"/>
    <w:rsid w:val="00C26C8A"/>
    <w:rsid w:val="00C27179"/>
    <w:rsid w:val="00C274C9"/>
    <w:rsid w:val="00C30A1B"/>
    <w:rsid w:val="00C3155F"/>
    <w:rsid w:val="00C31971"/>
    <w:rsid w:val="00C31CA0"/>
    <w:rsid w:val="00C32586"/>
    <w:rsid w:val="00C32A13"/>
    <w:rsid w:val="00C32F39"/>
    <w:rsid w:val="00C330EC"/>
    <w:rsid w:val="00C335EC"/>
    <w:rsid w:val="00C34568"/>
    <w:rsid w:val="00C34C58"/>
    <w:rsid w:val="00C3520D"/>
    <w:rsid w:val="00C353D3"/>
    <w:rsid w:val="00C35522"/>
    <w:rsid w:val="00C36003"/>
    <w:rsid w:val="00C36215"/>
    <w:rsid w:val="00C37CA0"/>
    <w:rsid w:val="00C37D0D"/>
    <w:rsid w:val="00C37E0D"/>
    <w:rsid w:val="00C40EFC"/>
    <w:rsid w:val="00C41133"/>
    <w:rsid w:val="00C4144E"/>
    <w:rsid w:val="00C41A50"/>
    <w:rsid w:val="00C41FFE"/>
    <w:rsid w:val="00C423EF"/>
    <w:rsid w:val="00C43003"/>
    <w:rsid w:val="00C431F9"/>
    <w:rsid w:val="00C43D5F"/>
    <w:rsid w:val="00C43DA2"/>
    <w:rsid w:val="00C449DE"/>
    <w:rsid w:val="00C449F6"/>
    <w:rsid w:val="00C45719"/>
    <w:rsid w:val="00C45D10"/>
    <w:rsid w:val="00C460F2"/>
    <w:rsid w:val="00C46408"/>
    <w:rsid w:val="00C4656A"/>
    <w:rsid w:val="00C46649"/>
    <w:rsid w:val="00C472CC"/>
    <w:rsid w:val="00C47525"/>
    <w:rsid w:val="00C478CD"/>
    <w:rsid w:val="00C5021B"/>
    <w:rsid w:val="00C516A8"/>
    <w:rsid w:val="00C51733"/>
    <w:rsid w:val="00C52A5E"/>
    <w:rsid w:val="00C53F8C"/>
    <w:rsid w:val="00C548CB"/>
    <w:rsid w:val="00C551EA"/>
    <w:rsid w:val="00C55396"/>
    <w:rsid w:val="00C55685"/>
    <w:rsid w:val="00C567B3"/>
    <w:rsid w:val="00C56BFB"/>
    <w:rsid w:val="00C56C2C"/>
    <w:rsid w:val="00C575A5"/>
    <w:rsid w:val="00C57BB0"/>
    <w:rsid w:val="00C600F7"/>
    <w:rsid w:val="00C60AE0"/>
    <w:rsid w:val="00C614C3"/>
    <w:rsid w:val="00C615A6"/>
    <w:rsid w:val="00C63669"/>
    <w:rsid w:val="00C63E05"/>
    <w:rsid w:val="00C64169"/>
    <w:rsid w:val="00C6437C"/>
    <w:rsid w:val="00C6464A"/>
    <w:rsid w:val="00C658A9"/>
    <w:rsid w:val="00C65DF9"/>
    <w:rsid w:val="00C6627F"/>
    <w:rsid w:val="00C66309"/>
    <w:rsid w:val="00C66617"/>
    <w:rsid w:val="00C66FD1"/>
    <w:rsid w:val="00C7045D"/>
    <w:rsid w:val="00C70F77"/>
    <w:rsid w:val="00C719C0"/>
    <w:rsid w:val="00C719E5"/>
    <w:rsid w:val="00C721D4"/>
    <w:rsid w:val="00C72427"/>
    <w:rsid w:val="00C73FBD"/>
    <w:rsid w:val="00C743C2"/>
    <w:rsid w:val="00C75D76"/>
    <w:rsid w:val="00C766BC"/>
    <w:rsid w:val="00C76E44"/>
    <w:rsid w:val="00C81022"/>
    <w:rsid w:val="00C82155"/>
    <w:rsid w:val="00C82229"/>
    <w:rsid w:val="00C84455"/>
    <w:rsid w:val="00C84BED"/>
    <w:rsid w:val="00C85E26"/>
    <w:rsid w:val="00C86460"/>
    <w:rsid w:val="00C8673D"/>
    <w:rsid w:val="00C8693D"/>
    <w:rsid w:val="00C873D7"/>
    <w:rsid w:val="00C87EFD"/>
    <w:rsid w:val="00C90546"/>
    <w:rsid w:val="00C90C36"/>
    <w:rsid w:val="00C91453"/>
    <w:rsid w:val="00C9149E"/>
    <w:rsid w:val="00C915D5"/>
    <w:rsid w:val="00C91BFC"/>
    <w:rsid w:val="00C91D97"/>
    <w:rsid w:val="00C932C1"/>
    <w:rsid w:val="00C939EF"/>
    <w:rsid w:val="00C93B74"/>
    <w:rsid w:val="00C9422A"/>
    <w:rsid w:val="00C94249"/>
    <w:rsid w:val="00C944EE"/>
    <w:rsid w:val="00C94FF5"/>
    <w:rsid w:val="00C95B94"/>
    <w:rsid w:val="00C97724"/>
    <w:rsid w:val="00C97766"/>
    <w:rsid w:val="00C97AC2"/>
    <w:rsid w:val="00C97CD1"/>
    <w:rsid w:val="00CA0187"/>
    <w:rsid w:val="00CA0811"/>
    <w:rsid w:val="00CA12D9"/>
    <w:rsid w:val="00CA1FC1"/>
    <w:rsid w:val="00CA2439"/>
    <w:rsid w:val="00CA2794"/>
    <w:rsid w:val="00CA3899"/>
    <w:rsid w:val="00CA3F9D"/>
    <w:rsid w:val="00CA3FDD"/>
    <w:rsid w:val="00CA4CD6"/>
    <w:rsid w:val="00CA4E04"/>
    <w:rsid w:val="00CA4EAC"/>
    <w:rsid w:val="00CA5C70"/>
    <w:rsid w:val="00CA6261"/>
    <w:rsid w:val="00CA6C10"/>
    <w:rsid w:val="00CA784C"/>
    <w:rsid w:val="00CA7FED"/>
    <w:rsid w:val="00CB068B"/>
    <w:rsid w:val="00CB09D5"/>
    <w:rsid w:val="00CB3402"/>
    <w:rsid w:val="00CB3792"/>
    <w:rsid w:val="00CB38CC"/>
    <w:rsid w:val="00CB3CED"/>
    <w:rsid w:val="00CB3CF6"/>
    <w:rsid w:val="00CB3E42"/>
    <w:rsid w:val="00CB4277"/>
    <w:rsid w:val="00CB457E"/>
    <w:rsid w:val="00CB49E0"/>
    <w:rsid w:val="00CB5825"/>
    <w:rsid w:val="00CB5B17"/>
    <w:rsid w:val="00CB5DD4"/>
    <w:rsid w:val="00CB61A9"/>
    <w:rsid w:val="00CC04E6"/>
    <w:rsid w:val="00CC0A92"/>
    <w:rsid w:val="00CC1055"/>
    <w:rsid w:val="00CC16F7"/>
    <w:rsid w:val="00CC1714"/>
    <w:rsid w:val="00CC176F"/>
    <w:rsid w:val="00CC18DB"/>
    <w:rsid w:val="00CC1DC2"/>
    <w:rsid w:val="00CC1E79"/>
    <w:rsid w:val="00CC28FD"/>
    <w:rsid w:val="00CC2A61"/>
    <w:rsid w:val="00CC38FE"/>
    <w:rsid w:val="00CC4376"/>
    <w:rsid w:val="00CC4798"/>
    <w:rsid w:val="00CC47CC"/>
    <w:rsid w:val="00CC4E13"/>
    <w:rsid w:val="00CC56F9"/>
    <w:rsid w:val="00CC574C"/>
    <w:rsid w:val="00CC5CC3"/>
    <w:rsid w:val="00CC5E97"/>
    <w:rsid w:val="00CC6BD5"/>
    <w:rsid w:val="00CC7013"/>
    <w:rsid w:val="00CC71D2"/>
    <w:rsid w:val="00CC78E5"/>
    <w:rsid w:val="00CC7ADC"/>
    <w:rsid w:val="00CD00D8"/>
    <w:rsid w:val="00CD02FA"/>
    <w:rsid w:val="00CD0368"/>
    <w:rsid w:val="00CD0522"/>
    <w:rsid w:val="00CD118F"/>
    <w:rsid w:val="00CD1939"/>
    <w:rsid w:val="00CD1BE4"/>
    <w:rsid w:val="00CD22A5"/>
    <w:rsid w:val="00CD2374"/>
    <w:rsid w:val="00CD31F4"/>
    <w:rsid w:val="00CD3297"/>
    <w:rsid w:val="00CD3347"/>
    <w:rsid w:val="00CD37B5"/>
    <w:rsid w:val="00CD3F4F"/>
    <w:rsid w:val="00CD41B9"/>
    <w:rsid w:val="00CD4B02"/>
    <w:rsid w:val="00CD5EAB"/>
    <w:rsid w:val="00CD5EB5"/>
    <w:rsid w:val="00CD5F3B"/>
    <w:rsid w:val="00CD63FE"/>
    <w:rsid w:val="00CD6630"/>
    <w:rsid w:val="00CD68FC"/>
    <w:rsid w:val="00CD6CE2"/>
    <w:rsid w:val="00CD6DEC"/>
    <w:rsid w:val="00CD6F68"/>
    <w:rsid w:val="00CD6FC0"/>
    <w:rsid w:val="00CD7682"/>
    <w:rsid w:val="00CD76C2"/>
    <w:rsid w:val="00CD782B"/>
    <w:rsid w:val="00CE05E9"/>
    <w:rsid w:val="00CE135F"/>
    <w:rsid w:val="00CE16E9"/>
    <w:rsid w:val="00CE17AF"/>
    <w:rsid w:val="00CE1912"/>
    <w:rsid w:val="00CE25C0"/>
    <w:rsid w:val="00CE2F1C"/>
    <w:rsid w:val="00CE36A2"/>
    <w:rsid w:val="00CE3ED0"/>
    <w:rsid w:val="00CE453A"/>
    <w:rsid w:val="00CE4954"/>
    <w:rsid w:val="00CE7233"/>
    <w:rsid w:val="00CE77F1"/>
    <w:rsid w:val="00CF0442"/>
    <w:rsid w:val="00CF1BA7"/>
    <w:rsid w:val="00CF22E5"/>
    <w:rsid w:val="00CF346A"/>
    <w:rsid w:val="00CF36AC"/>
    <w:rsid w:val="00CF36FD"/>
    <w:rsid w:val="00CF3758"/>
    <w:rsid w:val="00CF455A"/>
    <w:rsid w:val="00CF57A6"/>
    <w:rsid w:val="00CF5A6C"/>
    <w:rsid w:val="00CF676C"/>
    <w:rsid w:val="00CF676F"/>
    <w:rsid w:val="00CF686F"/>
    <w:rsid w:val="00CF6A1A"/>
    <w:rsid w:val="00CF7FD8"/>
    <w:rsid w:val="00D01286"/>
    <w:rsid w:val="00D01677"/>
    <w:rsid w:val="00D0240C"/>
    <w:rsid w:val="00D02BA4"/>
    <w:rsid w:val="00D02DE1"/>
    <w:rsid w:val="00D03329"/>
    <w:rsid w:val="00D03833"/>
    <w:rsid w:val="00D03F21"/>
    <w:rsid w:val="00D046E9"/>
    <w:rsid w:val="00D05633"/>
    <w:rsid w:val="00D056E5"/>
    <w:rsid w:val="00D0601C"/>
    <w:rsid w:val="00D06279"/>
    <w:rsid w:val="00D064C7"/>
    <w:rsid w:val="00D064E0"/>
    <w:rsid w:val="00D06CAA"/>
    <w:rsid w:val="00D10034"/>
    <w:rsid w:val="00D1054F"/>
    <w:rsid w:val="00D109F2"/>
    <w:rsid w:val="00D10B82"/>
    <w:rsid w:val="00D1102C"/>
    <w:rsid w:val="00D11839"/>
    <w:rsid w:val="00D11DDE"/>
    <w:rsid w:val="00D1246F"/>
    <w:rsid w:val="00D12717"/>
    <w:rsid w:val="00D12746"/>
    <w:rsid w:val="00D127CA"/>
    <w:rsid w:val="00D12C55"/>
    <w:rsid w:val="00D130EA"/>
    <w:rsid w:val="00D13CCD"/>
    <w:rsid w:val="00D13D6E"/>
    <w:rsid w:val="00D13DDC"/>
    <w:rsid w:val="00D14CEE"/>
    <w:rsid w:val="00D15415"/>
    <w:rsid w:val="00D166E6"/>
    <w:rsid w:val="00D1688E"/>
    <w:rsid w:val="00D16953"/>
    <w:rsid w:val="00D16D3C"/>
    <w:rsid w:val="00D1793E"/>
    <w:rsid w:val="00D17A45"/>
    <w:rsid w:val="00D17EC8"/>
    <w:rsid w:val="00D20461"/>
    <w:rsid w:val="00D20760"/>
    <w:rsid w:val="00D20880"/>
    <w:rsid w:val="00D20D66"/>
    <w:rsid w:val="00D214EB"/>
    <w:rsid w:val="00D217EB"/>
    <w:rsid w:val="00D2219D"/>
    <w:rsid w:val="00D223C3"/>
    <w:rsid w:val="00D22434"/>
    <w:rsid w:val="00D225C4"/>
    <w:rsid w:val="00D22D1D"/>
    <w:rsid w:val="00D2323C"/>
    <w:rsid w:val="00D23704"/>
    <w:rsid w:val="00D2395E"/>
    <w:rsid w:val="00D23968"/>
    <w:rsid w:val="00D24D38"/>
    <w:rsid w:val="00D24F5B"/>
    <w:rsid w:val="00D25432"/>
    <w:rsid w:val="00D265B8"/>
    <w:rsid w:val="00D266F5"/>
    <w:rsid w:val="00D267F1"/>
    <w:rsid w:val="00D303B4"/>
    <w:rsid w:val="00D30EB7"/>
    <w:rsid w:val="00D312C3"/>
    <w:rsid w:val="00D3138F"/>
    <w:rsid w:val="00D324B8"/>
    <w:rsid w:val="00D3329A"/>
    <w:rsid w:val="00D34222"/>
    <w:rsid w:val="00D34664"/>
    <w:rsid w:val="00D36B2F"/>
    <w:rsid w:val="00D37898"/>
    <w:rsid w:val="00D3793A"/>
    <w:rsid w:val="00D40A4A"/>
    <w:rsid w:val="00D419C8"/>
    <w:rsid w:val="00D41C82"/>
    <w:rsid w:val="00D41EC6"/>
    <w:rsid w:val="00D423EE"/>
    <w:rsid w:val="00D4284C"/>
    <w:rsid w:val="00D43AE6"/>
    <w:rsid w:val="00D43B28"/>
    <w:rsid w:val="00D43BD3"/>
    <w:rsid w:val="00D44072"/>
    <w:rsid w:val="00D44E51"/>
    <w:rsid w:val="00D45621"/>
    <w:rsid w:val="00D45674"/>
    <w:rsid w:val="00D471E8"/>
    <w:rsid w:val="00D50AE9"/>
    <w:rsid w:val="00D50FF2"/>
    <w:rsid w:val="00D516F5"/>
    <w:rsid w:val="00D5330C"/>
    <w:rsid w:val="00D53325"/>
    <w:rsid w:val="00D53C4F"/>
    <w:rsid w:val="00D544DB"/>
    <w:rsid w:val="00D54869"/>
    <w:rsid w:val="00D54ECB"/>
    <w:rsid w:val="00D556D6"/>
    <w:rsid w:val="00D55AB4"/>
    <w:rsid w:val="00D55D13"/>
    <w:rsid w:val="00D5676A"/>
    <w:rsid w:val="00D57012"/>
    <w:rsid w:val="00D5761A"/>
    <w:rsid w:val="00D576B5"/>
    <w:rsid w:val="00D57A38"/>
    <w:rsid w:val="00D57AAA"/>
    <w:rsid w:val="00D57C9C"/>
    <w:rsid w:val="00D601A8"/>
    <w:rsid w:val="00D615F8"/>
    <w:rsid w:val="00D61811"/>
    <w:rsid w:val="00D621FD"/>
    <w:rsid w:val="00D62D62"/>
    <w:rsid w:val="00D636D9"/>
    <w:rsid w:val="00D63C32"/>
    <w:rsid w:val="00D64AF3"/>
    <w:rsid w:val="00D64F51"/>
    <w:rsid w:val="00D65934"/>
    <w:rsid w:val="00D663C6"/>
    <w:rsid w:val="00D66597"/>
    <w:rsid w:val="00D66ADA"/>
    <w:rsid w:val="00D67095"/>
    <w:rsid w:val="00D67EE7"/>
    <w:rsid w:val="00D70B5E"/>
    <w:rsid w:val="00D71014"/>
    <w:rsid w:val="00D7157E"/>
    <w:rsid w:val="00D71D06"/>
    <w:rsid w:val="00D72449"/>
    <w:rsid w:val="00D72868"/>
    <w:rsid w:val="00D7362D"/>
    <w:rsid w:val="00D73B6C"/>
    <w:rsid w:val="00D73D2E"/>
    <w:rsid w:val="00D73FBF"/>
    <w:rsid w:val="00D740B0"/>
    <w:rsid w:val="00D74124"/>
    <w:rsid w:val="00D751E1"/>
    <w:rsid w:val="00D75D93"/>
    <w:rsid w:val="00D7615D"/>
    <w:rsid w:val="00D766AE"/>
    <w:rsid w:val="00D7678D"/>
    <w:rsid w:val="00D76AF1"/>
    <w:rsid w:val="00D76B2A"/>
    <w:rsid w:val="00D76FD3"/>
    <w:rsid w:val="00D77035"/>
    <w:rsid w:val="00D776FA"/>
    <w:rsid w:val="00D777E7"/>
    <w:rsid w:val="00D801FD"/>
    <w:rsid w:val="00D82159"/>
    <w:rsid w:val="00D8253A"/>
    <w:rsid w:val="00D834C6"/>
    <w:rsid w:val="00D83C2E"/>
    <w:rsid w:val="00D83F50"/>
    <w:rsid w:val="00D8448A"/>
    <w:rsid w:val="00D84759"/>
    <w:rsid w:val="00D847EA"/>
    <w:rsid w:val="00D84F73"/>
    <w:rsid w:val="00D85CD7"/>
    <w:rsid w:val="00D87027"/>
    <w:rsid w:val="00D901DC"/>
    <w:rsid w:val="00D90D9B"/>
    <w:rsid w:val="00D914AF"/>
    <w:rsid w:val="00D91F1E"/>
    <w:rsid w:val="00D9204A"/>
    <w:rsid w:val="00D93662"/>
    <w:rsid w:val="00D93B38"/>
    <w:rsid w:val="00D93D11"/>
    <w:rsid w:val="00D94A85"/>
    <w:rsid w:val="00D95385"/>
    <w:rsid w:val="00D9540A"/>
    <w:rsid w:val="00D95657"/>
    <w:rsid w:val="00D95EB6"/>
    <w:rsid w:val="00D9664C"/>
    <w:rsid w:val="00D968AA"/>
    <w:rsid w:val="00D96CD1"/>
    <w:rsid w:val="00D971FB"/>
    <w:rsid w:val="00D978DD"/>
    <w:rsid w:val="00D97CFD"/>
    <w:rsid w:val="00DA02D9"/>
    <w:rsid w:val="00DA0345"/>
    <w:rsid w:val="00DA14D6"/>
    <w:rsid w:val="00DA1AF9"/>
    <w:rsid w:val="00DA1F5F"/>
    <w:rsid w:val="00DA26B3"/>
    <w:rsid w:val="00DA2851"/>
    <w:rsid w:val="00DA32BC"/>
    <w:rsid w:val="00DA3DC4"/>
    <w:rsid w:val="00DA419B"/>
    <w:rsid w:val="00DA4349"/>
    <w:rsid w:val="00DA4B46"/>
    <w:rsid w:val="00DA4BD0"/>
    <w:rsid w:val="00DA4FAD"/>
    <w:rsid w:val="00DA4FED"/>
    <w:rsid w:val="00DA50A9"/>
    <w:rsid w:val="00DA5372"/>
    <w:rsid w:val="00DA57E2"/>
    <w:rsid w:val="00DA5C5A"/>
    <w:rsid w:val="00DA6F22"/>
    <w:rsid w:val="00DB0C56"/>
    <w:rsid w:val="00DB15FA"/>
    <w:rsid w:val="00DB1782"/>
    <w:rsid w:val="00DB1D3E"/>
    <w:rsid w:val="00DB1F2A"/>
    <w:rsid w:val="00DB226A"/>
    <w:rsid w:val="00DB2FC7"/>
    <w:rsid w:val="00DB3007"/>
    <w:rsid w:val="00DB3099"/>
    <w:rsid w:val="00DB3654"/>
    <w:rsid w:val="00DB39A1"/>
    <w:rsid w:val="00DB418D"/>
    <w:rsid w:val="00DB4EB4"/>
    <w:rsid w:val="00DB5226"/>
    <w:rsid w:val="00DB52CE"/>
    <w:rsid w:val="00DB5607"/>
    <w:rsid w:val="00DB5895"/>
    <w:rsid w:val="00DB5B4B"/>
    <w:rsid w:val="00DB5D86"/>
    <w:rsid w:val="00DB66DF"/>
    <w:rsid w:val="00DB68F1"/>
    <w:rsid w:val="00DB6E4C"/>
    <w:rsid w:val="00DB794D"/>
    <w:rsid w:val="00DC0A77"/>
    <w:rsid w:val="00DC18C3"/>
    <w:rsid w:val="00DC1C82"/>
    <w:rsid w:val="00DC2242"/>
    <w:rsid w:val="00DC2F53"/>
    <w:rsid w:val="00DC3978"/>
    <w:rsid w:val="00DC4189"/>
    <w:rsid w:val="00DC4341"/>
    <w:rsid w:val="00DC50DA"/>
    <w:rsid w:val="00DC5235"/>
    <w:rsid w:val="00DC55BE"/>
    <w:rsid w:val="00DC57B6"/>
    <w:rsid w:val="00DC5978"/>
    <w:rsid w:val="00DC5F21"/>
    <w:rsid w:val="00DC6195"/>
    <w:rsid w:val="00DC628F"/>
    <w:rsid w:val="00DC642C"/>
    <w:rsid w:val="00DC678E"/>
    <w:rsid w:val="00DC6FF0"/>
    <w:rsid w:val="00DD05FE"/>
    <w:rsid w:val="00DD1AB8"/>
    <w:rsid w:val="00DD24A2"/>
    <w:rsid w:val="00DD370A"/>
    <w:rsid w:val="00DD3EAA"/>
    <w:rsid w:val="00DD4542"/>
    <w:rsid w:val="00DD4585"/>
    <w:rsid w:val="00DD4934"/>
    <w:rsid w:val="00DD4CB8"/>
    <w:rsid w:val="00DD589B"/>
    <w:rsid w:val="00DD63DD"/>
    <w:rsid w:val="00DD6594"/>
    <w:rsid w:val="00DD669E"/>
    <w:rsid w:val="00DD68EE"/>
    <w:rsid w:val="00DE02C6"/>
    <w:rsid w:val="00DE02D8"/>
    <w:rsid w:val="00DE0F1B"/>
    <w:rsid w:val="00DE16A3"/>
    <w:rsid w:val="00DE1A1C"/>
    <w:rsid w:val="00DE1C4C"/>
    <w:rsid w:val="00DE3A11"/>
    <w:rsid w:val="00DE3FED"/>
    <w:rsid w:val="00DE4C68"/>
    <w:rsid w:val="00DE4EF2"/>
    <w:rsid w:val="00DE50E0"/>
    <w:rsid w:val="00DE5FB2"/>
    <w:rsid w:val="00DE6284"/>
    <w:rsid w:val="00DE62FD"/>
    <w:rsid w:val="00DE6545"/>
    <w:rsid w:val="00DE6990"/>
    <w:rsid w:val="00DE71DF"/>
    <w:rsid w:val="00DE7305"/>
    <w:rsid w:val="00DE7BE6"/>
    <w:rsid w:val="00DF0B43"/>
    <w:rsid w:val="00DF0C2F"/>
    <w:rsid w:val="00DF190B"/>
    <w:rsid w:val="00DF2FD0"/>
    <w:rsid w:val="00DF31C7"/>
    <w:rsid w:val="00DF3FA5"/>
    <w:rsid w:val="00DF47FD"/>
    <w:rsid w:val="00DF487C"/>
    <w:rsid w:val="00DF4F90"/>
    <w:rsid w:val="00DF5D5B"/>
    <w:rsid w:val="00DF6E07"/>
    <w:rsid w:val="00DF799A"/>
    <w:rsid w:val="00DF7DF7"/>
    <w:rsid w:val="00DF7E7C"/>
    <w:rsid w:val="00E00B0A"/>
    <w:rsid w:val="00E00DF0"/>
    <w:rsid w:val="00E016FF"/>
    <w:rsid w:val="00E01A43"/>
    <w:rsid w:val="00E01D75"/>
    <w:rsid w:val="00E03B51"/>
    <w:rsid w:val="00E03D6B"/>
    <w:rsid w:val="00E03EEB"/>
    <w:rsid w:val="00E041A3"/>
    <w:rsid w:val="00E04FED"/>
    <w:rsid w:val="00E07819"/>
    <w:rsid w:val="00E07A2F"/>
    <w:rsid w:val="00E10356"/>
    <w:rsid w:val="00E1181C"/>
    <w:rsid w:val="00E121D0"/>
    <w:rsid w:val="00E12352"/>
    <w:rsid w:val="00E13409"/>
    <w:rsid w:val="00E13863"/>
    <w:rsid w:val="00E138F0"/>
    <w:rsid w:val="00E139C2"/>
    <w:rsid w:val="00E13A8D"/>
    <w:rsid w:val="00E14593"/>
    <w:rsid w:val="00E147D8"/>
    <w:rsid w:val="00E15853"/>
    <w:rsid w:val="00E15C64"/>
    <w:rsid w:val="00E16144"/>
    <w:rsid w:val="00E17CE9"/>
    <w:rsid w:val="00E17FB1"/>
    <w:rsid w:val="00E21228"/>
    <w:rsid w:val="00E217DA"/>
    <w:rsid w:val="00E21E38"/>
    <w:rsid w:val="00E21E5C"/>
    <w:rsid w:val="00E21F1F"/>
    <w:rsid w:val="00E24573"/>
    <w:rsid w:val="00E25224"/>
    <w:rsid w:val="00E256D2"/>
    <w:rsid w:val="00E25DA2"/>
    <w:rsid w:val="00E25F7C"/>
    <w:rsid w:val="00E26144"/>
    <w:rsid w:val="00E2632B"/>
    <w:rsid w:val="00E26693"/>
    <w:rsid w:val="00E266B9"/>
    <w:rsid w:val="00E26C1C"/>
    <w:rsid w:val="00E2715B"/>
    <w:rsid w:val="00E27BA1"/>
    <w:rsid w:val="00E27F46"/>
    <w:rsid w:val="00E30371"/>
    <w:rsid w:val="00E30F5D"/>
    <w:rsid w:val="00E31269"/>
    <w:rsid w:val="00E32759"/>
    <w:rsid w:val="00E334EE"/>
    <w:rsid w:val="00E33E39"/>
    <w:rsid w:val="00E34164"/>
    <w:rsid w:val="00E352BA"/>
    <w:rsid w:val="00E355A1"/>
    <w:rsid w:val="00E35AD2"/>
    <w:rsid w:val="00E36096"/>
    <w:rsid w:val="00E40032"/>
    <w:rsid w:val="00E408B5"/>
    <w:rsid w:val="00E40FDD"/>
    <w:rsid w:val="00E41248"/>
    <w:rsid w:val="00E4124B"/>
    <w:rsid w:val="00E41C87"/>
    <w:rsid w:val="00E41CB1"/>
    <w:rsid w:val="00E4221D"/>
    <w:rsid w:val="00E42464"/>
    <w:rsid w:val="00E430B7"/>
    <w:rsid w:val="00E433C8"/>
    <w:rsid w:val="00E4439F"/>
    <w:rsid w:val="00E44D19"/>
    <w:rsid w:val="00E45BCD"/>
    <w:rsid w:val="00E46A76"/>
    <w:rsid w:val="00E46CC0"/>
    <w:rsid w:val="00E46E38"/>
    <w:rsid w:val="00E5080F"/>
    <w:rsid w:val="00E50BC6"/>
    <w:rsid w:val="00E51002"/>
    <w:rsid w:val="00E51BF2"/>
    <w:rsid w:val="00E51CFE"/>
    <w:rsid w:val="00E53C99"/>
    <w:rsid w:val="00E54A01"/>
    <w:rsid w:val="00E54BE2"/>
    <w:rsid w:val="00E55FE1"/>
    <w:rsid w:val="00E5681C"/>
    <w:rsid w:val="00E56A81"/>
    <w:rsid w:val="00E5764E"/>
    <w:rsid w:val="00E578DC"/>
    <w:rsid w:val="00E57C6F"/>
    <w:rsid w:val="00E61476"/>
    <w:rsid w:val="00E639E9"/>
    <w:rsid w:val="00E63A16"/>
    <w:rsid w:val="00E63E11"/>
    <w:rsid w:val="00E64096"/>
    <w:rsid w:val="00E64C3A"/>
    <w:rsid w:val="00E65734"/>
    <w:rsid w:val="00E65783"/>
    <w:rsid w:val="00E65C60"/>
    <w:rsid w:val="00E65EC7"/>
    <w:rsid w:val="00E66597"/>
    <w:rsid w:val="00E66945"/>
    <w:rsid w:val="00E66EE6"/>
    <w:rsid w:val="00E678AD"/>
    <w:rsid w:val="00E708EA"/>
    <w:rsid w:val="00E70C09"/>
    <w:rsid w:val="00E71A6D"/>
    <w:rsid w:val="00E7259B"/>
    <w:rsid w:val="00E725C0"/>
    <w:rsid w:val="00E726D5"/>
    <w:rsid w:val="00E73CF2"/>
    <w:rsid w:val="00E740FA"/>
    <w:rsid w:val="00E74C33"/>
    <w:rsid w:val="00E75790"/>
    <w:rsid w:val="00E75942"/>
    <w:rsid w:val="00E75990"/>
    <w:rsid w:val="00E764C9"/>
    <w:rsid w:val="00E76621"/>
    <w:rsid w:val="00E775B3"/>
    <w:rsid w:val="00E77712"/>
    <w:rsid w:val="00E77E55"/>
    <w:rsid w:val="00E80298"/>
    <w:rsid w:val="00E80410"/>
    <w:rsid w:val="00E80910"/>
    <w:rsid w:val="00E80DDD"/>
    <w:rsid w:val="00E80F39"/>
    <w:rsid w:val="00E813E6"/>
    <w:rsid w:val="00E818E0"/>
    <w:rsid w:val="00E81BE7"/>
    <w:rsid w:val="00E81EA0"/>
    <w:rsid w:val="00E83647"/>
    <w:rsid w:val="00E83686"/>
    <w:rsid w:val="00E83DB9"/>
    <w:rsid w:val="00E84434"/>
    <w:rsid w:val="00E84565"/>
    <w:rsid w:val="00E84FBA"/>
    <w:rsid w:val="00E8594C"/>
    <w:rsid w:val="00E859E6"/>
    <w:rsid w:val="00E85CC3"/>
    <w:rsid w:val="00E86198"/>
    <w:rsid w:val="00E86508"/>
    <w:rsid w:val="00E8652F"/>
    <w:rsid w:val="00E86723"/>
    <w:rsid w:val="00E86833"/>
    <w:rsid w:val="00E86A11"/>
    <w:rsid w:val="00E87371"/>
    <w:rsid w:val="00E90A31"/>
    <w:rsid w:val="00E91DB3"/>
    <w:rsid w:val="00E929DA"/>
    <w:rsid w:val="00E92BE6"/>
    <w:rsid w:val="00E9384D"/>
    <w:rsid w:val="00E94025"/>
    <w:rsid w:val="00E94759"/>
    <w:rsid w:val="00E947C6"/>
    <w:rsid w:val="00E9709D"/>
    <w:rsid w:val="00E97971"/>
    <w:rsid w:val="00EA03DC"/>
    <w:rsid w:val="00EA046C"/>
    <w:rsid w:val="00EA0A54"/>
    <w:rsid w:val="00EA15ED"/>
    <w:rsid w:val="00EA16B2"/>
    <w:rsid w:val="00EA1A06"/>
    <w:rsid w:val="00EA1FB6"/>
    <w:rsid w:val="00EA2684"/>
    <w:rsid w:val="00EA2836"/>
    <w:rsid w:val="00EA29B0"/>
    <w:rsid w:val="00EA3301"/>
    <w:rsid w:val="00EA373D"/>
    <w:rsid w:val="00EA3761"/>
    <w:rsid w:val="00EA445F"/>
    <w:rsid w:val="00EA52B7"/>
    <w:rsid w:val="00EA59C1"/>
    <w:rsid w:val="00EA5E95"/>
    <w:rsid w:val="00EA63C1"/>
    <w:rsid w:val="00EA67E8"/>
    <w:rsid w:val="00EA6BE5"/>
    <w:rsid w:val="00EA7492"/>
    <w:rsid w:val="00EB0222"/>
    <w:rsid w:val="00EB0ACF"/>
    <w:rsid w:val="00EB21E5"/>
    <w:rsid w:val="00EB2772"/>
    <w:rsid w:val="00EB32C7"/>
    <w:rsid w:val="00EB52C0"/>
    <w:rsid w:val="00EB5757"/>
    <w:rsid w:val="00EB59B5"/>
    <w:rsid w:val="00EB6436"/>
    <w:rsid w:val="00EB691F"/>
    <w:rsid w:val="00EB7BAD"/>
    <w:rsid w:val="00EB7BDA"/>
    <w:rsid w:val="00EB7F82"/>
    <w:rsid w:val="00EB7F8E"/>
    <w:rsid w:val="00EC1DD4"/>
    <w:rsid w:val="00EC27BD"/>
    <w:rsid w:val="00EC29FA"/>
    <w:rsid w:val="00EC2CED"/>
    <w:rsid w:val="00EC2FE0"/>
    <w:rsid w:val="00EC3F02"/>
    <w:rsid w:val="00EC40AD"/>
    <w:rsid w:val="00EC4186"/>
    <w:rsid w:val="00EC46B9"/>
    <w:rsid w:val="00EC4917"/>
    <w:rsid w:val="00EC4B1E"/>
    <w:rsid w:val="00EC4D12"/>
    <w:rsid w:val="00EC5285"/>
    <w:rsid w:val="00EC5741"/>
    <w:rsid w:val="00EC5785"/>
    <w:rsid w:val="00EC76D0"/>
    <w:rsid w:val="00EC7FFC"/>
    <w:rsid w:val="00ED051D"/>
    <w:rsid w:val="00ED05C8"/>
    <w:rsid w:val="00ED1F52"/>
    <w:rsid w:val="00ED1FE5"/>
    <w:rsid w:val="00ED25E3"/>
    <w:rsid w:val="00ED29FC"/>
    <w:rsid w:val="00ED31FC"/>
    <w:rsid w:val="00ED35AC"/>
    <w:rsid w:val="00ED4AC6"/>
    <w:rsid w:val="00ED4CD1"/>
    <w:rsid w:val="00ED5164"/>
    <w:rsid w:val="00ED60AB"/>
    <w:rsid w:val="00ED6A84"/>
    <w:rsid w:val="00EE01B2"/>
    <w:rsid w:val="00EE0366"/>
    <w:rsid w:val="00EE038B"/>
    <w:rsid w:val="00EE094E"/>
    <w:rsid w:val="00EE0B29"/>
    <w:rsid w:val="00EE15E0"/>
    <w:rsid w:val="00EE1C85"/>
    <w:rsid w:val="00EE2596"/>
    <w:rsid w:val="00EE346D"/>
    <w:rsid w:val="00EE45D9"/>
    <w:rsid w:val="00EE475B"/>
    <w:rsid w:val="00EE5412"/>
    <w:rsid w:val="00EE5523"/>
    <w:rsid w:val="00EE55EE"/>
    <w:rsid w:val="00EE5AB0"/>
    <w:rsid w:val="00EE5E09"/>
    <w:rsid w:val="00EE653A"/>
    <w:rsid w:val="00EE6B76"/>
    <w:rsid w:val="00EE6F50"/>
    <w:rsid w:val="00EE75E4"/>
    <w:rsid w:val="00EE7674"/>
    <w:rsid w:val="00EE76A6"/>
    <w:rsid w:val="00EE7FB2"/>
    <w:rsid w:val="00EF055C"/>
    <w:rsid w:val="00EF08C9"/>
    <w:rsid w:val="00EF09CC"/>
    <w:rsid w:val="00EF0C1E"/>
    <w:rsid w:val="00EF0ED5"/>
    <w:rsid w:val="00EF1126"/>
    <w:rsid w:val="00EF14A7"/>
    <w:rsid w:val="00EF2D77"/>
    <w:rsid w:val="00EF35AA"/>
    <w:rsid w:val="00EF366E"/>
    <w:rsid w:val="00EF3754"/>
    <w:rsid w:val="00EF432A"/>
    <w:rsid w:val="00EF489E"/>
    <w:rsid w:val="00EF5421"/>
    <w:rsid w:val="00EF612F"/>
    <w:rsid w:val="00EF6BEE"/>
    <w:rsid w:val="00EF7B9A"/>
    <w:rsid w:val="00F000A6"/>
    <w:rsid w:val="00F00D48"/>
    <w:rsid w:val="00F0111D"/>
    <w:rsid w:val="00F021CF"/>
    <w:rsid w:val="00F0258E"/>
    <w:rsid w:val="00F0272D"/>
    <w:rsid w:val="00F02CA5"/>
    <w:rsid w:val="00F0309A"/>
    <w:rsid w:val="00F03694"/>
    <w:rsid w:val="00F037CB"/>
    <w:rsid w:val="00F04275"/>
    <w:rsid w:val="00F047F6"/>
    <w:rsid w:val="00F04A00"/>
    <w:rsid w:val="00F0518E"/>
    <w:rsid w:val="00F05A74"/>
    <w:rsid w:val="00F06058"/>
    <w:rsid w:val="00F06476"/>
    <w:rsid w:val="00F06E70"/>
    <w:rsid w:val="00F06F65"/>
    <w:rsid w:val="00F07318"/>
    <w:rsid w:val="00F07457"/>
    <w:rsid w:val="00F11365"/>
    <w:rsid w:val="00F1278A"/>
    <w:rsid w:val="00F12BE5"/>
    <w:rsid w:val="00F13346"/>
    <w:rsid w:val="00F13528"/>
    <w:rsid w:val="00F13FF1"/>
    <w:rsid w:val="00F14AEC"/>
    <w:rsid w:val="00F14D49"/>
    <w:rsid w:val="00F15004"/>
    <w:rsid w:val="00F1572A"/>
    <w:rsid w:val="00F16A32"/>
    <w:rsid w:val="00F171CB"/>
    <w:rsid w:val="00F172E2"/>
    <w:rsid w:val="00F2038B"/>
    <w:rsid w:val="00F214B7"/>
    <w:rsid w:val="00F216CE"/>
    <w:rsid w:val="00F21869"/>
    <w:rsid w:val="00F21B7F"/>
    <w:rsid w:val="00F21EDC"/>
    <w:rsid w:val="00F2413C"/>
    <w:rsid w:val="00F2451C"/>
    <w:rsid w:val="00F24F65"/>
    <w:rsid w:val="00F25F25"/>
    <w:rsid w:val="00F26E96"/>
    <w:rsid w:val="00F270C9"/>
    <w:rsid w:val="00F27955"/>
    <w:rsid w:val="00F30042"/>
    <w:rsid w:val="00F30231"/>
    <w:rsid w:val="00F30281"/>
    <w:rsid w:val="00F30441"/>
    <w:rsid w:val="00F30A98"/>
    <w:rsid w:val="00F3115F"/>
    <w:rsid w:val="00F319DC"/>
    <w:rsid w:val="00F31E85"/>
    <w:rsid w:val="00F323B1"/>
    <w:rsid w:val="00F33A5D"/>
    <w:rsid w:val="00F33CEB"/>
    <w:rsid w:val="00F352E4"/>
    <w:rsid w:val="00F36D27"/>
    <w:rsid w:val="00F36EB8"/>
    <w:rsid w:val="00F3726B"/>
    <w:rsid w:val="00F405C0"/>
    <w:rsid w:val="00F409AE"/>
    <w:rsid w:val="00F41617"/>
    <w:rsid w:val="00F41DF7"/>
    <w:rsid w:val="00F41F96"/>
    <w:rsid w:val="00F42325"/>
    <w:rsid w:val="00F438D9"/>
    <w:rsid w:val="00F43B15"/>
    <w:rsid w:val="00F44D80"/>
    <w:rsid w:val="00F4502E"/>
    <w:rsid w:val="00F452B4"/>
    <w:rsid w:val="00F457E3"/>
    <w:rsid w:val="00F45D1B"/>
    <w:rsid w:val="00F45F40"/>
    <w:rsid w:val="00F46AE2"/>
    <w:rsid w:val="00F47A90"/>
    <w:rsid w:val="00F50E70"/>
    <w:rsid w:val="00F51194"/>
    <w:rsid w:val="00F5231C"/>
    <w:rsid w:val="00F53362"/>
    <w:rsid w:val="00F53584"/>
    <w:rsid w:val="00F536B5"/>
    <w:rsid w:val="00F542A7"/>
    <w:rsid w:val="00F54868"/>
    <w:rsid w:val="00F54C87"/>
    <w:rsid w:val="00F54D4D"/>
    <w:rsid w:val="00F54E16"/>
    <w:rsid w:val="00F55021"/>
    <w:rsid w:val="00F55135"/>
    <w:rsid w:val="00F5581F"/>
    <w:rsid w:val="00F55968"/>
    <w:rsid w:val="00F5680C"/>
    <w:rsid w:val="00F56AB5"/>
    <w:rsid w:val="00F56AE1"/>
    <w:rsid w:val="00F56CCC"/>
    <w:rsid w:val="00F5722A"/>
    <w:rsid w:val="00F57610"/>
    <w:rsid w:val="00F57983"/>
    <w:rsid w:val="00F60392"/>
    <w:rsid w:val="00F60493"/>
    <w:rsid w:val="00F605A9"/>
    <w:rsid w:val="00F60B7A"/>
    <w:rsid w:val="00F60FDC"/>
    <w:rsid w:val="00F61B2F"/>
    <w:rsid w:val="00F61FFC"/>
    <w:rsid w:val="00F62054"/>
    <w:rsid w:val="00F62363"/>
    <w:rsid w:val="00F624B0"/>
    <w:rsid w:val="00F627EA"/>
    <w:rsid w:val="00F62F5E"/>
    <w:rsid w:val="00F63D42"/>
    <w:rsid w:val="00F643D4"/>
    <w:rsid w:val="00F650AF"/>
    <w:rsid w:val="00F65740"/>
    <w:rsid w:val="00F657DB"/>
    <w:rsid w:val="00F672F6"/>
    <w:rsid w:val="00F67323"/>
    <w:rsid w:val="00F70148"/>
    <w:rsid w:val="00F703D6"/>
    <w:rsid w:val="00F710BC"/>
    <w:rsid w:val="00F7320A"/>
    <w:rsid w:val="00F733FE"/>
    <w:rsid w:val="00F7359E"/>
    <w:rsid w:val="00F7439C"/>
    <w:rsid w:val="00F7452B"/>
    <w:rsid w:val="00F7544A"/>
    <w:rsid w:val="00F75A35"/>
    <w:rsid w:val="00F75D4B"/>
    <w:rsid w:val="00F76881"/>
    <w:rsid w:val="00F768CD"/>
    <w:rsid w:val="00F7697F"/>
    <w:rsid w:val="00F773EC"/>
    <w:rsid w:val="00F77965"/>
    <w:rsid w:val="00F77DD2"/>
    <w:rsid w:val="00F800F8"/>
    <w:rsid w:val="00F802CA"/>
    <w:rsid w:val="00F80303"/>
    <w:rsid w:val="00F803C4"/>
    <w:rsid w:val="00F80631"/>
    <w:rsid w:val="00F81005"/>
    <w:rsid w:val="00F81205"/>
    <w:rsid w:val="00F81583"/>
    <w:rsid w:val="00F81EB6"/>
    <w:rsid w:val="00F820BF"/>
    <w:rsid w:val="00F83198"/>
    <w:rsid w:val="00F8319E"/>
    <w:rsid w:val="00F83791"/>
    <w:rsid w:val="00F83E11"/>
    <w:rsid w:val="00F85436"/>
    <w:rsid w:val="00F8624D"/>
    <w:rsid w:val="00F86688"/>
    <w:rsid w:val="00F866CE"/>
    <w:rsid w:val="00F87F6D"/>
    <w:rsid w:val="00F90EAF"/>
    <w:rsid w:val="00F91CF6"/>
    <w:rsid w:val="00F92DFD"/>
    <w:rsid w:val="00F92F23"/>
    <w:rsid w:val="00F94350"/>
    <w:rsid w:val="00F94612"/>
    <w:rsid w:val="00F9489F"/>
    <w:rsid w:val="00F948B7"/>
    <w:rsid w:val="00F95C4D"/>
    <w:rsid w:val="00F97F31"/>
    <w:rsid w:val="00F97FCE"/>
    <w:rsid w:val="00FA0154"/>
    <w:rsid w:val="00FA114F"/>
    <w:rsid w:val="00FA1C89"/>
    <w:rsid w:val="00FA2CB8"/>
    <w:rsid w:val="00FA3852"/>
    <w:rsid w:val="00FA3DEE"/>
    <w:rsid w:val="00FA3E75"/>
    <w:rsid w:val="00FA4529"/>
    <w:rsid w:val="00FA49B5"/>
    <w:rsid w:val="00FA4B1D"/>
    <w:rsid w:val="00FA54CA"/>
    <w:rsid w:val="00FA5852"/>
    <w:rsid w:val="00FA5B46"/>
    <w:rsid w:val="00FB0B69"/>
    <w:rsid w:val="00FB138E"/>
    <w:rsid w:val="00FB1A8B"/>
    <w:rsid w:val="00FB1ABF"/>
    <w:rsid w:val="00FB2437"/>
    <w:rsid w:val="00FB2CD3"/>
    <w:rsid w:val="00FB35D5"/>
    <w:rsid w:val="00FB3933"/>
    <w:rsid w:val="00FB3CCF"/>
    <w:rsid w:val="00FB3F2B"/>
    <w:rsid w:val="00FB4468"/>
    <w:rsid w:val="00FB47BE"/>
    <w:rsid w:val="00FB4C85"/>
    <w:rsid w:val="00FB4DF9"/>
    <w:rsid w:val="00FB50EE"/>
    <w:rsid w:val="00FB58D8"/>
    <w:rsid w:val="00FB6949"/>
    <w:rsid w:val="00FB7255"/>
    <w:rsid w:val="00FB73A8"/>
    <w:rsid w:val="00FB749C"/>
    <w:rsid w:val="00FB7BA5"/>
    <w:rsid w:val="00FC05EF"/>
    <w:rsid w:val="00FC063D"/>
    <w:rsid w:val="00FC0B58"/>
    <w:rsid w:val="00FC260A"/>
    <w:rsid w:val="00FC3623"/>
    <w:rsid w:val="00FC3745"/>
    <w:rsid w:val="00FC4AB4"/>
    <w:rsid w:val="00FC5073"/>
    <w:rsid w:val="00FC5421"/>
    <w:rsid w:val="00FC5DB9"/>
    <w:rsid w:val="00FC625D"/>
    <w:rsid w:val="00FC64F5"/>
    <w:rsid w:val="00FC752B"/>
    <w:rsid w:val="00FC7699"/>
    <w:rsid w:val="00FC7908"/>
    <w:rsid w:val="00FC7AF9"/>
    <w:rsid w:val="00FD0921"/>
    <w:rsid w:val="00FD0C27"/>
    <w:rsid w:val="00FD1754"/>
    <w:rsid w:val="00FD1FC4"/>
    <w:rsid w:val="00FD35D2"/>
    <w:rsid w:val="00FD391C"/>
    <w:rsid w:val="00FD3DB7"/>
    <w:rsid w:val="00FD4F29"/>
    <w:rsid w:val="00FD4F9C"/>
    <w:rsid w:val="00FD5ABB"/>
    <w:rsid w:val="00FD5D52"/>
    <w:rsid w:val="00FD639E"/>
    <w:rsid w:val="00FD6769"/>
    <w:rsid w:val="00FE00CB"/>
    <w:rsid w:val="00FE01C0"/>
    <w:rsid w:val="00FE0944"/>
    <w:rsid w:val="00FE09A8"/>
    <w:rsid w:val="00FE0D3B"/>
    <w:rsid w:val="00FE0E34"/>
    <w:rsid w:val="00FE1614"/>
    <w:rsid w:val="00FE213D"/>
    <w:rsid w:val="00FE2461"/>
    <w:rsid w:val="00FE24DE"/>
    <w:rsid w:val="00FE26CC"/>
    <w:rsid w:val="00FE2AC8"/>
    <w:rsid w:val="00FE2CE6"/>
    <w:rsid w:val="00FE3018"/>
    <w:rsid w:val="00FE30AB"/>
    <w:rsid w:val="00FE3B5D"/>
    <w:rsid w:val="00FE420A"/>
    <w:rsid w:val="00FE4606"/>
    <w:rsid w:val="00FE4DA6"/>
    <w:rsid w:val="00FE6072"/>
    <w:rsid w:val="00FE6D78"/>
    <w:rsid w:val="00FE7240"/>
    <w:rsid w:val="00FE7AB9"/>
    <w:rsid w:val="00FF040B"/>
    <w:rsid w:val="00FF0CC1"/>
    <w:rsid w:val="00FF2016"/>
    <w:rsid w:val="00FF21FE"/>
    <w:rsid w:val="00FF2498"/>
    <w:rsid w:val="00FF29E7"/>
    <w:rsid w:val="00FF32AB"/>
    <w:rsid w:val="00FF39FD"/>
    <w:rsid w:val="00FF3C57"/>
    <w:rsid w:val="00FF4124"/>
    <w:rsid w:val="00FF451F"/>
    <w:rsid w:val="00FF4C90"/>
    <w:rsid w:val="00FF4CFA"/>
    <w:rsid w:val="00FF553B"/>
    <w:rsid w:val="00FF58B2"/>
    <w:rsid w:val="00FF633B"/>
    <w:rsid w:val="00FF68DE"/>
    <w:rsid w:val="00FF6DD3"/>
    <w:rsid w:val="00FF7250"/>
    <w:rsid w:val="00FF75CD"/>
    <w:rsid w:val="00FF7E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90177"/>
    <o:shapelayout v:ext="edit">
      <o:idmap v:ext="edit" data="1"/>
    </o:shapelayout>
  </w:shapeDefaults>
  <w:decimalSymbol w:val="."/>
  <w:listSeparator w:val=";"/>
  <w14:docId w14:val="63EA0E88"/>
  <w15:docId w15:val="{1D492EC8-7D17-474B-A07F-1DCFE5030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5CD"/>
    <w:pPr>
      <w:spacing w:after="120" w:line="240" w:lineRule="auto"/>
      <w:ind w:firstLine="567"/>
      <w:jc w:val="both"/>
    </w:pPr>
    <w:rPr>
      <w:rFonts w:ascii="Times New Roman" w:eastAsia="Times New Roman" w:hAnsi="Times New Roman" w:cs="Times New Roman"/>
      <w:sz w:val="24"/>
      <w:szCs w:val="24"/>
      <w:lang w:eastAsia="lv-LV"/>
    </w:rPr>
  </w:style>
  <w:style w:type="paragraph" w:styleId="Heading1">
    <w:name w:val="heading 1"/>
    <w:basedOn w:val="Pamatteksts"/>
    <w:next w:val="Pamatteksts"/>
    <w:link w:val="Heading1Char"/>
    <w:qFormat/>
    <w:rsid w:val="00ED051D"/>
    <w:pPr>
      <w:keepNext/>
      <w:keepLines/>
      <w:spacing w:before="360"/>
      <w:ind w:firstLine="0"/>
      <w:outlineLvl w:val="0"/>
    </w:pPr>
    <w:rPr>
      <w:rFonts w:eastAsiaTheme="majorEastAsia" w:cstheme="majorBidi"/>
      <w:b/>
      <w:bCs/>
      <w:szCs w:val="28"/>
      <w:u w:val="single"/>
    </w:rPr>
  </w:style>
  <w:style w:type="paragraph" w:styleId="Heading2">
    <w:name w:val="heading 2"/>
    <w:basedOn w:val="Pamatteksts"/>
    <w:next w:val="Pamatteksts"/>
    <w:link w:val="Heading2Char"/>
    <w:unhideWhenUsed/>
    <w:qFormat/>
    <w:rsid w:val="00ED051D"/>
    <w:pPr>
      <w:keepNext/>
      <w:keepLines/>
      <w:spacing w:before="240"/>
      <w:ind w:left="284" w:firstLine="0"/>
      <w:outlineLvl w:val="1"/>
    </w:pPr>
    <w:rPr>
      <w:rFonts w:eastAsiaTheme="majorEastAsia" w:cstheme="majorBidi"/>
      <w:b/>
      <w:bCs/>
      <w:szCs w:val="26"/>
    </w:rPr>
  </w:style>
  <w:style w:type="paragraph" w:styleId="Heading3">
    <w:name w:val="heading 3"/>
    <w:basedOn w:val="Pamatteksts"/>
    <w:next w:val="Pamatteksts"/>
    <w:link w:val="Heading3Char"/>
    <w:unhideWhenUsed/>
    <w:qFormat/>
    <w:rsid w:val="00ED051D"/>
    <w:pPr>
      <w:keepNext/>
      <w:keepLines/>
      <w:spacing w:before="240"/>
      <w:ind w:left="567" w:firstLine="0"/>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Heading2Char">
    <w:name w:val="Heading 2 Char"/>
    <w:basedOn w:val="DefaultParagraphFont"/>
    <w:link w:val="Heading2"/>
    <w:rsid w:val="00ED051D"/>
    <w:rPr>
      <w:rFonts w:ascii="Times New Roman" w:eastAsiaTheme="majorEastAsia" w:hAnsi="Times New Roman" w:cstheme="majorBidi"/>
      <w:b/>
      <w:bCs/>
      <w:noProof/>
      <w:color w:val="000000" w:themeColor="text1"/>
      <w:sz w:val="24"/>
      <w:szCs w:val="26"/>
      <w:lang w:eastAsia="lv-LV"/>
    </w:rPr>
  </w:style>
  <w:style w:type="character" w:customStyle="1" w:styleId="Heading3Char">
    <w:name w:val="Heading 3 Char"/>
    <w:basedOn w:val="DefaultParagraphFont"/>
    <w:link w:val="Heading3"/>
    <w:rsid w:val="00ED051D"/>
    <w:rPr>
      <w:rFonts w:ascii="Times New Roman" w:eastAsiaTheme="majorEastAsia" w:hAnsi="Times New Roman" w:cstheme="majorBidi"/>
      <w:b/>
      <w:bCs/>
      <w:i/>
      <w:noProof/>
      <w:color w:val="000000" w:themeColor="text1"/>
      <w:sz w:val="24"/>
      <w:szCs w:val="24"/>
      <w:lang w:eastAsia="lv-LV"/>
    </w:rPr>
  </w:style>
  <w:style w:type="paragraph" w:styleId="Title">
    <w:name w:val="Title"/>
    <w:basedOn w:val="Pamatteksts"/>
    <w:next w:val="Pamatteksts"/>
    <w:link w:val="TitleChar"/>
    <w:qFormat/>
    <w:rsid w:val="00741734"/>
    <w:pPr>
      <w:spacing w:after="300"/>
      <w:ind w:firstLine="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741734"/>
    <w:rPr>
      <w:rFonts w:ascii="Times New Roman" w:eastAsiaTheme="majorEastAsia" w:hAnsi="Times New Roman" w:cstheme="majorBidi"/>
      <w:b/>
      <w:noProof/>
      <w:color w:val="000000" w:themeColor="text1"/>
      <w:spacing w:val="5"/>
      <w:kern w:val="28"/>
      <w:sz w:val="28"/>
      <w:szCs w:val="52"/>
      <w:lang w:eastAsia="lv-LV"/>
    </w:rPr>
  </w:style>
  <w:style w:type="character" w:styleId="Hyperlink">
    <w:name w:val="Hyperlink"/>
    <w:basedOn w:val="DefaultParagraphFont"/>
    <w:uiPriority w:val="99"/>
    <w:unhideWhenUsed/>
    <w:rsid w:val="00D55AB4"/>
    <w:rPr>
      <w:color w:val="0000FF"/>
      <w:u w:val="single"/>
    </w:rPr>
  </w:style>
  <w:style w:type="paragraph" w:styleId="ListParagraph">
    <w:name w:val="List Paragraph"/>
    <w:aliases w:val="2,Akapit z listą BS,H&amp;P List Paragraph,Strip"/>
    <w:basedOn w:val="Normal"/>
    <w:link w:val="ListParagraphChar"/>
    <w:uiPriority w:val="34"/>
    <w:qFormat/>
    <w:rsid w:val="00D55AB4"/>
    <w:pPr>
      <w:ind w:left="720"/>
      <w:contextualSpacing/>
    </w:pPr>
  </w:style>
  <w:style w:type="table" w:styleId="TableGrid">
    <w:name w:val="Table Grid"/>
    <w:basedOn w:val="TableNormal"/>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DefaultParagraphFont"/>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NoList"/>
    <w:rsid w:val="00D55AB4"/>
    <w:pPr>
      <w:numPr>
        <w:numId w:val="1"/>
      </w:numPr>
    </w:pPr>
  </w:style>
  <w:style w:type="paragraph" w:styleId="Header">
    <w:name w:val="header"/>
    <w:link w:val="Head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HeaderChar">
    <w:name w:val="Header Char"/>
    <w:basedOn w:val="DefaultParagraphFont"/>
    <w:link w:val="Header"/>
    <w:rsid w:val="00D55AB4"/>
    <w:rPr>
      <w:rFonts w:ascii="Times New Roman" w:eastAsia="Times New Roman" w:hAnsi="Times New Roman" w:cs="Times New Roman"/>
      <w:sz w:val="20"/>
      <w:szCs w:val="24"/>
      <w:lang w:eastAsia="lv-LV"/>
    </w:rPr>
  </w:style>
  <w:style w:type="paragraph" w:styleId="Footer">
    <w:name w:val="footer"/>
    <w:link w:val="Foot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FooterChar">
    <w:name w:val="Footer Char"/>
    <w:basedOn w:val="DefaultParagraphFont"/>
    <w:link w:val="Footer"/>
    <w:uiPriority w:val="99"/>
    <w:rsid w:val="00D55AB4"/>
    <w:rPr>
      <w:rFonts w:ascii="Times New Roman" w:eastAsia="Times New Roman" w:hAnsi="Times New Roman" w:cs="Times New Roman"/>
      <w:sz w:val="20"/>
      <w:szCs w:val="24"/>
      <w:lang w:eastAsia="lv-LV"/>
    </w:rPr>
  </w:style>
  <w:style w:type="paragraph" w:styleId="TOCHeading">
    <w:name w:val="TOC Heading"/>
    <w:basedOn w:val="Heading1"/>
    <w:next w:val="Normal"/>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rsid w:val="00D55AB4"/>
    <w:pPr>
      <w:tabs>
        <w:tab w:val="right" w:leader="dot" w:pos="9061"/>
      </w:tabs>
      <w:spacing w:after="60"/>
    </w:pPr>
    <w:rPr>
      <w:b/>
      <w:u w:val="single"/>
    </w:rPr>
  </w:style>
  <w:style w:type="paragraph" w:styleId="TOC2">
    <w:name w:val="toc 2"/>
    <w:basedOn w:val="Normal"/>
    <w:next w:val="Normal"/>
    <w:autoRedefine/>
    <w:uiPriority w:val="39"/>
    <w:rsid w:val="00D55AB4"/>
    <w:pPr>
      <w:spacing w:after="60"/>
      <w:ind w:left="238"/>
    </w:pPr>
    <w:rPr>
      <w:b/>
      <w:i/>
    </w:rPr>
  </w:style>
  <w:style w:type="paragraph" w:styleId="TOC3">
    <w:name w:val="toc 3"/>
    <w:basedOn w:val="Normal"/>
    <w:next w:val="Normal"/>
    <w:autoRedefine/>
    <w:uiPriority w:val="39"/>
    <w:rsid w:val="00D55AB4"/>
    <w:pPr>
      <w:tabs>
        <w:tab w:val="right" w:leader="dot" w:pos="9061"/>
      </w:tabs>
      <w:spacing w:after="0" w:line="264" w:lineRule="auto"/>
      <w:ind w:left="482"/>
    </w:pPr>
  </w:style>
  <w:style w:type="character" w:customStyle="1" w:styleId="Izceltsteksts">
    <w:name w:val="Izcelts teksts"/>
    <w:basedOn w:val="DefaultParagraphFont"/>
    <w:uiPriority w:val="1"/>
    <w:qFormat/>
    <w:rsid w:val="00D55AB4"/>
    <w:rPr>
      <w:b/>
      <w:i/>
      <w:u w:val="single"/>
    </w:rPr>
  </w:style>
  <w:style w:type="character" w:customStyle="1" w:styleId="Piemrstxt">
    <w:name w:val="Piemērs txt"/>
    <w:basedOn w:val="DefaultParagraphFont"/>
    <w:uiPriority w:val="1"/>
    <w:qFormat/>
    <w:rsid w:val="00D55AB4"/>
    <w:rPr>
      <w:rFonts w:ascii="Courier New" w:hAnsi="Courier New"/>
      <w:w w:val="100"/>
      <w:sz w:val="20"/>
    </w:rPr>
  </w:style>
  <w:style w:type="numbering" w:customStyle="1" w:styleId="Numercija">
    <w:name w:val="Numerācija"/>
    <w:basedOn w:val="NoList"/>
    <w:uiPriority w:val="99"/>
    <w:rsid w:val="00D55AB4"/>
    <w:pPr>
      <w:numPr>
        <w:numId w:val="2"/>
      </w:numPr>
    </w:pPr>
  </w:style>
  <w:style w:type="numbering" w:customStyle="1" w:styleId="StyleOutlinenumberedLeft0cmHanging063cm">
    <w:name w:val="Style Outline numbered Left:  0 cm Hanging:  0.63 cm"/>
    <w:basedOn w:val="NoList"/>
    <w:rsid w:val="00D55AB4"/>
    <w:pPr>
      <w:numPr>
        <w:numId w:val="3"/>
      </w:numPr>
    </w:pPr>
  </w:style>
  <w:style w:type="numbering" w:customStyle="1" w:styleId="StyleOutlinenumberedLeft0cmHanging063cm1">
    <w:name w:val="Style Outline numbered Left:  0 cm Hanging:  0.63 cm1"/>
    <w:basedOn w:val="NoList"/>
    <w:rsid w:val="00D55AB4"/>
    <w:pPr>
      <w:numPr>
        <w:numId w:val="4"/>
      </w:numPr>
    </w:pPr>
  </w:style>
  <w:style w:type="paragraph" w:customStyle="1" w:styleId="Tabulasgalvene">
    <w:name w:val="Tabulas galvene"/>
    <w:basedOn w:val="Pamatteksts"/>
    <w:rsid w:val="0064323B"/>
    <w:pPr>
      <w:spacing w:after="0"/>
      <w:ind w:firstLine="0"/>
      <w:jc w:val="center"/>
    </w:pPr>
    <w:rPr>
      <w:b/>
      <w:sz w:val="20"/>
      <w:szCs w:val="20"/>
    </w:rPr>
  </w:style>
  <w:style w:type="paragraph" w:customStyle="1" w:styleId="Tabulasteksts">
    <w:name w:val="Tabulas teksts"/>
    <w:basedOn w:val="Normal"/>
    <w:qFormat/>
    <w:rsid w:val="0064323B"/>
    <w:pPr>
      <w:spacing w:after="0"/>
      <w:ind w:firstLine="0"/>
    </w:pPr>
    <w:rPr>
      <w:sz w:val="20"/>
    </w:rPr>
  </w:style>
  <w:style w:type="paragraph" w:customStyle="1" w:styleId="Tabulasnosaukums">
    <w:name w:val="Tabulas nosaukums"/>
    <w:basedOn w:val="Pamatteksts"/>
    <w:next w:val="Pamatteksts"/>
    <w:qFormat/>
    <w:rsid w:val="00FE7240"/>
    <w:pPr>
      <w:spacing w:before="240" w:after="0"/>
      <w:ind w:firstLine="0"/>
      <w:jc w:val="right"/>
    </w:pPr>
    <w:rPr>
      <w:i/>
      <w:sz w:val="20"/>
    </w:rPr>
  </w:style>
  <w:style w:type="character" w:styleId="IntenseReference">
    <w:name w:val="Intense Reference"/>
    <w:basedOn w:val="DefaultParagraphFont"/>
    <w:uiPriority w:val="32"/>
    <w:qFormat/>
    <w:rsid w:val="00DF190B"/>
    <w:rPr>
      <w:b/>
      <w:bCs/>
      <w:smallCaps/>
      <w:color w:val="C0504D" w:themeColor="accent2"/>
      <w:spacing w:val="5"/>
      <w:u w:val="single"/>
    </w:rPr>
  </w:style>
  <w:style w:type="paragraph" w:customStyle="1" w:styleId="Pamatteksts">
    <w:name w:val="Pamatteksts"/>
    <w:qFormat/>
    <w:rsid w:val="003E619E"/>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
    <w:next w:val="Pamatteksts"/>
    <w:qFormat/>
    <w:rsid w:val="00891805"/>
    <w:pPr>
      <w:jc w:val="center"/>
    </w:pPr>
    <w:rPr>
      <w:i/>
    </w:rPr>
  </w:style>
  <w:style w:type="table" w:customStyle="1" w:styleId="Noformtatabula">
    <w:name w:val="Noformēta tabula"/>
    <w:basedOn w:val="TableGrid"/>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
    <w:name w:val="Light List"/>
    <w:basedOn w:val="TableNormal"/>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Bullets">
    <w:name w:val="Bullets"/>
    <w:basedOn w:val="Pamatteksts"/>
    <w:next w:val="Pamatteksts"/>
    <w:qFormat/>
    <w:rsid w:val="004F0656"/>
    <w:pPr>
      <w:numPr>
        <w:numId w:val="5"/>
      </w:numPr>
    </w:pPr>
  </w:style>
  <w:style w:type="character" w:styleId="CommentReference">
    <w:name w:val="annotation reference"/>
    <w:basedOn w:val="DefaultParagraphFont"/>
    <w:uiPriority w:val="99"/>
    <w:semiHidden/>
    <w:unhideWhenUsed/>
    <w:rsid w:val="00EF35AA"/>
    <w:rPr>
      <w:sz w:val="16"/>
      <w:szCs w:val="16"/>
    </w:rPr>
  </w:style>
  <w:style w:type="paragraph" w:styleId="BodyTextIndent2">
    <w:name w:val="Body Text Indent 2"/>
    <w:basedOn w:val="Normal"/>
    <w:link w:val="BodyTextIndent2Char"/>
    <w:semiHidden/>
    <w:rsid w:val="001E082A"/>
    <w:pPr>
      <w:spacing w:after="0"/>
      <w:ind w:firstLine="540"/>
    </w:pPr>
    <w:rPr>
      <w:color w:val="800080"/>
      <w:lang w:eastAsia="en-US"/>
    </w:rPr>
  </w:style>
  <w:style w:type="character" w:customStyle="1" w:styleId="BodyTextIndent2Char">
    <w:name w:val="Body Text Indent 2 Char"/>
    <w:basedOn w:val="DefaultParagraphFont"/>
    <w:link w:val="BodyTextIndent2"/>
    <w:semiHidden/>
    <w:rsid w:val="001E082A"/>
    <w:rPr>
      <w:rFonts w:ascii="Times New Roman" w:eastAsia="Times New Roman" w:hAnsi="Times New Roman" w:cs="Times New Roman"/>
      <w:color w:val="800080"/>
      <w:sz w:val="24"/>
      <w:szCs w:val="24"/>
    </w:rPr>
  </w:style>
  <w:style w:type="paragraph" w:styleId="BalloonText">
    <w:name w:val="Balloon Text"/>
    <w:basedOn w:val="Normal"/>
    <w:link w:val="BalloonTextChar"/>
    <w:semiHidden/>
    <w:unhideWhenUsed/>
    <w:rsid w:val="007A09E6"/>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7A09E6"/>
    <w:rPr>
      <w:rFonts w:ascii="Tahoma" w:eastAsia="Times New Roman" w:hAnsi="Tahoma" w:cs="Tahoma"/>
      <w:sz w:val="16"/>
      <w:szCs w:val="16"/>
      <w:lang w:eastAsia="lv-LV"/>
    </w:rPr>
  </w:style>
  <w:style w:type="paragraph" w:styleId="CommentText">
    <w:name w:val="annotation text"/>
    <w:basedOn w:val="Normal"/>
    <w:link w:val="CommentTextChar"/>
    <w:uiPriority w:val="99"/>
    <w:semiHidden/>
    <w:unhideWhenUsed/>
    <w:rsid w:val="00EF35AA"/>
    <w:rPr>
      <w:sz w:val="20"/>
      <w:szCs w:val="20"/>
    </w:rPr>
  </w:style>
  <w:style w:type="paragraph" w:styleId="BodyTextIndent">
    <w:name w:val="Body Text Indent"/>
    <w:basedOn w:val="Normal"/>
    <w:link w:val="BodyTextIndentChar"/>
    <w:uiPriority w:val="99"/>
    <w:unhideWhenUsed/>
    <w:rsid w:val="0099580E"/>
    <w:pPr>
      <w:ind w:left="283"/>
    </w:pPr>
  </w:style>
  <w:style w:type="character" w:customStyle="1" w:styleId="BodyTextIndentChar">
    <w:name w:val="Body Text Indent Char"/>
    <w:basedOn w:val="DefaultParagraphFont"/>
    <w:link w:val="BodyTextIndent"/>
    <w:uiPriority w:val="99"/>
    <w:rsid w:val="0099580E"/>
    <w:rPr>
      <w:rFonts w:ascii="Times New Roman" w:eastAsia="Times New Roman" w:hAnsi="Times New Roman" w:cs="Times New Roman"/>
      <w:sz w:val="24"/>
      <w:szCs w:val="24"/>
      <w:lang w:eastAsia="lv-LV"/>
    </w:rPr>
  </w:style>
  <w:style w:type="character" w:customStyle="1" w:styleId="CommentTextChar">
    <w:name w:val="Comment Text Char"/>
    <w:basedOn w:val="DefaultParagraphFont"/>
    <w:link w:val="CommentText"/>
    <w:uiPriority w:val="99"/>
    <w:semiHidden/>
    <w:rsid w:val="00EF35AA"/>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semiHidden/>
    <w:unhideWhenUsed/>
    <w:rsid w:val="00EF35AA"/>
    <w:rPr>
      <w:b/>
      <w:bCs/>
    </w:rPr>
  </w:style>
  <w:style w:type="character" w:customStyle="1" w:styleId="CommentSubjectChar">
    <w:name w:val="Comment Subject Char"/>
    <w:basedOn w:val="CommentTextChar"/>
    <w:link w:val="CommentSubject"/>
    <w:semiHidden/>
    <w:rsid w:val="00EF35AA"/>
    <w:rPr>
      <w:rFonts w:ascii="Times New Roman" w:eastAsia="Times New Roman" w:hAnsi="Times New Roman" w:cs="Times New Roman"/>
      <w:b/>
      <w:bCs/>
      <w:sz w:val="20"/>
      <w:szCs w:val="20"/>
      <w:lang w:eastAsia="lv-LV"/>
    </w:rPr>
  </w:style>
  <w:style w:type="paragraph" w:styleId="PlainText">
    <w:name w:val="Plain Text"/>
    <w:basedOn w:val="Normal"/>
    <w:link w:val="PlainTextChar"/>
    <w:uiPriority w:val="99"/>
    <w:unhideWhenUsed/>
    <w:rsid w:val="00EC4D12"/>
    <w:pPr>
      <w:spacing w:after="0"/>
      <w:ind w:firstLine="0"/>
      <w:jc w:val="left"/>
    </w:pPr>
    <w:rPr>
      <w:rFonts w:ascii="Consolas" w:hAnsi="Consolas"/>
      <w:sz w:val="21"/>
      <w:szCs w:val="21"/>
      <w:lang w:eastAsia="en-US"/>
    </w:rPr>
  </w:style>
  <w:style w:type="character" w:customStyle="1" w:styleId="PlainTextChar">
    <w:name w:val="Plain Text Char"/>
    <w:basedOn w:val="DefaultParagraphFont"/>
    <w:link w:val="PlainText"/>
    <w:uiPriority w:val="99"/>
    <w:rsid w:val="00EC4D12"/>
    <w:rPr>
      <w:rFonts w:ascii="Consolas" w:eastAsia="Times New Roman" w:hAnsi="Consolas" w:cs="Times New Roman"/>
      <w:sz w:val="21"/>
      <w:szCs w:val="21"/>
    </w:rPr>
  </w:style>
  <w:style w:type="paragraph" w:customStyle="1" w:styleId="Default">
    <w:name w:val="Default"/>
    <w:rsid w:val="00937EA1"/>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07FC9"/>
    <w:rPr>
      <w:b/>
      <w:bCs/>
    </w:rPr>
  </w:style>
  <w:style w:type="paragraph" w:styleId="NormalWeb">
    <w:name w:val="Normal (Web)"/>
    <w:basedOn w:val="Normal"/>
    <w:uiPriority w:val="99"/>
    <w:unhideWhenUsed/>
    <w:rsid w:val="00135E39"/>
    <w:pPr>
      <w:spacing w:before="100" w:beforeAutospacing="1" w:after="100" w:afterAutospacing="1"/>
      <w:ind w:firstLine="0"/>
      <w:jc w:val="left"/>
    </w:pPr>
  </w:style>
  <w:style w:type="character" w:customStyle="1" w:styleId="tvhtml">
    <w:name w:val="tv_html"/>
    <w:basedOn w:val="DefaultParagraphFont"/>
    <w:rsid w:val="003E04DD"/>
  </w:style>
  <w:style w:type="paragraph" w:styleId="BodyText2">
    <w:name w:val="Body Text 2"/>
    <w:basedOn w:val="Normal"/>
    <w:link w:val="BodyText2Char"/>
    <w:unhideWhenUsed/>
    <w:rsid w:val="0086045F"/>
    <w:pPr>
      <w:spacing w:line="480" w:lineRule="auto"/>
    </w:pPr>
  </w:style>
  <w:style w:type="character" w:customStyle="1" w:styleId="BodyText2Char">
    <w:name w:val="Body Text 2 Char"/>
    <w:basedOn w:val="DefaultParagraphFont"/>
    <w:link w:val="BodyText2"/>
    <w:rsid w:val="0086045F"/>
    <w:rPr>
      <w:rFonts w:ascii="Times New Roman" w:eastAsia="Times New Roman" w:hAnsi="Times New Roman" w:cs="Times New Roman"/>
      <w:sz w:val="24"/>
      <w:szCs w:val="24"/>
      <w:lang w:eastAsia="lv-LV"/>
    </w:rPr>
  </w:style>
  <w:style w:type="paragraph" w:customStyle="1" w:styleId="tv2132">
    <w:name w:val="tv2132"/>
    <w:basedOn w:val="Normal"/>
    <w:rsid w:val="001A5D24"/>
    <w:pPr>
      <w:spacing w:after="0" w:line="360" w:lineRule="auto"/>
      <w:ind w:firstLine="300"/>
      <w:jc w:val="left"/>
    </w:pPr>
    <w:rPr>
      <w:color w:val="414142"/>
      <w:sz w:val="20"/>
      <w:szCs w:val="20"/>
    </w:rPr>
  </w:style>
  <w:style w:type="paragraph" w:customStyle="1" w:styleId="CharChar3CharCharCharCharCharCharCharCharCharCharCharChar1">
    <w:name w:val="Char Char3 Char Char Char Char Char Char Char Char Char Char Char Char1"/>
    <w:basedOn w:val="Normal"/>
    <w:semiHidden/>
    <w:rsid w:val="0054182E"/>
    <w:pPr>
      <w:spacing w:after="160" w:line="240" w:lineRule="exact"/>
      <w:ind w:firstLine="720"/>
    </w:pPr>
    <w:rPr>
      <w:rFonts w:ascii="Verdana" w:hAnsi="Verdana"/>
      <w:sz w:val="20"/>
      <w:szCs w:val="20"/>
      <w:lang w:eastAsia="en-US"/>
    </w:rPr>
  </w:style>
  <w:style w:type="character" w:styleId="Emphasis">
    <w:name w:val="Emphasis"/>
    <w:basedOn w:val="DefaultParagraphFont"/>
    <w:uiPriority w:val="20"/>
    <w:qFormat/>
    <w:rsid w:val="00F9489F"/>
    <w:rPr>
      <w:b/>
      <w:bCs/>
      <w:i w:val="0"/>
      <w:iCs w:val="0"/>
    </w:rPr>
  </w:style>
  <w:style w:type="character" w:customStyle="1" w:styleId="st1">
    <w:name w:val="st1"/>
    <w:basedOn w:val="DefaultParagraphFont"/>
    <w:rsid w:val="00F9489F"/>
  </w:style>
  <w:style w:type="paragraph" w:styleId="Revision">
    <w:name w:val="Revision"/>
    <w:hidden/>
    <w:uiPriority w:val="99"/>
    <w:semiHidden/>
    <w:rsid w:val="00D13D6E"/>
    <w:pPr>
      <w:spacing w:after="0" w:line="240" w:lineRule="auto"/>
    </w:pPr>
    <w:rPr>
      <w:rFonts w:ascii="Times New Roman" w:eastAsia="Times New Roman" w:hAnsi="Times New Roman" w:cs="Times New Roman"/>
      <w:sz w:val="24"/>
      <w:szCs w:val="24"/>
      <w:lang w:eastAsia="lv-LV"/>
    </w:rPr>
  </w:style>
  <w:style w:type="character" w:customStyle="1" w:styleId="ListParagraphChar">
    <w:name w:val="List Paragraph Char"/>
    <w:aliases w:val="2 Char,Akapit z listą BS Char,H&amp;P List Paragraph Char,Strip Char"/>
    <w:link w:val="ListParagraph"/>
    <w:uiPriority w:val="34"/>
    <w:locked/>
    <w:rsid w:val="00F21EDC"/>
    <w:rPr>
      <w:rFonts w:ascii="Times New Roman" w:eastAsia="Times New Roman" w:hAnsi="Times New Roman" w:cs="Times New Roman"/>
      <w:sz w:val="24"/>
      <w:szCs w:val="24"/>
      <w:lang w:eastAsia="lv-LV"/>
    </w:rPr>
  </w:style>
  <w:style w:type="paragraph" w:styleId="EndnoteText">
    <w:name w:val="endnote text"/>
    <w:basedOn w:val="Normal"/>
    <w:link w:val="EndnoteTextChar"/>
    <w:uiPriority w:val="99"/>
    <w:semiHidden/>
    <w:unhideWhenUsed/>
    <w:rsid w:val="001926A9"/>
    <w:pPr>
      <w:spacing w:after="0"/>
    </w:pPr>
    <w:rPr>
      <w:sz w:val="20"/>
      <w:szCs w:val="20"/>
    </w:rPr>
  </w:style>
  <w:style w:type="character" w:customStyle="1" w:styleId="EndnoteTextChar">
    <w:name w:val="Endnote Text Char"/>
    <w:basedOn w:val="DefaultParagraphFont"/>
    <w:link w:val="EndnoteText"/>
    <w:uiPriority w:val="99"/>
    <w:semiHidden/>
    <w:rsid w:val="001926A9"/>
    <w:rPr>
      <w:rFonts w:ascii="Times New Roman" w:eastAsia="Times New Roman" w:hAnsi="Times New Roman" w:cs="Times New Roman"/>
      <w:sz w:val="20"/>
      <w:szCs w:val="20"/>
      <w:lang w:eastAsia="lv-LV"/>
    </w:rPr>
  </w:style>
  <w:style w:type="character" w:styleId="EndnoteReference">
    <w:name w:val="endnote reference"/>
    <w:basedOn w:val="DefaultParagraphFont"/>
    <w:uiPriority w:val="99"/>
    <w:semiHidden/>
    <w:unhideWhenUsed/>
    <w:rsid w:val="001926A9"/>
    <w:rPr>
      <w:vertAlign w:val="superscript"/>
    </w:rPr>
  </w:style>
  <w:style w:type="paragraph" w:styleId="FootnoteText">
    <w:name w:val="footnote text"/>
    <w:basedOn w:val="Normal"/>
    <w:link w:val="FootnoteTextChar"/>
    <w:uiPriority w:val="99"/>
    <w:semiHidden/>
    <w:unhideWhenUsed/>
    <w:rsid w:val="001926A9"/>
    <w:pPr>
      <w:spacing w:after="0"/>
    </w:pPr>
    <w:rPr>
      <w:sz w:val="20"/>
      <w:szCs w:val="20"/>
    </w:rPr>
  </w:style>
  <w:style w:type="character" w:customStyle="1" w:styleId="FootnoteTextChar">
    <w:name w:val="Footnote Text Char"/>
    <w:basedOn w:val="DefaultParagraphFont"/>
    <w:link w:val="FootnoteText"/>
    <w:uiPriority w:val="99"/>
    <w:semiHidden/>
    <w:rsid w:val="001926A9"/>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1926A9"/>
    <w:rPr>
      <w:vertAlign w:val="superscript"/>
    </w:rPr>
  </w:style>
  <w:style w:type="paragraph" w:styleId="Caption">
    <w:name w:val="caption"/>
    <w:basedOn w:val="Normal"/>
    <w:next w:val="Normal"/>
    <w:unhideWhenUsed/>
    <w:qFormat/>
    <w:rsid w:val="00F5581F"/>
    <w:pPr>
      <w:spacing w:after="200"/>
    </w:pPr>
    <w:rPr>
      <w:i/>
      <w:iCs/>
      <w:color w:val="1F497D" w:themeColor="text2"/>
      <w:sz w:val="18"/>
      <w:szCs w:val="18"/>
    </w:rPr>
  </w:style>
  <w:style w:type="character" w:customStyle="1" w:styleId="ui-provider">
    <w:name w:val="ui-provider"/>
    <w:basedOn w:val="DefaultParagraphFont"/>
    <w:rsid w:val="00134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4278">
      <w:bodyDiv w:val="1"/>
      <w:marLeft w:val="0"/>
      <w:marRight w:val="0"/>
      <w:marTop w:val="0"/>
      <w:marBottom w:val="0"/>
      <w:divBdr>
        <w:top w:val="none" w:sz="0" w:space="0" w:color="auto"/>
        <w:left w:val="none" w:sz="0" w:space="0" w:color="auto"/>
        <w:bottom w:val="none" w:sz="0" w:space="0" w:color="auto"/>
        <w:right w:val="none" w:sz="0" w:space="0" w:color="auto"/>
      </w:divBdr>
    </w:div>
    <w:div w:id="18747961">
      <w:bodyDiv w:val="1"/>
      <w:marLeft w:val="0"/>
      <w:marRight w:val="0"/>
      <w:marTop w:val="0"/>
      <w:marBottom w:val="0"/>
      <w:divBdr>
        <w:top w:val="none" w:sz="0" w:space="0" w:color="auto"/>
        <w:left w:val="none" w:sz="0" w:space="0" w:color="auto"/>
        <w:bottom w:val="none" w:sz="0" w:space="0" w:color="auto"/>
        <w:right w:val="none" w:sz="0" w:space="0" w:color="auto"/>
      </w:divBdr>
    </w:div>
    <w:div w:id="22366736">
      <w:bodyDiv w:val="1"/>
      <w:marLeft w:val="0"/>
      <w:marRight w:val="0"/>
      <w:marTop w:val="0"/>
      <w:marBottom w:val="0"/>
      <w:divBdr>
        <w:top w:val="none" w:sz="0" w:space="0" w:color="auto"/>
        <w:left w:val="none" w:sz="0" w:space="0" w:color="auto"/>
        <w:bottom w:val="none" w:sz="0" w:space="0" w:color="auto"/>
        <w:right w:val="none" w:sz="0" w:space="0" w:color="auto"/>
      </w:divBdr>
    </w:div>
    <w:div w:id="27609421">
      <w:bodyDiv w:val="1"/>
      <w:marLeft w:val="0"/>
      <w:marRight w:val="0"/>
      <w:marTop w:val="0"/>
      <w:marBottom w:val="0"/>
      <w:divBdr>
        <w:top w:val="none" w:sz="0" w:space="0" w:color="auto"/>
        <w:left w:val="none" w:sz="0" w:space="0" w:color="auto"/>
        <w:bottom w:val="none" w:sz="0" w:space="0" w:color="auto"/>
        <w:right w:val="none" w:sz="0" w:space="0" w:color="auto"/>
      </w:divBdr>
    </w:div>
    <w:div w:id="35785914">
      <w:bodyDiv w:val="1"/>
      <w:marLeft w:val="0"/>
      <w:marRight w:val="0"/>
      <w:marTop w:val="0"/>
      <w:marBottom w:val="0"/>
      <w:divBdr>
        <w:top w:val="none" w:sz="0" w:space="0" w:color="auto"/>
        <w:left w:val="none" w:sz="0" w:space="0" w:color="auto"/>
        <w:bottom w:val="none" w:sz="0" w:space="0" w:color="auto"/>
        <w:right w:val="none" w:sz="0" w:space="0" w:color="auto"/>
      </w:divBdr>
    </w:div>
    <w:div w:id="46340469">
      <w:bodyDiv w:val="1"/>
      <w:marLeft w:val="0"/>
      <w:marRight w:val="0"/>
      <w:marTop w:val="0"/>
      <w:marBottom w:val="0"/>
      <w:divBdr>
        <w:top w:val="none" w:sz="0" w:space="0" w:color="auto"/>
        <w:left w:val="none" w:sz="0" w:space="0" w:color="auto"/>
        <w:bottom w:val="none" w:sz="0" w:space="0" w:color="auto"/>
        <w:right w:val="none" w:sz="0" w:space="0" w:color="auto"/>
      </w:divBdr>
    </w:div>
    <w:div w:id="116875544">
      <w:bodyDiv w:val="1"/>
      <w:marLeft w:val="0"/>
      <w:marRight w:val="0"/>
      <w:marTop w:val="0"/>
      <w:marBottom w:val="0"/>
      <w:divBdr>
        <w:top w:val="none" w:sz="0" w:space="0" w:color="auto"/>
        <w:left w:val="none" w:sz="0" w:space="0" w:color="auto"/>
        <w:bottom w:val="none" w:sz="0" w:space="0" w:color="auto"/>
        <w:right w:val="none" w:sz="0" w:space="0" w:color="auto"/>
      </w:divBdr>
    </w:div>
    <w:div w:id="139612890">
      <w:bodyDiv w:val="1"/>
      <w:marLeft w:val="0"/>
      <w:marRight w:val="0"/>
      <w:marTop w:val="0"/>
      <w:marBottom w:val="0"/>
      <w:divBdr>
        <w:top w:val="none" w:sz="0" w:space="0" w:color="auto"/>
        <w:left w:val="none" w:sz="0" w:space="0" w:color="auto"/>
        <w:bottom w:val="none" w:sz="0" w:space="0" w:color="auto"/>
        <w:right w:val="none" w:sz="0" w:space="0" w:color="auto"/>
      </w:divBdr>
    </w:div>
    <w:div w:id="154489941">
      <w:bodyDiv w:val="1"/>
      <w:marLeft w:val="0"/>
      <w:marRight w:val="0"/>
      <w:marTop w:val="0"/>
      <w:marBottom w:val="0"/>
      <w:divBdr>
        <w:top w:val="none" w:sz="0" w:space="0" w:color="auto"/>
        <w:left w:val="none" w:sz="0" w:space="0" w:color="auto"/>
        <w:bottom w:val="none" w:sz="0" w:space="0" w:color="auto"/>
        <w:right w:val="none" w:sz="0" w:space="0" w:color="auto"/>
      </w:divBdr>
    </w:div>
    <w:div w:id="180435497">
      <w:bodyDiv w:val="1"/>
      <w:marLeft w:val="0"/>
      <w:marRight w:val="0"/>
      <w:marTop w:val="0"/>
      <w:marBottom w:val="0"/>
      <w:divBdr>
        <w:top w:val="none" w:sz="0" w:space="0" w:color="auto"/>
        <w:left w:val="none" w:sz="0" w:space="0" w:color="auto"/>
        <w:bottom w:val="none" w:sz="0" w:space="0" w:color="auto"/>
        <w:right w:val="none" w:sz="0" w:space="0" w:color="auto"/>
      </w:divBdr>
    </w:div>
    <w:div w:id="212548646">
      <w:bodyDiv w:val="1"/>
      <w:marLeft w:val="0"/>
      <w:marRight w:val="0"/>
      <w:marTop w:val="0"/>
      <w:marBottom w:val="0"/>
      <w:divBdr>
        <w:top w:val="none" w:sz="0" w:space="0" w:color="auto"/>
        <w:left w:val="none" w:sz="0" w:space="0" w:color="auto"/>
        <w:bottom w:val="none" w:sz="0" w:space="0" w:color="auto"/>
        <w:right w:val="none" w:sz="0" w:space="0" w:color="auto"/>
      </w:divBdr>
    </w:div>
    <w:div w:id="218051380">
      <w:bodyDiv w:val="1"/>
      <w:marLeft w:val="0"/>
      <w:marRight w:val="0"/>
      <w:marTop w:val="0"/>
      <w:marBottom w:val="0"/>
      <w:divBdr>
        <w:top w:val="none" w:sz="0" w:space="0" w:color="auto"/>
        <w:left w:val="none" w:sz="0" w:space="0" w:color="auto"/>
        <w:bottom w:val="none" w:sz="0" w:space="0" w:color="auto"/>
        <w:right w:val="none" w:sz="0" w:space="0" w:color="auto"/>
      </w:divBdr>
    </w:div>
    <w:div w:id="269901302">
      <w:bodyDiv w:val="1"/>
      <w:marLeft w:val="0"/>
      <w:marRight w:val="0"/>
      <w:marTop w:val="0"/>
      <w:marBottom w:val="0"/>
      <w:divBdr>
        <w:top w:val="none" w:sz="0" w:space="0" w:color="auto"/>
        <w:left w:val="none" w:sz="0" w:space="0" w:color="auto"/>
        <w:bottom w:val="none" w:sz="0" w:space="0" w:color="auto"/>
        <w:right w:val="none" w:sz="0" w:space="0" w:color="auto"/>
      </w:divBdr>
    </w:div>
    <w:div w:id="288634982">
      <w:bodyDiv w:val="1"/>
      <w:marLeft w:val="0"/>
      <w:marRight w:val="0"/>
      <w:marTop w:val="0"/>
      <w:marBottom w:val="0"/>
      <w:divBdr>
        <w:top w:val="none" w:sz="0" w:space="0" w:color="auto"/>
        <w:left w:val="none" w:sz="0" w:space="0" w:color="auto"/>
        <w:bottom w:val="none" w:sz="0" w:space="0" w:color="auto"/>
        <w:right w:val="none" w:sz="0" w:space="0" w:color="auto"/>
      </w:divBdr>
    </w:div>
    <w:div w:id="301271662">
      <w:bodyDiv w:val="1"/>
      <w:marLeft w:val="0"/>
      <w:marRight w:val="0"/>
      <w:marTop w:val="0"/>
      <w:marBottom w:val="0"/>
      <w:divBdr>
        <w:top w:val="none" w:sz="0" w:space="0" w:color="auto"/>
        <w:left w:val="none" w:sz="0" w:space="0" w:color="auto"/>
        <w:bottom w:val="none" w:sz="0" w:space="0" w:color="auto"/>
        <w:right w:val="none" w:sz="0" w:space="0" w:color="auto"/>
      </w:divBdr>
    </w:div>
    <w:div w:id="307904066">
      <w:bodyDiv w:val="1"/>
      <w:marLeft w:val="0"/>
      <w:marRight w:val="0"/>
      <w:marTop w:val="0"/>
      <w:marBottom w:val="0"/>
      <w:divBdr>
        <w:top w:val="none" w:sz="0" w:space="0" w:color="auto"/>
        <w:left w:val="none" w:sz="0" w:space="0" w:color="auto"/>
        <w:bottom w:val="none" w:sz="0" w:space="0" w:color="auto"/>
        <w:right w:val="none" w:sz="0" w:space="0" w:color="auto"/>
      </w:divBdr>
    </w:div>
    <w:div w:id="312564778">
      <w:bodyDiv w:val="1"/>
      <w:marLeft w:val="0"/>
      <w:marRight w:val="0"/>
      <w:marTop w:val="0"/>
      <w:marBottom w:val="0"/>
      <w:divBdr>
        <w:top w:val="none" w:sz="0" w:space="0" w:color="auto"/>
        <w:left w:val="none" w:sz="0" w:space="0" w:color="auto"/>
        <w:bottom w:val="none" w:sz="0" w:space="0" w:color="auto"/>
        <w:right w:val="none" w:sz="0" w:space="0" w:color="auto"/>
      </w:divBdr>
    </w:div>
    <w:div w:id="325324847">
      <w:bodyDiv w:val="1"/>
      <w:marLeft w:val="0"/>
      <w:marRight w:val="0"/>
      <w:marTop w:val="0"/>
      <w:marBottom w:val="0"/>
      <w:divBdr>
        <w:top w:val="none" w:sz="0" w:space="0" w:color="auto"/>
        <w:left w:val="none" w:sz="0" w:space="0" w:color="auto"/>
        <w:bottom w:val="none" w:sz="0" w:space="0" w:color="auto"/>
        <w:right w:val="none" w:sz="0" w:space="0" w:color="auto"/>
      </w:divBdr>
    </w:div>
    <w:div w:id="337735686">
      <w:bodyDiv w:val="1"/>
      <w:marLeft w:val="0"/>
      <w:marRight w:val="0"/>
      <w:marTop w:val="0"/>
      <w:marBottom w:val="0"/>
      <w:divBdr>
        <w:top w:val="none" w:sz="0" w:space="0" w:color="auto"/>
        <w:left w:val="none" w:sz="0" w:space="0" w:color="auto"/>
        <w:bottom w:val="none" w:sz="0" w:space="0" w:color="auto"/>
        <w:right w:val="none" w:sz="0" w:space="0" w:color="auto"/>
      </w:divBdr>
    </w:div>
    <w:div w:id="411968006">
      <w:bodyDiv w:val="1"/>
      <w:marLeft w:val="0"/>
      <w:marRight w:val="0"/>
      <w:marTop w:val="0"/>
      <w:marBottom w:val="0"/>
      <w:divBdr>
        <w:top w:val="none" w:sz="0" w:space="0" w:color="auto"/>
        <w:left w:val="none" w:sz="0" w:space="0" w:color="auto"/>
        <w:bottom w:val="none" w:sz="0" w:space="0" w:color="auto"/>
        <w:right w:val="none" w:sz="0" w:space="0" w:color="auto"/>
      </w:divBdr>
    </w:div>
    <w:div w:id="431315728">
      <w:bodyDiv w:val="1"/>
      <w:marLeft w:val="0"/>
      <w:marRight w:val="0"/>
      <w:marTop w:val="0"/>
      <w:marBottom w:val="0"/>
      <w:divBdr>
        <w:top w:val="none" w:sz="0" w:space="0" w:color="auto"/>
        <w:left w:val="none" w:sz="0" w:space="0" w:color="auto"/>
        <w:bottom w:val="none" w:sz="0" w:space="0" w:color="auto"/>
        <w:right w:val="none" w:sz="0" w:space="0" w:color="auto"/>
      </w:divBdr>
    </w:div>
    <w:div w:id="440926994">
      <w:bodyDiv w:val="1"/>
      <w:marLeft w:val="0"/>
      <w:marRight w:val="0"/>
      <w:marTop w:val="0"/>
      <w:marBottom w:val="0"/>
      <w:divBdr>
        <w:top w:val="none" w:sz="0" w:space="0" w:color="auto"/>
        <w:left w:val="none" w:sz="0" w:space="0" w:color="auto"/>
        <w:bottom w:val="none" w:sz="0" w:space="0" w:color="auto"/>
        <w:right w:val="none" w:sz="0" w:space="0" w:color="auto"/>
      </w:divBdr>
    </w:div>
    <w:div w:id="442001437">
      <w:bodyDiv w:val="1"/>
      <w:marLeft w:val="0"/>
      <w:marRight w:val="0"/>
      <w:marTop w:val="0"/>
      <w:marBottom w:val="0"/>
      <w:divBdr>
        <w:top w:val="none" w:sz="0" w:space="0" w:color="auto"/>
        <w:left w:val="none" w:sz="0" w:space="0" w:color="auto"/>
        <w:bottom w:val="none" w:sz="0" w:space="0" w:color="auto"/>
        <w:right w:val="none" w:sz="0" w:space="0" w:color="auto"/>
      </w:divBdr>
    </w:div>
    <w:div w:id="454521855">
      <w:bodyDiv w:val="1"/>
      <w:marLeft w:val="0"/>
      <w:marRight w:val="0"/>
      <w:marTop w:val="0"/>
      <w:marBottom w:val="0"/>
      <w:divBdr>
        <w:top w:val="none" w:sz="0" w:space="0" w:color="auto"/>
        <w:left w:val="none" w:sz="0" w:space="0" w:color="auto"/>
        <w:bottom w:val="none" w:sz="0" w:space="0" w:color="auto"/>
        <w:right w:val="none" w:sz="0" w:space="0" w:color="auto"/>
      </w:divBdr>
    </w:div>
    <w:div w:id="494033900">
      <w:bodyDiv w:val="1"/>
      <w:marLeft w:val="0"/>
      <w:marRight w:val="0"/>
      <w:marTop w:val="0"/>
      <w:marBottom w:val="0"/>
      <w:divBdr>
        <w:top w:val="none" w:sz="0" w:space="0" w:color="auto"/>
        <w:left w:val="none" w:sz="0" w:space="0" w:color="auto"/>
        <w:bottom w:val="none" w:sz="0" w:space="0" w:color="auto"/>
        <w:right w:val="none" w:sz="0" w:space="0" w:color="auto"/>
      </w:divBdr>
      <w:divsChild>
        <w:div w:id="466704054">
          <w:marLeft w:val="0"/>
          <w:marRight w:val="0"/>
          <w:marTop w:val="0"/>
          <w:marBottom w:val="0"/>
          <w:divBdr>
            <w:top w:val="none" w:sz="0" w:space="0" w:color="auto"/>
            <w:left w:val="none" w:sz="0" w:space="0" w:color="auto"/>
            <w:bottom w:val="none" w:sz="0" w:space="0" w:color="auto"/>
            <w:right w:val="none" w:sz="0" w:space="0" w:color="auto"/>
          </w:divBdr>
          <w:divsChild>
            <w:div w:id="1940717709">
              <w:marLeft w:val="0"/>
              <w:marRight w:val="0"/>
              <w:marTop w:val="0"/>
              <w:marBottom w:val="0"/>
              <w:divBdr>
                <w:top w:val="none" w:sz="0" w:space="0" w:color="auto"/>
                <w:left w:val="none" w:sz="0" w:space="0" w:color="auto"/>
                <w:bottom w:val="none" w:sz="0" w:space="0" w:color="auto"/>
                <w:right w:val="none" w:sz="0" w:space="0" w:color="auto"/>
              </w:divBdr>
              <w:divsChild>
                <w:div w:id="1310672130">
                  <w:marLeft w:val="0"/>
                  <w:marRight w:val="0"/>
                  <w:marTop w:val="0"/>
                  <w:marBottom w:val="0"/>
                  <w:divBdr>
                    <w:top w:val="none" w:sz="0" w:space="0" w:color="auto"/>
                    <w:left w:val="none" w:sz="0" w:space="0" w:color="auto"/>
                    <w:bottom w:val="none" w:sz="0" w:space="0" w:color="auto"/>
                    <w:right w:val="none" w:sz="0" w:space="0" w:color="auto"/>
                  </w:divBdr>
                  <w:divsChild>
                    <w:div w:id="374500385">
                      <w:marLeft w:val="0"/>
                      <w:marRight w:val="0"/>
                      <w:marTop w:val="0"/>
                      <w:marBottom w:val="0"/>
                      <w:divBdr>
                        <w:top w:val="none" w:sz="0" w:space="0" w:color="auto"/>
                        <w:left w:val="none" w:sz="0" w:space="0" w:color="auto"/>
                        <w:bottom w:val="none" w:sz="0" w:space="0" w:color="auto"/>
                        <w:right w:val="none" w:sz="0" w:space="0" w:color="auto"/>
                      </w:divBdr>
                      <w:divsChild>
                        <w:div w:id="535317250">
                          <w:marLeft w:val="0"/>
                          <w:marRight w:val="0"/>
                          <w:marTop w:val="0"/>
                          <w:marBottom w:val="0"/>
                          <w:divBdr>
                            <w:top w:val="none" w:sz="0" w:space="0" w:color="auto"/>
                            <w:left w:val="none" w:sz="0" w:space="0" w:color="auto"/>
                            <w:bottom w:val="none" w:sz="0" w:space="0" w:color="auto"/>
                            <w:right w:val="none" w:sz="0" w:space="0" w:color="auto"/>
                          </w:divBdr>
                          <w:divsChild>
                            <w:div w:id="18193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153346">
      <w:bodyDiv w:val="1"/>
      <w:marLeft w:val="0"/>
      <w:marRight w:val="0"/>
      <w:marTop w:val="0"/>
      <w:marBottom w:val="0"/>
      <w:divBdr>
        <w:top w:val="none" w:sz="0" w:space="0" w:color="auto"/>
        <w:left w:val="none" w:sz="0" w:space="0" w:color="auto"/>
        <w:bottom w:val="none" w:sz="0" w:space="0" w:color="auto"/>
        <w:right w:val="none" w:sz="0" w:space="0" w:color="auto"/>
      </w:divBdr>
    </w:div>
    <w:div w:id="523709984">
      <w:bodyDiv w:val="1"/>
      <w:marLeft w:val="0"/>
      <w:marRight w:val="0"/>
      <w:marTop w:val="0"/>
      <w:marBottom w:val="0"/>
      <w:divBdr>
        <w:top w:val="none" w:sz="0" w:space="0" w:color="auto"/>
        <w:left w:val="none" w:sz="0" w:space="0" w:color="auto"/>
        <w:bottom w:val="none" w:sz="0" w:space="0" w:color="auto"/>
        <w:right w:val="none" w:sz="0" w:space="0" w:color="auto"/>
      </w:divBdr>
    </w:div>
    <w:div w:id="545024627">
      <w:bodyDiv w:val="1"/>
      <w:marLeft w:val="0"/>
      <w:marRight w:val="0"/>
      <w:marTop w:val="0"/>
      <w:marBottom w:val="0"/>
      <w:divBdr>
        <w:top w:val="none" w:sz="0" w:space="0" w:color="auto"/>
        <w:left w:val="none" w:sz="0" w:space="0" w:color="auto"/>
        <w:bottom w:val="none" w:sz="0" w:space="0" w:color="auto"/>
        <w:right w:val="none" w:sz="0" w:space="0" w:color="auto"/>
      </w:divBdr>
    </w:div>
    <w:div w:id="581911151">
      <w:bodyDiv w:val="1"/>
      <w:marLeft w:val="0"/>
      <w:marRight w:val="0"/>
      <w:marTop w:val="0"/>
      <w:marBottom w:val="0"/>
      <w:divBdr>
        <w:top w:val="none" w:sz="0" w:space="0" w:color="auto"/>
        <w:left w:val="none" w:sz="0" w:space="0" w:color="auto"/>
        <w:bottom w:val="none" w:sz="0" w:space="0" w:color="auto"/>
        <w:right w:val="none" w:sz="0" w:space="0" w:color="auto"/>
      </w:divBdr>
    </w:div>
    <w:div w:id="865826210">
      <w:bodyDiv w:val="1"/>
      <w:marLeft w:val="0"/>
      <w:marRight w:val="0"/>
      <w:marTop w:val="0"/>
      <w:marBottom w:val="0"/>
      <w:divBdr>
        <w:top w:val="none" w:sz="0" w:space="0" w:color="auto"/>
        <w:left w:val="none" w:sz="0" w:space="0" w:color="auto"/>
        <w:bottom w:val="none" w:sz="0" w:space="0" w:color="auto"/>
        <w:right w:val="none" w:sz="0" w:space="0" w:color="auto"/>
      </w:divBdr>
    </w:div>
    <w:div w:id="906038826">
      <w:bodyDiv w:val="1"/>
      <w:marLeft w:val="0"/>
      <w:marRight w:val="0"/>
      <w:marTop w:val="0"/>
      <w:marBottom w:val="0"/>
      <w:divBdr>
        <w:top w:val="none" w:sz="0" w:space="0" w:color="auto"/>
        <w:left w:val="none" w:sz="0" w:space="0" w:color="auto"/>
        <w:bottom w:val="none" w:sz="0" w:space="0" w:color="auto"/>
        <w:right w:val="none" w:sz="0" w:space="0" w:color="auto"/>
      </w:divBdr>
    </w:div>
    <w:div w:id="950431666">
      <w:bodyDiv w:val="1"/>
      <w:marLeft w:val="0"/>
      <w:marRight w:val="0"/>
      <w:marTop w:val="0"/>
      <w:marBottom w:val="0"/>
      <w:divBdr>
        <w:top w:val="none" w:sz="0" w:space="0" w:color="auto"/>
        <w:left w:val="none" w:sz="0" w:space="0" w:color="auto"/>
        <w:bottom w:val="none" w:sz="0" w:space="0" w:color="auto"/>
        <w:right w:val="none" w:sz="0" w:space="0" w:color="auto"/>
      </w:divBdr>
    </w:div>
    <w:div w:id="969239018">
      <w:bodyDiv w:val="1"/>
      <w:marLeft w:val="0"/>
      <w:marRight w:val="0"/>
      <w:marTop w:val="0"/>
      <w:marBottom w:val="0"/>
      <w:divBdr>
        <w:top w:val="none" w:sz="0" w:space="0" w:color="auto"/>
        <w:left w:val="none" w:sz="0" w:space="0" w:color="auto"/>
        <w:bottom w:val="none" w:sz="0" w:space="0" w:color="auto"/>
        <w:right w:val="none" w:sz="0" w:space="0" w:color="auto"/>
      </w:divBdr>
    </w:div>
    <w:div w:id="970792911">
      <w:bodyDiv w:val="1"/>
      <w:marLeft w:val="0"/>
      <w:marRight w:val="0"/>
      <w:marTop w:val="0"/>
      <w:marBottom w:val="0"/>
      <w:divBdr>
        <w:top w:val="none" w:sz="0" w:space="0" w:color="auto"/>
        <w:left w:val="none" w:sz="0" w:space="0" w:color="auto"/>
        <w:bottom w:val="none" w:sz="0" w:space="0" w:color="auto"/>
        <w:right w:val="none" w:sz="0" w:space="0" w:color="auto"/>
      </w:divBdr>
    </w:div>
    <w:div w:id="982975381">
      <w:bodyDiv w:val="1"/>
      <w:marLeft w:val="0"/>
      <w:marRight w:val="0"/>
      <w:marTop w:val="0"/>
      <w:marBottom w:val="0"/>
      <w:divBdr>
        <w:top w:val="none" w:sz="0" w:space="0" w:color="auto"/>
        <w:left w:val="none" w:sz="0" w:space="0" w:color="auto"/>
        <w:bottom w:val="none" w:sz="0" w:space="0" w:color="auto"/>
        <w:right w:val="none" w:sz="0" w:space="0" w:color="auto"/>
      </w:divBdr>
    </w:div>
    <w:div w:id="1013073741">
      <w:bodyDiv w:val="1"/>
      <w:marLeft w:val="0"/>
      <w:marRight w:val="0"/>
      <w:marTop w:val="0"/>
      <w:marBottom w:val="0"/>
      <w:divBdr>
        <w:top w:val="none" w:sz="0" w:space="0" w:color="auto"/>
        <w:left w:val="none" w:sz="0" w:space="0" w:color="auto"/>
        <w:bottom w:val="none" w:sz="0" w:space="0" w:color="auto"/>
        <w:right w:val="none" w:sz="0" w:space="0" w:color="auto"/>
      </w:divBdr>
    </w:div>
    <w:div w:id="1035933001">
      <w:bodyDiv w:val="1"/>
      <w:marLeft w:val="0"/>
      <w:marRight w:val="0"/>
      <w:marTop w:val="0"/>
      <w:marBottom w:val="0"/>
      <w:divBdr>
        <w:top w:val="none" w:sz="0" w:space="0" w:color="auto"/>
        <w:left w:val="none" w:sz="0" w:space="0" w:color="auto"/>
        <w:bottom w:val="none" w:sz="0" w:space="0" w:color="auto"/>
        <w:right w:val="none" w:sz="0" w:space="0" w:color="auto"/>
      </w:divBdr>
    </w:div>
    <w:div w:id="1050180440">
      <w:bodyDiv w:val="1"/>
      <w:marLeft w:val="0"/>
      <w:marRight w:val="0"/>
      <w:marTop w:val="0"/>
      <w:marBottom w:val="0"/>
      <w:divBdr>
        <w:top w:val="none" w:sz="0" w:space="0" w:color="auto"/>
        <w:left w:val="none" w:sz="0" w:space="0" w:color="auto"/>
        <w:bottom w:val="none" w:sz="0" w:space="0" w:color="auto"/>
        <w:right w:val="none" w:sz="0" w:space="0" w:color="auto"/>
      </w:divBdr>
    </w:div>
    <w:div w:id="1070545768">
      <w:bodyDiv w:val="1"/>
      <w:marLeft w:val="0"/>
      <w:marRight w:val="0"/>
      <w:marTop w:val="0"/>
      <w:marBottom w:val="0"/>
      <w:divBdr>
        <w:top w:val="none" w:sz="0" w:space="0" w:color="auto"/>
        <w:left w:val="none" w:sz="0" w:space="0" w:color="auto"/>
        <w:bottom w:val="none" w:sz="0" w:space="0" w:color="auto"/>
        <w:right w:val="none" w:sz="0" w:space="0" w:color="auto"/>
      </w:divBdr>
    </w:div>
    <w:div w:id="1074206200">
      <w:bodyDiv w:val="1"/>
      <w:marLeft w:val="0"/>
      <w:marRight w:val="0"/>
      <w:marTop w:val="0"/>
      <w:marBottom w:val="0"/>
      <w:divBdr>
        <w:top w:val="none" w:sz="0" w:space="0" w:color="auto"/>
        <w:left w:val="none" w:sz="0" w:space="0" w:color="auto"/>
        <w:bottom w:val="none" w:sz="0" w:space="0" w:color="auto"/>
        <w:right w:val="none" w:sz="0" w:space="0" w:color="auto"/>
      </w:divBdr>
    </w:div>
    <w:div w:id="1107429220">
      <w:bodyDiv w:val="1"/>
      <w:marLeft w:val="0"/>
      <w:marRight w:val="0"/>
      <w:marTop w:val="0"/>
      <w:marBottom w:val="0"/>
      <w:divBdr>
        <w:top w:val="none" w:sz="0" w:space="0" w:color="auto"/>
        <w:left w:val="none" w:sz="0" w:space="0" w:color="auto"/>
        <w:bottom w:val="none" w:sz="0" w:space="0" w:color="auto"/>
        <w:right w:val="none" w:sz="0" w:space="0" w:color="auto"/>
      </w:divBdr>
    </w:div>
    <w:div w:id="1112087405">
      <w:bodyDiv w:val="1"/>
      <w:marLeft w:val="0"/>
      <w:marRight w:val="0"/>
      <w:marTop w:val="0"/>
      <w:marBottom w:val="0"/>
      <w:divBdr>
        <w:top w:val="none" w:sz="0" w:space="0" w:color="auto"/>
        <w:left w:val="none" w:sz="0" w:space="0" w:color="auto"/>
        <w:bottom w:val="none" w:sz="0" w:space="0" w:color="auto"/>
        <w:right w:val="none" w:sz="0" w:space="0" w:color="auto"/>
      </w:divBdr>
    </w:div>
    <w:div w:id="1142428678">
      <w:bodyDiv w:val="1"/>
      <w:marLeft w:val="0"/>
      <w:marRight w:val="0"/>
      <w:marTop w:val="0"/>
      <w:marBottom w:val="0"/>
      <w:divBdr>
        <w:top w:val="none" w:sz="0" w:space="0" w:color="auto"/>
        <w:left w:val="none" w:sz="0" w:space="0" w:color="auto"/>
        <w:bottom w:val="none" w:sz="0" w:space="0" w:color="auto"/>
        <w:right w:val="none" w:sz="0" w:space="0" w:color="auto"/>
      </w:divBdr>
    </w:div>
    <w:div w:id="1165248604">
      <w:bodyDiv w:val="1"/>
      <w:marLeft w:val="0"/>
      <w:marRight w:val="0"/>
      <w:marTop w:val="0"/>
      <w:marBottom w:val="0"/>
      <w:divBdr>
        <w:top w:val="none" w:sz="0" w:space="0" w:color="auto"/>
        <w:left w:val="none" w:sz="0" w:space="0" w:color="auto"/>
        <w:bottom w:val="none" w:sz="0" w:space="0" w:color="auto"/>
        <w:right w:val="none" w:sz="0" w:space="0" w:color="auto"/>
      </w:divBdr>
    </w:div>
    <w:div w:id="1174613999">
      <w:bodyDiv w:val="1"/>
      <w:marLeft w:val="0"/>
      <w:marRight w:val="0"/>
      <w:marTop w:val="0"/>
      <w:marBottom w:val="0"/>
      <w:divBdr>
        <w:top w:val="none" w:sz="0" w:space="0" w:color="auto"/>
        <w:left w:val="none" w:sz="0" w:space="0" w:color="auto"/>
        <w:bottom w:val="none" w:sz="0" w:space="0" w:color="auto"/>
        <w:right w:val="none" w:sz="0" w:space="0" w:color="auto"/>
      </w:divBdr>
    </w:div>
    <w:div w:id="1244988596">
      <w:bodyDiv w:val="1"/>
      <w:marLeft w:val="0"/>
      <w:marRight w:val="0"/>
      <w:marTop w:val="0"/>
      <w:marBottom w:val="0"/>
      <w:divBdr>
        <w:top w:val="none" w:sz="0" w:space="0" w:color="auto"/>
        <w:left w:val="none" w:sz="0" w:space="0" w:color="auto"/>
        <w:bottom w:val="none" w:sz="0" w:space="0" w:color="auto"/>
        <w:right w:val="none" w:sz="0" w:space="0" w:color="auto"/>
      </w:divBdr>
    </w:div>
    <w:div w:id="1254128804">
      <w:bodyDiv w:val="1"/>
      <w:marLeft w:val="0"/>
      <w:marRight w:val="0"/>
      <w:marTop w:val="0"/>
      <w:marBottom w:val="0"/>
      <w:divBdr>
        <w:top w:val="none" w:sz="0" w:space="0" w:color="auto"/>
        <w:left w:val="none" w:sz="0" w:space="0" w:color="auto"/>
        <w:bottom w:val="none" w:sz="0" w:space="0" w:color="auto"/>
        <w:right w:val="none" w:sz="0" w:space="0" w:color="auto"/>
      </w:divBdr>
    </w:div>
    <w:div w:id="1290090633">
      <w:bodyDiv w:val="1"/>
      <w:marLeft w:val="0"/>
      <w:marRight w:val="0"/>
      <w:marTop w:val="0"/>
      <w:marBottom w:val="0"/>
      <w:divBdr>
        <w:top w:val="none" w:sz="0" w:space="0" w:color="auto"/>
        <w:left w:val="none" w:sz="0" w:space="0" w:color="auto"/>
        <w:bottom w:val="none" w:sz="0" w:space="0" w:color="auto"/>
        <w:right w:val="none" w:sz="0" w:space="0" w:color="auto"/>
      </w:divBdr>
    </w:div>
    <w:div w:id="1325430163">
      <w:bodyDiv w:val="1"/>
      <w:marLeft w:val="0"/>
      <w:marRight w:val="0"/>
      <w:marTop w:val="0"/>
      <w:marBottom w:val="0"/>
      <w:divBdr>
        <w:top w:val="none" w:sz="0" w:space="0" w:color="auto"/>
        <w:left w:val="none" w:sz="0" w:space="0" w:color="auto"/>
        <w:bottom w:val="none" w:sz="0" w:space="0" w:color="auto"/>
        <w:right w:val="none" w:sz="0" w:space="0" w:color="auto"/>
      </w:divBdr>
    </w:div>
    <w:div w:id="1365248347">
      <w:bodyDiv w:val="1"/>
      <w:marLeft w:val="0"/>
      <w:marRight w:val="0"/>
      <w:marTop w:val="0"/>
      <w:marBottom w:val="0"/>
      <w:divBdr>
        <w:top w:val="none" w:sz="0" w:space="0" w:color="auto"/>
        <w:left w:val="none" w:sz="0" w:space="0" w:color="auto"/>
        <w:bottom w:val="none" w:sz="0" w:space="0" w:color="auto"/>
        <w:right w:val="none" w:sz="0" w:space="0" w:color="auto"/>
      </w:divBdr>
    </w:div>
    <w:div w:id="1373723819">
      <w:bodyDiv w:val="1"/>
      <w:marLeft w:val="0"/>
      <w:marRight w:val="0"/>
      <w:marTop w:val="0"/>
      <w:marBottom w:val="0"/>
      <w:divBdr>
        <w:top w:val="none" w:sz="0" w:space="0" w:color="auto"/>
        <w:left w:val="none" w:sz="0" w:space="0" w:color="auto"/>
        <w:bottom w:val="none" w:sz="0" w:space="0" w:color="auto"/>
        <w:right w:val="none" w:sz="0" w:space="0" w:color="auto"/>
      </w:divBdr>
    </w:div>
    <w:div w:id="1399327820">
      <w:bodyDiv w:val="1"/>
      <w:marLeft w:val="0"/>
      <w:marRight w:val="0"/>
      <w:marTop w:val="0"/>
      <w:marBottom w:val="0"/>
      <w:divBdr>
        <w:top w:val="none" w:sz="0" w:space="0" w:color="auto"/>
        <w:left w:val="none" w:sz="0" w:space="0" w:color="auto"/>
        <w:bottom w:val="none" w:sz="0" w:space="0" w:color="auto"/>
        <w:right w:val="none" w:sz="0" w:space="0" w:color="auto"/>
      </w:divBdr>
    </w:div>
    <w:div w:id="1428311355">
      <w:bodyDiv w:val="1"/>
      <w:marLeft w:val="0"/>
      <w:marRight w:val="0"/>
      <w:marTop w:val="0"/>
      <w:marBottom w:val="0"/>
      <w:divBdr>
        <w:top w:val="none" w:sz="0" w:space="0" w:color="auto"/>
        <w:left w:val="none" w:sz="0" w:space="0" w:color="auto"/>
        <w:bottom w:val="none" w:sz="0" w:space="0" w:color="auto"/>
        <w:right w:val="none" w:sz="0" w:space="0" w:color="auto"/>
      </w:divBdr>
    </w:div>
    <w:div w:id="1446005301">
      <w:bodyDiv w:val="1"/>
      <w:marLeft w:val="0"/>
      <w:marRight w:val="0"/>
      <w:marTop w:val="0"/>
      <w:marBottom w:val="0"/>
      <w:divBdr>
        <w:top w:val="none" w:sz="0" w:space="0" w:color="auto"/>
        <w:left w:val="none" w:sz="0" w:space="0" w:color="auto"/>
        <w:bottom w:val="none" w:sz="0" w:space="0" w:color="auto"/>
        <w:right w:val="none" w:sz="0" w:space="0" w:color="auto"/>
      </w:divBdr>
    </w:div>
    <w:div w:id="1461070360">
      <w:bodyDiv w:val="1"/>
      <w:marLeft w:val="0"/>
      <w:marRight w:val="0"/>
      <w:marTop w:val="0"/>
      <w:marBottom w:val="0"/>
      <w:divBdr>
        <w:top w:val="none" w:sz="0" w:space="0" w:color="auto"/>
        <w:left w:val="none" w:sz="0" w:space="0" w:color="auto"/>
        <w:bottom w:val="none" w:sz="0" w:space="0" w:color="auto"/>
        <w:right w:val="none" w:sz="0" w:space="0" w:color="auto"/>
      </w:divBdr>
    </w:div>
    <w:div w:id="1477409699">
      <w:bodyDiv w:val="1"/>
      <w:marLeft w:val="0"/>
      <w:marRight w:val="0"/>
      <w:marTop w:val="0"/>
      <w:marBottom w:val="0"/>
      <w:divBdr>
        <w:top w:val="none" w:sz="0" w:space="0" w:color="auto"/>
        <w:left w:val="none" w:sz="0" w:space="0" w:color="auto"/>
        <w:bottom w:val="none" w:sz="0" w:space="0" w:color="auto"/>
        <w:right w:val="none" w:sz="0" w:space="0" w:color="auto"/>
      </w:divBdr>
    </w:div>
    <w:div w:id="1495753615">
      <w:bodyDiv w:val="1"/>
      <w:marLeft w:val="0"/>
      <w:marRight w:val="0"/>
      <w:marTop w:val="0"/>
      <w:marBottom w:val="0"/>
      <w:divBdr>
        <w:top w:val="none" w:sz="0" w:space="0" w:color="auto"/>
        <w:left w:val="none" w:sz="0" w:space="0" w:color="auto"/>
        <w:bottom w:val="none" w:sz="0" w:space="0" w:color="auto"/>
        <w:right w:val="none" w:sz="0" w:space="0" w:color="auto"/>
      </w:divBdr>
    </w:div>
    <w:div w:id="1501382741">
      <w:bodyDiv w:val="1"/>
      <w:marLeft w:val="0"/>
      <w:marRight w:val="0"/>
      <w:marTop w:val="0"/>
      <w:marBottom w:val="0"/>
      <w:divBdr>
        <w:top w:val="none" w:sz="0" w:space="0" w:color="auto"/>
        <w:left w:val="none" w:sz="0" w:space="0" w:color="auto"/>
        <w:bottom w:val="none" w:sz="0" w:space="0" w:color="auto"/>
        <w:right w:val="none" w:sz="0" w:space="0" w:color="auto"/>
      </w:divBdr>
    </w:div>
    <w:div w:id="1534492624">
      <w:bodyDiv w:val="1"/>
      <w:marLeft w:val="0"/>
      <w:marRight w:val="0"/>
      <w:marTop w:val="0"/>
      <w:marBottom w:val="0"/>
      <w:divBdr>
        <w:top w:val="none" w:sz="0" w:space="0" w:color="auto"/>
        <w:left w:val="none" w:sz="0" w:space="0" w:color="auto"/>
        <w:bottom w:val="none" w:sz="0" w:space="0" w:color="auto"/>
        <w:right w:val="none" w:sz="0" w:space="0" w:color="auto"/>
      </w:divBdr>
    </w:div>
    <w:div w:id="1549221399">
      <w:bodyDiv w:val="1"/>
      <w:marLeft w:val="0"/>
      <w:marRight w:val="0"/>
      <w:marTop w:val="0"/>
      <w:marBottom w:val="0"/>
      <w:divBdr>
        <w:top w:val="none" w:sz="0" w:space="0" w:color="auto"/>
        <w:left w:val="none" w:sz="0" w:space="0" w:color="auto"/>
        <w:bottom w:val="none" w:sz="0" w:space="0" w:color="auto"/>
        <w:right w:val="none" w:sz="0" w:space="0" w:color="auto"/>
      </w:divBdr>
    </w:div>
    <w:div w:id="1606159398">
      <w:bodyDiv w:val="1"/>
      <w:marLeft w:val="0"/>
      <w:marRight w:val="0"/>
      <w:marTop w:val="0"/>
      <w:marBottom w:val="0"/>
      <w:divBdr>
        <w:top w:val="none" w:sz="0" w:space="0" w:color="auto"/>
        <w:left w:val="none" w:sz="0" w:space="0" w:color="auto"/>
        <w:bottom w:val="none" w:sz="0" w:space="0" w:color="auto"/>
        <w:right w:val="none" w:sz="0" w:space="0" w:color="auto"/>
      </w:divBdr>
    </w:div>
    <w:div w:id="1618946873">
      <w:bodyDiv w:val="1"/>
      <w:marLeft w:val="0"/>
      <w:marRight w:val="0"/>
      <w:marTop w:val="0"/>
      <w:marBottom w:val="0"/>
      <w:divBdr>
        <w:top w:val="none" w:sz="0" w:space="0" w:color="auto"/>
        <w:left w:val="none" w:sz="0" w:space="0" w:color="auto"/>
        <w:bottom w:val="none" w:sz="0" w:space="0" w:color="auto"/>
        <w:right w:val="none" w:sz="0" w:space="0" w:color="auto"/>
      </w:divBdr>
    </w:div>
    <w:div w:id="1636447560">
      <w:bodyDiv w:val="1"/>
      <w:marLeft w:val="0"/>
      <w:marRight w:val="0"/>
      <w:marTop w:val="0"/>
      <w:marBottom w:val="0"/>
      <w:divBdr>
        <w:top w:val="none" w:sz="0" w:space="0" w:color="auto"/>
        <w:left w:val="none" w:sz="0" w:space="0" w:color="auto"/>
        <w:bottom w:val="none" w:sz="0" w:space="0" w:color="auto"/>
        <w:right w:val="none" w:sz="0" w:space="0" w:color="auto"/>
      </w:divBdr>
    </w:div>
    <w:div w:id="1680277845">
      <w:bodyDiv w:val="1"/>
      <w:marLeft w:val="0"/>
      <w:marRight w:val="0"/>
      <w:marTop w:val="0"/>
      <w:marBottom w:val="0"/>
      <w:divBdr>
        <w:top w:val="none" w:sz="0" w:space="0" w:color="auto"/>
        <w:left w:val="none" w:sz="0" w:space="0" w:color="auto"/>
        <w:bottom w:val="none" w:sz="0" w:space="0" w:color="auto"/>
        <w:right w:val="none" w:sz="0" w:space="0" w:color="auto"/>
      </w:divBdr>
    </w:div>
    <w:div w:id="1682049529">
      <w:bodyDiv w:val="1"/>
      <w:marLeft w:val="0"/>
      <w:marRight w:val="0"/>
      <w:marTop w:val="0"/>
      <w:marBottom w:val="0"/>
      <w:divBdr>
        <w:top w:val="none" w:sz="0" w:space="0" w:color="auto"/>
        <w:left w:val="none" w:sz="0" w:space="0" w:color="auto"/>
        <w:bottom w:val="none" w:sz="0" w:space="0" w:color="auto"/>
        <w:right w:val="none" w:sz="0" w:space="0" w:color="auto"/>
      </w:divBdr>
    </w:div>
    <w:div w:id="1725175369">
      <w:bodyDiv w:val="1"/>
      <w:marLeft w:val="0"/>
      <w:marRight w:val="0"/>
      <w:marTop w:val="0"/>
      <w:marBottom w:val="0"/>
      <w:divBdr>
        <w:top w:val="none" w:sz="0" w:space="0" w:color="auto"/>
        <w:left w:val="none" w:sz="0" w:space="0" w:color="auto"/>
        <w:bottom w:val="none" w:sz="0" w:space="0" w:color="auto"/>
        <w:right w:val="none" w:sz="0" w:space="0" w:color="auto"/>
      </w:divBdr>
    </w:div>
    <w:div w:id="1749762370">
      <w:bodyDiv w:val="1"/>
      <w:marLeft w:val="0"/>
      <w:marRight w:val="0"/>
      <w:marTop w:val="30"/>
      <w:marBottom w:val="0"/>
      <w:divBdr>
        <w:top w:val="none" w:sz="0" w:space="0" w:color="auto"/>
        <w:left w:val="none" w:sz="0" w:space="0" w:color="auto"/>
        <w:bottom w:val="none" w:sz="0" w:space="0" w:color="auto"/>
        <w:right w:val="none" w:sz="0" w:space="0" w:color="auto"/>
      </w:divBdr>
      <w:divsChild>
        <w:div w:id="1895577520">
          <w:marLeft w:val="0"/>
          <w:marRight w:val="0"/>
          <w:marTop w:val="75"/>
          <w:marBottom w:val="0"/>
          <w:divBdr>
            <w:top w:val="none" w:sz="0" w:space="0" w:color="auto"/>
            <w:left w:val="none" w:sz="0" w:space="0" w:color="auto"/>
            <w:bottom w:val="none" w:sz="0" w:space="0" w:color="auto"/>
            <w:right w:val="none" w:sz="0" w:space="0" w:color="auto"/>
          </w:divBdr>
          <w:divsChild>
            <w:div w:id="925573686">
              <w:marLeft w:val="0"/>
              <w:marRight w:val="0"/>
              <w:marTop w:val="0"/>
              <w:marBottom w:val="0"/>
              <w:divBdr>
                <w:top w:val="none" w:sz="0" w:space="0" w:color="auto"/>
                <w:left w:val="none" w:sz="0" w:space="0" w:color="auto"/>
                <w:bottom w:val="none" w:sz="0" w:space="0" w:color="auto"/>
                <w:right w:val="none" w:sz="0" w:space="0" w:color="auto"/>
              </w:divBdr>
              <w:divsChild>
                <w:div w:id="1768116064">
                  <w:marLeft w:val="0"/>
                  <w:marRight w:val="0"/>
                  <w:marTop w:val="0"/>
                  <w:marBottom w:val="0"/>
                  <w:divBdr>
                    <w:top w:val="none" w:sz="0" w:space="0" w:color="auto"/>
                    <w:left w:val="none" w:sz="0" w:space="0" w:color="auto"/>
                    <w:bottom w:val="none" w:sz="0" w:space="0" w:color="auto"/>
                    <w:right w:val="none" w:sz="0" w:space="0" w:color="auto"/>
                  </w:divBdr>
                  <w:divsChild>
                    <w:div w:id="95178333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825464217">
      <w:bodyDiv w:val="1"/>
      <w:marLeft w:val="0"/>
      <w:marRight w:val="0"/>
      <w:marTop w:val="0"/>
      <w:marBottom w:val="0"/>
      <w:divBdr>
        <w:top w:val="none" w:sz="0" w:space="0" w:color="auto"/>
        <w:left w:val="none" w:sz="0" w:space="0" w:color="auto"/>
        <w:bottom w:val="none" w:sz="0" w:space="0" w:color="auto"/>
        <w:right w:val="none" w:sz="0" w:space="0" w:color="auto"/>
      </w:divBdr>
    </w:div>
    <w:div w:id="1889104519">
      <w:bodyDiv w:val="1"/>
      <w:marLeft w:val="0"/>
      <w:marRight w:val="0"/>
      <w:marTop w:val="0"/>
      <w:marBottom w:val="0"/>
      <w:divBdr>
        <w:top w:val="none" w:sz="0" w:space="0" w:color="auto"/>
        <w:left w:val="none" w:sz="0" w:space="0" w:color="auto"/>
        <w:bottom w:val="none" w:sz="0" w:space="0" w:color="auto"/>
        <w:right w:val="none" w:sz="0" w:space="0" w:color="auto"/>
      </w:divBdr>
    </w:div>
    <w:div w:id="1928614701">
      <w:bodyDiv w:val="1"/>
      <w:marLeft w:val="0"/>
      <w:marRight w:val="0"/>
      <w:marTop w:val="0"/>
      <w:marBottom w:val="0"/>
      <w:divBdr>
        <w:top w:val="none" w:sz="0" w:space="0" w:color="auto"/>
        <w:left w:val="none" w:sz="0" w:space="0" w:color="auto"/>
        <w:bottom w:val="none" w:sz="0" w:space="0" w:color="auto"/>
        <w:right w:val="none" w:sz="0" w:space="0" w:color="auto"/>
      </w:divBdr>
    </w:div>
    <w:div w:id="1935673297">
      <w:bodyDiv w:val="1"/>
      <w:marLeft w:val="0"/>
      <w:marRight w:val="0"/>
      <w:marTop w:val="0"/>
      <w:marBottom w:val="0"/>
      <w:divBdr>
        <w:top w:val="none" w:sz="0" w:space="0" w:color="auto"/>
        <w:left w:val="none" w:sz="0" w:space="0" w:color="auto"/>
        <w:bottom w:val="none" w:sz="0" w:space="0" w:color="auto"/>
        <w:right w:val="none" w:sz="0" w:space="0" w:color="auto"/>
      </w:divBdr>
    </w:div>
    <w:div w:id="1943490268">
      <w:bodyDiv w:val="1"/>
      <w:marLeft w:val="0"/>
      <w:marRight w:val="0"/>
      <w:marTop w:val="0"/>
      <w:marBottom w:val="0"/>
      <w:divBdr>
        <w:top w:val="none" w:sz="0" w:space="0" w:color="auto"/>
        <w:left w:val="none" w:sz="0" w:space="0" w:color="auto"/>
        <w:bottom w:val="none" w:sz="0" w:space="0" w:color="auto"/>
        <w:right w:val="none" w:sz="0" w:space="0" w:color="auto"/>
      </w:divBdr>
    </w:div>
    <w:div w:id="1957133843">
      <w:bodyDiv w:val="1"/>
      <w:marLeft w:val="0"/>
      <w:marRight w:val="0"/>
      <w:marTop w:val="0"/>
      <w:marBottom w:val="0"/>
      <w:divBdr>
        <w:top w:val="none" w:sz="0" w:space="0" w:color="auto"/>
        <w:left w:val="none" w:sz="0" w:space="0" w:color="auto"/>
        <w:bottom w:val="none" w:sz="0" w:space="0" w:color="auto"/>
        <w:right w:val="none" w:sz="0" w:space="0" w:color="auto"/>
      </w:divBdr>
    </w:div>
    <w:div w:id="1965889526">
      <w:bodyDiv w:val="1"/>
      <w:marLeft w:val="0"/>
      <w:marRight w:val="0"/>
      <w:marTop w:val="0"/>
      <w:marBottom w:val="0"/>
      <w:divBdr>
        <w:top w:val="none" w:sz="0" w:space="0" w:color="auto"/>
        <w:left w:val="none" w:sz="0" w:space="0" w:color="auto"/>
        <w:bottom w:val="none" w:sz="0" w:space="0" w:color="auto"/>
        <w:right w:val="none" w:sz="0" w:space="0" w:color="auto"/>
      </w:divBdr>
    </w:div>
    <w:div w:id="1988971041">
      <w:bodyDiv w:val="1"/>
      <w:marLeft w:val="0"/>
      <w:marRight w:val="0"/>
      <w:marTop w:val="0"/>
      <w:marBottom w:val="0"/>
      <w:divBdr>
        <w:top w:val="none" w:sz="0" w:space="0" w:color="auto"/>
        <w:left w:val="none" w:sz="0" w:space="0" w:color="auto"/>
        <w:bottom w:val="none" w:sz="0" w:space="0" w:color="auto"/>
        <w:right w:val="none" w:sz="0" w:space="0" w:color="auto"/>
      </w:divBdr>
    </w:div>
    <w:div w:id="2019694210">
      <w:bodyDiv w:val="1"/>
      <w:marLeft w:val="0"/>
      <w:marRight w:val="0"/>
      <w:marTop w:val="0"/>
      <w:marBottom w:val="0"/>
      <w:divBdr>
        <w:top w:val="none" w:sz="0" w:space="0" w:color="auto"/>
        <w:left w:val="none" w:sz="0" w:space="0" w:color="auto"/>
        <w:bottom w:val="none" w:sz="0" w:space="0" w:color="auto"/>
        <w:right w:val="none" w:sz="0" w:space="0" w:color="auto"/>
      </w:divBdr>
    </w:div>
    <w:div w:id="2028213569">
      <w:bodyDiv w:val="1"/>
      <w:marLeft w:val="0"/>
      <w:marRight w:val="0"/>
      <w:marTop w:val="0"/>
      <w:marBottom w:val="0"/>
      <w:divBdr>
        <w:top w:val="none" w:sz="0" w:space="0" w:color="auto"/>
        <w:left w:val="none" w:sz="0" w:space="0" w:color="auto"/>
        <w:bottom w:val="none" w:sz="0" w:space="0" w:color="auto"/>
        <w:right w:val="none" w:sz="0" w:space="0" w:color="auto"/>
      </w:divBdr>
    </w:div>
    <w:div w:id="2103213685">
      <w:bodyDiv w:val="1"/>
      <w:marLeft w:val="0"/>
      <w:marRight w:val="0"/>
      <w:marTop w:val="0"/>
      <w:marBottom w:val="0"/>
      <w:divBdr>
        <w:top w:val="none" w:sz="0" w:space="0" w:color="auto"/>
        <w:left w:val="none" w:sz="0" w:space="0" w:color="auto"/>
        <w:bottom w:val="none" w:sz="0" w:space="0" w:color="auto"/>
        <w:right w:val="none" w:sz="0" w:space="0" w:color="auto"/>
      </w:divBdr>
    </w:div>
    <w:div w:id="2117361205">
      <w:bodyDiv w:val="1"/>
      <w:marLeft w:val="0"/>
      <w:marRight w:val="0"/>
      <w:marTop w:val="0"/>
      <w:marBottom w:val="0"/>
      <w:divBdr>
        <w:top w:val="none" w:sz="0" w:space="0" w:color="auto"/>
        <w:left w:val="none" w:sz="0" w:space="0" w:color="auto"/>
        <w:bottom w:val="none" w:sz="0" w:space="0" w:color="auto"/>
        <w:right w:val="none" w:sz="0" w:space="0" w:color="auto"/>
      </w:divBdr>
    </w:div>
    <w:div w:id="213709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chart" Target="charts/chart5.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451946334762449E-2"/>
          <c:y val="1.6780243378668576E-2"/>
          <c:w val="0.76017196945404453"/>
          <c:h val="0.84070412789310422"/>
        </c:manualLayout>
      </c:layout>
      <c:barChart>
        <c:barDir val="col"/>
        <c:grouping val="clustered"/>
        <c:varyColors val="0"/>
        <c:ser>
          <c:idx val="0"/>
          <c:order val="0"/>
          <c:tx>
            <c:strRef>
              <c:f>'1attels'!$B$10</c:f>
              <c:strCache>
                <c:ptCount val="1"/>
                <c:pt idx="0">
                  <c:v>Gada plāns</c:v>
                </c:pt>
              </c:strCache>
            </c:strRef>
          </c:tx>
          <c:spPr>
            <a:solidFill>
              <a:srgbClr val="D9D9D9"/>
            </a:solidFill>
            <a:ln>
              <a:noFill/>
            </a:ln>
            <a:effectLst/>
          </c:spPr>
          <c:invertIfNegative val="0"/>
          <c:cat>
            <c:multiLvlStrRef>
              <c:f>'1attels'!$C$8:$H$9</c:f>
              <c:multiLvlStrCache>
                <c:ptCount val="6"/>
                <c:lvl>
                  <c:pt idx="0">
                    <c:v>Ieņēmumi</c:v>
                  </c:pt>
                  <c:pt idx="1">
                    <c:v>Izdevumi </c:v>
                  </c:pt>
                  <c:pt idx="2">
                    <c:v>Finansiālā bilance</c:v>
                  </c:pt>
                  <c:pt idx="3">
                    <c:v>Ieņēmumi</c:v>
                  </c:pt>
                  <c:pt idx="4">
                    <c:v>Izdevumi </c:v>
                  </c:pt>
                  <c:pt idx="5">
                    <c:v>Finansiālā bilance</c:v>
                  </c:pt>
                </c:lvl>
                <c:lvl>
                  <c:pt idx="0">
                    <c:v>2021. gads</c:v>
                  </c:pt>
                  <c:pt idx="3">
                    <c:v>2022. gads</c:v>
                  </c:pt>
                </c:lvl>
              </c:multiLvlStrCache>
            </c:multiLvlStrRef>
          </c:cat>
          <c:val>
            <c:numRef>
              <c:f>'1attels'!$C$10:$H$10</c:f>
              <c:numCache>
                <c:formatCode>#,##0</c:formatCode>
                <c:ptCount val="6"/>
                <c:pt idx="0">
                  <c:v>9756</c:v>
                </c:pt>
                <c:pt idx="1">
                  <c:v>10990</c:v>
                </c:pt>
                <c:pt idx="2">
                  <c:v>-1234</c:v>
                </c:pt>
                <c:pt idx="3">
                  <c:v>10884</c:v>
                </c:pt>
                <c:pt idx="4">
                  <c:v>12638</c:v>
                </c:pt>
                <c:pt idx="5">
                  <c:v>-1753</c:v>
                </c:pt>
              </c:numCache>
            </c:numRef>
          </c:val>
          <c:extLst>
            <c:ext xmlns:c16="http://schemas.microsoft.com/office/drawing/2014/chart" uri="{C3380CC4-5D6E-409C-BE32-E72D297353CC}">
              <c16:uniqueId val="{00000000-663A-4333-BDAB-B1A0F3FF5227}"/>
            </c:ext>
          </c:extLst>
        </c:ser>
        <c:ser>
          <c:idx val="1"/>
          <c:order val="1"/>
          <c:tx>
            <c:strRef>
              <c:f>'1attels'!$B$11</c:f>
              <c:strCache>
                <c:ptCount val="1"/>
                <c:pt idx="0">
                  <c:v>Gada plāns ar grozījumiem</c:v>
                </c:pt>
              </c:strCache>
            </c:strRef>
          </c:tx>
          <c:spPr>
            <a:solidFill>
              <a:srgbClr val="B9CDE5"/>
            </a:solidFill>
            <a:ln>
              <a:noFill/>
            </a:ln>
            <a:effectLst/>
          </c:spPr>
          <c:invertIfNegative val="0"/>
          <c:cat>
            <c:multiLvlStrRef>
              <c:f>'1attels'!$C$8:$H$9</c:f>
              <c:multiLvlStrCache>
                <c:ptCount val="6"/>
                <c:lvl>
                  <c:pt idx="0">
                    <c:v>Ieņēmumi</c:v>
                  </c:pt>
                  <c:pt idx="1">
                    <c:v>Izdevumi </c:v>
                  </c:pt>
                  <c:pt idx="2">
                    <c:v>Finansiālā bilance</c:v>
                  </c:pt>
                  <c:pt idx="3">
                    <c:v>Ieņēmumi</c:v>
                  </c:pt>
                  <c:pt idx="4">
                    <c:v>Izdevumi </c:v>
                  </c:pt>
                  <c:pt idx="5">
                    <c:v>Finansiālā bilance</c:v>
                  </c:pt>
                </c:lvl>
                <c:lvl>
                  <c:pt idx="0">
                    <c:v>2021. gads</c:v>
                  </c:pt>
                  <c:pt idx="3">
                    <c:v>2022. gads</c:v>
                  </c:pt>
                </c:lvl>
              </c:multiLvlStrCache>
            </c:multiLvlStrRef>
          </c:cat>
          <c:val>
            <c:numRef>
              <c:f>'1attels'!$C$11:$H$11</c:f>
              <c:numCache>
                <c:formatCode>#,##0</c:formatCode>
                <c:ptCount val="6"/>
                <c:pt idx="0">
                  <c:v>9849</c:v>
                </c:pt>
                <c:pt idx="1">
                  <c:v>13111</c:v>
                </c:pt>
                <c:pt idx="2">
                  <c:v>-3262</c:v>
                </c:pt>
                <c:pt idx="3">
                  <c:v>10937</c:v>
                </c:pt>
                <c:pt idx="4">
                  <c:v>14861</c:v>
                </c:pt>
                <c:pt idx="5">
                  <c:v>-3924</c:v>
                </c:pt>
              </c:numCache>
            </c:numRef>
          </c:val>
          <c:extLst>
            <c:ext xmlns:c16="http://schemas.microsoft.com/office/drawing/2014/chart" uri="{C3380CC4-5D6E-409C-BE32-E72D297353CC}">
              <c16:uniqueId val="{00000001-663A-4333-BDAB-B1A0F3FF5227}"/>
            </c:ext>
          </c:extLst>
        </c:ser>
        <c:ser>
          <c:idx val="2"/>
          <c:order val="2"/>
          <c:tx>
            <c:strRef>
              <c:f>'1attels'!$B$12</c:f>
              <c:strCache>
                <c:ptCount val="1"/>
                <c:pt idx="0">
                  <c:v>Izpilde (naudas plūsma)</c:v>
                </c:pt>
              </c:strCache>
            </c:strRef>
          </c:tx>
          <c:spPr>
            <a:solidFill>
              <a:srgbClr val="558ED5"/>
            </a:solidFill>
            <a:ln>
              <a:noFill/>
            </a:ln>
            <a:effectLst/>
          </c:spPr>
          <c:invertIfNegative val="0"/>
          <c:cat>
            <c:multiLvlStrRef>
              <c:f>'1attels'!$C$8:$H$9</c:f>
              <c:multiLvlStrCache>
                <c:ptCount val="6"/>
                <c:lvl>
                  <c:pt idx="0">
                    <c:v>Ieņēmumi</c:v>
                  </c:pt>
                  <c:pt idx="1">
                    <c:v>Izdevumi </c:v>
                  </c:pt>
                  <c:pt idx="2">
                    <c:v>Finansiālā bilance</c:v>
                  </c:pt>
                  <c:pt idx="3">
                    <c:v>Ieņēmumi</c:v>
                  </c:pt>
                  <c:pt idx="4">
                    <c:v>Izdevumi </c:v>
                  </c:pt>
                  <c:pt idx="5">
                    <c:v>Finansiālā bilance</c:v>
                  </c:pt>
                </c:lvl>
                <c:lvl>
                  <c:pt idx="0">
                    <c:v>2021. gads</c:v>
                  </c:pt>
                  <c:pt idx="3">
                    <c:v>2022. gads</c:v>
                  </c:pt>
                </c:lvl>
              </c:multiLvlStrCache>
            </c:multiLvlStrRef>
          </c:cat>
          <c:val>
            <c:numRef>
              <c:f>'1attels'!$C$12:$H$12</c:f>
              <c:numCache>
                <c:formatCode>#,##0</c:formatCode>
                <c:ptCount val="6"/>
                <c:pt idx="0">
                  <c:v>10677</c:v>
                </c:pt>
                <c:pt idx="1">
                  <c:v>12431</c:v>
                </c:pt>
                <c:pt idx="2">
                  <c:v>-1754</c:v>
                </c:pt>
                <c:pt idx="3">
                  <c:v>12135</c:v>
                </c:pt>
                <c:pt idx="4">
                  <c:v>13621</c:v>
                </c:pt>
                <c:pt idx="5">
                  <c:v>-1487</c:v>
                </c:pt>
              </c:numCache>
            </c:numRef>
          </c:val>
          <c:extLst>
            <c:ext xmlns:c16="http://schemas.microsoft.com/office/drawing/2014/chart" uri="{C3380CC4-5D6E-409C-BE32-E72D297353CC}">
              <c16:uniqueId val="{00000002-663A-4333-BDAB-B1A0F3FF5227}"/>
            </c:ext>
          </c:extLst>
        </c:ser>
        <c:dLbls>
          <c:showLegendKey val="0"/>
          <c:showVal val="0"/>
          <c:showCatName val="0"/>
          <c:showSerName val="0"/>
          <c:showPercent val="0"/>
          <c:showBubbleSize val="0"/>
        </c:dLbls>
        <c:gapWidth val="150"/>
        <c:axId val="110909696"/>
        <c:axId val="110915584"/>
      </c:barChart>
      <c:catAx>
        <c:axId val="110909696"/>
        <c:scaling>
          <c:orientation val="minMax"/>
        </c:scaling>
        <c:delete val="0"/>
        <c:axPos val="b"/>
        <c:numFmt formatCode="General" sourceLinked="0"/>
        <c:majorTickMark val="out"/>
        <c:minorTickMark val="none"/>
        <c:tickLblPos val="low"/>
        <c:spPr>
          <a:ln w="6350">
            <a:solidFill>
              <a:srgbClr val="C3C4C6"/>
            </a:solidFill>
          </a:ln>
        </c:spPr>
        <c:txPr>
          <a:bodyPr/>
          <a:lstStyle/>
          <a:p>
            <a:pPr>
              <a:defRPr>
                <a:solidFill>
                  <a:srgbClr val="17365D"/>
                </a:solidFill>
              </a:defRPr>
            </a:pPr>
            <a:endParaRPr lang="lv-LV"/>
          </a:p>
        </c:txPr>
        <c:crossAx val="110915584"/>
        <c:crosses val="autoZero"/>
        <c:auto val="1"/>
        <c:lblAlgn val="ctr"/>
        <c:lblOffset val="100"/>
        <c:noMultiLvlLbl val="0"/>
      </c:catAx>
      <c:valAx>
        <c:axId val="110915584"/>
        <c:scaling>
          <c:orientation val="minMax"/>
          <c:min val="-2000"/>
        </c:scaling>
        <c:delete val="0"/>
        <c:axPos val="l"/>
        <c:majorGridlines>
          <c:spPr>
            <a:ln w="6350">
              <a:solidFill>
                <a:srgbClr val="C3C4C6"/>
              </a:solidFill>
            </a:ln>
          </c:spPr>
        </c:majorGridlines>
        <c:numFmt formatCode="#,##0" sourceLinked="1"/>
        <c:majorTickMark val="out"/>
        <c:minorTickMark val="none"/>
        <c:tickLblPos val="nextTo"/>
        <c:spPr>
          <a:noFill/>
          <a:ln w="6350">
            <a:solidFill>
              <a:srgbClr val="C3C4C6"/>
            </a:solidFill>
          </a:ln>
        </c:spPr>
        <c:txPr>
          <a:bodyPr/>
          <a:lstStyle/>
          <a:p>
            <a:pPr>
              <a:defRPr>
                <a:solidFill>
                  <a:srgbClr val="17365D"/>
                </a:solidFill>
              </a:defRPr>
            </a:pPr>
            <a:endParaRPr lang="lv-LV"/>
          </a:p>
        </c:txPr>
        <c:crossAx val="110909696"/>
        <c:crossesAt val="1"/>
        <c:crossBetween val="between"/>
      </c:valAx>
      <c:spPr>
        <a:effectLst/>
      </c:spPr>
    </c:plotArea>
    <c:legend>
      <c:legendPos val="r"/>
      <c:layout>
        <c:manualLayout>
          <c:xMode val="edge"/>
          <c:yMode val="edge"/>
          <c:x val="0.77851994767491783"/>
          <c:y val="0.25602063800704616"/>
          <c:w val="0.21755853321413721"/>
          <c:h val="0.37558965276039763"/>
        </c:manualLayout>
      </c:layout>
      <c:overlay val="0"/>
      <c:spPr>
        <a:solidFill>
          <a:schemeClr val="bg1"/>
        </a:solidFill>
      </c:spPr>
      <c:txPr>
        <a:bodyPr/>
        <a:lstStyle/>
        <a:p>
          <a:pPr>
            <a:defRPr>
              <a:solidFill>
                <a:srgbClr val="17365D"/>
              </a:solidFill>
            </a:defRPr>
          </a:pPr>
          <a:endParaRPr lang="lv-LV"/>
        </a:p>
      </c:txPr>
    </c:legend>
    <c:plotVisOnly val="1"/>
    <c:dispBlanksAs val="gap"/>
    <c:showDLblsOverMax val="0"/>
  </c:chart>
  <c:spPr>
    <a:ln>
      <a:noFill/>
    </a:ln>
  </c:spPr>
  <c:txPr>
    <a:bodyPr/>
    <a:lstStyle/>
    <a:p>
      <a:pPr>
        <a:defRPr sz="1000">
          <a:latin typeface="Times New Roman" panose="02020603050405020304" pitchFamily="18" charset="0"/>
          <a:cs typeface="Times New Roman" panose="02020603050405020304" pitchFamily="18" charset="0"/>
        </a:defRPr>
      </a:pPr>
      <a:endParaRPr lang="lv-LV"/>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16503608310872E-2"/>
          <c:y val="1.5189273037582468E-2"/>
          <c:w val="0.93096615392517235"/>
          <c:h val="0.7186568709048321"/>
        </c:manualLayout>
      </c:layout>
      <c:barChart>
        <c:barDir val="col"/>
        <c:grouping val="clustered"/>
        <c:varyColors val="0"/>
        <c:ser>
          <c:idx val="0"/>
          <c:order val="0"/>
          <c:tx>
            <c:v>2021</c:v>
          </c:tx>
          <c:spPr>
            <a:solidFill>
              <a:srgbClr val="B9CDE5"/>
            </a:solidFill>
            <a:ln>
              <a:noFill/>
            </a:ln>
            <a:effectLst>
              <a:outerShdw blurRad="101600" dist="38100" dir="2700000" algn="tl" rotWithShape="0">
                <a:prstClr val="black">
                  <a:alpha val="40000"/>
                </a:prstClr>
              </a:outerShdw>
            </a:effectLst>
          </c:spPr>
          <c:invertIfNegative val="0"/>
          <c:dLbls>
            <c:dLbl>
              <c:idx val="0"/>
              <c:layout>
                <c:manualLayout>
                  <c:x val="-3.4696690140662294E-3"/>
                  <c:y val="-1.60096346776936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E94-4621-83A7-39539AA88731}"/>
                </c:ext>
              </c:extLst>
            </c:dLbl>
            <c:dLbl>
              <c:idx val="1"/>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E94-4621-83A7-39539AA88731}"/>
                </c:ext>
              </c:extLst>
            </c:dLbl>
            <c:dLbl>
              <c:idx val="2"/>
              <c:layout>
                <c:manualLayout>
                  <c:x val="3.1804931882319976E-17"/>
                  <c:y val="-1.526689088924028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E94-4621-83A7-39539AA88731}"/>
                </c:ext>
              </c:extLst>
            </c:dLbl>
            <c:dLbl>
              <c:idx val="3"/>
              <c:layout>
                <c:manualLayout>
                  <c:x val="0"/>
                  <c:y val="1.585309126347070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E94-4621-83A7-39539AA88731}"/>
                </c:ext>
              </c:extLst>
            </c:dLbl>
            <c:dLbl>
              <c:idx val="4"/>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E94-4621-83A7-39539AA88731}"/>
                </c:ext>
              </c:extLst>
            </c:dLbl>
            <c:dLbl>
              <c:idx val="6"/>
              <c:layout>
                <c:manualLayout>
                  <c:x val="0"/>
                  <c:y val="-1.676287424427606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E94-4621-83A7-39539AA88731}"/>
                </c:ext>
              </c:extLst>
            </c:dLbl>
            <c:dLbl>
              <c:idx val="7"/>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BE94-4621-83A7-39539AA88731}"/>
                </c:ext>
              </c:extLst>
            </c:dLbl>
            <c:dLbl>
              <c:idx val="8"/>
              <c:layout>
                <c:manualLayout>
                  <c:x val="-5.2045035210993443E-3"/>
                  <c:y val="-1.501231244100311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E94-4621-83A7-39539AA88731}"/>
                </c:ext>
              </c:extLst>
            </c:dLbl>
            <c:dLbl>
              <c:idx val="9"/>
              <c:layout>
                <c:manualLayout>
                  <c:x val="4.7976478788275484E-4"/>
                  <c:y val="0.1206545316498779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E94-4621-83A7-39539AA88731}"/>
                </c:ext>
              </c:extLst>
            </c:dLbl>
            <c:numFmt formatCode="#,##0.0" sourceLinked="0"/>
            <c:spPr>
              <a:noFill/>
              <a:ln>
                <a:noFill/>
              </a:ln>
              <a:effectLst/>
            </c:spPr>
            <c:txPr>
              <a:bodyPr rot="-5400000" spcFirstLastPara="1" vertOverflow="ellipsis"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'2attels'!$E$4:$N$4</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'2attels'!$E$6:$N$6</c:f>
              <c:numCache>
                <c:formatCode>#,##0</c:formatCode>
                <c:ptCount val="10"/>
                <c:pt idx="0">
                  <c:v>2258.157436</c:v>
                </c:pt>
                <c:pt idx="1">
                  <c:v>727.16579300000001</c:v>
                </c:pt>
                <c:pt idx="2">
                  <c:v>652.98141499999997</c:v>
                </c:pt>
                <c:pt idx="3">
                  <c:v>1445.390056</c:v>
                </c:pt>
                <c:pt idx="4">
                  <c:v>87.164180999999999</c:v>
                </c:pt>
                <c:pt idx="5">
                  <c:v>20.773683999999999</c:v>
                </c:pt>
                <c:pt idx="6">
                  <c:v>1840.8534850000001</c:v>
                </c:pt>
                <c:pt idx="7">
                  <c:v>220.07903200000001</c:v>
                </c:pt>
                <c:pt idx="8">
                  <c:v>1064.5144</c:v>
                </c:pt>
                <c:pt idx="9">
                  <c:v>4113.7210789999999</c:v>
                </c:pt>
              </c:numCache>
            </c:numRef>
          </c:val>
          <c:extLst>
            <c:ext xmlns:c16="http://schemas.microsoft.com/office/drawing/2014/chart" uri="{C3380CC4-5D6E-409C-BE32-E72D297353CC}">
              <c16:uniqueId val="{00000009-BE94-4621-83A7-39539AA88731}"/>
            </c:ext>
          </c:extLst>
        </c:ser>
        <c:ser>
          <c:idx val="1"/>
          <c:order val="1"/>
          <c:tx>
            <c:strRef>
              <c:f>'2attels'!$D$7</c:f>
              <c:strCache>
                <c:ptCount val="1"/>
                <c:pt idx="0">
                  <c:v>2022</c:v>
                </c:pt>
              </c:strCache>
            </c:strRef>
          </c:tx>
          <c:spPr>
            <a:solidFill>
              <a:srgbClr val="558ED5"/>
            </a:solidFill>
            <a:ln>
              <a:noFill/>
            </a:ln>
            <a:effectLst>
              <a:outerShdw blurRad="101600" dist="38100" dir="2700000" algn="tl" rotWithShape="0">
                <a:prstClr val="black">
                  <a:alpha val="40000"/>
                </a:prstClr>
              </a:outerShdw>
            </a:effectLst>
          </c:spPr>
          <c:invertIfNegative val="0"/>
          <c:dLbls>
            <c:dLbl>
              <c:idx val="0"/>
              <c:layout>
                <c:manualLayout>
                  <c:x val="0"/>
                  <c:y val="-9.27469483525092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E94-4621-83A7-39539AA88731}"/>
                </c:ext>
              </c:extLst>
            </c:dLbl>
            <c:dLbl>
              <c:idx val="1"/>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BE94-4621-83A7-39539AA88731}"/>
                </c:ext>
              </c:extLst>
            </c:dLbl>
            <c:dLbl>
              <c:idx val="2"/>
              <c:layout>
                <c:manualLayout>
                  <c:x val="1.7348345070331147E-3"/>
                  <c:y val="-1.006746105563851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BE94-4621-83A7-39539AA88731}"/>
                </c:ext>
              </c:extLst>
            </c:dLbl>
            <c:dLbl>
              <c:idx val="3"/>
              <c:layout>
                <c:manualLayout>
                  <c:x val="1.7348345070331147E-3"/>
                  <c:y val="-1.72309412859472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BE94-4621-83A7-39539AA88731}"/>
                </c:ext>
              </c:extLst>
            </c:dLbl>
            <c:dLbl>
              <c:idx val="4"/>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BE94-4621-83A7-39539AA88731}"/>
                </c:ext>
              </c:extLst>
            </c:dLbl>
            <c:dLbl>
              <c:idx val="6"/>
              <c:layout>
                <c:manualLayout>
                  <c:x val="1.7348345070331147E-3"/>
                  <c:y val="-2.880309495932439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BE94-4621-83A7-39539AA88731}"/>
                </c:ext>
              </c:extLst>
            </c:dLbl>
            <c:dLbl>
              <c:idx val="7"/>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BE94-4621-83A7-39539AA88731}"/>
                </c:ext>
              </c:extLst>
            </c:dLbl>
            <c:dLbl>
              <c:idx val="8"/>
              <c:layout>
                <c:manualLayout>
                  <c:x val="0"/>
                  <c:y val="-1.849490095000190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BE94-4621-83A7-39539AA88731}"/>
                </c:ext>
              </c:extLst>
            </c:dLbl>
            <c:dLbl>
              <c:idx val="9"/>
              <c:layout>
                <c:manualLayout>
                  <c:x val="3.4452135855518621E-3"/>
                  <c:y val="8.410103350547515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BE94-4621-83A7-39539AA88731}"/>
                </c:ext>
              </c:extLst>
            </c:dLbl>
            <c:numFmt formatCode="#,##0.0" sourceLinked="0"/>
            <c:spPr>
              <a:noFill/>
              <a:ln>
                <a:noFill/>
              </a:ln>
              <a:effectLst/>
            </c:spPr>
            <c:txPr>
              <a:bodyPr rot="-5400000" spcFirstLastPara="1" vertOverflow="ellipsis"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'2attels'!$E$4:$N$4</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'2attels'!$E$7:$N$7</c:f>
              <c:numCache>
                <c:formatCode>#,##0</c:formatCode>
                <c:ptCount val="10"/>
                <c:pt idx="0">
                  <c:v>1603.3414459999999</c:v>
                </c:pt>
                <c:pt idx="1">
                  <c:v>866.78421400000002</c:v>
                </c:pt>
                <c:pt idx="2">
                  <c:v>736.15850799999998</c:v>
                </c:pt>
                <c:pt idx="3">
                  <c:v>2419.0224360000002</c:v>
                </c:pt>
                <c:pt idx="4">
                  <c:v>138.83195499999999</c:v>
                </c:pt>
                <c:pt idx="5">
                  <c:v>62.165187000000003</c:v>
                </c:pt>
                <c:pt idx="6">
                  <c:v>1901.7080289999999</c:v>
                </c:pt>
                <c:pt idx="7">
                  <c:v>235.30721399999999</c:v>
                </c:pt>
                <c:pt idx="8">
                  <c:v>1168.641365</c:v>
                </c:pt>
                <c:pt idx="9">
                  <c:v>4489.5703890000004</c:v>
                </c:pt>
              </c:numCache>
            </c:numRef>
          </c:val>
          <c:extLst>
            <c:ext xmlns:c16="http://schemas.microsoft.com/office/drawing/2014/chart" uri="{C3380CC4-5D6E-409C-BE32-E72D297353CC}">
              <c16:uniqueId val="{00000013-BE94-4621-83A7-39539AA88731}"/>
            </c:ext>
          </c:extLst>
        </c:ser>
        <c:dLbls>
          <c:showLegendKey val="0"/>
          <c:showVal val="0"/>
          <c:showCatName val="0"/>
          <c:showSerName val="0"/>
          <c:showPercent val="0"/>
          <c:showBubbleSize val="0"/>
        </c:dLbls>
        <c:gapWidth val="150"/>
        <c:axId val="41034880"/>
        <c:axId val="41036416"/>
      </c:barChart>
      <c:catAx>
        <c:axId val="41034880"/>
        <c:scaling>
          <c:orientation val="minMax"/>
        </c:scaling>
        <c:delete val="0"/>
        <c:axPos val="b"/>
        <c:numFmt formatCode="General" sourceLinked="0"/>
        <c:majorTickMark val="out"/>
        <c:minorTickMark val="none"/>
        <c:tickLblPos val="nextTo"/>
        <c:spPr>
          <a:noFill/>
          <a:ln w="6350" cap="flat" cmpd="sng" algn="ctr">
            <a:solidFill>
              <a:srgbClr val="C3C4C6"/>
            </a:solidFill>
            <a:prstDash val="solid"/>
            <a:round/>
          </a:ln>
          <a:effectLst/>
        </c:spPr>
        <c:txPr>
          <a:bodyPr rot="-5400000" spcFirstLastPara="1" vertOverflow="ellipsis"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41036416"/>
        <c:crosses val="autoZero"/>
        <c:auto val="1"/>
        <c:lblAlgn val="ctr"/>
        <c:lblOffset val="100"/>
        <c:noMultiLvlLbl val="0"/>
      </c:catAx>
      <c:valAx>
        <c:axId val="41036416"/>
        <c:scaling>
          <c:orientation val="minMax"/>
          <c:max val="4999"/>
          <c:min val="0"/>
        </c:scaling>
        <c:delete val="0"/>
        <c:axPos val="l"/>
        <c:majorGridlines>
          <c:spPr>
            <a:ln w="6350" cap="flat" cmpd="sng" algn="ctr">
              <a:solidFill>
                <a:srgbClr val="C3C4C6"/>
              </a:solidFill>
              <a:prstDash val="solid"/>
              <a:round/>
            </a:ln>
            <a:effectLst/>
          </c:spPr>
        </c:majorGridlines>
        <c:numFmt formatCode="#,##0" sourceLinked="1"/>
        <c:majorTickMark val="out"/>
        <c:minorTickMark val="none"/>
        <c:tickLblPos val="nextTo"/>
        <c:spPr>
          <a:noFill/>
          <a:ln w="6350" cap="flat" cmpd="sng" algn="ctr">
            <a:solidFill>
              <a:srgbClr val="C3C4C6"/>
            </a:solidFill>
            <a:prstDash val="solid"/>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41034880"/>
        <c:crosses val="autoZero"/>
        <c:crossBetween val="between"/>
        <c:majorUnit val="500"/>
        <c:minorUnit val="2"/>
      </c:valAx>
      <c:spPr>
        <a:solidFill>
          <a:schemeClr val="bg1"/>
        </a:solidFill>
        <a:ln>
          <a:noFill/>
        </a:ln>
        <a:effectLst/>
      </c:spPr>
    </c:plotArea>
    <c:legend>
      <c:legendPos val="b"/>
      <c:layout>
        <c:manualLayout>
          <c:xMode val="edge"/>
          <c:yMode val="edge"/>
          <c:x val="0.38741218906836827"/>
          <c:y val="3.0151131357956818E-2"/>
          <c:w val="0.22362682366344289"/>
          <c:h val="0.11298135168741451"/>
        </c:manualLayout>
      </c:layout>
      <c:overlay val="0"/>
      <c:spPr>
        <a:solidFill>
          <a:schemeClr val="bg1"/>
        </a:solid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noFill/>
    <a:ln w="6350" cap="flat" cmpd="sng" algn="ctr">
      <a:noFill/>
      <a:prstDash val="solid"/>
      <a:round/>
    </a:ln>
    <a:effectLst/>
  </c:spPr>
  <c:txPr>
    <a:bodyPr/>
    <a:lstStyle/>
    <a:p>
      <a:pPr>
        <a:defRPr sz="1000">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0046015585371755"/>
          <c:y val="2.7846829880728185E-2"/>
          <c:w val="0.65870325933607465"/>
          <c:h val="0.86619240977822265"/>
        </c:manualLayout>
      </c:layout>
      <c:barChart>
        <c:barDir val="bar"/>
        <c:grouping val="clustered"/>
        <c:varyColors val="0"/>
        <c:ser>
          <c:idx val="0"/>
          <c:order val="0"/>
          <c:tx>
            <c:strRef>
              <c:f>Sheet1!$C$3</c:f>
              <c:strCache>
                <c:ptCount val="1"/>
                <c:pt idx="0">
                  <c:v>2021</c:v>
                </c:pt>
              </c:strCache>
            </c:strRef>
          </c:tx>
          <c:spPr>
            <a:solidFill>
              <a:srgbClr val="B9CDE5"/>
            </a:solidFill>
          </c:spPr>
          <c:invertIfNegative val="0"/>
          <c:dLbls>
            <c:dLbl>
              <c:idx val="0"/>
              <c:layout>
                <c:manualLayout>
                  <c:x val="-4.9323095470759065E-3"/>
                  <c:y val="8.0652006734936669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89E-4F26-9EEB-4C66A60D0FB1}"/>
                </c:ext>
              </c:extLst>
            </c:dLbl>
            <c:dLbl>
              <c:idx val="1"/>
              <c:layout>
                <c:manualLayout>
                  <c:x val="-1.0905350147608637E-2"/>
                  <c:y val="3.1672952692010942E-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89E-4F26-9EEB-4C66A60D0FB1}"/>
                </c:ext>
              </c:extLst>
            </c:dLbl>
            <c:spPr>
              <a:noFill/>
              <a:ln>
                <a:noFill/>
              </a:ln>
              <a:effectLst/>
            </c:spPr>
            <c:txPr>
              <a:bodyPr/>
              <a:lstStyle/>
              <a:p>
                <a:pPr>
                  <a:defRPr>
                    <a:solidFill>
                      <a:srgbClr val="17365D"/>
                    </a:solidFill>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Sheet1!$B$4:$B$10</c:f>
              <c:strCache>
                <c:ptCount val="7"/>
                <c:pt idx="0">
                  <c:v> Pievienotās vērtības nodoklis</c:v>
                </c:pt>
                <c:pt idx="1">
                  <c:v>Iedzīvotāju ienākuma nodoklis</c:v>
                </c:pt>
                <c:pt idx="2">
                  <c:v>Uzņēmumu ienākuma nodoklis</c:v>
                </c:pt>
                <c:pt idx="3">
                  <c:v>Sociālās apdrošināšanas iemaksas valsts  speciālajā budžetā</c:v>
                </c:pt>
                <c:pt idx="4">
                  <c:v>Ieņēmumi valsts pamatbudžetā no VSAOI sadales veselības aprūpes finansēšanai</c:v>
                </c:pt>
                <c:pt idx="5">
                  <c:v>Akcīzes nodoklis</c:v>
                </c:pt>
                <c:pt idx="6">
                  <c:v>Transportlīdzekļa ekspluatācijas nodoklis</c:v>
                </c:pt>
              </c:strCache>
            </c:strRef>
          </c:cat>
          <c:val>
            <c:numRef>
              <c:f>Sheet1!$C$4:$C$10</c:f>
              <c:numCache>
                <c:formatCode>#\ ##0.0</c:formatCode>
                <c:ptCount val="7"/>
                <c:pt idx="0">
                  <c:v>2762.4929609999999</c:v>
                </c:pt>
                <c:pt idx="1">
                  <c:v>477.25791400000003</c:v>
                </c:pt>
                <c:pt idx="2">
                  <c:v>281.079384</c:v>
                </c:pt>
                <c:pt idx="3">
                  <c:v>3018.049387</c:v>
                </c:pt>
                <c:pt idx="4">
                  <c:v>104.08505599999999</c:v>
                </c:pt>
                <c:pt idx="5">
                  <c:v>1104.8404660000001</c:v>
                </c:pt>
                <c:pt idx="6">
                  <c:v>99.992936</c:v>
                </c:pt>
              </c:numCache>
            </c:numRef>
          </c:val>
          <c:extLst>
            <c:ext xmlns:c16="http://schemas.microsoft.com/office/drawing/2014/chart" uri="{C3380CC4-5D6E-409C-BE32-E72D297353CC}">
              <c16:uniqueId val="{00000002-489E-4F26-9EEB-4C66A60D0FB1}"/>
            </c:ext>
          </c:extLst>
        </c:ser>
        <c:ser>
          <c:idx val="1"/>
          <c:order val="1"/>
          <c:tx>
            <c:strRef>
              <c:f>Sheet1!$D$3</c:f>
              <c:strCache>
                <c:ptCount val="1"/>
                <c:pt idx="0">
                  <c:v>2022</c:v>
                </c:pt>
              </c:strCache>
            </c:strRef>
          </c:tx>
          <c:spPr>
            <a:solidFill>
              <a:srgbClr val="558ED5"/>
            </a:solidFill>
          </c:spPr>
          <c:invertIfNegative val="0"/>
          <c:dLbls>
            <c:dLbl>
              <c:idx val="0"/>
              <c:layout>
                <c:manualLayout>
                  <c:x val="-2.2171141650771913E-4"/>
                  <c:y val="-1.608883764831085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89E-4F26-9EEB-4C66A60D0FB1}"/>
                </c:ext>
              </c:extLst>
            </c:dLbl>
            <c:dLbl>
              <c:idx val="1"/>
              <c:layout>
                <c:manualLayout>
                  <c:x val="-1.3086420177130364E-2"/>
                  <c:y val="3.1672952692010942E-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89E-4F26-9EEB-4C66A60D0FB1}"/>
                </c:ext>
              </c:extLst>
            </c:dLbl>
            <c:spPr>
              <a:noFill/>
              <a:ln>
                <a:noFill/>
              </a:ln>
              <a:effectLst/>
            </c:spPr>
            <c:txPr>
              <a:bodyPr/>
              <a:lstStyle/>
              <a:p>
                <a:pPr>
                  <a:defRPr>
                    <a:solidFill>
                      <a:srgbClr val="17365D"/>
                    </a:solidFill>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Sheet1!$B$4:$B$10</c:f>
              <c:strCache>
                <c:ptCount val="7"/>
                <c:pt idx="0">
                  <c:v> Pievienotās vērtības nodoklis</c:v>
                </c:pt>
                <c:pt idx="1">
                  <c:v>Iedzīvotāju ienākuma nodoklis</c:v>
                </c:pt>
                <c:pt idx="2">
                  <c:v>Uzņēmumu ienākuma nodoklis</c:v>
                </c:pt>
                <c:pt idx="3">
                  <c:v>Sociālās apdrošināšanas iemaksas valsts  speciālajā budžetā</c:v>
                </c:pt>
                <c:pt idx="4">
                  <c:v>Ieņēmumi valsts pamatbudžetā no VSAOI sadales veselības aprūpes finansēšanai</c:v>
                </c:pt>
                <c:pt idx="5">
                  <c:v>Akcīzes nodoklis</c:v>
                </c:pt>
                <c:pt idx="6">
                  <c:v>Transportlīdzekļa ekspluatācijas nodoklis</c:v>
                </c:pt>
              </c:strCache>
            </c:strRef>
          </c:cat>
          <c:val>
            <c:numRef>
              <c:f>Sheet1!$D$4:$D$10</c:f>
              <c:numCache>
                <c:formatCode>#\ ##0.0</c:formatCode>
                <c:ptCount val="7"/>
                <c:pt idx="0">
                  <c:v>3558.6709599999999</c:v>
                </c:pt>
                <c:pt idx="1">
                  <c:v>564.65871600000003</c:v>
                </c:pt>
                <c:pt idx="2">
                  <c:v>378.75044600000001</c:v>
                </c:pt>
                <c:pt idx="3">
                  <c:v>3539.526147</c:v>
                </c:pt>
                <c:pt idx="4">
                  <c:v>126.601698</c:v>
                </c:pt>
                <c:pt idx="5">
                  <c:v>1131.033281</c:v>
                </c:pt>
                <c:pt idx="6">
                  <c:v>101.46143000000001</c:v>
                </c:pt>
              </c:numCache>
            </c:numRef>
          </c:val>
          <c:extLst>
            <c:ext xmlns:c16="http://schemas.microsoft.com/office/drawing/2014/chart" uri="{C3380CC4-5D6E-409C-BE32-E72D297353CC}">
              <c16:uniqueId val="{00000005-489E-4F26-9EEB-4C66A60D0FB1}"/>
            </c:ext>
          </c:extLst>
        </c:ser>
        <c:dLbls>
          <c:showLegendKey val="0"/>
          <c:showVal val="0"/>
          <c:showCatName val="0"/>
          <c:showSerName val="0"/>
          <c:showPercent val="0"/>
          <c:showBubbleSize val="0"/>
        </c:dLbls>
        <c:gapWidth val="87"/>
        <c:axId val="108986752"/>
        <c:axId val="108988288"/>
      </c:barChart>
      <c:catAx>
        <c:axId val="108986752"/>
        <c:scaling>
          <c:orientation val="maxMin"/>
        </c:scaling>
        <c:delete val="0"/>
        <c:axPos val="l"/>
        <c:numFmt formatCode="#,##0.0" sourceLinked="0"/>
        <c:majorTickMark val="none"/>
        <c:minorTickMark val="none"/>
        <c:tickLblPos val="low"/>
        <c:spPr>
          <a:ln w="6350">
            <a:solidFill>
              <a:srgbClr val="C3C4C6"/>
            </a:solidFill>
          </a:ln>
        </c:spPr>
        <c:txPr>
          <a:bodyPr rot="0" vert="horz"/>
          <a:lstStyle/>
          <a:p>
            <a:pPr>
              <a:defRPr>
                <a:solidFill>
                  <a:srgbClr val="17365D"/>
                </a:solidFill>
              </a:defRPr>
            </a:pPr>
            <a:endParaRPr lang="lv-LV"/>
          </a:p>
        </c:txPr>
        <c:crossAx val="108988288"/>
        <c:crosses val="autoZero"/>
        <c:auto val="1"/>
        <c:lblAlgn val="ctr"/>
        <c:lblOffset val="100"/>
        <c:noMultiLvlLbl val="0"/>
      </c:catAx>
      <c:valAx>
        <c:axId val="108988288"/>
        <c:scaling>
          <c:orientation val="minMax"/>
        </c:scaling>
        <c:delete val="0"/>
        <c:axPos val="b"/>
        <c:majorGridlines>
          <c:spPr>
            <a:ln w="6350">
              <a:solidFill>
                <a:srgbClr val="C3C4C6"/>
              </a:solidFill>
            </a:ln>
          </c:spPr>
        </c:majorGridlines>
        <c:numFmt formatCode="#,##0" sourceLinked="0"/>
        <c:majorTickMark val="out"/>
        <c:minorTickMark val="none"/>
        <c:tickLblPos val="nextTo"/>
        <c:spPr>
          <a:ln w="6350">
            <a:solidFill>
              <a:srgbClr val="C3C4C6"/>
            </a:solidFill>
          </a:ln>
        </c:spPr>
        <c:txPr>
          <a:bodyPr/>
          <a:lstStyle/>
          <a:p>
            <a:pPr>
              <a:defRPr>
                <a:solidFill>
                  <a:srgbClr val="17365D"/>
                </a:solidFill>
              </a:defRPr>
            </a:pPr>
            <a:endParaRPr lang="lv-LV"/>
          </a:p>
        </c:txPr>
        <c:crossAx val="108986752"/>
        <c:crosses val="max"/>
        <c:crossBetween val="between"/>
      </c:valAx>
    </c:plotArea>
    <c:legend>
      <c:legendPos val="r"/>
      <c:layout>
        <c:manualLayout>
          <c:xMode val="edge"/>
          <c:yMode val="edge"/>
          <c:x val="0.86845528208909739"/>
          <c:y val="0.69807632489006277"/>
          <c:w val="9.7761062424183795E-2"/>
          <c:h val="0.13634866323630065"/>
        </c:manualLayout>
      </c:layout>
      <c:overlay val="0"/>
      <c:txPr>
        <a:bodyPr/>
        <a:lstStyle/>
        <a:p>
          <a:pPr>
            <a:defRPr>
              <a:solidFill>
                <a:srgbClr val="17365D"/>
              </a:solidFill>
            </a:defRPr>
          </a:pPr>
          <a:endParaRPr lang="lv-LV"/>
        </a:p>
      </c:txPr>
    </c:legend>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lv-LV"/>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516254987307026E-2"/>
          <c:y val="3.3043166009042897E-2"/>
          <c:w val="0.93096615392517235"/>
          <c:h val="0.70942695098734254"/>
        </c:manualLayout>
      </c:layout>
      <c:barChart>
        <c:barDir val="col"/>
        <c:grouping val="clustered"/>
        <c:varyColors val="0"/>
        <c:ser>
          <c:idx val="0"/>
          <c:order val="0"/>
          <c:tx>
            <c:v>2021</c:v>
          </c:tx>
          <c:spPr>
            <a:solidFill>
              <a:srgbClr val="B9CDE5"/>
            </a:solidFill>
            <a:ln>
              <a:noFill/>
            </a:ln>
            <a:effectLst>
              <a:outerShdw blurRad="101600" dist="38100" dir="2700000" algn="tl" rotWithShape="0">
                <a:prstClr val="black">
                  <a:alpha val="40000"/>
                </a:prstClr>
              </a:outerShdw>
            </a:effectLst>
          </c:spPr>
          <c:invertIfNegative val="0"/>
          <c:dLbls>
            <c:dLbl>
              <c:idx val="0"/>
              <c:layout>
                <c:manualLayout>
                  <c:x val="-3.4696690140662294E-3"/>
                  <c:y val="-1.60096346776936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21D-4640-A111-868D12272998}"/>
                </c:ext>
              </c:extLst>
            </c:dLbl>
            <c:dLbl>
              <c:idx val="1"/>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21D-4640-A111-868D12272998}"/>
                </c:ext>
              </c:extLst>
            </c:dLbl>
            <c:dLbl>
              <c:idx val="2"/>
              <c:layout>
                <c:manualLayout>
                  <c:x val="3.1804931882319976E-17"/>
                  <c:y val="-1.526689088924028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D21D-4640-A111-868D12272998}"/>
                </c:ext>
              </c:extLst>
            </c:dLbl>
            <c:dLbl>
              <c:idx val="3"/>
              <c:layout>
                <c:manualLayout>
                  <c:x val="0"/>
                  <c:y val="1.585309126347070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21D-4640-A111-868D12272998}"/>
                </c:ext>
              </c:extLst>
            </c:dLbl>
            <c:dLbl>
              <c:idx val="4"/>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D21D-4640-A111-868D12272998}"/>
                </c:ext>
              </c:extLst>
            </c:dLbl>
            <c:dLbl>
              <c:idx val="6"/>
              <c:layout>
                <c:manualLayout>
                  <c:x val="0"/>
                  <c:y val="-1.676287424427606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D21D-4640-A111-868D12272998}"/>
                </c:ext>
              </c:extLst>
            </c:dLbl>
            <c:dLbl>
              <c:idx val="7"/>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D21D-4640-A111-868D12272998}"/>
                </c:ext>
              </c:extLst>
            </c:dLbl>
            <c:dLbl>
              <c:idx val="8"/>
              <c:layout>
                <c:manualLayout>
                  <c:x val="-5.2045035210993443E-3"/>
                  <c:y val="-1.501231244100311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21D-4640-A111-868D12272998}"/>
                </c:ext>
              </c:extLst>
            </c:dLbl>
            <c:dLbl>
              <c:idx val="9"/>
              <c:layout>
                <c:manualLayout>
                  <c:x val="-3.4696690140662294E-3"/>
                  <c:y val="-1.907306200481421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D21D-4640-A111-868D12272998}"/>
                </c:ext>
              </c:extLst>
            </c:dLbl>
            <c:numFmt formatCode="#,##0.0" sourceLinked="0"/>
            <c:spPr>
              <a:noFill/>
              <a:ln>
                <a:noFill/>
              </a:ln>
              <a:effectLst/>
            </c:spPr>
            <c:txPr>
              <a:bodyPr rot="-5400000" vert="horz"/>
              <a:lstStyle/>
              <a:p>
                <a:pPr>
                  <a:defRPr>
                    <a:solidFill>
                      <a:srgbClr val="17365D"/>
                    </a:solidFill>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'2022'!$E$4:$N$4</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'2022'!$E$6:$N$6</c:f>
              <c:numCache>
                <c:formatCode>#,##0</c:formatCode>
                <c:ptCount val="10"/>
                <c:pt idx="0">
                  <c:v>2295.5314669999998</c:v>
                </c:pt>
                <c:pt idx="1">
                  <c:v>728.82178399999998</c:v>
                </c:pt>
                <c:pt idx="2">
                  <c:v>653.42397700000004</c:v>
                </c:pt>
                <c:pt idx="3">
                  <c:v>1458.2004360000001</c:v>
                </c:pt>
                <c:pt idx="4">
                  <c:v>86.672004999999999</c:v>
                </c:pt>
                <c:pt idx="5">
                  <c:v>20.513825000000001</c:v>
                </c:pt>
                <c:pt idx="6">
                  <c:v>1848.2689439999999</c:v>
                </c:pt>
                <c:pt idx="7">
                  <c:v>219.96467899999999</c:v>
                </c:pt>
                <c:pt idx="8">
                  <c:v>870.36755600000004</c:v>
                </c:pt>
                <c:pt idx="9">
                  <c:v>1217.3920410000001</c:v>
                </c:pt>
              </c:numCache>
            </c:numRef>
          </c:val>
          <c:extLst>
            <c:ext xmlns:c16="http://schemas.microsoft.com/office/drawing/2014/chart" uri="{C3380CC4-5D6E-409C-BE32-E72D297353CC}">
              <c16:uniqueId val="{00000009-D21D-4640-A111-868D12272998}"/>
            </c:ext>
          </c:extLst>
        </c:ser>
        <c:ser>
          <c:idx val="1"/>
          <c:order val="1"/>
          <c:tx>
            <c:strRef>
              <c:f>'2022'!$D$7</c:f>
              <c:strCache>
                <c:ptCount val="1"/>
                <c:pt idx="0">
                  <c:v>2022</c:v>
                </c:pt>
              </c:strCache>
            </c:strRef>
          </c:tx>
          <c:spPr>
            <a:solidFill>
              <a:srgbClr val="558ED5"/>
            </a:solidFill>
            <a:ln>
              <a:noFill/>
            </a:ln>
            <a:effectLst>
              <a:outerShdw blurRad="101600" dist="38100" dir="2700000" algn="tl" rotWithShape="0">
                <a:prstClr val="black">
                  <a:alpha val="40000"/>
                </a:prstClr>
              </a:outerShdw>
            </a:effectLst>
          </c:spPr>
          <c:invertIfNegative val="0"/>
          <c:dLbls>
            <c:dLbl>
              <c:idx val="0"/>
              <c:layout>
                <c:manualLayout>
                  <c:x val="0"/>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D21D-4640-A111-868D12272998}"/>
                </c:ext>
              </c:extLst>
            </c:dLbl>
            <c:dLbl>
              <c:idx val="1"/>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D21D-4640-A111-868D12272998}"/>
                </c:ext>
              </c:extLst>
            </c:dLbl>
            <c:dLbl>
              <c:idx val="2"/>
              <c:layout>
                <c:manualLayout>
                  <c:x val="1.7348345070331147E-3"/>
                  <c:y val="-1.006746105563851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D21D-4640-A111-868D12272998}"/>
                </c:ext>
              </c:extLst>
            </c:dLbl>
            <c:dLbl>
              <c:idx val="3"/>
              <c:layout>
                <c:manualLayout>
                  <c:x val="1.7348345070331147E-3"/>
                  <c:y val="-1.72309412859472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D21D-4640-A111-868D12272998}"/>
                </c:ext>
              </c:extLst>
            </c:dLbl>
            <c:dLbl>
              <c:idx val="4"/>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D21D-4640-A111-868D12272998}"/>
                </c:ext>
              </c:extLst>
            </c:dLbl>
            <c:dLbl>
              <c:idx val="6"/>
              <c:layout>
                <c:manualLayout>
                  <c:x val="1.7348345070331147E-3"/>
                  <c:y val="-2.880309495932439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D21D-4640-A111-868D12272998}"/>
                </c:ext>
              </c:extLst>
            </c:dLbl>
            <c:dLbl>
              <c:idx val="7"/>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D21D-4640-A111-868D12272998}"/>
                </c:ext>
              </c:extLst>
            </c:dLbl>
            <c:dLbl>
              <c:idx val="8"/>
              <c:layout>
                <c:manualLayout>
                  <c:x val="0"/>
                  <c:y val="-1.849490095000190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D21D-4640-A111-868D12272998}"/>
                </c:ext>
              </c:extLst>
            </c:dLbl>
            <c:dLbl>
              <c:idx val="9"/>
              <c:layout>
                <c:manualLayout>
                  <c:x val="-1.272197275292799E-16"/>
                  <c:y val="-9.600287271680536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D21D-4640-A111-868D12272998}"/>
                </c:ext>
              </c:extLst>
            </c:dLbl>
            <c:numFmt formatCode="#,##0.0" sourceLinked="0"/>
            <c:spPr>
              <a:noFill/>
              <a:ln>
                <a:noFill/>
              </a:ln>
              <a:effectLst/>
            </c:spPr>
            <c:txPr>
              <a:bodyPr rot="-5400000" vert="horz"/>
              <a:lstStyle/>
              <a:p>
                <a:pPr>
                  <a:defRPr>
                    <a:solidFill>
                      <a:srgbClr val="17365D"/>
                    </a:solidFill>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'2022'!$E$4:$N$4</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'2022'!$E$7:$N$7</c:f>
              <c:numCache>
                <c:formatCode>#,##0</c:formatCode>
                <c:ptCount val="10"/>
                <c:pt idx="0">
                  <c:v>1644.28232</c:v>
                </c:pt>
                <c:pt idx="1">
                  <c:v>869.04924100000005</c:v>
                </c:pt>
                <c:pt idx="2">
                  <c:v>737.01870799999995</c:v>
                </c:pt>
                <c:pt idx="3">
                  <c:v>2444.1249039999998</c:v>
                </c:pt>
                <c:pt idx="4">
                  <c:v>138.817418</c:v>
                </c:pt>
                <c:pt idx="5">
                  <c:v>61.890639999999998</c:v>
                </c:pt>
                <c:pt idx="6">
                  <c:v>1902.609717</c:v>
                </c:pt>
                <c:pt idx="7">
                  <c:v>235.32574500000001</c:v>
                </c:pt>
                <c:pt idx="8">
                  <c:v>959.76088300000004</c:v>
                </c:pt>
                <c:pt idx="9">
                  <c:v>1182.120723</c:v>
                </c:pt>
              </c:numCache>
            </c:numRef>
          </c:val>
          <c:extLst>
            <c:ext xmlns:c16="http://schemas.microsoft.com/office/drawing/2014/chart" uri="{C3380CC4-5D6E-409C-BE32-E72D297353CC}">
              <c16:uniqueId val="{00000013-D21D-4640-A111-868D12272998}"/>
            </c:ext>
          </c:extLst>
        </c:ser>
        <c:dLbls>
          <c:showLegendKey val="0"/>
          <c:showVal val="0"/>
          <c:showCatName val="0"/>
          <c:showSerName val="0"/>
          <c:showPercent val="0"/>
          <c:showBubbleSize val="0"/>
        </c:dLbls>
        <c:gapWidth val="150"/>
        <c:axId val="41034880"/>
        <c:axId val="41036416"/>
      </c:barChart>
      <c:catAx>
        <c:axId val="41034880"/>
        <c:scaling>
          <c:orientation val="minMax"/>
        </c:scaling>
        <c:delete val="0"/>
        <c:axPos val="b"/>
        <c:numFmt formatCode="General" sourceLinked="0"/>
        <c:majorTickMark val="out"/>
        <c:minorTickMark val="none"/>
        <c:tickLblPos val="nextTo"/>
        <c:spPr>
          <a:ln w="6350">
            <a:solidFill>
              <a:srgbClr val="C3C4C6"/>
            </a:solidFill>
          </a:ln>
        </c:spPr>
        <c:txPr>
          <a:bodyPr rot="-5400000" vert="horz"/>
          <a:lstStyle/>
          <a:p>
            <a:pPr>
              <a:defRPr>
                <a:solidFill>
                  <a:srgbClr val="17365D"/>
                </a:solidFill>
              </a:defRPr>
            </a:pPr>
            <a:endParaRPr lang="lv-LV"/>
          </a:p>
        </c:txPr>
        <c:crossAx val="41036416"/>
        <c:crosses val="autoZero"/>
        <c:auto val="1"/>
        <c:lblAlgn val="ctr"/>
        <c:lblOffset val="100"/>
        <c:noMultiLvlLbl val="0"/>
      </c:catAx>
      <c:valAx>
        <c:axId val="41036416"/>
        <c:scaling>
          <c:orientation val="minMax"/>
        </c:scaling>
        <c:delete val="0"/>
        <c:axPos val="l"/>
        <c:majorGridlines>
          <c:spPr>
            <a:ln w="6350">
              <a:solidFill>
                <a:srgbClr val="C3C4C6"/>
              </a:solidFill>
            </a:ln>
          </c:spPr>
        </c:majorGridlines>
        <c:numFmt formatCode="#,##0" sourceLinked="1"/>
        <c:majorTickMark val="out"/>
        <c:minorTickMark val="none"/>
        <c:tickLblPos val="nextTo"/>
        <c:spPr>
          <a:ln w="6350">
            <a:solidFill>
              <a:srgbClr val="C3C4C6"/>
            </a:solidFill>
          </a:ln>
        </c:spPr>
        <c:txPr>
          <a:bodyPr/>
          <a:lstStyle/>
          <a:p>
            <a:pPr>
              <a:defRPr>
                <a:solidFill>
                  <a:srgbClr val="17365D"/>
                </a:solidFill>
              </a:defRPr>
            </a:pPr>
            <a:endParaRPr lang="lv-LV"/>
          </a:p>
        </c:txPr>
        <c:crossAx val="41034880"/>
        <c:crosses val="autoZero"/>
        <c:crossBetween val="between"/>
        <c:minorUnit val="2"/>
      </c:valAx>
      <c:spPr>
        <a:solidFill>
          <a:schemeClr val="bg1"/>
        </a:solidFill>
      </c:spPr>
    </c:plotArea>
    <c:legend>
      <c:legendPos val="b"/>
      <c:layout>
        <c:manualLayout>
          <c:xMode val="edge"/>
          <c:yMode val="edge"/>
          <c:x val="0.8715180007171297"/>
          <c:y val="2.0171773082820092E-2"/>
          <c:w val="0.12477255912916237"/>
          <c:h val="0.1207193160260908"/>
        </c:manualLayout>
      </c:layout>
      <c:overlay val="0"/>
      <c:spPr>
        <a:solidFill>
          <a:schemeClr val="bg1"/>
        </a:solidFill>
      </c:spPr>
    </c:legend>
    <c:plotVisOnly val="1"/>
    <c:dispBlanksAs val="gap"/>
    <c:showDLblsOverMax val="0"/>
  </c:chart>
  <c:spPr>
    <a:noFill/>
    <a:ln>
      <a:noFill/>
    </a:ln>
  </c:spPr>
  <c:txPr>
    <a:bodyPr/>
    <a:lstStyle/>
    <a:p>
      <a:pPr>
        <a:defRPr sz="1000">
          <a:latin typeface="Times New Roman" panose="02020603050405020304" pitchFamily="18" charset="0"/>
          <a:cs typeface="Times New Roman" panose="02020603050405020304" pitchFamily="18" charset="0"/>
        </a:defRPr>
      </a:pPr>
      <a:endParaRPr lang="lv-LV"/>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180"/>
      <c:rAngAx val="0"/>
    </c:view3D>
    <c:floor>
      <c:thickness val="0"/>
    </c:floor>
    <c:sideWall>
      <c:thickness val="0"/>
    </c:sideWall>
    <c:backWall>
      <c:thickness val="0"/>
    </c:backWall>
    <c:plotArea>
      <c:layout>
        <c:manualLayout>
          <c:layoutTarget val="inner"/>
          <c:xMode val="edge"/>
          <c:yMode val="edge"/>
          <c:x val="1.8737860249506695E-4"/>
          <c:y val="5.0601819648868979E-2"/>
          <c:w val="0.86526773569362225"/>
          <c:h val="0.80429332697049227"/>
        </c:manualLayout>
      </c:layout>
      <c:pie3DChart>
        <c:varyColors val="1"/>
        <c:ser>
          <c:idx val="0"/>
          <c:order val="0"/>
          <c:spPr>
            <a:solidFill>
              <a:srgbClr val="B9CDE5"/>
            </a:solidFill>
          </c:spPr>
          <c:explosion val="5"/>
          <c:dPt>
            <c:idx val="0"/>
            <c:bubble3D val="0"/>
            <c:spPr>
              <a:solidFill>
                <a:srgbClr val="8EB4E3"/>
              </a:solidFill>
            </c:spPr>
            <c:extLst>
              <c:ext xmlns:c16="http://schemas.microsoft.com/office/drawing/2014/chart" uri="{C3380CC4-5D6E-409C-BE32-E72D297353CC}">
                <c16:uniqueId val="{00000006-D5D9-4E5B-861A-53D0AA738452}"/>
              </c:ext>
            </c:extLst>
          </c:dPt>
          <c:dPt>
            <c:idx val="1"/>
            <c:bubble3D val="0"/>
            <c:spPr>
              <a:solidFill>
                <a:srgbClr val="0070C0"/>
              </a:solidFill>
            </c:spPr>
            <c:extLst>
              <c:ext xmlns:c16="http://schemas.microsoft.com/office/drawing/2014/chart" uri="{C3380CC4-5D6E-409C-BE32-E72D297353CC}">
                <c16:uniqueId val="{00000001-D5D9-4E5B-861A-53D0AA738452}"/>
              </c:ext>
            </c:extLst>
          </c:dPt>
          <c:dPt>
            <c:idx val="2"/>
            <c:bubble3D val="0"/>
            <c:spPr>
              <a:solidFill>
                <a:srgbClr val="B9CDE5"/>
              </a:solidFill>
            </c:spPr>
            <c:extLst>
              <c:ext xmlns:c16="http://schemas.microsoft.com/office/drawing/2014/chart" uri="{C3380CC4-5D6E-409C-BE32-E72D297353CC}">
                <c16:uniqueId val="{00000003-D5D9-4E5B-861A-53D0AA738452}"/>
              </c:ext>
            </c:extLst>
          </c:dPt>
          <c:dPt>
            <c:idx val="3"/>
            <c:bubble3D val="0"/>
            <c:spPr>
              <a:solidFill>
                <a:srgbClr val="17375E"/>
              </a:solidFill>
            </c:spPr>
            <c:extLst>
              <c:ext xmlns:c16="http://schemas.microsoft.com/office/drawing/2014/chart" uri="{C3380CC4-5D6E-409C-BE32-E72D297353CC}">
                <c16:uniqueId val="{00000007-D5D9-4E5B-861A-53D0AA738452}"/>
              </c:ext>
            </c:extLst>
          </c:dPt>
          <c:dPt>
            <c:idx val="4"/>
            <c:bubble3D val="0"/>
            <c:spPr>
              <a:solidFill>
                <a:srgbClr val="009F9B"/>
              </a:solidFill>
            </c:spPr>
            <c:extLst>
              <c:ext xmlns:c16="http://schemas.microsoft.com/office/drawing/2014/chart" uri="{C3380CC4-5D6E-409C-BE32-E72D297353CC}">
                <c16:uniqueId val="{00000008-D5D9-4E5B-861A-53D0AA738452}"/>
              </c:ext>
            </c:extLst>
          </c:dPt>
          <c:dPt>
            <c:idx val="5"/>
            <c:bubble3D val="0"/>
            <c:spPr>
              <a:solidFill>
                <a:srgbClr val="558ED5"/>
              </a:solidFill>
            </c:spPr>
            <c:extLst>
              <c:ext xmlns:c16="http://schemas.microsoft.com/office/drawing/2014/chart" uri="{C3380CC4-5D6E-409C-BE32-E72D297353CC}">
                <c16:uniqueId val="{00000005-D5D9-4E5B-861A-53D0AA738452}"/>
              </c:ext>
            </c:extLst>
          </c:dPt>
          <c:dPt>
            <c:idx val="6"/>
            <c:bubble3D val="0"/>
            <c:spPr>
              <a:solidFill>
                <a:srgbClr val="D9D9D9"/>
              </a:solidFill>
            </c:spPr>
            <c:extLst>
              <c:ext xmlns:c16="http://schemas.microsoft.com/office/drawing/2014/chart" uri="{C3380CC4-5D6E-409C-BE32-E72D297353CC}">
                <c16:uniqueId val="{00000009-D5D9-4E5B-861A-53D0AA738452}"/>
              </c:ext>
            </c:extLst>
          </c:dPt>
          <c:dLbls>
            <c:dLbl>
              <c:idx val="0"/>
              <c:layout>
                <c:manualLayout>
                  <c:x val="-6.8531343895914351E-2"/>
                  <c:y val="2.7358170334715229E-2"/>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D5D9-4E5B-861A-53D0AA738452}"/>
                </c:ext>
              </c:extLst>
            </c:dLbl>
            <c:dLbl>
              <c:idx val="1"/>
              <c:layout>
                <c:manualLayout>
                  <c:x val="-0.11052491756916036"/>
                  <c:y val="-2.0023557126030624E-2"/>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D5D9-4E5B-861A-53D0AA738452}"/>
                </c:ext>
              </c:extLst>
            </c:dLbl>
            <c:dLbl>
              <c:idx val="2"/>
              <c:layout>
                <c:manualLayout>
                  <c:x val="7.5300340820626116E-2"/>
                  <c:y val="0.25441696113074203"/>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D5D9-4E5B-861A-53D0AA738452}"/>
                </c:ext>
              </c:extLst>
            </c:dLbl>
            <c:dLbl>
              <c:idx val="3"/>
              <c:layout>
                <c:manualLayout>
                  <c:x val="1.3299738877931738E-2"/>
                  <c:y val="-0.20174304183708486"/>
                </c:manualLayout>
              </c:layout>
              <c:numFmt formatCode="0.0%" sourceLinked="0"/>
              <c:spPr>
                <a:noFill/>
                <a:ln>
                  <a:noFill/>
                </a:ln>
                <a:effectLst/>
              </c:spPr>
              <c:txPr>
                <a:bodyPr wrap="square" lIns="38100" tIns="19050" rIns="38100" bIns="19050" anchor="ctr">
                  <a:noAutofit/>
                </a:bodyPr>
                <a:lstStyle/>
                <a:p>
                  <a:pPr>
                    <a:defRPr baseline="0">
                      <a:solidFill>
                        <a:srgbClr val="17365D"/>
                      </a:solidFill>
                      <a:latin typeface="Times New Roman" panose="02020603050405020304" pitchFamily="18" charset="0"/>
                    </a:defRPr>
                  </a:pPr>
                  <a:endParaRPr lang="lv-LV"/>
                </a:p>
              </c:txPr>
              <c:dLblPos val="bestFit"/>
              <c:showLegendKey val="0"/>
              <c:showVal val="0"/>
              <c:showCatName val="1"/>
              <c:showSerName val="0"/>
              <c:showPercent val="1"/>
              <c:showBubbleSize val="0"/>
              <c:extLst>
                <c:ext xmlns:c15="http://schemas.microsoft.com/office/drawing/2012/chart" uri="{CE6537A1-D6FC-4f65-9D91-7224C49458BB}">
                  <c15:layout>
                    <c:manualLayout>
                      <c:w val="0.18623804311456585"/>
                      <c:h val="0.14523172235979334"/>
                    </c:manualLayout>
                  </c15:layout>
                </c:ext>
                <c:ext xmlns:c16="http://schemas.microsoft.com/office/drawing/2014/chart" uri="{C3380CC4-5D6E-409C-BE32-E72D297353CC}">
                  <c16:uniqueId val="{00000007-D5D9-4E5B-861A-53D0AA738452}"/>
                </c:ext>
              </c:extLst>
            </c:dLbl>
            <c:dLbl>
              <c:idx val="4"/>
              <c:layout>
                <c:manualLayout>
                  <c:x val="7.9021120117832647E-2"/>
                  <c:y val="-0.17284364189458651"/>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D5D9-4E5B-861A-53D0AA738452}"/>
                </c:ext>
              </c:extLst>
            </c:dLbl>
            <c:dLbl>
              <c:idx val="5"/>
              <c:layout>
                <c:manualLayout>
                  <c:x val="8.5121254462026327E-2"/>
                  <c:y val="-4.4517403522439551E-5"/>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D5D9-4E5B-861A-53D0AA738452}"/>
                </c:ext>
              </c:extLst>
            </c:dLbl>
            <c:dLbl>
              <c:idx val="6"/>
              <c:layout>
                <c:manualLayout>
                  <c:x val="2.3489216314328421E-2"/>
                  <c:y val="2.6838800626953433E-2"/>
                </c:manualLayout>
              </c:layout>
              <c:numFmt formatCode="0.0%" sourceLinked="0"/>
              <c:spPr>
                <a:noFill/>
                <a:ln>
                  <a:noFill/>
                </a:ln>
                <a:effectLst/>
              </c:spPr>
              <c:txPr>
                <a:bodyPr wrap="square" lIns="38100" tIns="19050" rIns="38100" bIns="19050" anchor="ctr">
                  <a:noAutofit/>
                </a:bodyPr>
                <a:lstStyle/>
                <a:p>
                  <a:pPr>
                    <a:defRPr baseline="0">
                      <a:solidFill>
                        <a:srgbClr val="17365D"/>
                      </a:solidFill>
                      <a:latin typeface="Times New Roman" panose="02020603050405020304" pitchFamily="18" charset="0"/>
                    </a:defRPr>
                  </a:pPr>
                  <a:endParaRPr lang="lv-LV"/>
                </a:p>
              </c:txPr>
              <c:dLblPos val="bestFit"/>
              <c:showLegendKey val="0"/>
              <c:showVal val="0"/>
              <c:showCatName val="1"/>
              <c:showSerName val="0"/>
              <c:showPercent val="1"/>
              <c:showBubbleSize val="0"/>
              <c:extLst>
                <c:ext xmlns:c15="http://schemas.microsoft.com/office/drawing/2012/chart" uri="{CE6537A1-D6FC-4f65-9D91-7224C49458BB}">
                  <c15:layout>
                    <c:manualLayout>
                      <c:w val="0.2340381779631806"/>
                      <c:h val="0.14073954536601652"/>
                    </c:manualLayout>
                  </c15:layout>
                </c:ext>
                <c:ext xmlns:c16="http://schemas.microsoft.com/office/drawing/2014/chart" uri="{C3380CC4-5D6E-409C-BE32-E72D297353CC}">
                  <c16:uniqueId val="{00000009-D5D9-4E5B-861A-53D0AA738452}"/>
                </c:ext>
              </c:extLst>
            </c:dLbl>
            <c:numFmt formatCode="0.0%" sourceLinked="0"/>
            <c:spPr>
              <a:noFill/>
              <a:ln>
                <a:noFill/>
              </a:ln>
              <a:effectLst/>
            </c:spPr>
            <c:txPr>
              <a:bodyPr wrap="square" lIns="38100" tIns="19050" rIns="38100" bIns="19050" anchor="ctr">
                <a:spAutoFit/>
              </a:bodyPr>
              <a:lstStyle/>
              <a:p>
                <a:pPr>
                  <a:defRPr baseline="0">
                    <a:solidFill>
                      <a:srgbClr val="17365D"/>
                    </a:solidFill>
                    <a:latin typeface="Times New Roman" panose="02020603050405020304" pitchFamily="18" charset="0"/>
                  </a:defRPr>
                </a:pPr>
                <a:endParaRPr lang="lv-LV"/>
              </a:p>
            </c:txPr>
            <c:dLblPos val="bestFit"/>
            <c:showLegendKey val="0"/>
            <c:showVal val="0"/>
            <c:showCatName val="1"/>
            <c:showSerName val="0"/>
            <c:showPercent val="1"/>
            <c:showBubbleSize val="0"/>
            <c:showLeaderLines val="1"/>
            <c:leaderLines>
              <c:spPr>
                <a:ln>
                  <a:solidFill>
                    <a:srgbClr val="C3C4C6"/>
                  </a:solidFill>
                </a:ln>
              </c:spPr>
            </c:leaderLines>
            <c:extLst>
              <c:ext xmlns:c15="http://schemas.microsoft.com/office/drawing/2012/chart" uri="{CE6537A1-D6FC-4f65-9D91-7224C49458BB}">
                <c15:layout/>
              </c:ext>
            </c:extLst>
          </c:dLbls>
          <c:cat>
            <c:strRef>
              <c:f>PB_diagr!$A$4:$A$10</c:f>
              <c:strCache>
                <c:ptCount val="7"/>
                <c:pt idx="0">
                  <c:v>Atlīdzība</c:v>
                </c:pt>
                <c:pt idx="1">
                  <c:v>Preces un pakalpojumi</c:v>
                </c:pt>
                <c:pt idx="2">
                  <c:v>Subsīdijas un dotācijas</c:v>
                </c:pt>
                <c:pt idx="3">
                  <c:v>Procentu izdevumi</c:v>
                </c:pt>
                <c:pt idx="4">
                  <c:v>Sociāla rakstura maksājumi un kompensācijas</c:v>
                </c:pt>
                <c:pt idx="5">
                  <c:v>Transferti, uzturēšanas izdevumu transferti, pašu resursu maksājumi, starptautiskā sadarbība</c:v>
                </c:pt>
                <c:pt idx="6">
                  <c:v>Kapitālie izdevumi</c:v>
                </c:pt>
              </c:strCache>
            </c:strRef>
          </c:cat>
          <c:val>
            <c:numRef>
              <c:f>PB_diagr!$B$4:$B$10</c:f>
              <c:numCache>
                <c:formatCode>#,##0</c:formatCode>
                <c:ptCount val="7"/>
                <c:pt idx="0">
                  <c:v>25590400</c:v>
                </c:pt>
                <c:pt idx="1">
                  <c:v>25445278</c:v>
                </c:pt>
                <c:pt idx="2">
                  <c:v>514164408</c:v>
                </c:pt>
                <c:pt idx="3">
                  <c:v>16739022</c:v>
                </c:pt>
                <c:pt idx="4">
                  <c:v>32978407</c:v>
                </c:pt>
                <c:pt idx="5">
                  <c:v>82481724</c:v>
                </c:pt>
                <c:pt idx="6">
                  <c:v>71190579</c:v>
                </c:pt>
              </c:numCache>
            </c:numRef>
          </c:val>
          <c:extLst>
            <c:ext xmlns:c16="http://schemas.microsoft.com/office/drawing/2014/chart" uri="{C3380CC4-5D6E-409C-BE32-E72D297353CC}">
              <c16:uniqueId val="{0000000A-D5D9-4E5B-861A-53D0AA738452}"/>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2">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010E9-18A0-4CB6-805B-9C4BE6E91226}">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25E47BB9-378F-421F-A791-0B2334EACD48}">
  <ds:schemaRefs>
    <ds:schemaRef ds:uri="http://schemas.microsoft.com/sharepoint/v3/contenttype/forms"/>
  </ds:schemaRefs>
</ds:datastoreItem>
</file>

<file path=customXml/itemProps3.xml><?xml version="1.0" encoding="utf-8"?>
<ds:datastoreItem xmlns:ds="http://schemas.openxmlformats.org/officeDocument/2006/customXml" ds:itemID="{23441B90-6B95-46F5-8758-F368860A3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9FCDC68-F1E4-43D9-9510-8A7DC20F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20</Pages>
  <Words>31949</Words>
  <Characters>18212</Characters>
  <Application>Microsoft Office Word</Application>
  <DocSecurity>2</DocSecurity>
  <Lines>151</Lines>
  <Paragraphs>100</Paragraphs>
  <ScaleCrop>false</ScaleCrop>
  <HeadingPairs>
    <vt:vector size="2" baseType="variant">
      <vt:variant>
        <vt:lpstr>Title</vt:lpstr>
      </vt:variant>
      <vt:variant>
        <vt:i4>1</vt:i4>
      </vt:variant>
    </vt:vector>
  </HeadingPairs>
  <TitlesOfParts>
    <vt:vector size="1" baseType="lpstr">
      <vt:lpstr>Latvijas Republikas 2022. gada pārskats par valsts budžeta izpildi un par pašvaldību budžetiem</vt:lpstr>
    </vt:vector>
  </TitlesOfParts>
  <Company>Valsts kase</Company>
  <LinksUpToDate>false</LinksUpToDate>
  <CharactersWithSpaces>50061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2022. gada pārskats par valsts budžeta izpildi un par pašvaldību budžetiem</dc:title>
  <dc:subject>Skaidrojums</dc:subject>
  <dc:creator>Atbildīgā amatpersona: Vineta Parfenkova, 67094248, Vineta.Parfenkova@kase.gov.lv</dc:creator>
  <cp:lastModifiedBy>Ēriks Tamanis</cp:lastModifiedBy>
  <cp:revision>62</cp:revision>
  <cp:lastPrinted>2020-07-07T06:16:00Z</cp:lastPrinted>
  <dcterms:created xsi:type="dcterms:W3CDTF">2023-06-02T10:33:00Z</dcterms:created>
  <dcterms:modified xsi:type="dcterms:W3CDTF">2023-06-13T14:29:00Z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