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7DA0D" w14:textId="5F2C65E5" w:rsidR="00484F31" w:rsidRPr="00075DD2" w:rsidRDefault="00484F31" w:rsidP="00B94B07">
      <w:pPr>
        <w:pStyle w:val="Heading1"/>
        <w:spacing w:before="120"/>
        <w:jc w:val="center"/>
        <w:rPr>
          <w:rFonts w:cs="Times New Roman"/>
          <w:color w:val="17365D"/>
          <w:sz w:val="28"/>
          <w:u w:val="none"/>
        </w:rPr>
      </w:pPr>
      <w:r w:rsidRPr="00075DD2">
        <w:rPr>
          <w:rFonts w:cs="Times New Roman"/>
          <w:color w:val="17365D"/>
          <w:sz w:val="28"/>
          <w:u w:val="none"/>
        </w:rPr>
        <w:t>Skaidrojums par konsolidētā kopbudžeta izpildi</w:t>
      </w:r>
    </w:p>
    <w:p w14:paraId="6174D6B3" w14:textId="7CDD4B27" w:rsidR="007F550F" w:rsidRPr="00075DD2" w:rsidRDefault="007F550F" w:rsidP="00F33F0F">
      <w:pPr>
        <w:pStyle w:val="Heading1"/>
        <w:ind w:right="2550"/>
        <w:rPr>
          <w:rFonts w:cs="Times New Roman"/>
          <w:color w:val="17365D"/>
        </w:rPr>
      </w:pPr>
      <w:r w:rsidRPr="00075DD2">
        <w:rPr>
          <w:rFonts w:cs="Times New Roman"/>
          <w:color w:val="17365D"/>
        </w:rPr>
        <w:t>Vispārīgie principi</w:t>
      </w:r>
    </w:p>
    <w:p w14:paraId="7B23D1F3" w14:textId="3B6C22B3" w:rsidR="004354AB" w:rsidRPr="00075DD2" w:rsidRDefault="004354AB" w:rsidP="004D7838">
      <w:pPr>
        <w:pStyle w:val="Pamatteksts"/>
        <w:ind w:right="-2" w:firstLine="426"/>
        <w:rPr>
          <w:color w:val="17365D"/>
        </w:rPr>
      </w:pPr>
      <w:r w:rsidRPr="00075DD2">
        <w:rPr>
          <w:color w:val="17365D"/>
        </w:rPr>
        <w:t>Budžeta izpildes pārskati sagatavoti atbilstoši likumam “Par valsts budžetu 20</w:t>
      </w:r>
      <w:r w:rsidR="000A2BD6" w:rsidRPr="00075DD2">
        <w:rPr>
          <w:color w:val="17365D"/>
        </w:rPr>
        <w:t>2</w:t>
      </w:r>
      <w:r w:rsidR="009027B2" w:rsidRPr="00075DD2">
        <w:rPr>
          <w:color w:val="17365D"/>
        </w:rPr>
        <w:t>2</w:t>
      </w:r>
      <w:r w:rsidRPr="00075DD2">
        <w:rPr>
          <w:color w:val="17365D"/>
        </w:rPr>
        <w:t>. gadam,” Ministru kabineta 27.12.2005. noteikumiem Nr. 1032 “Noteikumi par budžetu ieņēmumu klasifikāciju”, Ministru kabineta 27.12.2005. noteikumiem Nr. 1031 “Noteikumi par budžetu izdevumu klasifikāciju atbilstoši ekonomiskajām kategorijām”, Ministru kabineta 13.12.2005. noteikumiem Nr. 934 “Noteikumi par budžetu izdevumu klasifikāciju atbilstoši funkcionālajām kategorijām” un Ministru kabineta 22.11.2005. noteikumiem Nr. 875 “Noteikumi par budžetu finansēšanas klasifikāciju” un citiem normatīvajiem aktiem, kas nosaka budžeta izstrādāšanas kārtību.</w:t>
      </w:r>
    </w:p>
    <w:p w14:paraId="5A5D70C9" w14:textId="3010F677" w:rsidR="007F550F" w:rsidRPr="00075DD2" w:rsidRDefault="007F550F" w:rsidP="004D7838">
      <w:pPr>
        <w:pStyle w:val="Pamatteksts"/>
        <w:ind w:right="-2" w:firstLine="426"/>
        <w:rPr>
          <w:color w:val="17365D"/>
        </w:rPr>
      </w:pPr>
      <w:r w:rsidRPr="00075DD2">
        <w:rPr>
          <w:color w:val="17365D"/>
        </w:rPr>
        <w:t xml:space="preserve">Pārskatā par konsolidētā kopbudžeta izpildi uzrāda valsts budžeta un pašvaldību budžetu izpildi </w:t>
      </w:r>
      <w:r w:rsidR="006602CF" w:rsidRPr="00075DD2">
        <w:rPr>
          <w:color w:val="17365D"/>
        </w:rPr>
        <w:t>20</w:t>
      </w:r>
      <w:r w:rsidR="000A2BD6" w:rsidRPr="00075DD2">
        <w:rPr>
          <w:color w:val="17365D"/>
        </w:rPr>
        <w:t>2</w:t>
      </w:r>
      <w:r w:rsidR="009027B2" w:rsidRPr="00075DD2">
        <w:rPr>
          <w:color w:val="17365D"/>
        </w:rPr>
        <w:t>2</w:t>
      </w:r>
      <w:r w:rsidR="006602CF" w:rsidRPr="00075DD2">
        <w:rPr>
          <w:color w:val="17365D"/>
        </w:rPr>
        <w:t>.</w:t>
      </w:r>
      <w:r w:rsidR="00C11B92" w:rsidRPr="00075DD2">
        <w:rPr>
          <w:color w:val="17365D"/>
        </w:rPr>
        <w:t> gad</w:t>
      </w:r>
      <w:r w:rsidRPr="00075DD2">
        <w:rPr>
          <w:color w:val="17365D"/>
        </w:rPr>
        <w:t>ā. Tajā ir apkopoti pārskata gada</w:t>
      </w:r>
      <w:r w:rsidR="00491EE2" w:rsidRPr="00075DD2">
        <w:rPr>
          <w:color w:val="17365D"/>
        </w:rPr>
        <w:t xml:space="preserve"> budžeta</w:t>
      </w:r>
      <w:r w:rsidRPr="00075DD2">
        <w:rPr>
          <w:color w:val="17365D"/>
        </w:rPr>
        <w:t xml:space="preserve"> ieņēmumi, izdevumi, kā arī finansēšana</w:t>
      </w:r>
      <w:r w:rsidR="00ED265C" w:rsidRPr="00075DD2">
        <w:rPr>
          <w:color w:val="17365D"/>
        </w:rPr>
        <w:t>s darījumi</w:t>
      </w:r>
      <w:r w:rsidRPr="00075DD2">
        <w:rPr>
          <w:color w:val="17365D"/>
        </w:rPr>
        <w:t xml:space="preserve"> </w:t>
      </w:r>
      <w:r w:rsidR="00D64873" w:rsidRPr="00075DD2">
        <w:rPr>
          <w:color w:val="17365D"/>
        </w:rPr>
        <w:t>atbilstoši</w:t>
      </w:r>
      <w:r w:rsidRPr="00075DD2">
        <w:rPr>
          <w:color w:val="17365D"/>
        </w:rPr>
        <w:t xml:space="preserve"> naudas plūsmas principa</w:t>
      </w:r>
      <w:r w:rsidR="00E76C4C" w:rsidRPr="00075DD2">
        <w:rPr>
          <w:color w:val="17365D"/>
        </w:rPr>
        <w:t>m</w:t>
      </w:r>
      <w:r w:rsidR="00C11B92" w:rsidRPr="00075DD2">
        <w:rPr>
          <w:color w:val="17365D"/>
        </w:rPr>
        <w:t>.</w:t>
      </w:r>
    </w:p>
    <w:p w14:paraId="4DBCAE1A" w14:textId="4E1C0D3E" w:rsidR="007F550F" w:rsidRPr="00075DD2" w:rsidRDefault="007F550F" w:rsidP="004D7838">
      <w:pPr>
        <w:pStyle w:val="Pamatteksts"/>
        <w:ind w:right="-2" w:firstLine="426"/>
        <w:rPr>
          <w:color w:val="17365D"/>
        </w:rPr>
      </w:pPr>
      <w:r w:rsidRPr="00075DD2">
        <w:rPr>
          <w:color w:val="17365D"/>
        </w:rPr>
        <w:t xml:space="preserve">Pārskatu par konsolidētā kopbudžeta izpildi (turpmāk – pārskats) veido, apkopojot un konsolidējot valsts un pašvaldību </w:t>
      </w:r>
      <w:r w:rsidR="000A2BD6" w:rsidRPr="00075DD2">
        <w:rPr>
          <w:color w:val="17365D"/>
        </w:rPr>
        <w:t xml:space="preserve">konsolidēto </w:t>
      </w:r>
      <w:r w:rsidRPr="00075DD2">
        <w:rPr>
          <w:color w:val="17365D"/>
        </w:rPr>
        <w:t xml:space="preserve">budžetu izpildes pārskatus. </w:t>
      </w:r>
    </w:p>
    <w:p w14:paraId="5436E0F1" w14:textId="29D74D9C" w:rsidR="0047444C" w:rsidRPr="00075DD2" w:rsidRDefault="0047444C" w:rsidP="008C02F2">
      <w:pPr>
        <w:rPr>
          <w:color w:val="17365D"/>
        </w:rPr>
      </w:pPr>
    </w:p>
    <w:p w14:paraId="5A70088A" w14:textId="2204DD7D" w:rsidR="007F550F" w:rsidRPr="00075DD2" w:rsidRDefault="007F550F" w:rsidP="000B0788">
      <w:pPr>
        <w:pStyle w:val="Heading1"/>
        <w:spacing w:before="0"/>
        <w:ind w:right="2550"/>
        <w:rPr>
          <w:rFonts w:cs="Times New Roman"/>
          <w:color w:val="17365D"/>
        </w:rPr>
      </w:pPr>
      <w:r w:rsidRPr="00075DD2">
        <w:rPr>
          <w:rFonts w:cs="Times New Roman"/>
          <w:color w:val="17365D"/>
        </w:rPr>
        <w:t>Konsolidētā kopbudžeta izpilde</w:t>
      </w:r>
    </w:p>
    <w:p w14:paraId="170481F5" w14:textId="2B160D9D" w:rsidR="007F550F" w:rsidRPr="00075DD2" w:rsidRDefault="007F550F" w:rsidP="000B0788">
      <w:pPr>
        <w:pStyle w:val="Heading2"/>
        <w:spacing w:before="0"/>
        <w:ind w:right="2550"/>
        <w:rPr>
          <w:rFonts w:cs="Times New Roman"/>
          <w:color w:val="17365D"/>
        </w:rPr>
      </w:pPr>
      <w:r w:rsidRPr="00075DD2">
        <w:rPr>
          <w:rFonts w:cs="Times New Roman"/>
          <w:color w:val="17365D"/>
        </w:rPr>
        <w:t>Ieņēmumi</w:t>
      </w:r>
    </w:p>
    <w:p w14:paraId="22FA5618" w14:textId="1E74AC56" w:rsidR="007F550F" w:rsidRPr="00075DD2" w:rsidRDefault="008C02F2" w:rsidP="00190576">
      <w:pPr>
        <w:pStyle w:val="Pamatteksts"/>
        <w:ind w:right="-2"/>
        <w:rPr>
          <w:color w:val="17365D"/>
        </w:rPr>
      </w:pPr>
      <w:r w:rsidRPr="00075DD2">
        <w:rPr>
          <w:b/>
          <w:color w:val="17365D"/>
        </w:rPr>
        <mc:AlternateContent>
          <mc:Choice Requires="wps">
            <w:drawing>
              <wp:anchor distT="0" distB="0" distL="114300" distR="114300" simplePos="0" relativeHeight="251731968" behindDoc="0" locked="0" layoutInCell="1" allowOverlap="1" wp14:anchorId="5BE3AD1C" wp14:editId="6F420D22">
                <wp:simplePos x="0" y="0"/>
                <wp:positionH relativeFrom="margin">
                  <wp:posOffset>4206240</wp:posOffset>
                </wp:positionH>
                <wp:positionV relativeFrom="margin">
                  <wp:posOffset>3956050</wp:posOffset>
                </wp:positionV>
                <wp:extent cx="1732915" cy="733425"/>
                <wp:effectExtent l="0" t="0" r="19685" b="28575"/>
                <wp:wrapThrough wrapText="bothSides">
                  <wp:wrapPolygon edited="0">
                    <wp:start x="0" y="0"/>
                    <wp:lineTo x="0" y="21881"/>
                    <wp:lineTo x="21608" y="21881"/>
                    <wp:lineTo x="21608" y="0"/>
                    <wp:lineTo x="0" y="0"/>
                  </wp:wrapPolygon>
                </wp:wrapThrough>
                <wp:docPr id="95" name="Rectangle 95"/>
                <wp:cNvGraphicFramePr/>
                <a:graphic xmlns:a="http://schemas.openxmlformats.org/drawingml/2006/main">
                  <a:graphicData uri="http://schemas.microsoft.com/office/word/2010/wordprocessingShape">
                    <wps:wsp>
                      <wps:cNvSpPr/>
                      <wps:spPr>
                        <a:xfrm>
                          <a:off x="0" y="0"/>
                          <a:ext cx="1732915" cy="733425"/>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73ABD3B8" w14:textId="7EF735E3" w:rsidR="00BC662D" w:rsidRPr="000C155D" w:rsidRDefault="0040038E" w:rsidP="00581576">
                            <w:pPr>
                              <w:jc w:val="center"/>
                              <w:rPr>
                                <w:color w:val="17365D"/>
                              </w:rPr>
                            </w:pPr>
                            <w:r w:rsidRPr="000C155D">
                              <w:rPr>
                                <w:color w:val="17365D"/>
                              </w:rPr>
                              <w:t xml:space="preserve">Kopbudžeta ieņēmumi – </w:t>
                            </w:r>
                            <w:r w:rsidR="009D41FD">
                              <w:rPr>
                                <w:b/>
                                <w:color w:val="17365D"/>
                              </w:rPr>
                              <w:t>1</w:t>
                            </w:r>
                            <w:r w:rsidR="009027B2">
                              <w:rPr>
                                <w:b/>
                                <w:color w:val="17365D"/>
                              </w:rPr>
                              <w:t>4</w:t>
                            </w:r>
                            <w:r w:rsidR="009D41FD">
                              <w:rPr>
                                <w:b/>
                                <w:color w:val="17365D"/>
                              </w:rPr>
                              <w:t> </w:t>
                            </w:r>
                            <w:r w:rsidR="009027B2">
                              <w:rPr>
                                <w:b/>
                                <w:color w:val="17365D"/>
                              </w:rPr>
                              <w:t>294</w:t>
                            </w:r>
                            <w:r w:rsidR="00FD7202">
                              <w:rPr>
                                <w:b/>
                                <w:color w:val="17365D"/>
                              </w:rPr>
                              <w:t> </w:t>
                            </w:r>
                            <w:r w:rsidR="009027B2">
                              <w:rPr>
                                <w:b/>
                                <w:color w:val="17365D"/>
                              </w:rPr>
                              <w:t>401</w:t>
                            </w:r>
                            <w:r w:rsidR="00FD7202">
                              <w:rPr>
                                <w:b/>
                                <w:color w:val="17365D"/>
                              </w:rPr>
                              <w:t> </w:t>
                            </w:r>
                            <w:r w:rsidR="009027B2">
                              <w:rPr>
                                <w:b/>
                                <w:color w:val="17365D"/>
                              </w:rPr>
                              <w:t>176</w:t>
                            </w:r>
                            <w:r w:rsidR="00FD7202">
                              <w:rPr>
                                <w:b/>
                                <w:color w:val="17365D"/>
                              </w:rPr>
                              <w:t xml:space="preserve"> </w:t>
                            </w:r>
                            <w:r w:rsidR="00581576" w:rsidRPr="000C155D">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3AD1C" id="Rectangle 95" o:spid="_x0000_s1026" style="position:absolute;left:0;text-align:left;margin-left:331.2pt;margin-top:311.5pt;width:136.45pt;height:57.7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" fillcolor="white [3201]" strokecolor="#17365d" strokeweight="2pt">
                <v:stroke dashstyle="1 1"/>
                <v:textbox>
                  <w:txbxContent>
                    <w:p w14:paraId="73ABD3B8" w14:textId="7EF735E3" w:rsidR="00BC662D" w:rsidRPr="000C155D" w:rsidRDefault="0040038E" w:rsidP="00581576">
                      <w:pPr>
                        <w:jc w:val="center"/>
                        <w:rPr>
                          <w:color w:val="17365D"/>
                        </w:rPr>
                      </w:pPr>
                      <w:r w:rsidRPr="000C155D">
                        <w:rPr>
                          <w:color w:val="17365D"/>
                        </w:rPr>
                        <w:t xml:space="preserve">Kopbudžeta ieņēmumi – </w:t>
                      </w:r>
                      <w:r w:rsidR="009D41FD">
                        <w:rPr>
                          <w:b/>
                          <w:color w:val="17365D"/>
                        </w:rPr>
                        <w:t>1</w:t>
                      </w:r>
                      <w:r w:rsidR="009027B2">
                        <w:rPr>
                          <w:b/>
                          <w:color w:val="17365D"/>
                        </w:rPr>
                        <w:t>4</w:t>
                      </w:r>
                      <w:r w:rsidR="009D41FD">
                        <w:rPr>
                          <w:b/>
                          <w:color w:val="17365D"/>
                        </w:rPr>
                        <w:t> </w:t>
                      </w:r>
                      <w:r w:rsidR="009027B2">
                        <w:rPr>
                          <w:b/>
                          <w:color w:val="17365D"/>
                        </w:rPr>
                        <w:t>294</w:t>
                      </w:r>
                      <w:r w:rsidR="00FD7202">
                        <w:rPr>
                          <w:b/>
                          <w:color w:val="17365D"/>
                        </w:rPr>
                        <w:t> </w:t>
                      </w:r>
                      <w:r w:rsidR="009027B2">
                        <w:rPr>
                          <w:b/>
                          <w:color w:val="17365D"/>
                        </w:rPr>
                        <w:t>401</w:t>
                      </w:r>
                      <w:r w:rsidR="00FD7202">
                        <w:rPr>
                          <w:b/>
                          <w:color w:val="17365D"/>
                        </w:rPr>
                        <w:t> </w:t>
                      </w:r>
                      <w:r w:rsidR="009027B2">
                        <w:rPr>
                          <w:b/>
                          <w:color w:val="17365D"/>
                        </w:rPr>
                        <w:t>176</w:t>
                      </w:r>
                      <w:r w:rsidR="00FD7202">
                        <w:rPr>
                          <w:b/>
                          <w:color w:val="17365D"/>
                        </w:rPr>
                        <w:t xml:space="preserve"> </w:t>
                      </w:r>
                      <w:proofErr w:type="spellStart"/>
                      <w:r w:rsidR="00581576" w:rsidRPr="000C155D">
                        <w:rPr>
                          <w:i/>
                          <w:color w:val="17365D"/>
                        </w:rPr>
                        <w:t>euro</w:t>
                      </w:r>
                      <w:proofErr w:type="spellEnd"/>
                    </w:p>
                  </w:txbxContent>
                </v:textbox>
                <w10:wrap type="through" anchorx="margin" anchory="margin"/>
              </v:rect>
            </w:pict>
          </mc:Fallback>
        </mc:AlternateContent>
      </w:r>
      <w:r w:rsidRPr="00075DD2">
        <w:rPr>
          <w:color w:val="17365D"/>
        </w:rPr>
        <w:t>20</w:t>
      </w:r>
      <w:r w:rsidR="007035C7" w:rsidRPr="00075DD2">
        <w:rPr>
          <w:color w:val="17365D"/>
        </w:rPr>
        <w:t>2</w:t>
      </w:r>
      <w:r w:rsidR="009027B2" w:rsidRPr="00075DD2">
        <w:rPr>
          <w:color w:val="17365D"/>
        </w:rPr>
        <w:t>2</w:t>
      </w:r>
      <w:r w:rsidRPr="00075DD2">
        <w:rPr>
          <w:color w:val="17365D"/>
        </w:rPr>
        <w:t>.</w:t>
      </w:r>
      <w:r w:rsidR="00C11B92" w:rsidRPr="00075DD2">
        <w:rPr>
          <w:color w:val="17365D"/>
        </w:rPr>
        <w:t> gad</w:t>
      </w:r>
      <w:r w:rsidR="007F550F" w:rsidRPr="00075DD2">
        <w:rPr>
          <w:color w:val="17365D"/>
        </w:rPr>
        <w:t>ā</w:t>
      </w:r>
      <w:r w:rsidR="001B1DE9" w:rsidRPr="00075DD2">
        <w:rPr>
          <w:color w:val="17365D"/>
        </w:rPr>
        <w:t xml:space="preserve"> </w:t>
      </w:r>
      <w:r w:rsidR="007F550F" w:rsidRPr="00075DD2">
        <w:rPr>
          <w:color w:val="17365D"/>
        </w:rPr>
        <w:t xml:space="preserve">kopbudžeta ieņēmumi sasniedza </w:t>
      </w:r>
      <w:r w:rsidR="009D41FD" w:rsidRPr="00075DD2">
        <w:rPr>
          <w:color w:val="17365D"/>
        </w:rPr>
        <w:t>1</w:t>
      </w:r>
      <w:r w:rsidR="00E27866" w:rsidRPr="00075DD2">
        <w:rPr>
          <w:color w:val="17365D"/>
        </w:rPr>
        <w:t>4</w:t>
      </w:r>
      <w:r w:rsidR="009D41FD" w:rsidRPr="00075DD2">
        <w:rPr>
          <w:color w:val="17365D"/>
        </w:rPr>
        <w:t> </w:t>
      </w:r>
      <w:r w:rsidR="00E27866" w:rsidRPr="00075DD2">
        <w:rPr>
          <w:color w:val="17365D"/>
        </w:rPr>
        <w:t>294</w:t>
      </w:r>
      <w:r w:rsidR="009D41FD" w:rsidRPr="00075DD2">
        <w:rPr>
          <w:color w:val="17365D"/>
        </w:rPr>
        <w:t>,</w:t>
      </w:r>
      <w:r w:rsidR="009027B2" w:rsidRPr="00075DD2">
        <w:rPr>
          <w:color w:val="17365D"/>
        </w:rPr>
        <w:t>3</w:t>
      </w:r>
      <w:r w:rsidR="009F48E4" w:rsidRPr="00075DD2">
        <w:rPr>
          <w:color w:val="17365D"/>
        </w:rPr>
        <w:t> </w:t>
      </w:r>
      <w:r w:rsidR="007F550F" w:rsidRPr="00075DD2">
        <w:rPr>
          <w:color w:val="17365D"/>
        </w:rPr>
        <w:t>milj.</w:t>
      </w:r>
      <w:r w:rsidR="00D14958" w:rsidRPr="00075DD2">
        <w:rPr>
          <w:color w:val="17365D"/>
        </w:rPr>
        <w:t> </w:t>
      </w:r>
      <w:r w:rsidR="003E6E25" w:rsidRPr="00075DD2">
        <w:rPr>
          <w:i/>
          <w:color w:val="17365D"/>
        </w:rPr>
        <w:t>euro</w:t>
      </w:r>
      <w:r w:rsidR="007F550F" w:rsidRPr="00075DD2">
        <w:rPr>
          <w:color w:val="17365D"/>
        </w:rPr>
        <w:t xml:space="preserve">, kas salīdzinājumā ar </w:t>
      </w:r>
      <w:r w:rsidR="009027B2" w:rsidRPr="00075DD2">
        <w:rPr>
          <w:color w:val="17365D"/>
        </w:rPr>
        <w:t>2021.</w:t>
      </w:r>
      <w:r w:rsidR="00A26677" w:rsidRPr="00075DD2">
        <w:rPr>
          <w:color w:val="17365D"/>
        </w:rPr>
        <w:t> gad</w:t>
      </w:r>
      <w:r w:rsidR="007F550F" w:rsidRPr="00075DD2">
        <w:rPr>
          <w:color w:val="17365D"/>
        </w:rPr>
        <w:t xml:space="preserve">a </w:t>
      </w:r>
      <w:r w:rsidR="00E27866" w:rsidRPr="00075DD2">
        <w:rPr>
          <w:color w:val="17365D"/>
        </w:rPr>
        <w:t>i</w:t>
      </w:r>
      <w:r w:rsidR="007F550F" w:rsidRPr="00075DD2">
        <w:rPr>
          <w:color w:val="17365D"/>
        </w:rPr>
        <w:t xml:space="preserve">eņēmumiem ir par </w:t>
      </w:r>
      <w:r w:rsidR="009D41FD" w:rsidRPr="00075DD2">
        <w:rPr>
          <w:color w:val="17365D"/>
        </w:rPr>
        <w:t>1</w:t>
      </w:r>
      <w:r w:rsidR="00E27866" w:rsidRPr="00075DD2">
        <w:rPr>
          <w:color w:val="17365D"/>
        </w:rPr>
        <w:t> 745,2</w:t>
      </w:r>
      <w:r w:rsidR="003C2E8D" w:rsidRPr="00075DD2">
        <w:rPr>
          <w:color w:val="17365D"/>
        </w:rPr>
        <w:t> </w:t>
      </w:r>
      <w:r w:rsidR="007F550F" w:rsidRPr="00075DD2">
        <w:rPr>
          <w:color w:val="17365D"/>
        </w:rPr>
        <w:t xml:space="preserve">milj. </w:t>
      </w:r>
      <w:r w:rsidR="003E6E25" w:rsidRPr="00075DD2">
        <w:rPr>
          <w:i/>
          <w:color w:val="17365D"/>
        </w:rPr>
        <w:t>euro</w:t>
      </w:r>
      <w:r w:rsidR="007F550F" w:rsidRPr="00075DD2">
        <w:rPr>
          <w:color w:val="17365D"/>
        </w:rPr>
        <w:t xml:space="preserve"> jeb </w:t>
      </w:r>
      <w:r w:rsidR="009D41FD" w:rsidRPr="00075DD2">
        <w:rPr>
          <w:color w:val="17365D"/>
        </w:rPr>
        <w:t>1</w:t>
      </w:r>
      <w:r w:rsidR="00E27866" w:rsidRPr="00075DD2">
        <w:rPr>
          <w:color w:val="17365D"/>
        </w:rPr>
        <w:t>3,9</w:t>
      </w:r>
      <w:r w:rsidR="00A26677" w:rsidRPr="00075DD2">
        <w:rPr>
          <w:color w:val="17365D"/>
        </w:rPr>
        <w:t> </w:t>
      </w:r>
      <w:r w:rsidR="00D14958" w:rsidRPr="00075DD2">
        <w:rPr>
          <w:color w:val="17365D"/>
        </w:rPr>
        <w:t xml:space="preserve">% </w:t>
      </w:r>
      <w:r w:rsidR="009B73C8" w:rsidRPr="00075DD2">
        <w:rPr>
          <w:color w:val="17365D"/>
        </w:rPr>
        <w:t>vairāk</w:t>
      </w:r>
      <w:r w:rsidR="00D14958" w:rsidRPr="00075DD2">
        <w:rPr>
          <w:color w:val="17365D"/>
        </w:rPr>
        <w:t xml:space="preserve"> un par </w:t>
      </w:r>
      <w:r w:rsidR="000462DE" w:rsidRPr="00075DD2">
        <w:rPr>
          <w:color w:val="17365D"/>
        </w:rPr>
        <w:t>1 2</w:t>
      </w:r>
      <w:r w:rsidR="00E27866" w:rsidRPr="00075DD2">
        <w:rPr>
          <w:color w:val="17365D"/>
        </w:rPr>
        <w:t>33</w:t>
      </w:r>
      <w:r w:rsidR="000462DE" w:rsidRPr="00075DD2">
        <w:rPr>
          <w:color w:val="17365D"/>
        </w:rPr>
        <w:t>,</w:t>
      </w:r>
      <w:r w:rsidR="00E27866" w:rsidRPr="00075DD2">
        <w:rPr>
          <w:color w:val="17365D"/>
        </w:rPr>
        <w:t>3</w:t>
      </w:r>
      <w:r w:rsidR="00D14958" w:rsidRPr="00075DD2">
        <w:rPr>
          <w:color w:val="17365D"/>
        </w:rPr>
        <w:t> milj.</w:t>
      </w:r>
      <w:r w:rsidR="003E6E25" w:rsidRPr="00075DD2">
        <w:rPr>
          <w:i/>
          <w:color w:val="17365D"/>
        </w:rPr>
        <w:t>euro</w:t>
      </w:r>
      <w:r w:rsidR="00D14958" w:rsidRPr="00075DD2">
        <w:rPr>
          <w:color w:val="17365D"/>
        </w:rPr>
        <w:t xml:space="preserve"> </w:t>
      </w:r>
      <w:bookmarkStart w:id="0" w:name="_GoBack"/>
      <w:bookmarkEnd w:id="0"/>
      <w:r w:rsidR="00D14958" w:rsidRPr="00075DD2">
        <w:rPr>
          <w:color w:val="17365D"/>
        </w:rPr>
        <w:t>jeb</w:t>
      </w:r>
      <w:r w:rsidR="008767C6" w:rsidRPr="00075DD2">
        <w:rPr>
          <w:color w:val="17365D"/>
        </w:rPr>
        <w:t xml:space="preserve"> </w:t>
      </w:r>
      <w:r w:rsidR="00E27866" w:rsidRPr="00075DD2">
        <w:rPr>
          <w:color w:val="17365D"/>
        </w:rPr>
        <w:t>9,4</w:t>
      </w:r>
      <w:r w:rsidR="00D14958" w:rsidRPr="00075DD2">
        <w:rPr>
          <w:color w:val="17365D"/>
        </w:rPr>
        <w:t xml:space="preserve"> % </w:t>
      </w:r>
      <w:r w:rsidR="009D41FD" w:rsidRPr="00075DD2">
        <w:rPr>
          <w:color w:val="17365D"/>
        </w:rPr>
        <w:t>vairāk</w:t>
      </w:r>
      <w:r w:rsidR="00D14958" w:rsidRPr="00075DD2">
        <w:rPr>
          <w:color w:val="17365D"/>
        </w:rPr>
        <w:t xml:space="preserve"> nekā bija plānots</w:t>
      </w:r>
      <w:r w:rsidR="002B7CA0" w:rsidRPr="00075DD2">
        <w:rPr>
          <w:rStyle w:val="FootnoteReference"/>
          <w:color w:val="17365D"/>
        </w:rPr>
        <w:footnoteReference w:id="1"/>
      </w:r>
      <w:r w:rsidR="00D14958" w:rsidRPr="00075DD2">
        <w:rPr>
          <w:color w:val="17365D"/>
        </w:rPr>
        <w:t xml:space="preserve"> saņemt.</w:t>
      </w:r>
    </w:p>
    <w:p w14:paraId="78C59222" w14:textId="18F4ACE6" w:rsidR="00A267FE" w:rsidRDefault="00FB733A" w:rsidP="00595C59">
      <w:pPr>
        <w:pStyle w:val="Pamatteksts"/>
        <w:ind w:right="-2"/>
        <w:rPr>
          <w:color w:val="17365D"/>
        </w:rPr>
      </w:pPr>
      <w:r w:rsidRPr="00075DD2">
        <w:rPr>
          <w:color w:val="17365D"/>
        </w:rPr>
        <w:t xml:space="preserve">Konsolidētā kopbudžeta </w:t>
      </w:r>
      <w:r w:rsidR="00310BDD" w:rsidRPr="00075DD2">
        <w:rPr>
          <w:color w:val="17365D"/>
        </w:rPr>
        <w:t>ieņēmum</w:t>
      </w:r>
      <w:r w:rsidR="009E5D95" w:rsidRPr="00075DD2">
        <w:rPr>
          <w:color w:val="17365D"/>
        </w:rPr>
        <w:t>u dinamika</w:t>
      </w:r>
      <w:r w:rsidRPr="00075DD2">
        <w:rPr>
          <w:color w:val="17365D"/>
        </w:rPr>
        <w:t xml:space="preserve"> pa gadiem </w:t>
      </w:r>
      <w:r w:rsidR="00431C69" w:rsidRPr="00075DD2">
        <w:rPr>
          <w:color w:val="17365D"/>
        </w:rPr>
        <w:t>attēlota</w:t>
      </w:r>
      <w:r w:rsidR="00CB30AF" w:rsidRPr="00075DD2">
        <w:rPr>
          <w:color w:val="17365D"/>
        </w:rPr>
        <w:t xml:space="preserve"> </w:t>
      </w:r>
      <w:r w:rsidR="00595C59" w:rsidRPr="00075DD2">
        <w:rPr>
          <w:color w:val="17365D"/>
        </w:rPr>
        <w:t>1.</w:t>
      </w:r>
      <w:r w:rsidR="00310BDD" w:rsidRPr="00075DD2">
        <w:rPr>
          <w:color w:val="17365D"/>
        </w:rPr>
        <w:t> </w:t>
      </w:r>
      <w:r w:rsidRPr="00075DD2">
        <w:rPr>
          <w:color w:val="17365D"/>
        </w:rPr>
        <w:t xml:space="preserve">attēlā. </w:t>
      </w:r>
    </w:p>
    <w:p w14:paraId="7D99AEE5" w14:textId="5E1F71B6" w:rsidR="00075DD2" w:rsidRPr="00075DD2" w:rsidRDefault="00075DD2" w:rsidP="00D903D4">
      <w:pPr>
        <w:pStyle w:val="Pamatteksts"/>
        <w:ind w:right="-2" w:firstLine="0"/>
        <w:jc w:val="center"/>
        <w:rPr>
          <w:color w:val="17365D"/>
        </w:rPr>
      </w:pPr>
      <w:r w:rsidRPr="00330D4D">
        <w:rPr>
          <w:color w:val="17365D"/>
        </w:rPr>
        <w:drawing>
          <wp:inline distT="0" distB="0" distL="0" distR="0" wp14:anchorId="775A3F63" wp14:editId="4BB33BD1">
            <wp:extent cx="5939790" cy="3648075"/>
            <wp:effectExtent l="0" t="0" r="381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E6AD08B" w14:textId="3373E1EC" w:rsidR="00FB733A" w:rsidRPr="00075DD2" w:rsidRDefault="00FB733A" w:rsidP="00DA40BA">
      <w:pPr>
        <w:pStyle w:val="Attlanosaukums"/>
        <w:ind w:right="-2" w:firstLine="0"/>
        <w:rPr>
          <w:color w:val="17365D"/>
        </w:rPr>
      </w:pPr>
      <w:r w:rsidRPr="00075DD2">
        <w:rPr>
          <w:color w:val="17365D"/>
        </w:rPr>
        <w:t xml:space="preserve">1. attēls. Kopbudžeta </w:t>
      </w:r>
      <w:r w:rsidR="00741A50" w:rsidRPr="00075DD2">
        <w:rPr>
          <w:color w:val="17365D"/>
        </w:rPr>
        <w:t>ieņēmum</w:t>
      </w:r>
      <w:r w:rsidR="0010743C" w:rsidRPr="00075DD2">
        <w:rPr>
          <w:color w:val="17365D"/>
        </w:rPr>
        <w:t>u</w:t>
      </w:r>
      <w:r w:rsidR="00741A50" w:rsidRPr="00075DD2">
        <w:rPr>
          <w:color w:val="17365D"/>
        </w:rPr>
        <w:t xml:space="preserve"> sturktūra</w:t>
      </w:r>
      <w:r w:rsidRPr="00075DD2">
        <w:rPr>
          <w:color w:val="17365D"/>
        </w:rPr>
        <w:t xml:space="preserve"> 20</w:t>
      </w:r>
      <w:r w:rsidR="00652E69" w:rsidRPr="00075DD2">
        <w:rPr>
          <w:color w:val="17365D"/>
        </w:rPr>
        <w:t>1</w:t>
      </w:r>
      <w:r w:rsidR="00AC6166" w:rsidRPr="00075DD2">
        <w:rPr>
          <w:color w:val="17365D"/>
        </w:rPr>
        <w:t>2</w:t>
      </w:r>
      <w:r w:rsidRPr="00075DD2">
        <w:rPr>
          <w:color w:val="17365D"/>
        </w:rPr>
        <w:t xml:space="preserve">. – </w:t>
      </w:r>
      <w:r w:rsidR="009027B2" w:rsidRPr="00075DD2">
        <w:rPr>
          <w:color w:val="17365D"/>
        </w:rPr>
        <w:t>2022.</w:t>
      </w:r>
      <w:r w:rsidRPr="00075DD2">
        <w:rPr>
          <w:color w:val="17365D"/>
        </w:rPr>
        <w:t> g</w:t>
      </w:r>
      <w:r w:rsidR="005C27F4" w:rsidRPr="00075DD2">
        <w:rPr>
          <w:color w:val="17365D"/>
        </w:rPr>
        <w:t>ads</w:t>
      </w:r>
      <w:r w:rsidRPr="00075DD2">
        <w:rPr>
          <w:color w:val="17365D"/>
        </w:rPr>
        <w:t xml:space="preserve"> (milj. euro)</w:t>
      </w:r>
    </w:p>
    <w:p w14:paraId="3B2D8E51" w14:textId="5936B60A" w:rsidR="00AC6166" w:rsidRDefault="007F550F" w:rsidP="00190576">
      <w:pPr>
        <w:pStyle w:val="Pamatteksts"/>
        <w:ind w:right="-2"/>
        <w:rPr>
          <w:color w:val="17365D"/>
        </w:rPr>
      </w:pPr>
      <w:r w:rsidRPr="00075DD2">
        <w:rPr>
          <w:color w:val="17365D"/>
        </w:rPr>
        <w:lastRenderedPageBreak/>
        <w:t>Kopbudžeta ieņēmumu struktūrā</w:t>
      </w:r>
      <w:r w:rsidR="004B7D0C" w:rsidRPr="00075DD2">
        <w:rPr>
          <w:color w:val="17365D"/>
        </w:rPr>
        <w:t xml:space="preserve"> </w:t>
      </w:r>
      <w:r w:rsidR="009027B2" w:rsidRPr="00075DD2">
        <w:rPr>
          <w:color w:val="17365D"/>
        </w:rPr>
        <w:t>2022.</w:t>
      </w:r>
      <w:r w:rsidR="00C11B92" w:rsidRPr="00075DD2">
        <w:rPr>
          <w:color w:val="17365D"/>
        </w:rPr>
        <w:t> gad</w:t>
      </w:r>
      <w:r w:rsidR="003E6995" w:rsidRPr="00075DD2">
        <w:rPr>
          <w:color w:val="17365D"/>
        </w:rPr>
        <w:t xml:space="preserve">ā </w:t>
      </w:r>
      <w:r w:rsidRPr="00075DD2">
        <w:rPr>
          <w:color w:val="17365D"/>
        </w:rPr>
        <w:t xml:space="preserve">pārsvarā ir nodokļu ieņēmumi – </w:t>
      </w:r>
      <w:r w:rsidR="00AC6166" w:rsidRPr="00075DD2">
        <w:rPr>
          <w:color w:val="17365D"/>
        </w:rPr>
        <w:t>80</w:t>
      </w:r>
      <w:r w:rsidR="00E97B89" w:rsidRPr="00075DD2">
        <w:rPr>
          <w:color w:val="17365D"/>
        </w:rPr>
        <w:t>,</w:t>
      </w:r>
      <w:r w:rsidR="009D41FD" w:rsidRPr="00075DD2">
        <w:rPr>
          <w:color w:val="17365D"/>
        </w:rPr>
        <w:t>9</w:t>
      </w:r>
      <w:r w:rsidR="00A26677" w:rsidRPr="00075DD2">
        <w:rPr>
          <w:color w:val="17365D"/>
        </w:rPr>
        <w:t> </w:t>
      </w:r>
      <w:r w:rsidRPr="00075DD2">
        <w:rPr>
          <w:color w:val="17365D"/>
        </w:rPr>
        <w:t xml:space="preserve">%, pārējie ieņēmumi ir </w:t>
      </w:r>
      <w:r w:rsidR="00AC6166" w:rsidRPr="00075DD2">
        <w:rPr>
          <w:color w:val="17365D"/>
        </w:rPr>
        <w:t>19</w:t>
      </w:r>
      <w:r w:rsidR="00E97B89" w:rsidRPr="00075DD2">
        <w:rPr>
          <w:color w:val="17365D"/>
        </w:rPr>
        <w:t>,</w:t>
      </w:r>
      <w:r w:rsidR="009D41FD" w:rsidRPr="00075DD2">
        <w:rPr>
          <w:color w:val="17365D"/>
        </w:rPr>
        <w:t>1</w:t>
      </w:r>
      <w:r w:rsidR="00A26677" w:rsidRPr="00075DD2">
        <w:rPr>
          <w:color w:val="17365D"/>
        </w:rPr>
        <w:t> </w:t>
      </w:r>
      <w:r w:rsidR="006742FF" w:rsidRPr="00075DD2">
        <w:rPr>
          <w:color w:val="17365D"/>
        </w:rPr>
        <w:t>%</w:t>
      </w:r>
      <w:r w:rsidR="00D14958" w:rsidRPr="00075DD2">
        <w:rPr>
          <w:color w:val="17365D"/>
        </w:rPr>
        <w:t xml:space="preserve"> (skatīt </w:t>
      </w:r>
      <w:r w:rsidR="009A5441" w:rsidRPr="00075DD2">
        <w:rPr>
          <w:color w:val="17365D"/>
        </w:rPr>
        <w:t>2</w:t>
      </w:r>
      <w:r w:rsidR="00D14958" w:rsidRPr="00075DD2">
        <w:rPr>
          <w:color w:val="17365D"/>
        </w:rPr>
        <w:t>.attēlu)</w:t>
      </w:r>
      <w:r w:rsidR="00F94205" w:rsidRPr="00075DD2">
        <w:rPr>
          <w:color w:val="17365D"/>
        </w:rPr>
        <w:t>.</w:t>
      </w:r>
    </w:p>
    <w:p w14:paraId="39D9979A" w14:textId="3E6B130B" w:rsidR="00AC6166" w:rsidRPr="00075DD2" w:rsidRDefault="00D903D4" w:rsidP="00D903D4">
      <w:pPr>
        <w:pStyle w:val="Pamatteksts"/>
        <w:ind w:right="-2" w:firstLine="0"/>
        <w:rPr>
          <w:color w:val="17365D"/>
        </w:rPr>
      </w:pPr>
      <w:r w:rsidRPr="00D903D4">
        <w:rPr>
          <w:color w:val="17365D"/>
        </w:rPr>
        <w:drawing>
          <wp:inline distT="0" distB="0" distL="0" distR="0" wp14:anchorId="1FA9E426" wp14:editId="7E192BC3">
            <wp:extent cx="5939790" cy="1952625"/>
            <wp:effectExtent l="0" t="0" r="381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747A25B" w14:textId="395013E2" w:rsidR="00B95AD5" w:rsidRPr="00075DD2" w:rsidRDefault="00AC6166" w:rsidP="002E5DE0">
      <w:pPr>
        <w:pStyle w:val="Attlanosaukums"/>
        <w:spacing w:line="360" w:lineRule="auto"/>
        <w:ind w:firstLine="0"/>
        <w:rPr>
          <w:color w:val="17365D"/>
        </w:rPr>
      </w:pPr>
      <w:r w:rsidRPr="00075DD2">
        <w:rPr>
          <w:color w:val="17365D"/>
        </w:rPr>
        <w:t>2</w:t>
      </w:r>
      <w:r w:rsidR="00B95AD5" w:rsidRPr="00075DD2">
        <w:rPr>
          <w:color w:val="17365D"/>
        </w:rPr>
        <w:t>. attēls.</w:t>
      </w:r>
      <w:r w:rsidRPr="00075DD2">
        <w:rPr>
          <w:color w:val="17365D"/>
        </w:rPr>
        <w:t>Kop</w:t>
      </w:r>
      <w:r w:rsidR="00B95AD5" w:rsidRPr="00075DD2">
        <w:rPr>
          <w:color w:val="17365D"/>
        </w:rPr>
        <w:t xml:space="preserve">budžeta ieņēmumu struktūra </w:t>
      </w:r>
      <w:r w:rsidR="009027B2" w:rsidRPr="00075DD2">
        <w:rPr>
          <w:color w:val="17365D"/>
        </w:rPr>
        <w:t>2022.</w:t>
      </w:r>
      <w:r w:rsidR="00B95AD5" w:rsidRPr="00075DD2">
        <w:rPr>
          <w:color w:val="17365D"/>
        </w:rPr>
        <w:t> gadā</w:t>
      </w:r>
    </w:p>
    <w:p w14:paraId="1F035CFC" w14:textId="1B2335F1" w:rsidR="00164ABB" w:rsidRPr="00075DD2" w:rsidRDefault="00AC6166" w:rsidP="00164ABB">
      <w:pPr>
        <w:pStyle w:val="Pamatteksts"/>
        <w:ind w:right="-2"/>
        <w:rPr>
          <w:b/>
          <w:color w:val="17365D"/>
        </w:rPr>
      </w:pPr>
      <w:r w:rsidRPr="00075DD2">
        <w:rPr>
          <w:b/>
          <w:color w:val="17365D"/>
        </w:rPr>
        <mc:AlternateContent>
          <mc:Choice Requires="wps">
            <w:drawing>
              <wp:anchor distT="0" distB="0" distL="114300" distR="114300" simplePos="0" relativeHeight="251891712" behindDoc="0" locked="0" layoutInCell="1" allowOverlap="1" wp14:anchorId="5F12EC2A" wp14:editId="1DBFD5C3">
                <wp:simplePos x="0" y="0"/>
                <wp:positionH relativeFrom="margin">
                  <wp:posOffset>4264660</wp:posOffset>
                </wp:positionH>
                <wp:positionV relativeFrom="margin">
                  <wp:posOffset>3087370</wp:posOffset>
                </wp:positionV>
                <wp:extent cx="1682115" cy="707390"/>
                <wp:effectExtent l="0" t="0" r="13335" b="16510"/>
                <wp:wrapThrough wrapText="bothSides">
                  <wp:wrapPolygon edited="0">
                    <wp:start x="0" y="0"/>
                    <wp:lineTo x="0" y="21522"/>
                    <wp:lineTo x="21527" y="21522"/>
                    <wp:lineTo x="21527" y="0"/>
                    <wp:lineTo x="0" y="0"/>
                  </wp:wrapPolygon>
                </wp:wrapThrough>
                <wp:docPr id="20" name="Rectangle 20"/>
                <wp:cNvGraphicFramePr/>
                <a:graphic xmlns:a="http://schemas.openxmlformats.org/drawingml/2006/main">
                  <a:graphicData uri="http://schemas.microsoft.com/office/word/2010/wordprocessingShape">
                    <wps:wsp>
                      <wps:cNvSpPr/>
                      <wps:spPr>
                        <a:xfrm>
                          <a:off x="0" y="0"/>
                          <a:ext cx="1682115" cy="70739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439DFD18" w14:textId="23AEDE71" w:rsidR="00164ABB" w:rsidRPr="000413E4" w:rsidRDefault="00164ABB" w:rsidP="00164ABB">
                            <w:pPr>
                              <w:jc w:val="center"/>
                              <w:rPr>
                                <w:color w:val="17365D"/>
                              </w:rPr>
                            </w:pPr>
                            <w:r w:rsidRPr="000413E4">
                              <w:rPr>
                                <w:color w:val="17365D"/>
                              </w:rPr>
                              <w:t xml:space="preserve">Nodokļu ieņēmumi – </w:t>
                            </w:r>
                            <w:r w:rsidR="00AC6166">
                              <w:rPr>
                                <w:b/>
                                <w:color w:val="17365D"/>
                              </w:rPr>
                              <w:t>11 557 279 546</w:t>
                            </w:r>
                            <w:r w:rsidRPr="000413E4">
                              <w:rPr>
                                <w:color w:val="17365D"/>
                              </w:rPr>
                              <w:t> </w:t>
                            </w:r>
                            <w:r w:rsidRPr="000413E4">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2EC2A" id="Rectangle 20" o:spid="_x0000_s1027" style="position:absolute;left:0;text-align:left;margin-left:335.8pt;margin-top:243.1pt;width:132.45pt;height:55.7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" fillcolor="white [3201]" strokecolor="#17365d" strokeweight="2pt">
                <v:stroke dashstyle="1 1"/>
                <v:textbox>
                  <w:txbxContent>
                    <w:p w14:paraId="439DFD18" w14:textId="23AEDE71" w:rsidR="00164ABB" w:rsidRPr="000413E4" w:rsidRDefault="00164ABB" w:rsidP="00164ABB">
                      <w:pPr>
                        <w:jc w:val="center"/>
                        <w:rPr>
                          <w:color w:val="17365D"/>
                        </w:rPr>
                      </w:pPr>
                      <w:r w:rsidRPr="000413E4">
                        <w:rPr>
                          <w:color w:val="17365D"/>
                        </w:rPr>
                        <w:t xml:space="preserve">Nodokļu ieņēmumi – </w:t>
                      </w:r>
                      <w:r w:rsidR="00AC6166">
                        <w:rPr>
                          <w:b/>
                          <w:color w:val="17365D"/>
                        </w:rPr>
                        <w:t>11 557 279 546</w:t>
                      </w:r>
                      <w:r w:rsidRPr="000413E4">
                        <w:rPr>
                          <w:color w:val="17365D"/>
                        </w:rPr>
                        <w:t> </w:t>
                      </w:r>
                      <w:r w:rsidRPr="000413E4">
                        <w:rPr>
                          <w:i/>
                          <w:color w:val="17365D"/>
                        </w:rPr>
                        <w:t>euro</w:t>
                      </w:r>
                    </w:p>
                  </w:txbxContent>
                </v:textbox>
                <w10:wrap type="through" anchorx="margin" anchory="margin"/>
              </v:rect>
            </w:pict>
          </mc:Fallback>
        </mc:AlternateContent>
      </w:r>
      <w:r w:rsidR="009027B2" w:rsidRPr="00075DD2">
        <w:rPr>
          <w:color w:val="17365D"/>
        </w:rPr>
        <w:t>2022.</w:t>
      </w:r>
      <w:r w:rsidR="00164ABB" w:rsidRPr="00075DD2">
        <w:rPr>
          <w:color w:val="17365D"/>
        </w:rPr>
        <w:t xml:space="preserve"> gadā </w:t>
      </w:r>
      <w:r w:rsidR="00164ABB" w:rsidRPr="00075DD2">
        <w:rPr>
          <w:color w:val="17365D"/>
          <w:u w:val="single"/>
        </w:rPr>
        <w:t>nodokļu ieņēmumi</w:t>
      </w:r>
      <w:r w:rsidR="00164ABB" w:rsidRPr="00075DD2">
        <w:rPr>
          <w:color w:val="17365D"/>
        </w:rPr>
        <w:t xml:space="preserve"> ir </w:t>
      </w:r>
      <w:r w:rsidRPr="00075DD2">
        <w:rPr>
          <w:color w:val="17365D"/>
        </w:rPr>
        <w:t>11 557.3</w:t>
      </w:r>
      <w:r w:rsidR="00164ABB" w:rsidRPr="00075DD2">
        <w:rPr>
          <w:color w:val="17365D"/>
        </w:rPr>
        <w:t xml:space="preserve"> milj. </w:t>
      </w:r>
      <w:r w:rsidR="00164ABB" w:rsidRPr="00075DD2">
        <w:rPr>
          <w:i/>
          <w:color w:val="17365D"/>
        </w:rPr>
        <w:t>euro</w:t>
      </w:r>
      <w:r w:rsidR="00164ABB" w:rsidRPr="00075DD2">
        <w:rPr>
          <w:color w:val="17365D"/>
        </w:rPr>
        <w:t xml:space="preserve"> vērtībā, kas salīdzinājumā ar </w:t>
      </w:r>
      <w:r w:rsidR="009027B2" w:rsidRPr="00075DD2">
        <w:rPr>
          <w:color w:val="17365D"/>
        </w:rPr>
        <w:t>2021.</w:t>
      </w:r>
      <w:r w:rsidR="00164ABB" w:rsidRPr="00075DD2">
        <w:rPr>
          <w:color w:val="17365D"/>
        </w:rPr>
        <w:t> gada nodokļu ieņēmumiem ir par 1 </w:t>
      </w:r>
      <w:r w:rsidRPr="00075DD2">
        <w:rPr>
          <w:color w:val="17365D"/>
        </w:rPr>
        <w:t>5265</w:t>
      </w:r>
      <w:r w:rsidR="00164ABB" w:rsidRPr="00075DD2">
        <w:rPr>
          <w:color w:val="17365D"/>
        </w:rPr>
        <w:t>,</w:t>
      </w:r>
      <w:r w:rsidRPr="00075DD2">
        <w:rPr>
          <w:color w:val="17365D"/>
        </w:rPr>
        <w:t>3</w:t>
      </w:r>
      <w:r w:rsidR="00164ABB" w:rsidRPr="00075DD2">
        <w:rPr>
          <w:color w:val="17365D"/>
        </w:rPr>
        <w:t> milj. </w:t>
      </w:r>
      <w:r w:rsidR="00164ABB" w:rsidRPr="00075DD2">
        <w:rPr>
          <w:i/>
          <w:color w:val="17365D"/>
        </w:rPr>
        <w:t>euro</w:t>
      </w:r>
      <w:r w:rsidR="00164ABB" w:rsidRPr="00075DD2">
        <w:rPr>
          <w:color w:val="17365D"/>
        </w:rPr>
        <w:t xml:space="preserve"> jeb 1</w:t>
      </w:r>
      <w:r w:rsidRPr="00075DD2">
        <w:rPr>
          <w:color w:val="17365D"/>
        </w:rPr>
        <w:t>5</w:t>
      </w:r>
      <w:r w:rsidR="00164ABB" w:rsidRPr="00075DD2">
        <w:rPr>
          <w:color w:val="17365D"/>
        </w:rPr>
        <w:t>,</w:t>
      </w:r>
      <w:r w:rsidRPr="00075DD2">
        <w:rPr>
          <w:color w:val="17365D"/>
        </w:rPr>
        <w:t>2</w:t>
      </w:r>
      <w:r w:rsidR="00164ABB" w:rsidRPr="00075DD2">
        <w:rPr>
          <w:color w:val="17365D"/>
        </w:rPr>
        <w:t xml:space="preserve"> % vairāk un par </w:t>
      </w:r>
      <w:r w:rsidRPr="00075DD2">
        <w:rPr>
          <w:color w:val="17365D"/>
        </w:rPr>
        <w:t>1 283,8</w:t>
      </w:r>
      <w:r w:rsidR="00164ABB" w:rsidRPr="00075DD2">
        <w:rPr>
          <w:color w:val="17365D"/>
        </w:rPr>
        <w:t xml:space="preserve"> milj. </w:t>
      </w:r>
      <w:r w:rsidR="00164ABB" w:rsidRPr="00075DD2">
        <w:rPr>
          <w:i/>
          <w:color w:val="17365D"/>
        </w:rPr>
        <w:t>euro</w:t>
      </w:r>
      <w:r w:rsidR="00164ABB" w:rsidRPr="00075DD2">
        <w:rPr>
          <w:color w:val="17365D"/>
        </w:rPr>
        <w:t xml:space="preserve"> jeb </w:t>
      </w:r>
      <w:r w:rsidRPr="00075DD2">
        <w:rPr>
          <w:color w:val="17365D"/>
        </w:rPr>
        <w:t>12,5</w:t>
      </w:r>
      <w:r w:rsidR="00164ABB" w:rsidRPr="00075DD2">
        <w:rPr>
          <w:color w:val="17365D"/>
        </w:rPr>
        <w:t> % vairāk nekā bija plānots iekasēt.</w:t>
      </w:r>
      <w:r w:rsidR="00164ABB" w:rsidRPr="00075DD2">
        <w:rPr>
          <w:b/>
          <w:color w:val="17365D"/>
        </w:rPr>
        <w:t xml:space="preserve"> </w:t>
      </w:r>
    </w:p>
    <w:p w14:paraId="3FBA25EB" w14:textId="68B6C03D" w:rsidR="00285520" w:rsidRPr="00075DD2" w:rsidRDefault="009027B2" w:rsidP="00285520">
      <w:pPr>
        <w:pStyle w:val="Pamatteksts"/>
        <w:ind w:right="-2"/>
        <w:rPr>
          <w:color w:val="17365D"/>
        </w:rPr>
      </w:pPr>
      <w:r w:rsidRPr="00075DD2">
        <w:rPr>
          <w:color w:val="17365D"/>
        </w:rPr>
        <w:t>2022.</w:t>
      </w:r>
      <w:r w:rsidR="00285520" w:rsidRPr="00075DD2">
        <w:rPr>
          <w:color w:val="17365D"/>
        </w:rPr>
        <w:t xml:space="preserve"> gada kopbudžeta nodokļu ieņēmumu </w:t>
      </w:r>
      <w:r w:rsidR="00741A50" w:rsidRPr="00075DD2">
        <w:rPr>
          <w:color w:val="17365D"/>
        </w:rPr>
        <w:t>struktūr</w:t>
      </w:r>
      <w:r w:rsidR="00E97A8E" w:rsidRPr="00075DD2">
        <w:rPr>
          <w:color w:val="17365D"/>
        </w:rPr>
        <w:t>u veido</w:t>
      </w:r>
      <w:r w:rsidR="00285520" w:rsidRPr="00075DD2">
        <w:rPr>
          <w:color w:val="17365D"/>
        </w:rPr>
        <w:t xml:space="preserve"> (skatīt </w:t>
      </w:r>
      <w:r w:rsidR="00741A50" w:rsidRPr="00075DD2">
        <w:rPr>
          <w:color w:val="17365D"/>
        </w:rPr>
        <w:t>3</w:t>
      </w:r>
      <w:r w:rsidR="00285520" w:rsidRPr="00075DD2">
        <w:rPr>
          <w:color w:val="17365D"/>
        </w:rPr>
        <w:t>. attēlu):</w:t>
      </w:r>
    </w:p>
    <w:p w14:paraId="634D783E" w14:textId="11A8104B" w:rsidR="00285520" w:rsidRPr="00075DD2" w:rsidRDefault="00285520" w:rsidP="00196BCE">
      <w:pPr>
        <w:pStyle w:val="Pamatteksts"/>
        <w:numPr>
          <w:ilvl w:val="0"/>
          <w:numId w:val="40"/>
        </w:numPr>
        <w:ind w:left="993" w:right="-2" w:hanging="426"/>
        <w:rPr>
          <w:color w:val="17365D"/>
        </w:rPr>
      </w:pPr>
      <w:r w:rsidRPr="00075DD2">
        <w:rPr>
          <w:color w:val="17365D"/>
        </w:rPr>
        <w:t xml:space="preserve">sociālās apdrošināšanas iemaksas – </w:t>
      </w:r>
      <w:r w:rsidR="00AC6166" w:rsidRPr="00075DD2">
        <w:rPr>
          <w:color w:val="17365D"/>
        </w:rPr>
        <w:t>3 667,2</w:t>
      </w:r>
      <w:r w:rsidRPr="00075DD2">
        <w:rPr>
          <w:color w:val="17365D"/>
        </w:rPr>
        <w:t xml:space="preserve"> milj. </w:t>
      </w:r>
      <w:r w:rsidRPr="00075DD2">
        <w:rPr>
          <w:i/>
          <w:color w:val="17365D"/>
        </w:rPr>
        <w:t>euro</w:t>
      </w:r>
      <w:r w:rsidRPr="00075DD2">
        <w:rPr>
          <w:color w:val="17365D"/>
        </w:rPr>
        <w:t xml:space="preserve"> vērtībā, t.sk. iemaksas Valsts fondēto pensiju shēmā uzrādītas </w:t>
      </w:r>
      <w:r w:rsidR="00445C6C" w:rsidRPr="00075DD2">
        <w:rPr>
          <w:color w:val="17365D"/>
        </w:rPr>
        <w:t>688,7</w:t>
      </w:r>
      <w:r w:rsidR="005953CD" w:rsidRPr="00075DD2">
        <w:rPr>
          <w:color w:val="17365D"/>
        </w:rPr>
        <w:t> </w:t>
      </w:r>
      <w:r w:rsidRPr="00075DD2">
        <w:rPr>
          <w:color w:val="17365D"/>
        </w:rPr>
        <w:t xml:space="preserve">milj. </w:t>
      </w:r>
      <w:r w:rsidRPr="00075DD2">
        <w:rPr>
          <w:i/>
          <w:color w:val="17365D"/>
        </w:rPr>
        <w:t>euro</w:t>
      </w:r>
      <w:r w:rsidR="005953CD" w:rsidRPr="00075DD2">
        <w:rPr>
          <w:color w:val="17365D"/>
        </w:rPr>
        <w:t xml:space="preserve"> </w:t>
      </w:r>
      <w:r w:rsidRPr="00075DD2">
        <w:rPr>
          <w:color w:val="17365D"/>
        </w:rPr>
        <w:t>vērtībā,</w:t>
      </w:r>
    </w:p>
    <w:p w14:paraId="2E0AD47E" w14:textId="3D645F51" w:rsidR="00285520" w:rsidRPr="00075DD2" w:rsidRDefault="00285520" w:rsidP="00196BCE">
      <w:pPr>
        <w:pStyle w:val="Pamatteksts"/>
        <w:numPr>
          <w:ilvl w:val="0"/>
          <w:numId w:val="40"/>
        </w:numPr>
        <w:ind w:left="993" w:right="2550" w:hanging="426"/>
        <w:rPr>
          <w:color w:val="17365D"/>
        </w:rPr>
      </w:pPr>
      <w:r w:rsidRPr="00075DD2">
        <w:rPr>
          <w:color w:val="17365D"/>
        </w:rPr>
        <w:t>pi</w:t>
      </w:r>
      <w:r w:rsidR="005953CD" w:rsidRPr="00075DD2">
        <w:rPr>
          <w:color w:val="17365D"/>
        </w:rPr>
        <w:t xml:space="preserve">evienotās vērtības nodoklis – </w:t>
      </w:r>
      <w:r w:rsidR="00AC6166" w:rsidRPr="00075DD2">
        <w:rPr>
          <w:color w:val="17365D"/>
        </w:rPr>
        <w:t>3 558,7</w:t>
      </w:r>
      <w:r w:rsidRPr="00075DD2">
        <w:rPr>
          <w:color w:val="17365D"/>
        </w:rPr>
        <w:t xml:space="preserve"> milj. </w:t>
      </w:r>
      <w:r w:rsidRPr="00075DD2">
        <w:rPr>
          <w:i/>
          <w:color w:val="17365D"/>
        </w:rPr>
        <w:t>euro</w:t>
      </w:r>
      <w:r w:rsidRPr="00075DD2">
        <w:rPr>
          <w:color w:val="17365D"/>
        </w:rPr>
        <w:t xml:space="preserve"> vērtībā,</w:t>
      </w:r>
      <w:r w:rsidRPr="00075DD2">
        <w:rPr>
          <w:b/>
          <w:color w:val="17365D"/>
        </w:rPr>
        <w:t xml:space="preserve"> </w:t>
      </w:r>
    </w:p>
    <w:p w14:paraId="7086A3D0" w14:textId="3A970B88" w:rsidR="00285520" w:rsidRPr="00075DD2" w:rsidRDefault="00285520" w:rsidP="00196BCE">
      <w:pPr>
        <w:pStyle w:val="Pamatteksts"/>
        <w:numPr>
          <w:ilvl w:val="0"/>
          <w:numId w:val="40"/>
        </w:numPr>
        <w:ind w:left="993" w:right="2550" w:hanging="426"/>
        <w:rPr>
          <w:color w:val="17365D"/>
        </w:rPr>
      </w:pPr>
      <w:r w:rsidRPr="00075DD2">
        <w:rPr>
          <w:color w:val="17365D"/>
        </w:rPr>
        <w:t xml:space="preserve">ienākuma nodokļi – </w:t>
      </w:r>
      <w:r w:rsidR="00AC6166" w:rsidRPr="00075DD2">
        <w:rPr>
          <w:color w:val="17365D"/>
        </w:rPr>
        <w:t>2 641,2</w:t>
      </w:r>
      <w:r w:rsidR="005953CD" w:rsidRPr="00075DD2">
        <w:rPr>
          <w:color w:val="17365D"/>
        </w:rPr>
        <w:t xml:space="preserve"> milj. </w:t>
      </w:r>
      <w:r w:rsidRPr="00075DD2">
        <w:rPr>
          <w:i/>
          <w:color w:val="17365D"/>
        </w:rPr>
        <w:t>euro</w:t>
      </w:r>
      <w:r w:rsidRPr="00075DD2">
        <w:rPr>
          <w:color w:val="17365D"/>
        </w:rPr>
        <w:t xml:space="preserve"> vērtībā,</w:t>
      </w:r>
    </w:p>
    <w:p w14:paraId="78474BAF" w14:textId="34B91432" w:rsidR="00285520" w:rsidRPr="00075DD2" w:rsidRDefault="00285520" w:rsidP="00196BCE">
      <w:pPr>
        <w:pStyle w:val="Pamatteksts"/>
        <w:numPr>
          <w:ilvl w:val="0"/>
          <w:numId w:val="40"/>
        </w:numPr>
        <w:ind w:left="993" w:right="-2" w:hanging="426"/>
        <w:rPr>
          <w:color w:val="17365D"/>
        </w:rPr>
      </w:pPr>
      <w:r w:rsidRPr="00075DD2">
        <w:rPr>
          <w:color w:val="17365D"/>
        </w:rPr>
        <w:t>akcīzes nodoklis –</w:t>
      </w:r>
      <w:r w:rsidR="002A2CA7" w:rsidRPr="00075DD2">
        <w:rPr>
          <w:color w:val="17365D"/>
        </w:rPr>
        <w:t xml:space="preserve"> </w:t>
      </w:r>
      <w:r w:rsidR="00AC6166" w:rsidRPr="00075DD2">
        <w:rPr>
          <w:color w:val="17365D"/>
        </w:rPr>
        <w:t>1 131,0</w:t>
      </w:r>
      <w:r w:rsidR="005953CD" w:rsidRPr="00075DD2">
        <w:rPr>
          <w:color w:val="17365D"/>
        </w:rPr>
        <w:t xml:space="preserve"> milj. </w:t>
      </w:r>
      <w:r w:rsidRPr="00075DD2">
        <w:rPr>
          <w:i/>
          <w:color w:val="17365D"/>
        </w:rPr>
        <w:t>euro</w:t>
      </w:r>
      <w:r w:rsidRPr="00075DD2">
        <w:rPr>
          <w:color w:val="17365D"/>
        </w:rPr>
        <w:t xml:space="preserve"> vērtībā,</w:t>
      </w:r>
    </w:p>
    <w:p w14:paraId="622F72C8" w14:textId="1580426B" w:rsidR="00285520" w:rsidRPr="00075DD2" w:rsidRDefault="005953CD" w:rsidP="00196BCE">
      <w:pPr>
        <w:pStyle w:val="Pamatteksts"/>
        <w:numPr>
          <w:ilvl w:val="0"/>
          <w:numId w:val="40"/>
        </w:numPr>
        <w:ind w:left="993" w:right="-2" w:hanging="426"/>
        <w:rPr>
          <w:color w:val="17365D"/>
        </w:rPr>
      </w:pPr>
      <w:r w:rsidRPr="00075DD2">
        <w:rPr>
          <w:color w:val="17365D"/>
        </w:rPr>
        <w:t xml:space="preserve">īpašuma nodokļi – </w:t>
      </w:r>
      <w:r w:rsidR="00AC6166" w:rsidRPr="00075DD2">
        <w:rPr>
          <w:color w:val="17365D"/>
        </w:rPr>
        <w:t>230,6</w:t>
      </w:r>
      <w:r w:rsidRPr="00075DD2">
        <w:rPr>
          <w:color w:val="17365D"/>
        </w:rPr>
        <w:t xml:space="preserve"> milj. </w:t>
      </w:r>
      <w:r w:rsidR="00285520" w:rsidRPr="00075DD2">
        <w:rPr>
          <w:i/>
          <w:color w:val="17365D"/>
        </w:rPr>
        <w:t>euro</w:t>
      </w:r>
      <w:r w:rsidR="00285520" w:rsidRPr="00075DD2">
        <w:rPr>
          <w:color w:val="17365D"/>
        </w:rPr>
        <w:t xml:space="preserve"> vērtībā,</w:t>
      </w:r>
    </w:p>
    <w:p w14:paraId="51534663" w14:textId="4EBEF234" w:rsidR="00285520" w:rsidRPr="00075DD2" w:rsidRDefault="00285520" w:rsidP="00196BCE">
      <w:pPr>
        <w:pStyle w:val="Pamatteksts"/>
        <w:numPr>
          <w:ilvl w:val="0"/>
          <w:numId w:val="40"/>
        </w:numPr>
        <w:ind w:left="993" w:right="-2" w:hanging="426"/>
        <w:rPr>
          <w:color w:val="17365D"/>
        </w:rPr>
      </w:pPr>
      <w:r w:rsidRPr="00075DD2">
        <w:rPr>
          <w:color w:val="17365D"/>
        </w:rPr>
        <w:t xml:space="preserve">nodokļi atsevišķām precēm un pakalpojumu veidiem – </w:t>
      </w:r>
      <w:r w:rsidR="00AC6166" w:rsidRPr="00075DD2">
        <w:rPr>
          <w:color w:val="17365D"/>
        </w:rPr>
        <w:t>168,4</w:t>
      </w:r>
      <w:r w:rsidR="005953CD" w:rsidRPr="00075DD2">
        <w:rPr>
          <w:color w:val="17365D"/>
        </w:rPr>
        <w:t xml:space="preserve"> milj. </w:t>
      </w:r>
      <w:r w:rsidRPr="00075DD2">
        <w:rPr>
          <w:i/>
          <w:color w:val="17365D"/>
        </w:rPr>
        <w:t>euro</w:t>
      </w:r>
      <w:r w:rsidRPr="00075DD2">
        <w:rPr>
          <w:color w:val="17365D"/>
        </w:rPr>
        <w:t xml:space="preserve"> vērtībā,</w:t>
      </w:r>
    </w:p>
    <w:p w14:paraId="02C014BE" w14:textId="3DFF9577" w:rsidR="00285520" w:rsidRPr="00075DD2" w:rsidRDefault="005953CD" w:rsidP="00196BCE">
      <w:pPr>
        <w:pStyle w:val="Pamatteksts"/>
        <w:numPr>
          <w:ilvl w:val="0"/>
          <w:numId w:val="40"/>
        </w:numPr>
        <w:ind w:left="993" w:right="-2" w:hanging="426"/>
        <w:rPr>
          <w:color w:val="17365D"/>
        </w:rPr>
      </w:pPr>
      <w:r w:rsidRPr="00075DD2">
        <w:rPr>
          <w:color w:val="17365D"/>
        </w:rPr>
        <w:t xml:space="preserve">muitas nodoklis </w:t>
      </w:r>
      <w:r w:rsidR="00285520" w:rsidRPr="00075DD2">
        <w:rPr>
          <w:color w:val="17365D"/>
        </w:rPr>
        <w:t xml:space="preserve">– </w:t>
      </w:r>
      <w:r w:rsidR="00AC6166" w:rsidRPr="00075DD2">
        <w:rPr>
          <w:color w:val="17365D"/>
        </w:rPr>
        <w:t>87,9</w:t>
      </w:r>
      <w:r w:rsidR="00285520" w:rsidRPr="00075DD2">
        <w:rPr>
          <w:color w:val="17365D"/>
        </w:rPr>
        <w:t xml:space="preserve"> milj. </w:t>
      </w:r>
      <w:r w:rsidR="00285520" w:rsidRPr="00075DD2">
        <w:rPr>
          <w:i/>
          <w:color w:val="17365D"/>
        </w:rPr>
        <w:t>euro</w:t>
      </w:r>
      <w:r w:rsidR="00285520" w:rsidRPr="00075DD2">
        <w:rPr>
          <w:color w:val="17365D"/>
        </w:rPr>
        <w:t xml:space="preserve"> vērtībā,</w:t>
      </w:r>
    </w:p>
    <w:p w14:paraId="1115BF24" w14:textId="61602268" w:rsidR="00AC6166" w:rsidRPr="00075DD2" w:rsidRDefault="00AC6166" w:rsidP="00196BCE">
      <w:pPr>
        <w:pStyle w:val="Pamatteksts"/>
        <w:numPr>
          <w:ilvl w:val="0"/>
          <w:numId w:val="40"/>
        </w:numPr>
        <w:ind w:left="993" w:right="-2" w:hanging="426"/>
        <w:rPr>
          <w:color w:val="17365D"/>
        </w:rPr>
      </w:pPr>
      <w:r w:rsidRPr="00075DD2">
        <w:rPr>
          <w:color w:val="17365D"/>
        </w:rPr>
        <w:t xml:space="preserve">ieņēmumi, kas iemaksāti vienotajā nodokļu kontā – 17,9 milj. </w:t>
      </w:r>
      <w:r w:rsidRPr="00075DD2">
        <w:rPr>
          <w:i/>
          <w:color w:val="17365D"/>
        </w:rPr>
        <w:t>euro</w:t>
      </w:r>
      <w:r w:rsidRPr="00075DD2">
        <w:rPr>
          <w:color w:val="17365D"/>
        </w:rPr>
        <w:t xml:space="preserve"> vērtībā,</w:t>
      </w:r>
    </w:p>
    <w:p w14:paraId="1DE86929" w14:textId="62F67C91" w:rsidR="00285520" w:rsidRPr="00075DD2" w:rsidRDefault="00285520" w:rsidP="00196BCE">
      <w:pPr>
        <w:pStyle w:val="Pamatteksts"/>
        <w:numPr>
          <w:ilvl w:val="0"/>
          <w:numId w:val="40"/>
        </w:numPr>
        <w:ind w:left="993" w:right="-2" w:hanging="426"/>
        <w:rPr>
          <w:color w:val="17365D"/>
        </w:rPr>
      </w:pPr>
      <w:r w:rsidRPr="00075DD2">
        <w:rPr>
          <w:color w:val="17365D"/>
        </w:rPr>
        <w:t>nodokļi un maksājumi par tiesībām lietot atsevišķ</w:t>
      </w:r>
      <w:r w:rsidR="009C4895" w:rsidRPr="00075DD2">
        <w:rPr>
          <w:color w:val="17365D"/>
        </w:rPr>
        <w:t xml:space="preserve">as preces – </w:t>
      </w:r>
      <w:r w:rsidR="00AC6166" w:rsidRPr="00075DD2">
        <w:rPr>
          <w:color w:val="17365D"/>
        </w:rPr>
        <w:t>54,4</w:t>
      </w:r>
      <w:r w:rsidRPr="00075DD2">
        <w:rPr>
          <w:color w:val="17365D"/>
        </w:rPr>
        <w:t xml:space="preserve"> milj.</w:t>
      </w:r>
      <w:r w:rsidR="005953CD" w:rsidRPr="00075DD2">
        <w:rPr>
          <w:color w:val="17365D"/>
        </w:rPr>
        <w:t xml:space="preserve"> </w:t>
      </w:r>
      <w:r w:rsidRPr="00075DD2">
        <w:rPr>
          <w:i/>
          <w:color w:val="17365D"/>
        </w:rPr>
        <w:t>euro</w:t>
      </w:r>
      <w:r w:rsidRPr="00075DD2">
        <w:rPr>
          <w:color w:val="17365D"/>
        </w:rPr>
        <w:t xml:space="preserve"> vērtībā.</w:t>
      </w:r>
    </w:p>
    <w:p w14:paraId="1A278290" w14:textId="502FB2CB" w:rsidR="008A7643" w:rsidRPr="00075DD2" w:rsidRDefault="0031016B" w:rsidP="0009011B">
      <w:pPr>
        <w:pStyle w:val="Pamatteksts"/>
        <w:ind w:right="-2" w:firstLine="0"/>
        <w:rPr>
          <w:color w:val="17365D"/>
        </w:rPr>
      </w:pPr>
      <w:r w:rsidRPr="007B3F09">
        <w:rPr>
          <w:color w:val="17365D"/>
        </w:rPr>
        <w:drawing>
          <wp:inline distT="0" distB="0" distL="0" distR="0" wp14:anchorId="50EAF9A0" wp14:editId="3577311E">
            <wp:extent cx="5939790" cy="2505075"/>
            <wp:effectExtent l="38100" t="0" r="381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4BFBF0A" w14:textId="145123E1" w:rsidR="009D4B26" w:rsidRPr="00075DD2" w:rsidRDefault="009D4B26" w:rsidP="0019203E">
      <w:pPr>
        <w:pStyle w:val="Attlanosaukums"/>
        <w:ind w:firstLine="0"/>
        <w:rPr>
          <w:color w:val="17365D"/>
        </w:rPr>
      </w:pPr>
      <w:r w:rsidRPr="00075DD2">
        <w:rPr>
          <w:color w:val="17365D"/>
        </w:rPr>
        <w:t xml:space="preserve">3. attēls. Kopbudžeta nodokļu ieņēmumu struktūra </w:t>
      </w:r>
      <w:r w:rsidR="009027B2" w:rsidRPr="00075DD2">
        <w:rPr>
          <w:color w:val="17365D"/>
        </w:rPr>
        <w:t>2022.</w:t>
      </w:r>
      <w:r w:rsidRPr="00075DD2">
        <w:rPr>
          <w:color w:val="17365D"/>
        </w:rPr>
        <w:t> gadā</w:t>
      </w:r>
    </w:p>
    <w:p w14:paraId="7D5732AC" w14:textId="349BE935" w:rsidR="001D6743" w:rsidRPr="00075DD2" w:rsidRDefault="007B3F09" w:rsidP="00190576">
      <w:pPr>
        <w:pStyle w:val="Pamatteksts"/>
        <w:ind w:right="-2"/>
        <w:rPr>
          <w:color w:val="17365D"/>
        </w:rPr>
      </w:pPr>
      <w:r w:rsidRPr="00075DD2">
        <w:rPr>
          <w:b/>
          <w:color w:val="17365D"/>
        </w:rPr>
        <mc:AlternateContent>
          <mc:Choice Requires="wps">
            <w:drawing>
              <wp:anchor distT="0" distB="0" distL="114300" distR="114300" simplePos="0" relativeHeight="251888640" behindDoc="0" locked="0" layoutInCell="1" allowOverlap="1" wp14:anchorId="7EF7DEAB" wp14:editId="33E94207">
                <wp:simplePos x="0" y="0"/>
                <wp:positionH relativeFrom="margin">
                  <wp:posOffset>4262120</wp:posOffset>
                </wp:positionH>
                <wp:positionV relativeFrom="margin">
                  <wp:posOffset>1270</wp:posOffset>
                </wp:positionV>
                <wp:extent cx="1682115" cy="786765"/>
                <wp:effectExtent l="0" t="0" r="13335" b="13335"/>
                <wp:wrapThrough wrapText="bothSides">
                  <wp:wrapPolygon edited="0">
                    <wp:start x="0" y="0"/>
                    <wp:lineTo x="0" y="21443"/>
                    <wp:lineTo x="21527" y="21443"/>
                    <wp:lineTo x="21527" y="0"/>
                    <wp:lineTo x="0" y="0"/>
                  </wp:wrapPolygon>
                </wp:wrapThrough>
                <wp:docPr id="24" name="Rectangle 24"/>
                <wp:cNvGraphicFramePr/>
                <a:graphic xmlns:a="http://schemas.openxmlformats.org/drawingml/2006/main">
                  <a:graphicData uri="http://schemas.microsoft.com/office/word/2010/wordprocessingShape">
                    <wps:wsp>
                      <wps:cNvSpPr/>
                      <wps:spPr>
                        <a:xfrm>
                          <a:off x="0" y="0"/>
                          <a:ext cx="1682115" cy="786765"/>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4BC3615B" w14:textId="53B928FB" w:rsidR="00C314E8" w:rsidRPr="00CD1328" w:rsidRDefault="00C314E8" w:rsidP="00C314E8">
                            <w:pPr>
                              <w:jc w:val="center"/>
                              <w:rPr>
                                <w:color w:val="17365D"/>
                              </w:rPr>
                            </w:pPr>
                            <w:r w:rsidRPr="00CD1328">
                              <w:rPr>
                                <w:color w:val="17365D"/>
                              </w:rPr>
                              <w:t>N</w:t>
                            </w:r>
                            <w:r>
                              <w:rPr>
                                <w:color w:val="17365D"/>
                              </w:rPr>
                              <w:t>en</w:t>
                            </w:r>
                            <w:r w:rsidRPr="00CD1328">
                              <w:rPr>
                                <w:color w:val="17365D"/>
                              </w:rPr>
                              <w:t xml:space="preserve">odokļu ieņēmumi – </w:t>
                            </w:r>
                            <w:r w:rsidR="00C215BB">
                              <w:rPr>
                                <w:b/>
                                <w:color w:val="17365D"/>
                              </w:rPr>
                              <w:t>845 036 905</w:t>
                            </w:r>
                            <w:r w:rsidRPr="00CD1328">
                              <w:rPr>
                                <w:color w:val="17365D"/>
                              </w:rPr>
                              <w:t> </w:t>
                            </w:r>
                            <w:r w:rsidRPr="00CD1328">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7DEAB" id="Rectangle 24" o:spid="_x0000_s1028" style="position:absolute;left:0;text-align:left;margin-left:335.6pt;margin-top:.1pt;width:132.45pt;height:61.95pt;z-index:2518886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" fillcolor="white [3201]" strokecolor="#17365d" strokeweight="2pt">
                <v:stroke dashstyle="1 1"/>
                <v:textbox>
                  <w:txbxContent>
                    <w:p w14:paraId="4BC3615B" w14:textId="53B928FB" w:rsidR="00C314E8" w:rsidRPr="00CD1328" w:rsidRDefault="00C314E8" w:rsidP="00C314E8">
                      <w:pPr>
                        <w:jc w:val="center"/>
                        <w:rPr>
                          <w:color w:val="17365D"/>
                        </w:rPr>
                      </w:pPr>
                      <w:r w:rsidRPr="00CD1328">
                        <w:rPr>
                          <w:color w:val="17365D"/>
                        </w:rPr>
                        <w:t>N</w:t>
                      </w:r>
                      <w:r>
                        <w:rPr>
                          <w:color w:val="17365D"/>
                        </w:rPr>
                        <w:t>en</w:t>
                      </w:r>
                      <w:r w:rsidRPr="00CD1328">
                        <w:rPr>
                          <w:color w:val="17365D"/>
                        </w:rPr>
                        <w:t xml:space="preserve">odokļu ieņēmumi – </w:t>
                      </w:r>
                      <w:r w:rsidR="00C215BB">
                        <w:rPr>
                          <w:b/>
                          <w:color w:val="17365D"/>
                        </w:rPr>
                        <w:t>845 036 905</w:t>
                      </w:r>
                      <w:r w:rsidRPr="00CD1328">
                        <w:rPr>
                          <w:color w:val="17365D"/>
                        </w:rPr>
                        <w:t> </w:t>
                      </w:r>
                      <w:r w:rsidRPr="00CD1328">
                        <w:rPr>
                          <w:i/>
                          <w:color w:val="17365D"/>
                        </w:rPr>
                        <w:t>euro</w:t>
                      </w:r>
                    </w:p>
                  </w:txbxContent>
                </v:textbox>
                <w10:wrap type="through" anchorx="margin" anchory="margin"/>
              </v:rect>
            </w:pict>
          </mc:Fallback>
        </mc:AlternateContent>
      </w:r>
      <w:r w:rsidR="001D6743" w:rsidRPr="00075DD2">
        <w:rPr>
          <w:color w:val="17365D"/>
          <w:u w:val="single"/>
        </w:rPr>
        <w:t>Nenodokļu ieņēmumi</w:t>
      </w:r>
      <w:r w:rsidR="001D6743" w:rsidRPr="00075DD2">
        <w:rPr>
          <w:color w:val="17365D"/>
        </w:rPr>
        <w:t xml:space="preserve"> pārskata gadā ir </w:t>
      </w:r>
      <w:r w:rsidR="00C215BB" w:rsidRPr="00075DD2">
        <w:rPr>
          <w:color w:val="17365D"/>
        </w:rPr>
        <w:t>5,9</w:t>
      </w:r>
      <w:r w:rsidR="001D6743" w:rsidRPr="00075DD2">
        <w:rPr>
          <w:color w:val="17365D"/>
        </w:rPr>
        <w:t xml:space="preserve"> % no kopbudžeta ieņēmumiem. Lielāko daļu nenodokļu ieņēmumu veido ieņēmumi no uzņēmējdarbības un īpašuma – </w:t>
      </w:r>
      <w:r w:rsidR="000E1ED4" w:rsidRPr="00075DD2">
        <w:rPr>
          <w:color w:val="17365D"/>
        </w:rPr>
        <w:t>3</w:t>
      </w:r>
      <w:r w:rsidR="00C215BB" w:rsidRPr="00075DD2">
        <w:rPr>
          <w:color w:val="17365D"/>
        </w:rPr>
        <w:t>51</w:t>
      </w:r>
      <w:r w:rsidR="000E1ED4" w:rsidRPr="00075DD2">
        <w:rPr>
          <w:color w:val="17365D"/>
        </w:rPr>
        <w:t>,</w:t>
      </w:r>
      <w:r w:rsidR="00C215BB" w:rsidRPr="00075DD2">
        <w:rPr>
          <w:color w:val="17365D"/>
        </w:rPr>
        <w:t>2</w:t>
      </w:r>
      <w:r w:rsidR="0019203E" w:rsidRPr="00075DD2">
        <w:rPr>
          <w:color w:val="17365D"/>
        </w:rPr>
        <w:t xml:space="preserve"> </w:t>
      </w:r>
      <w:r w:rsidR="001D6743" w:rsidRPr="00075DD2">
        <w:rPr>
          <w:color w:val="17365D"/>
        </w:rPr>
        <w:t>milj</w:t>
      </w:r>
      <w:r w:rsidR="00AF616F" w:rsidRPr="00075DD2">
        <w:rPr>
          <w:color w:val="17365D"/>
        </w:rPr>
        <w:t>. </w:t>
      </w:r>
      <w:r w:rsidR="003E6E25" w:rsidRPr="00075DD2">
        <w:rPr>
          <w:i/>
          <w:color w:val="17365D"/>
        </w:rPr>
        <w:t>euro</w:t>
      </w:r>
      <w:r w:rsidR="001D6743" w:rsidRPr="00075DD2">
        <w:rPr>
          <w:color w:val="17365D"/>
        </w:rPr>
        <w:t xml:space="preserve"> vērtībā jeb </w:t>
      </w:r>
      <w:r w:rsidR="00846544" w:rsidRPr="00075DD2">
        <w:rPr>
          <w:color w:val="17365D"/>
        </w:rPr>
        <w:t>4</w:t>
      </w:r>
      <w:r w:rsidR="00C215BB" w:rsidRPr="00075DD2">
        <w:rPr>
          <w:color w:val="17365D"/>
        </w:rPr>
        <w:t>1,6</w:t>
      </w:r>
      <w:r w:rsidR="001D6743" w:rsidRPr="00075DD2">
        <w:rPr>
          <w:color w:val="17365D"/>
        </w:rPr>
        <w:t xml:space="preserve"> % no nenodokļu ieņēmumiem. </w:t>
      </w:r>
      <w:r w:rsidR="00BA29AD" w:rsidRPr="00075DD2">
        <w:rPr>
          <w:color w:val="17365D"/>
        </w:rPr>
        <w:t>Pārējo n</w:t>
      </w:r>
      <w:r w:rsidR="001D6743" w:rsidRPr="00075DD2">
        <w:rPr>
          <w:color w:val="17365D"/>
        </w:rPr>
        <w:t>enodokļu ieņēmum</w:t>
      </w:r>
      <w:r w:rsidR="00BA29AD" w:rsidRPr="00075DD2">
        <w:rPr>
          <w:color w:val="17365D"/>
        </w:rPr>
        <w:t>u daļu veido</w:t>
      </w:r>
      <w:r w:rsidR="00D14958" w:rsidRPr="00075DD2">
        <w:rPr>
          <w:color w:val="17365D"/>
        </w:rPr>
        <w:t xml:space="preserve"> (skatīt </w:t>
      </w:r>
      <w:r w:rsidR="0017729C" w:rsidRPr="00075DD2">
        <w:rPr>
          <w:color w:val="17365D"/>
        </w:rPr>
        <w:t>4</w:t>
      </w:r>
      <w:r w:rsidR="00D14958" w:rsidRPr="00075DD2">
        <w:rPr>
          <w:color w:val="17365D"/>
        </w:rPr>
        <w:t>.</w:t>
      </w:r>
      <w:r w:rsidR="001D0511" w:rsidRPr="00075DD2">
        <w:rPr>
          <w:color w:val="17365D"/>
        </w:rPr>
        <w:t> </w:t>
      </w:r>
      <w:r w:rsidR="00D14958" w:rsidRPr="00075DD2">
        <w:rPr>
          <w:color w:val="17365D"/>
        </w:rPr>
        <w:t>attēlu)</w:t>
      </w:r>
      <w:r w:rsidR="001D6743" w:rsidRPr="00075DD2">
        <w:rPr>
          <w:color w:val="17365D"/>
        </w:rPr>
        <w:t>:</w:t>
      </w:r>
    </w:p>
    <w:p w14:paraId="153FF137" w14:textId="7326DA91" w:rsidR="001D6743" w:rsidRPr="00075DD2" w:rsidRDefault="0070655B" w:rsidP="00196BCE">
      <w:pPr>
        <w:pStyle w:val="Pamatteksts"/>
        <w:numPr>
          <w:ilvl w:val="0"/>
          <w:numId w:val="41"/>
        </w:numPr>
        <w:spacing w:after="100"/>
        <w:ind w:left="993" w:right="-2" w:hanging="426"/>
        <w:rPr>
          <w:color w:val="17365D"/>
        </w:rPr>
      </w:pPr>
      <w:r w:rsidRPr="00075DD2">
        <w:rPr>
          <w:color w:val="17365D"/>
        </w:rPr>
        <w:t>v</w:t>
      </w:r>
      <w:r w:rsidR="001D6743" w:rsidRPr="00075DD2">
        <w:rPr>
          <w:color w:val="17365D"/>
        </w:rPr>
        <w:t xml:space="preserve">alsts (pašvaldību) nodevas un kancelejas nodevas </w:t>
      </w:r>
      <w:r w:rsidR="000E1ED4" w:rsidRPr="00075DD2">
        <w:rPr>
          <w:color w:val="17365D"/>
        </w:rPr>
        <w:t>1</w:t>
      </w:r>
      <w:r w:rsidR="00C215BB" w:rsidRPr="00075DD2">
        <w:rPr>
          <w:color w:val="17365D"/>
        </w:rPr>
        <w:t>75</w:t>
      </w:r>
      <w:r w:rsidR="00F13F50" w:rsidRPr="00075DD2">
        <w:rPr>
          <w:color w:val="17365D"/>
        </w:rPr>
        <w:t>,</w:t>
      </w:r>
      <w:r w:rsidR="00C215BB" w:rsidRPr="00075DD2">
        <w:rPr>
          <w:color w:val="17365D"/>
        </w:rPr>
        <w:t>8</w:t>
      </w:r>
      <w:r w:rsidR="000E1ED4" w:rsidRPr="00075DD2">
        <w:rPr>
          <w:color w:val="17365D"/>
        </w:rPr>
        <w:t xml:space="preserve"> </w:t>
      </w:r>
      <w:r w:rsidR="001D6743" w:rsidRPr="00075DD2">
        <w:rPr>
          <w:color w:val="17365D"/>
        </w:rPr>
        <w:t xml:space="preserve">milj. </w:t>
      </w:r>
      <w:r w:rsidR="003E6E25" w:rsidRPr="00075DD2">
        <w:rPr>
          <w:i/>
          <w:color w:val="17365D"/>
        </w:rPr>
        <w:t>euro</w:t>
      </w:r>
      <w:r w:rsidR="001D6743" w:rsidRPr="00075DD2">
        <w:rPr>
          <w:color w:val="17365D"/>
        </w:rPr>
        <w:t xml:space="preserve"> vērtībā jeb </w:t>
      </w:r>
      <w:r w:rsidR="00846544" w:rsidRPr="00075DD2">
        <w:rPr>
          <w:color w:val="17365D"/>
        </w:rPr>
        <w:t>2</w:t>
      </w:r>
      <w:r w:rsidR="00C215BB" w:rsidRPr="00075DD2">
        <w:rPr>
          <w:color w:val="17365D"/>
        </w:rPr>
        <w:t>0,8</w:t>
      </w:r>
      <w:r w:rsidR="005953CD" w:rsidRPr="00075DD2">
        <w:rPr>
          <w:color w:val="17365D"/>
        </w:rPr>
        <w:t> </w:t>
      </w:r>
      <w:r w:rsidR="003F0661" w:rsidRPr="00075DD2">
        <w:rPr>
          <w:color w:val="17365D"/>
        </w:rPr>
        <w:t>% no nenodokļu ieņēmumiem,</w:t>
      </w:r>
    </w:p>
    <w:p w14:paraId="55B16CAB" w14:textId="2339C9A4" w:rsidR="0019203E" w:rsidRPr="00075DD2" w:rsidRDefault="0019203E" w:rsidP="0019203E">
      <w:pPr>
        <w:pStyle w:val="Pamatteksts"/>
        <w:numPr>
          <w:ilvl w:val="0"/>
          <w:numId w:val="41"/>
        </w:numPr>
        <w:spacing w:after="100"/>
        <w:ind w:left="993" w:right="-2" w:hanging="426"/>
        <w:rPr>
          <w:color w:val="17365D"/>
        </w:rPr>
      </w:pPr>
      <w:r w:rsidRPr="00075DD2">
        <w:rPr>
          <w:color w:val="17365D"/>
        </w:rPr>
        <w:t xml:space="preserve">pārējie nenodokļu ieņēmumi </w:t>
      </w:r>
      <w:r w:rsidR="00C215BB" w:rsidRPr="00075DD2">
        <w:rPr>
          <w:color w:val="17365D"/>
        </w:rPr>
        <w:t>105,4</w:t>
      </w:r>
      <w:r w:rsidRPr="00075DD2">
        <w:rPr>
          <w:color w:val="17365D"/>
        </w:rPr>
        <w:t> milj. </w:t>
      </w:r>
      <w:r w:rsidRPr="00075DD2">
        <w:rPr>
          <w:i/>
          <w:color w:val="17365D"/>
        </w:rPr>
        <w:t>euro</w:t>
      </w:r>
      <w:r w:rsidRPr="00075DD2">
        <w:rPr>
          <w:color w:val="17365D"/>
        </w:rPr>
        <w:t xml:space="preserve"> vērtībā jeb </w:t>
      </w:r>
      <w:r w:rsidR="000E1ED4" w:rsidRPr="00075DD2">
        <w:rPr>
          <w:color w:val="17365D"/>
        </w:rPr>
        <w:t>12</w:t>
      </w:r>
      <w:r w:rsidRPr="00075DD2">
        <w:rPr>
          <w:color w:val="17365D"/>
        </w:rPr>
        <w:t>,</w:t>
      </w:r>
      <w:r w:rsidR="00C215BB" w:rsidRPr="00075DD2">
        <w:rPr>
          <w:color w:val="17365D"/>
        </w:rPr>
        <w:t>5</w:t>
      </w:r>
      <w:r w:rsidRPr="00075DD2">
        <w:rPr>
          <w:color w:val="17365D"/>
        </w:rPr>
        <w:t> % no nenodokļu ieņēmumiem,</w:t>
      </w:r>
    </w:p>
    <w:p w14:paraId="511580DA" w14:textId="37E76DB2" w:rsidR="001D6743" w:rsidRPr="00075DD2" w:rsidRDefault="001D6743" w:rsidP="00196BCE">
      <w:pPr>
        <w:pStyle w:val="Pamatteksts"/>
        <w:numPr>
          <w:ilvl w:val="0"/>
          <w:numId w:val="41"/>
        </w:numPr>
        <w:spacing w:after="100"/>
        <w:ind w:left="993" w:right="-2" w:hanging="426"/>
        <w:rPr>
          <w:color w:val="17365D"/>
        </w:rPr>
      </w:pPr>
      <w:r w:rsidRPr="00075DD2">
        <w:rPr>
          <w:color w:val="17365D"/>
        </w:rPr>
        <w:t xml:space="preserve">naudas sodi un sankcijas </w:t>
      </w:r>
      <w:r w:rsidR="00C215BB" w:rsidRPr="00075DD2">
        <w:rPr>
          <w:color w:val="17365D"/>
        </w:rPr>
        <w:t>50,6</w:t>
      </w:r>
      <w:r w:rsidRPr="00075DD2">
        <w:rPr>
          <w:color w:val="17365D"/>
        </w:rPr>
        <w:t xml:space="preserve"> milj. </w:t>
      </w:r>
      <w:r w:rsidR="003E6E25" w:rsidRPr="00075DD2">
        <w:rPr>
          <w:i/>
          <w:color w:val="17365D"/>
        </w:rPr>
        <w:t>euro</w:t>
      </w:r>
      <w:r w:rsidRPr="00075DD2">
        <w:rPr>
          <w:color w:val="17365D"/>
        </w:rPr>
        <w:t xml:space="preserve"> vērtībā jeb </w:t>
      </w:r>
      <w:r w:rsidR="00C215BB" w:rsidRPr="00075DD2">
        <w:rPr>
          <w:color w:val="17365D"/>
        </w:rPr>
        <w:t>6</w:t>
      </w:r>
      <w:r w:rsidRPr="00075DD2">
        <w:rPr>
          <w:color w:val="17365D"/>
        </w:rPr>
        <w:t xml:space="preserve"> % </w:t>
      </w:r>
      <w:r w:rsidR="003F0661" w:rsidRPr="00075DD2">
        <w:rPr>
          <w:color w:val="17365D"/>
        </w:rPr>
        <w:t>no nenodokļu ieņēmumiem,</w:t>
      </w:r>
    </w:p>
    <w:p w14:paraId="40FD1C0A" w14:textId="5A01BD3B" w:rsidR="0010743C" w:rsidRPr="00075DD2" w:rsidRDefault="001D6743" w:rsidP="00196BCE">
      <w:pPr>
        <w:pStyle w:val="Pamatteksts"/>
        <w:numPr>
          <w:ilvl w:val="0"/>
          <w:numId w:val="41"/>
        </w:numPr>
        <w:spacing w:after="100"/>
        <w:ind w:left="993" w:right="-2" w:hanging="426"/>
        <w:rPr>
          <w:color w:val="17365D"/>
        </w:rPr>
      </w:pPr>
      <w:r w:rsidRPr="00075DD2">
        <w:rPr>
          <w:color w:val="17365D"/>
        </w:rPr>
        <w:t xml:space="preserve">ieņēmumi no valsts (pašvaldības) īpašuma iznomāšanas, pārdošanas un no nodokļu maksājumu pamatparāda kapitalizācijas </w:t>
      </w:r>
      <w:r w:rsidR="000E1ED4" w:rsidRPr="00075DD2">
        <w:rPr>
          <w:color w:val="17365D"/>
        </w:rPr>
        <w:t>6</w:t>
      </w:r>
      <w:r w:rsidR="00C215BB" w:rsidRPr="00075DD2">
        <w:rPr>
          <w:color w:val="17365D"/>
        </w:rPr>
        <w:t>5</w:t>
      </w:r>
      <w:r w:rsidR="000E1ED4" w:rsidRPr="00075DD2">
        <w:rPr>
          <w:color w:val="17365D"/>
        </w:rPr>
        <w:t>,</w:t>
      </w:r>
      <w:r w:rsidR="00C215BB" w:rsidRPr="00075DD2">
        <w:rPr>
          <w:color w:val="17365D"/>
        </w:rPr>
        <w:t>2</w:t>
      </w:r>
      <w:r w:rsidR="009E5F1A" w:rsidRPr="00075DD2">
        <w:rPr>
          <w:color w:val="17365D"/>
        </w:rPr>
        <w:t> </w:t>
      </w:r>
      <w:r w:rsidRPr="00075DD2">
        <w:rPr>
          <w:color w:val="17365D"/>
        </w:rPr>
        <w:t xml:space="preserve">milj. </w:t>
      </w:r>
      <w:r w:rsidR="003E6E25" w:rsidRPr="00075DD2">
        <w:rPr>
          <w:i/>
          <w:color w:val="17365D"/>
        </w:rPr>
        <w:t>euro</w:t>
      </w:r>
      <w:r w:rsidRPr="00075DD2">
        <w:rPr>
          <w:color w:val="17365D"/>
        </w:rPr>
        <w:t xml:space="preserve"> vērtībā jeb </w:t>
      </w:r>
      <w:r w:rsidR="00C215BB" w:rsidRPr="00075DD2">
        <w:rPr>
          <w:color w:val="17365D"/>
        </w:rPr>
        <w:t>7,7</w:t>
      </w:r>
      <w:r w:rsidRPr="00075DD2">
        <w:rPr>
          <w:color w:val="17365D"/>
        </w:rPr>
        <w:t> % no nenodokļu ieņēmumiem</w:t>
      </w:r>
      <w:r w:rsidR="0010743C" w:rsidRPr="00075DD2">
        <w:rPr>
          <w:color w:val="17365D"/>
        </w:rPr>
        <w:t>,</w:t>
      </w:r>
      <w:r w:rsidR="0073320B" w:rsidRPr="00075DD2">
        <w:rPr>
          <w:snapToGrid w:val="0"/>
          <w:color w:val="17365D"/>
          <w:w w:val="0"/>
          <w:sz w:val="0"/>
          <w:szCs w:val="0"/>
          <w:u w:color="000000"/>
          <w:bdr w:val="none" w:sz="0" w:space="0" w:color="000000"/>
          <w:shd w:val="clear" w:color="000000" w:fill="000000"/>
          <w:lang w:val="x-none" w:eastAsia="x-none" w:bidi="x-none"/>
        </w:rPr>
        <w:t xml:space="preserve"> </w:t>
      </w:r>
    </w:p>
    <w:p w14:paraId="565D225F" w14:textId="56333C5A" w:rsidR="00742B05" w:rsidRPr="00075DD2" w:rsidRDefault="0010743C" w:rsidP="00196BCE">
      <w:pPr>
        <w:pStyle w:val="Pamatteksts"/>
        <w:numPr>
          <w:ilvl w:val="0"/>
          <w:numId w:val="41"/>
        </w:numPr>
        <w:spacing w:after="100"/>
        <w:ind w:left="993" w:right="-2" w:hanging="426"/>
        <w:rPr>
          <w:color w:val="17365D"/>
        </w:rPr>
      </w:pPr>
      <w:r w:rsidRPr="00075DD2">
        <w:rPr>
          <w:color w:val="17365D"/>
        </w:rPr>
        <w:t>pārējie un citi Valsts sociālās apdrošināšanas aģent</w:t>
      </w:r>
      <w:r w:rsidR="005953CD" w:rsidRPr="00075DD2">
        <w:rPr>
          <w:color w:val="17365D"/>
        </w:rPr>
        <w:t xml:space="preserve">ūras speciālā budžeta ieņēmumi </w:t>
      </w:r>
      <w:r w:rsidR="00C215BB" w:rsidRPr="00075DD2">
        <w:rPr>
          <w:color w:val="17365D"/>
        </w:rPr>
        <w:t>96,8</w:t>
      </w:r>
      <w:r w:rsidRPr="00075DD2">
        <w:rPr>
          <w:color w:val="17365D"/>
        </w:rPr>
        <w:t xml:space="preserve"> milj. </w:t>
      </w:r>
      <w:r w:rsidRPr="00075DD2">
        <w:rPr>
          <w:i/>
          <w:color w:val="17365D"/>
        </w:rPr>
        <w:t>euro</w:t>
      </w:r>
      <w:r w:rsidRPr="00075DD2">
        <w:rPr>
          <w:color w:val="17365D"/>
        </w:rPr>
        <w:t xml:space="preserve"> vērtībā jeb </w:t>
      </w:r>
      <w:r w:rsidR="00C215BB" w:rsidRPr="00075DD2">
        <w:rPr>
          <w:color w:val="17365D"/>
        </w:rPr>
        <w:t>11,5</w:t>
      </w:r>
      <w:r w:rsidRPr="00075DD2">
        <w:rPr>
          <w:color w:val="17365D"/>
        </w:rPr>
        <w:t> % no nenodokļu ieņēmumiem.</w:t>
      </w:r>
    </w:p>
    <w:p w14:paraId="5E73604D" w14:textId="3884DB7B" w:rsidR="00AF26A2" w:rsidRPr="007B3F09" w:rsidRDefault="007B3F09" w:rsidP="00196BCE">
      <w:pPr>
        <w:pStyle w:val="Pamatteksts"/>
        <w:spacing w:before="240"/>
        <w:ind w:firstLine="0"/>
        <w:jc w:val="center"/>
        <w:rPr>
          <w:color w:val="17365D"/>
          <w:sz w:val="20"/>
          <w:szCs w:val="20"/>
        </w:rPr>
      </w:pPr>
      <w:r w:rsidRPr="007B3F09">
        <w:rPr>
          <w:color w:val="17365D"/>
        </w:rPr>
        <w:drawing>
          <wp:inline distT="0" distB="0" distL="0" distR="0" wp14:anchorId="5BE4D499" wp14:editId="2E5493D7">
            <wp:extent cx="5939790" cy="3781425"/>
            <wp:effectExtent l="0" t="0" r="381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C6E5053" w14:textId="739AC8AC" w:rsidR="001D1003" w:rsidRPr="00075DD2" w:rsidRDefault="0017729C" w:rsidP="00196BCE">
      <w:pPr>
        <w:pStyle w:val="Pamatteksts"/>
        <w:spacing w:before="240"/>
        <w:ind w:firstLine="0"/>
        <w:jc w:val="center"/>
        <w:rPr>
          <w:i/>
          <w:color w:val="17365D"/>
          <w:sz w:val="20"/>
          <w:szCs w:val="20"/>
        </w:rPr>
      </w:pPr>
      <w:r w:rsidRPr="00075DD2">
        <w:rPr>
          <w:i/>
          <w:color w:val="17365D"/>
          <w:sz w:val="20"/>
          <w:szCs w:val="20"/>
        </w:rPr>
        <w:t>4</w:t>
      </w:r>
      <w:r w:rsidR="00AD4C15" w:rsidRPr="00075DD2">
        <w:rPr>
          <w:i/>
          <w:color w:val="17365D"/>
          <w:sz w:val="20"/>
          <w:szCs w:val="20"/>
        </w:rPr>
        <w:t xml:space="preserve">. attēls. Nenodokļu ieņēmumu struktūra </w:t>
      </w:r>
      <w:r w:rsidR="009027B2" w:rsidRPr="00075DD2">
        <w:rPr>
          <w:i/>
          <w:color w:val="17365D"/>
          <w:sz w:val="20"/>
          <w:szCs w:val="20"/>
        </w:rPr>
        <w:t>2021.</w:t>
      </w:r>
      <w:r w:rsidR="007C2575" w:rsidRPr="00075DD2">
        <w:rPr>
          <w:i/>
          <w:color w:val="17365D"/>
          <w:sz w:val="20"/>
          <w:szCs w:val="20"/>
        </w:rPr>
        <w:t xml:space="preserve"> gadā un </w:t>
      </w:r>
      <w:r w:rsidR="009027B2" w:rsidRPr="00075DD2">
        <w:rPr>
          <w:i/>
          <w:color w:val="17365D"/>
          <w:sz w:val="20"/>
          <w:szCs w:val="20"/>
        </w:rPr>
        <w:t>2022.</w:t>
      </w:r>
      <w:r w:rsidR="007C2575" w:rsidRPr="00075DD2">
        <w:rPr>
          <w:i/>
          <w:color w:val="17365D"/>
          <w:sz w:val="20"/>
          <w:szCs w:val="20"/>
        </w:rPr>
        <w:t> </w:t>
      </w:r>
      <w:r w:rsidR="00AD4C15" w:rsidRPr="00075DD2">
        <w:rPr>
          <w:i/>
          <w:color w:val="17365D"/>
          <w:sz w:val="20"/>
          <w:szCs w:val="20"/>
        </w:rPr>
        <w:t>gadā (milj. euro)</w:t>
      </w:r>
    </w:p>
    <w:p w14:paraId="5F0C769D" w14:textId="05DF7473" w:rsidR="007F550F" w:rsidRPr="00075DD2" w:rsidRDefault="007F550F" w:rsidP="001D1003">
      <w:pPr>
        <w:pStyle w:val="Pamatteksts"/>
        <w:tabs>
          <w:tab w:val="left" w:pos="9354"/>
        </w:tabs>
        <w:ind w:right="-2"/>
        <w:rPr>
          <w:color w:val="17365D"/>
        </w:rPr>
      </w:pPr>
      <w:r w:rsidRPr="00075DD2">
        <w:rPr>
          <w:color w:val="17365D"/>
          <w:u w:val="single"/>
        </w:rPr>
        <w:t>Ieņēmumi no</w:t>
      </w:r>
      <w:r w:rsidRPr="00075DD2">
        <w:rPr>
          <w:color w:val="17365D"/>
        </w:rPr>
        <w:t xml:space="preserve"> budžeta iestāžu sniegtajiem </w:t>
      </w:r>
      <w:r w:rsidRPr="00075DD2">
        <w:rPr>
          <w:color w:val="17365D"/>
          <w:u w:val="single"/>
        </w:rPr>
        <w:t>maksas pakalpojumiem un citi</w:t>
      </w:r>
      <w:r w:rsidR="00010879" w:rsidRPr="00075DD2">
        <w:rPr>
          <w:color w:val="17365D"/>
          <w:u w:val="single"/>
        </w:rPr>
        <w:t>em</w:t>
      </w:r>
      <w:r w:rsidRPr="00075DD2">
        <w:rPr>
          <w:color w:val="17365D"/>
          <w:u w:val="single"/>
        </w:rPr>
        <w:t xml:space="preserve"> pašu ieņēmumi</w:t>
      </w:r>
      <w:r w:rsidR="00010879" w:rsidRPr="00075DD2">
        <w:rPr>
          <w:color w:val="17365D"/>
          <w:u w:val="single"/>
        </w:rPr>
        <w:t>em</w:t>
      </w:r>
      <w:r w:rsidRPr="00075DD2">
        <w:rPr>
          <w:color w:val="17365D"/>
        </w:rPr>
        <w:t xml:space="preserve"> </w:t>
      </w:r>
      <w:r w:rsidR="009027B2" w:rsidRPr="00075DD2">
        <w:rPr>
          <w:color w:val="17365D"/>
        </w:rPr>
        <w:t>2022.</w:t>
      </w:r>
      <w:r w:rsidR="00C11B92" w:rsidRPr="00075DD2">
        <w:rPr>
          <w:color w:val="17365D"/>
        </w:rPr>
        <w:t> gad</w:t>
      </w:r>
      <w:r w:rsidRPr="00075DD2">
        <w:rPr>
          <w:color w:val="17365D"/>
        </w:rPr>
        <w:t xml:space="preserve">a kopbudžetā ir </w:t>
      </w:r>
      <w:r w:rsidR="00F66975" w:rsidRPr="00075DD2">
        <w:rPr>
          <w:color w:val="17365D"/>
        </w:rPr>
        <w:t>424,9</w:t>
      </w:r>
      <w:r w:rsidR="005953CD" w:rsidRPr="00075DD2">
        <w:rPr>
          <w:color w:val="17365D"/>
        </w:rPr>
        <w:t> </w:t>
      </w:r>
      <w:r w:rsidRPr="00075DD2">
        <w:rPr>
          <w:color w:val="17365D"/>
        </w:rPr>
        <w:t xml:space="preserve">milj. </w:t>
      </w:r>
      <w:r w:rsidR="003E6E25" w:rsidRPr="00075DD2">
        <w:rPr>
          <w:i/>
          <w:color w:val="17365D"/>
        </w:rPr>
        <w:t>euro</w:t>
      </w:r>
      <w:r w:rsidR="008815E6" w:rsidRPr="00075DD2">
        <w:rPr>
          <w:color w:val="17365D"/>
        </w:rPr>
        <w:t xml:space="preserve"> vērtībā</w:t>
      </w:r>
      <w:r w:rsidRPr="00075DD2">
        <w:rPr>
          <w:color w:val="17365D"/>
        </w:rPr>
        <w:t xml:space="preserve">. Salīdzinot ar </w:t>
      </w:r>
      <w:r w:rsidR="009027B2" w:rsidRPr="00075DD2">
        <w:rPr>
          <w:color w:val="17365D"/>
        </w:rPr>
        <w:t>2021.</w:t>
      </w:r>
      <w:r w:rsidR="00A26677" w:rsidRPr="00075DD2">
        <w:rPr>
          <w:color w:val="17365D"/>
        </w:rPr>
        <w:t> gad</w:t>
      </w:r>
      <w:r w:rsidRPr="00075DD2">
        <w:rPr>
          <w:color w:val="17365D"/>
        </w:rPr>
        <w:t xml:space="preserve">u, tie ir </w:t>
      </w:r>
      <w:r w:rsidR="000E1ED4" w:rsidRPr="00075DD2">
        <w:rPr>
          <w:color w:val="17365D"/>
        </w:rPr>
        <w:t>palielinājušies</w:t>
      </w:r>
      <w:r w:rsidRPr="00075DD2">
        <w:rPr>
          <w:color w:val="17365D"/>
        </w:rPr>
        <w:t xml:space="preserve"> par </w:t>
      </w:r>
      <w:r w:rsidR="00F66975" w:rsidRPr="00075DD2">
        <w:rPr>
          <w:color w:val="17365D"/>
        </w:rPr>
        <w:t>52,4</w:t>
      </w:r>
      <w:r w:rsidR="00EA3F34" w:rsidRPr="00075DD2">
        <w:rPr>
          <w:color w:val="17365D"/>
        </w:rPr>
        <w:t> </w:t>
      </w:r>
      <w:r w:rsidRPr="00075DD2">
        <w:rPr>
          <w:color w:val="17365D"/>
        </w:rPr>
        <w:t xml:space="preserve">milj. </w:t>
      </w:r>
      <w:r w:rsidR="003E6E25" w:rsidRPr="00075DD2">
        <w:rPr>
          <w:i/>
          <w:color w:val="17365D"/>
        </w:rPr>
        <w:t>euro</w:t>
      </w:r>
      <w:r w:rsidRPr="00075DD2">
        <w:rPr>
          <w:color w:val="17365D"/>
        </w:rPr>
        <w:t xml:space="preserve"> jeb par </w:t>
      </w:r>
      <w:r w:rsidR="00F66975" w:rsidRPr="00075DD2">
        <w:rPr>
          <w:color w:val="17365D"/>
        </w:rPr>
        <w:t>14,1</w:t>
      </w:r>
      <w:r w:rsidR="00EA3F34" w:rsidRPr="00075DD2">
        <w:rPr>
          <w:color w:val="17365D"/>
        </w:rPr>
        <w:t> </w:t>
      </w:r>
      <w:r w:rsidR="001F5461" w:rsidRPr="00075DD2">
        <w:rPr>
          <w:color w:val="17365D"/>
        </w:rPr>
        <w:t>%.</w:t>
      </w:r>
    </w:p>
    <w:p w14:paraId="7C2F459D" w14:textId="5E8D4C63" w:rsidR="00B275EC" w:rsidRPr="00075DD2" w:rsidRDefault="007F550F" w:rsidP="0010743C">
      <w:pPr>
        <w:pStyle w:val="Pamatteksts"/>
        <w:ind w:right="-2"/>
        <w:rPr>
          <w:color w:val="17365D"/>
        </w:rPr>
      </w:pPr>
      <w:r w:rsidRPr="00075DD2">
        <w:rPr>
          <w:color w:val="17365D"/>
          <w:u w:val="single"/>
        </w:rPr>
        <w:t>Ārvalstu finanšu palīdzības ieņēmumi</w:t>
      </w:r>
      <w:r w:rsidRPr="00075DD2">
        <w:rPr>
          <w:color w:val="17365D"/>
        </w:rPr>
        <w:t xml:space="preserve"> </w:t>
      </w:r>
      <w:r w:rsidR="009027B2" w:rsidRPr="00075DD2">
        <w:rPr>
          <w:color w:val="17365D"/>
        </w:rPr>
        <w:t>2022.</w:t>
      </w:r>
      <w:r w:rsidR="00C11B92" w:rsidRPr="00075DD2">
        <w:rPr>
          <w:color w:val="17365D"/>
        </w:rPr>
        <w:t> gad</w:t>
      </w:r>
      <w:r w:rsidRPr="00075DD2">
        <w:rPr>
          <w:color w:val="17365D"/>
        </w:rPr>
        <w:t xml:space="preserve">ā kopbudžetā ir </w:t>
      </w:r>
      <w:r w:rsidR="000E761A" w:rsidRPr="00075DD2">
        <w:rPr>
          <w:color w:val="17365D"/>
        </w:rPr>
        <w:t>1</w:t>
      </w:r>
      <w:r w:rsidR="00F363D7" w:rsidRPr="00075DD2">
        <w:rPr>
          <w:color w:val="17365D"/>
        </w:rPr>
        <w:t> </w:t>
      </w:r>
      <w:r w:rsidR="00F66975" w:rsidRPr="00075DD2">
        <w:rPr>
          <w:color w:val="17365D"/>
        </w:rPr>
        <w:t>465</w:t>
      </w:r>
      <w:r w:rsidR="00F363D7" w:rsidRPr="00075DD2">
        <w:rPr>
          <w:color w:val="17365D"/>
        </w:rPr>
        <w:t>,</w:t>
      </w:r>
      <w:r w:rsidR="00F66975" w:rsidRPr="00075DD2">
        <w:rPr>
          <w:color w:val="17365D"/>
        </w:rPr>
        <w:t>5</w:t>
      </w:r>
      <w:r w:rsidR="00AF616F" w:rsidRPr="00075DD2">
        <w:rPr>
          <w:color w:val="17365D"/>
        </w:rPr>
        <w:t> </w:t>
      </w:r>
      <w:r w:rsidRPr="00075DD2">
        <w:rPr>
          <w:color w:val="17365D"/>
        </w:rPr>
        <w:t xml:space="preserve">milj. </w:t>
      </w:r>
      <w:r w:rsidR="003E6E25" w:rsidRPr="00075DD2">
        <w:rPr>
          <w:i/>
          <w:color w:val="17365D"/>
        </w:rPr>
        <w:t>euro</w:t>
      </w:r>
      <w:r w:rsidR="00733000" w:rsidRPr="00075DD2">
        <w:rPr>
          <w:color w:val="17365D"/>
        </w:rPr>
        <w:t xml:space="preserve"> vērtībā</w:t>
      </w:r>
      <w:r w:rsidRPr="00075DD2">
        <w:rPr>
          <w:color w:val="17365D"/>
        </w:rPr>
        <w:t xml:space="preserve">. Salīdzinot ar </w:t>
      </w:r>
      <w:r w:rsidR="009027B2" w:rsidRPr="00075DD2">
        <w:rPr>
          <w:color w:val="17365D"/>
        </w:rPr>
        <w:t>2021.</w:t>
      </w:r>
      <w:r w:rsidR="00A26677" w:rsidRPr="00075DD2">
        <w:rPr>
          <w:color w:val="17365D"/>
        </w:rPr>
        <w:t> gad</w:t>
      </w:r>
      <w:r w:rsidRPr="00075DD2">
        <w:rPr>
          <w:color w:val="17365D"/>
        </w:rPr>
        <w:t xml:space="preserve">u, tie ir </w:t>
      </w:r>
      <w:r w:rsidR="000E1ED4" w:rsidRPr="00075DD2">
        <w:rPr>
          <w:color w:val="17365D"/>
        </w:rPr>
        <w:t>palielinājušies</w:t>
      </w:r>
      <w:r w:rsidRPr="00075DD2">
        <w:rPr>
          <w:color w:val="17365D"/>
        </w:rPr>
        <w:t xml:space="preserve"> par </w:t>
      </w:r>
      <w:r w:rsidR="00F66975" w:rsidRPr="00075DD2">
        <w:rPr>
          <w:color w:val="17365D"/>
        </w:rPr>
        <w:t>94,5</w:t>
      </w:r>
      <w:r w:rsidR="005953CD" w:rsidRPr="00075DD2">
        <w:rPr>
          <w:color w:val="17365D"/>
        </w:rPr>
        <w:t> </w:t>
      </w:r>
      <w:r w:rsidRPr="00075DD2">
        <w:rPr>
          <w:color w:val="17365D"/>
        </w:rPr>
        <w:t xml:space="preserve">milj. </w:t>
      </w:r>
      <w:r w:rsidR="003E6E25" w:rsidRPr="00075DD2">
        <w:rPr>
          <w:i/>
          <w:color w:val="17365D"/>
        </w:rPr>
        <w:t>euro</w:t>
      </w:r>
      <w:r w:rsidRPr="00075DD2">
        <w:rPr>
          <w:color w:val="17365D"/>
        </w:rPr>
        <w:t xml:space="preserve"> jeb par </w:t>
      </w:r>
      <w:r w:rsidR="00F66975" w:rsidRPr="00075DD2">
        <w:rPr>
          <w:color w:val="17365D"/>
        </w:rPr>
        <w:t>6</w:t>
      </w:r>
      <w:r w:rsidR="000E1ED4" w:rsidRPr="00075DD2">
        <w:rPr>
          <w:color w:val="17365D"/>
        </w:rPr>
        <w:t>,</w:t>
      </w:r>
      <w:r w:rsidR="00F66975" w:rsidRPr="00075DD2">
        <w:rPr>
          <w:color w:val="17365D"/>
        </w:rPr>
        <w:t>9</w:t>
      </w:r>
      <w:r w:rsidR="00EA3F34" w:rsidRPr="00075DD2">
        <w:rPr>
          <w:color w:val="17365D"/>
        </w:rPr>
        <w:t> </w:t>
      </w:r>
      <w:r w:rsidRPr="00075DD2">
        <w:rPr>
          <w:color w:val="17365D"/>
        </w:rPr>
        <w:t>%.</w:t>
      </w:r>
      <w:r w:rsidR="00B275EC" w:rsidRPr="00075DD2">
        <w:rPr>
          <w:color w:val="17365D"/>
        </w:rPr>
        <w:t xml:space="preserve"> </w:t>
      </w:r>
    </w:p>
    <w:p w14:paraId="3C8E9D68" w14:textId="6E3CAC3B" w:rsidR="007F550F" w:rsidRPr="00075DD2" w:rsidRDefault="007F550F" w:rsidP="00190576">
      <w:pPr>
        <w:pStyle w:val="Pamatteksts"/>
        <w:ind w:right="-2"/>
        <w:rPr>
          <w:color w:val="17365D"/>
        </w:rPr>
      </w:pPr>
      <w:r w:rsidRPr="00075DD2">
        <w:rPr>
          <w:color w:val="17365D"/>
          <w:u w:val="single"/>
        </w:rPr>
        <w:t>Ziedojumu un dāvinājumu ieņēmumi</w:t>
      </w:r>
      <w:r w:rsidRPr="00075DD2">
        <w:rPr>
          <w:color w:val="17365D"/>
        </w:rPr>
        <w:t xml:space="preserve"> </w:t>
      </w:r>
      <w:r w:rsidR="008C02F2" w:rsidRPr="00075DD2">
        <w:rPr>
          <w:color w:val="17365D"/>
        </w:rPr>
        <w:t>20</w:t>
      </w:r>
      <w:r w:rsidR="00A37ACB" w:rsidRPr="00075DD2">
        <w:rPr>
          <w:color w:val="17365D"/>
        </w:rPr>
        <w:t>2</w:t>
      </w:r>
      <w:r w:rsidR="0031349E" w:rsidRPr="00075DD2">
        <w:rPr>
          <w:color w:val="17365D"/>
        </w:rPr>
        <w:t>2</w:t>
      </w:r>
      <w:r w:rsidR="008C02F2" w:rsidRPr="00075DD2">
        <w:rPr>
          <w:color w:val="17365D"/>
        </w:rPr>
        <w:t>.</w:t>
      </w:r>
      <w:r w:rsidR="00C11B92" w:rsidRPr="00075DD2">
        <w:rPr>
          <w:color w:val="17365D"/>
        </w:rPr>
        <w:t> gad</w:t>
      </w:r>
      <w:r w:rsidRPr="00075DD2">
        <w:rPr>
          <w:color w:val="17365D"/>
        </w:rPr>
        <w:t xml:space="preserve">ā kopbudžetā ir </w:t>
      </w:r>
      <w:r w:rsidR="00F66975" w:rsidRPr="00075DD2">
        <w:rPr>
          <w:color w:val="17365D"/>
        </w:rPr>
        <w:t>1</w:t>
      </w:r>
      <w:r w:rsidR="00F363D7" w:rsidRPr="00075DD2">
        <w:rPr>
          <w:color w:val="17365D"/>
        </w:rPr>
        <w:t>,</w:t>
      </w:r>
      <w:r w:rsidR="00F66975" w:rsidRPr="00075DD2">
        <w:rPr>
          <w:color w:val="17365D"/>
        </w:rPr>
        <w:t>6</w:t>
      </w:r>
      <w:r w:rsidR="00AF616F" w:rsidRPr="00075DD2">
        <w:rPr>
          <w:color w:val="17365D"/>
        </w:rPr>
        <w:t> </w:t>
      </w:r>
      <w:r w:rsidRPr="00075DD2">
        <w:rPr>
          <w:color w:val="17365D"/>
        </w:rPr>
        <w:t xml:space="preserve">milj. </w:t>
      </w:r>
      <w:r w:rsidR="003E6E25" w:rsidRPr="00075DD2">
        <w:rPr>
          <w:i/>
          <w:color w:val="17365D"/>
        </w:rPr>
        <w:t>euro</w:t>
      </w:r>
      <w:r w:rsidR="00BC4D54" w:rsidRPr="00075DD2">
        <w:rPr>
          <w:color w:val="17365D"/>
        </w:rPr>
        <w:t xml:space="preserve"> vērtībā</w:t>
      </w:r>
      <w:r w:rsidRPr="00075DD2">
        <w:rPr>
          <w:color w:val="17365D"/>
        </w:rPr>
        <w:t xml:space="preserve">. Salīdzinot ar </w:t>
      </w:r>
      <w:r w:rsidR="009027B2" w:rsidRPr="00075DD2">
        <w:rPr>
          <w:color w:val="17365D"/>
        </w:rPr>
        <w:t>2021.</w:t>
      </w:r>
      <w:r w:rsidR="00A26677" w:rsidRPr="00075DD2">
        <w:rPr>
          <w:color w:val="17365D"/>
        </w:rPr>
        <w:t> gad</w:t>
      </w:r>
      <w:r w:rsidRPr="00075DD2">
        <w:rPr>
          <w:color w:val="17365D"/>
        </w:rPr>
        <w:t xml:space="preserve">u, tie ir </w:t>
      </w:r>
      <w:r w:rsidR="00F66975" w:rsidRPr="00075DD2">
        <w:rPr>
          <w:color w:val="17365D"/>
        </w:rPr>
        <w:t>samazin</w:t>
      </w:r>
      <w:r w:rsidR="000E1ED4" w:rsidRPr="00075DD2">
        <w:rPr>
          <w:color w:val="17365D"/>
        </w:rPr>
        <w:t xml:space="preserve">ājušies </w:t>
      </w:r>
      <w:r w:rsidRPr="00075DD2">
        <w:rPr>
          <w:color w:val="17365D"/>
        </w:rPr>
        <w:t xml:space="preserve">par </w:t>
      </w:r>
      <w:r w:rsidR="00F66975" w:rsidRPr="00075DD2">
        <w:rPr>
          <w:color w:val="17365D"/>
        </w:rPr>
        <w:t>1,4</w:t>
      </w:r>
      <w:r w:rsidR="009E5F1A" w:rsidRPr="00075DD2">
        <w:rPr>
          <w:color w:val="17365D"/>
        </w:rPr>
        <w:t> </w:t>
      </w:r>
      <w:r w:rsidRPr="00075DD2">
        <w:rPr>
          <w:color w:val="17365D"/>
        </w:rPr>
        <w:t xml:space="preserve">milj. </w:t>
      </w:r>
      <w:r w:rsidR="003E6E25" w:rsidRPr="00075DD2">
        <w:rPr>
          <w:i/>
          <w:color w:val="17365D"/>
        </w:rPr>
        <w:t>euro</w:t>
      </w:r>
      <w:r w:rsidR="00BC4D54" w:rsidRPr="00075DD2">
        <w:rPr>
          <w:color w:val="17365D"/>
        </w:rPr>
        <w:t xml:space="preserve"> </w:t>
      </w:r>
      <w:r w:rsidRPr="00075DD2">
        <w:rPr>
          <w:color w:val="17365D"/>
        </w:rPr>
        <w:t xml:space="preserve">jeb par </w:t>
      </w:r>
      <w:r w:rsidR="00F66975" w:rsidRPr="00075DD2">
        <w:rPr>
          <w:color w:val="17365D"/>
        </w:rPr>
        <w:t>4</w:t>
      </w:r>
      <w:r w:rsidR="0031349E" w:rsidRPr="00075DD2">
        <w:rPr>
          <w:color w:val="17365D"/>
        </w:rPr>
        <w:t>7</w:t>
      </w:r>
      <w:r w:rsidR="000E3A1A" w:rsidRPr="00075DD2">
        <w:rPr>
          <w:color w:val="17365D"/>
        </w:rPr>
        <w:t xml:space="preserve"> </w:t>
      </w:r>
      <w:r w:rsidRPr="00075DD2">
        <w:rPr>
          <w:color w:val="17365D"/>
        </w:rPr>
        <w:t xml:space="preserve">%. Lielākos ziedojumu </w:t>
      </w:r>
      <w:r w:rsidR="00E32964" w:rsidRPr="00075DD2">
        <w:rPr>
          <w:color w:val="17365D"/>
        </w:rPr>
        <w:t xml:space="preserve">un </w:t>
      </w:r>
      <w:r w:rsidRPr="00075DD2">
        <w:rPr>
          <w:color w:val="17365D"/>
        </w:rPr>
        <w:t xml:space="preserve">dāvinājumu ieņēmumus veido juridisko personu ziedojumi, kas </w:t>
      </w:r>
      <w:r w:rsidR="009027B2" w:rsidRPr="00075DD2">
        <w:rPr>
          <w:color w:val="17365D"/>
        </w:rPr>
        <w:t>2022.</w:t>
      </w:r>
      <w:r w:rsidR="00C11B92" w:rsidRPr="00075DD2">
        <w:rPr>
          <w:color w:val="17365D"/>
        </w:rPr>
        <w:t> gad</w:t>
      </w:r>
      <w:r w:rsidRPr="00075DD2">
        <w:rPr>
          <w:color w:val="17365D"/>
        </w:rPr>
        <w:t xml:space="preserve">a kopbudžetā ir </w:t>
      </w:r>
      <w:r w:rsidR="00FF1D43" w:rsidRPr="00075DD2">
        <w:rPr>
          <w:color w:val="17365D"/>
        </w:rPr>
        <w:t>1</w:t>
      </w:r>
      <w:r w:rsidR="000E3A1A" w:rsidRPr="00075DD2">
        <w:rPr>
          <w:color w:val="17365D"/>
        </w:rPr>
        <w:t>,</w:t>
      </w:r>
      <w:r w:rsidR="00FF1D43" w:rsidRPr="00075DD2">
        <w:rPr>
          <w:color w:val="17365D"/>
        </w:rPr>
        <w:t>1</w:t>
      </w:r>
      <w:r w:rsidR="00A46FA4" w:rsidRPr="00075DD2">
        <w:rPr>
          <w:color w:val="17365D"/>
        </w:rPr>
        <w:t> </w:t>
      </w:r>
      <w:r w:rsidRPr="00075DD2">
        <w:rPr>
          <w:color w:val="17365D"/>
        </w:rPr>
        <w:t xml:space="preserve">milj. </w:t>
      </w:r>
      <w:r w:rsidR="003E6E25" w:rsidRPr="00075DD2">
        <w:rPr>
          <w:i/>
          <w:color w:val="17365D"/>
        </w:rPr>
        <w:t>euro</w:t>
      </w:r>
      <w:r w:rsidR="00BC4D54" w:rsidRPr="00075DD2">
        <w:rPr>
          <w:color w:val="17365D"/>
        </w:rPr>
        <w:t xml:space="preserve"> vērtībā</w:t>
      </w:r>
      <w:r w:rsidRPr="00075DD2">
        <w:rPr>
          <w:color w:val="17365D"/>
        </w:rPr>
        <w:t>.</w:t>
      </w:r>
    </w:p>
    <w:p w14:paraId="463984E9" w14:textId="1F607F4C" w:rsidR="007F550F" w:rsidRPr="00075DD2" w:rsidRDefault="007F550F" w:rsidP="00F33F0F">
      <w:pPr>
        <w:pStyle w:val="Heading2"/>
        <w:ind w:right="2550"/>
        <w:rPr>
          <w:rFonts w:cs="Times New Roman"/>
          <w:color w:val="17365D"/>
          <w:szCs w:val="24"/>
        </w:rPr>
      </w:pPr>
      <w:r w:rsidRPr="00075DD2">
        <w:rPr>
          <w:rFonts w:cs="Times New Roman"/>
          <w:color w:val="17365D"/>
          <w:szCs w:val="24"/>
        </w:rPr>
        <w:t>Izdevumi</w:t>
      </w:r>
    </w:p>
    <w:p w14:paraId="0B12D2A1" w14:textId="22AAA58C" w:rsidR="00CC5934" w:rsidRPr="00075DD2" w:rsidRDefault="009113AD" w:rsidP="00CC5934">
      <w:pPr>
        <w:pStyle w:val="Pamatteksts"/>
        <w:ind w:right="2550"/>
        <w:rPr>
          <w:color w:val="17365D"/>
        </w:rPr>
      </w:pPr>
      <w:r w:rsidRPr="00075DD2">
        <w:rPr>
          <w:b/>
          <w:color w:val="17365D"/>
        </w:rPr>
        <mc:AlternateContent>
          <mc:Choice Requires="wps">
            <w:drawing>
              <wp:anchor distT="0" distB="0" distL="114300" distR="114300" simplePos="0" relativeHeight="251736064" behindDoc="0" locked="0" layoutInCell="1" allowOverlap="1" wp14:anchorId="3A0C26E5" wp14:editId="7960BA80">
                <wp:simplePos x="0" y="0"/>
                <wp:positionH relativeFrom="column">
                  <wp:posOffset>4263390</wp:posOffset>
                </wp:positionH>
                <wp:positionV relativeFrom="paragraph">
                  <wp:posOffset>8255</wp:posOffset>
                </wp:positionV>
                <wp:extent cx="1682115" cy="892455"/>
                <wp:effectExtent l="0" t="0" r="13335" b="22225"/>
                <wp:wrapSquare wrapText="bothSides"/>
                <wp:docPr id="97" name="Rectangle 97"/>
                <wp:cNvGraphicFramePr/>
                <a:graphic xmlns:a="http://schemas.openxmlformats.org/drawingml/2006/main">
                  <a:graphicData uri="http://schemas.microsoft.com/office/word/2010/wordprocessingShape">
                    <wps:wsp>
                      <wps:cNvSpPr/>
                      <wps:spPr>
                        <a:xfrm>
                          <a:off x="0" y="0"/>
                          <a:ext cx="1682115" cy="892455"/>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29FB7151" w14:textId="14522A78" w:rsidR="00BC662D" w:rsidRPr="00F00440" w:rsidRDefault="00C00969" w:rsidP="00C00969">
                            <w:pPr>
                              <w:jc w:val="center"/>
                              <w:rPr>
                                <w:color w:val="17365D"/>
                              </w:rPr>
                            </w:pPr>
                            <w:r w:rsidRPr="00F00440">
                              <w:rPr>
                                <w:color w:val="17365D"/>
                              </w:rPr>
                              <w:t xml:space="preserve">Kopbudžeta izdevumi – </w:t>
                            </w:r>
                            <w:r w:rsidR="0019312A">
                              <w:rPr>
                                <w:b/>
                                <w:color w:val="17365D"/>
                              </w:rPr>
                              <w:t>1</w:t>
                            </w:r>
                            <w:r w:rsidR="00635C66">
                              <w:rPr>
                                <w:b/>
                                <w:color w:val="17365D"/>
                              </w:rPr>
                              <w:t>5</w:t>
                            </w:r>
                            <w:r w:rsidR="0019312A">
                              <w:rPr>
                                <w:b/>
                                <w:color w:val="17365D"/>
                              </w:rPr>
                              <w:t> </w:t>
                            </w:r>
                            <w:r w:rsidR="00EA3E47">
                              <w:rPr>
                                <w:b/>
                                <w:color w:val="17365D"/>
                              </w:rPr>
                              <w:t>718 277 019</w:t>
                            </w:r>
                            <w:r w:rsidR="00EA3E47" w:rsidRPr="00F00440">
                              <w:rPr>
                                <w:b/>
                                <w:color w:val="17365D"/>
                              </w:rPr>
                              <w:t xml:space="preserve"> </w:t>
                            </w:r>
                            <w:r w:rsidRPr="00F00440">
                              <w:rPr>
                                <w:b/>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C26E5" id="Rectangle 97" o:spid="_x0000_s1029" style="position:absolute;left:0;text-align:left;margin-left:335.7pt;margin-top:.65pt;width:132.45pt;height:70.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" fillcolor="white [3201]" strokecolor="#17365d" strokeweight="2pt">
                <v:stroke dashstyle="1 1"/>
                <v:textbox>
                  <w:txbxContent>
                    <w:p w14:paraId="29FB7151" w14:textId="14522A78" w:rsidR="00BC662D" w:rsidRPr="00F00440" w:rsidRDefault="00C00969" w:rsidP="00C00969">
                      <w:pPr>
                        <w:jc w:val="center"/>
                        <w:rPr>
                          <w:color w:val="17365D"/>
                        </w:rPr>
                      </w:pPr>
                      <w:r w:rsidRPr="00F00440">
                        <w:rPr>
                          <w:color w:val="17365D"/>
                        </w:rPr>
                        <w:t xml:space="preserve">Kopbudžeta izdevumi – </w:t>
                      </w:r>
                      <w:r w:rsidR="0019312A">
                        <w:rPr>
                          <w:b/>
                          <w:color w:val="17365D"/>
                        </w:rPr>
                        <w:t>1</w:t>
                      </w:r>
                      <w:r w:rsidR="00635C66">
                        <w:rPr>
                          <w:b/>
                          <w:color w:val="17365D"/>
                        </w:rPr>
                        <w:t>5</w:t>
                      </w:r>
                      <w:r w:rsidR="0019312A">
                        <w:rPr>
                          <w:b/>
                          <w:color w:val="17365D"/>
                        </w:rPr>
                        <w:t> </w:t>
                      </w:r>
                      <w:r w:rsidR="00EA3E47">
                        <w:rPr>
                          <w:b/>
                          <w:color w:val="17365D"/>
                        </w:rPr>
                        <w:t>718 277 019</w:t>
                      </w:r>
                      <w:r w:rsidR="00EA3E47" w:rsidRPr="00F00440">
                        <w:rPr>
                          <w:b/>
                          <w:color w:val="17365D"/>
                        </w:rPr>
                        <w:t xml:space="preserve"> </w:t>
                      </w:r>
                      <w:r w:rsidRPr="00F00440">
                        <w:rPr>
                          <w:b/>
                          <w:i/>
                          <w:color w:val="17365D"/>
                        </w:rPr>
                        <w:t>euro</w:t>
                      </w:r>
                    </w:p>
                  </w:txbxContent>
                </v:textbox>
                <w10:wrap type="square"/>
              </v:rect>
            </w:pict>
          </mc:Fallback>
        </mc:AlternateContent>
      </w:r>
      <w:r w:rsidR="009027B2" w:rsidRPr="00075DD2">
        <w:rPr>
          <w:color w:val="17365D"/>
        </w:rPr>
        <w:t>2022.</w:t>
      </w:r>
      <w:r w:rsidR="00C11B92" w:rsidRPr="00075DD2">
        <w:rPr>
          <w:color w:val="17365D"/>
        </w:rPr>
        <w:t> gad</w:t>
      </w:r>
      <w:r w:rsidR="007F550F" w:rsidRPr="00075DD2">
        <w:rPr>
          <w:color w:val="17365D"/>
        </w:rPr>
        <w:t xml:space="preserve">a kopbudžeta izdevumi ir </w:t>
      </w:r>
      <w:r w:rsidR="00635C66" w:rsidRPr="00075DD2">
        <w:rPr>
          <w:color w:val="17365D"/>
        </w:rPr>
        <w:t>15 718,3</w:t>
      </w:r>
      <w:r w:rsidR="005953CD" w:rsidRPr="00075DD2">
        <w:rPr>
          <w:color w:val="17365D"/>
        </w:rPr>
        <w:t> </w:t>
      </w:r>
      <w:r w:rsidR="007F550F" w:rsidRPr="00075DD2">
        <w:rPr>
          <w:color w:val="17365D"/>
        </w:rPr>
        <w:t>milj</w:t>
      </w:r>
      <w:r w:rsidR="006B3CA5" w:rsidRPr="00075DD2">
        <w:rPr>
          <w:color w:val="17365D"/>
        </w:rPr>
        <w:t>. </w:t>
      </w:r>
      <w:r w:rsidR="003E6E25" w:rsidRPr="00075DD2">
        <w:rPr>
          <w:i/>
          <w:color w:val="17365D"/>
        </w:rPr>
        <w:t>euro</w:t>
      </w:r>
      <w:r w:rsidR="00E443F9" w:rsidRPr="00075DD2">
        <w:rPr>
          <w:color w:val="17365D"/>
        </w:rPr>
        <w:t xml:space="preserve"> vērtībā</w:t>
      </w:r>
      <w:r w:rsidR="007F550F" w:rsidRPr="00075DD2">
        <w:rPr>
          <w:color w:val="17365D"/>
        </w:rPr>
        <w:t xml:space="preserve">. Uzturēšanas izdevumi ir </w:t>
      </w:r>
      <w:r w:rsidR="0019312A" w:rsidRPr="00075DD2">
        <w:rPr>
          <w:color w:val="17365D"/>
        </w:rPr>
        <w:t>1</w:t>
      </w:r>
      <w:r w:rsidR="00635C66" w:rsidRPr="00075DD2">
        <w:rPr>
          <w:color w:val="17365D"/>
        </w:rPr>
        <w:t>4</w:t>
      </w:r>
      <w:r w:rsidR="0019312A" w:rsidRPr="00075DD2">
        <w:rPr>
          <w:color w:val="17365D"/>
        </w:rPr>
        <w:t> </w:t>
      </w:r>
      <w:r w:rsidR="00635C66" w:rsidRPr="00075DD2">
        <w:rPr>
          <w:color w:val="17365D"/>
        </w:rPr>
        <w:t>438</w:t>
      </w:r>
      <w:r w:rsidR="00A46FA4" w:rsidRPr="00075DD2">
        <w:rPr>
          <w:color w:val="17365D"/>
        </w:rPr>
        <w:t> </w:t>
      </w:r>
      <w:r w:rsidR="007F550F" w:rsidRPr="00075DD2">
        <w:rPr>
          <w:color w:val="17365D"/>
        </w:rPr>
        <w:t xml:space="preserve">milj. </w:t>
      </w:r>
      <w:r w:rsidR="003E6E25" w:rsidRPr="00075DD2">
        <w:rPr>
          <w:i/>
          <w:color w:val="17365D"/>
        </w:rPr>
        <w:t>euro</w:t>
      </w:r>
      <w:r w:rsidR="007F550F" w:rsidRPr="00075DD2">
        <w:rPr>
          <w:color w:val="17365D"/>
        </w:rPr>
        <w:t xml:space="preserve"> jeb </w:t>
      </w:r>
      <w:r w:rsidR="00FD460F" w:rsidRPr="00075DD2">
        <w:rPr>
          <w:color w:val="17365D"/>
        </w:rPr>
        <w:t>9</w:t>
      </w:r>
      <w:r w:rsidR="0019312A" w:rsidRPr="00075DD2">
        <w:rPr>
          <w:color w:val="17365D"/>
        </w:rPr>
        <w:t>1,</w:t>
      </w:r>
      <w:r w:rsidR="00635C66" w:rsidRPr="00075DD2">
        <w:rPr>
          <w:color w:val="17365D"/>
        </w:rPr>
        <w:t>9</w:t>
      </w:r>
      <w:r w:rsidR="00A30BA7" w:rsidRPr="00075DD2">
        <w:rPr>
          <w:color w:val="17365D"/>
        </w:rPr>
        <w:t> </w:t>
      </w:r>
      <w:r w:rsidR="007F550F" w:rsidRPr="00075DD2">
        <w:rPr>
          <w:color w:val="17365D"/>
        </w:rPr>
        <w:t xml:space="preserve">% no kopbudžeta izdevumiem. Kapitālajiem izdevumiem izlietoti </w:t>
      </w:r>
      <w:r w:rsidR="0019312A" w:rsidRPr="00075DD2">
        <w:rPr>
          <w:color w:val="17365D"/>
        </w:rPr>
        <w:t>1</w:t>
      </w:r>
      <w:r w:rsidR="00F363D7" w:rsidRPr="00075DD2">
        <w:rPr>
          <w:color w:val="17365D"/>
        </w:rPr>
        <w:t> </w:t>
      </w:r>
      <w:r w:rsidR="00635C66" w:rsidRPr="00075DD2">
        <w:rPr>
          <w:color w:val="17365D"/>
        </w:rPr>
        <w:t>2</w:t>
      </w:r>
      <w:r w:rsidR="0019312A" w:rsidRPr="00075DD2">
        <w:rPr>
          <w:color w:val="17365D"/>
        </w:rPr>
        <w:t>8</w:t>
      </w:r>
      <w:r w:rsidR="00635C66" w:rsidRPr="00075DD2">
        <w:rPr>
          <w:color w:val="17365D"/>
        </w:rPr>
        <w:t>0</w:t>
      </w:r>
      <w:r w:rsidR="0019312A" w:rsidRPr="00075DD2">
        <w:rPr>
          <w:color w:val="17365D"/>
        </w:rPr>
        <w:t>,</w:t>
      </w:r>
      <w:r w:rsidR="00635C66" w:rsidRPr="00075DD2">
        <w:rPr>
          <w:color w:val="17365D"/>
        </w:rPr>
        <w:t>3</w:t>
      </w:r>
      <w:r w:rsidR="00AC2648" w:rsidRPr="00075DD2">
        <w:rPr>
          <w:color w:val="17365D"/>
        </w:rPr>
        <w:t> </w:t>
      </w:r>
      <w:r w:rsidR="007F550F" w:rsidRPr="00075DD2">
        <w:rPr>
          <w:color w:val="17365D"/>
        </w:rPr>
        <w:t xml:space="preserve">milj. </w:t>
      </w:r>
      <w:r w:rsidR="003E6E25" w:rsidRPr="00075DD2">
        <w:rPr>
          <w:i/>
          <w:color w:val="17365D"/>
        </w:rPr>
        <w:t>euro</w:t>
      </w:r>
      <w:r w:rsidR="007F550F" w:rsidRPr="00075DD2">
        <w:rPr>
          <w:color w:val="17365D"/>
        </w:rPr>
        <w:t xml:space="preserve"> jeb </w:t>
      </w:r>
      <w:r w:rsidR="0019312A" w:rsidRPr="00075DD2">
        <w:rPr>
          <w:color w:val="17365D"/>
        </w:rPr>
        <w:t>8,</w:t>
      </w:r>
      <w:r w:rsidR="00635C66" w:rsidRPr="00075DD2">
        <w:rPr>
          <w:color w:val="17365D"/>
        </w:rPr>
        <w:t>1</w:t>
      </w:r>
      <w:r w:rsidR="00FD460F" w:rsidRPr="00075DD2">
        <w:rPr>
          <w:color w:val="17365D"/>
        </w:rPr>
        <w:t xml:space="preserve"> </w:t>
      </w:r>
      <w:r w:rsidR="007F550F" w:rsidRPr="00075DD2">
        <w:rPr>
          <w:color w:val="17365D"/>
        </w:rPr>
        <w:t>% no kopējiem kopbudžeta izdevumiem.</w:t>
      </w:r>
      <w:r w:rsidR="00CC5934" w:rsidRPr="00075DD2">
        <w:rPr>
          <w:color w:val="17365D"/>
        </w:rPr>
        <w:t xml:space="preserve"> </w:t>
      </w:r>
      <w:r w:rsidR="005C4C9B" w:rsidRPr="00075DD2">
        <w:rPr>
          <w:color w:val="17365D"/>
        </w:rPr>
        <w:t xml:space="preserve">Konsolidētā kopbudžeta izdevumi pa gadiem </w:t>
      </w:r>
      <w:r w:rsidR="00431C69" w:rsidRPr="00075DD2">
        <w:rPr>
          <w:color w:val="17365D"/>
        </w:rPr>
        <w:t>attēloti</w:t>
      </w:r>
      <w:r w:rsidR="005C4C9B" w:rsidRPr="00075DD2">
        <w:rPr>
          <w:color w:val="17365D"/>
        </w:rPr>
        <w:t xml:space="preserve"> </w:t>
      </w:r>
      <w:r w:rsidR="0010743C" w:rsidRPr="00075DD2">
        <w:rPr>
          <w:color w:val="17365D"/>
        </w:rPr>
        <w:t>5</w:t>
      </w:r>
      <w:r w:rsidR="005C4C9B" w:rsidRPr="00075DD2">
        <w:rPr>
          <w:color w:val="17365D"/>
        </w:rPr>
        <w:t>.</w:t>
      </w:r>
      <w:r w:rsidR="001D0511" w:rsidRPr="00075DD2">
        <w:rPr>
          <w:color w:val="17365D"/>
        </w:rPr>
        <w:t> </w:t>
      </w:r>
      <w:r w:rsidR="005C4C9B" w:rsidRPr="00075DD2">
        <w:rPr>
          <w:color w:val="17365D"/>
        </w:rPr>
        <w:t>attēlā.</w:t>
      </w:r>
      <w:r w:rsidR="008B4AEA" w:rsidRPr="00075DD2">
        <w:rPr>
          <w:color w:val="17365D"/>
        </w:rPr>
        <w:t xml:space="preserve"> </w:t>
      </w:r>
    </w:p>
    <w:p w14:paraId="517B8B5E" w14:textId="28EED3D9" w:rsidR="00FD460F" w:rsidRPr="00075DD2" w:rsidRDefault="00F871C5" w:rsidP="00F363D7">
      <w:pPr>
        <w:pStyle w:val="Attlanosaukums"/>
        <w:ind w:right="-2" w:firstLine="0"/>
        <w:jc w:val="left"/>
        <w:rPr>
          <w:color w:val="17365D"/>
        </w:rPr>
      </w:pPr>
      <w:r>
        <w:drawing>
          <wp:inline distT="0" distB="0" distL="0" distR="0" wp14:anchorId="6D41E274" wp14:editId="7982736E">
            <wp:extent cx="5949315" cy="3657600"/>
            <wp:effectExtent l="0" t="0" r="1333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7792FF6" w14:textId="6DA07FE1" w:rsidR="008B4AEA" w:rsidRPr="00075DD2" w:rsidRDefault="00F320A2" w:rsidP="00A55606">
      <w:pPr>
        <w:pStyle w:val="Attlanosaukums"/>
        <w:ind w:right="-2" w:firstLine="0"/>
        <w:rPr>
          <w:color w:val="17365D"/>
        </w:rPr>
      </w:pPr>
      <w:r>
        <w:drawing>
          <wp:anchor distT="0" distB="0" distL="114300" distR="114300" simplePos="0" relativeHeight="251892736" behindDoc="0" locked="0" layoutInCell="1" allowOverlap="1" wp14:anchorId="1A38E33F" wp14:editId="6016AA01">
            <wp:simplePos x="0" y="0"/>
            <wp:positionH relativeFrom="column">
              <wp:posOffset>3314700</wp:posOffset>
            </wp:positionH>
            <wp:positionV relativeFrom="paragraph">
              <wp:posOffset>209550</wp:posOffset>
            </wp:positionV>
            <wp:extent cx="2630170" cy="2740025"/>
            <wp:effectExtent l="0" t="0" r="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30170" cy="2740025"/>
                    </a:xfrm>
                    <a:prstGeom prst="rect">
                      <a:avLst/>
                    </a:prstGeom>
                  </pic:spPr>
                </pic:pic>
              </a:graphicData>
            </a:graphic>
            <wp14:sizeRelH relativeFrom="margin">
              <wp14:pctWidth>0</wp14:pctWidth>
            </wp14:sizeRelH>
            <wp14:sizeRelV relativeFrom="margin">
              <wp14:pctHeight>0</wp14:pctHeight>
            </wp14:sizeRelV>
          </wp:anchor>
        </w:drawing>
      </w:r>
      <w:r w:rsidR="0010743C" w:rsidRPr="00075DD2">
        <w:rPr>
          <w:color w:val="17365D"/>
        </w:rPr>
        <w:t>5</w:t>
      </w:r>
      <w:r w:rsidR="000C5BCC" w:rsidRPr="00075DD2">
        <w:rPr>
          <w:color w:val="17365D"/>
        </w:rPr>
        <w:t>.</w:t>
      </w:r>
      <w:r w:rsidR="001D0511" w:rsidRPr="00075DD2">
        <w:rPr>
          <w:color w:val="17365D"/>
        </w:rPr>
        <w:t> </w:t>
      </w:r>
      <w:r w:rsidR="000C5BCC" w:rsidRPr="00075DD2">
        <w:rPr>
          <w:color w:val="17365D"/>
        </w:rPr>
        <w:t>attēls</w:t>
      </w:r>
      <w:r w:rsidR="00245CF5" w:rsidRPr="00075DD2">
        <w:rPr>
          <w:color w:val="17365D"/>
        </w:rPr>
        <w:t>.</w:t>
      </w:r>
      <w:r w:rsidR="000C5BCC" w:rsidRPr="00075DD2">
        <w:rPr>
          <w:color w:val="17365D"/>
        </w:rPr>
        <w:t xml:space="preserve"> Kopbudžeta izdevum</w:t>
      </w:r>
      <w:r w:rsidR="0010743C" w:rsidRPr="00075DD2">
        <w:rPr>
          <w:color w:val="17365D"/>
        </w:rPr>
        <w:t>u struktūra</w:t>
      </w:r>
      <w:r w:rsidR="000C5BCC" w:rsidRPr="00075DD2">
        <w:rPr>
          <w:color w:val="17365D"/>
        </w:rPr>
        <w:t xml:space="preserve"> 20</w:t>
      </w:r>
      <w:r w:rsidR="00FD460F" w:rsidRPr="00075DD2">
        <w:rPr>
          <w:color w:val="17365D"/>
        </w:rPr>
        <w:t>1</w:t>
      </w:r>
      <w:r w:rsidR="00635C66" w:rsidRPr="00075DD2">
        <w:rPr>
          <w:color w:val="17365D"/>
        </w:rPr>
        <w:t>2</w:t>
      </w:r>
      <w:r w:rsidR="000C5BCC" w:rsidRPr="00075DD2">
        <w:rPr>
          <w:color w:val="17365D"/>
        </w:rPr>
        <w:t xml:space="preserve">. – </w:t>
      </w:r>
      <w:r w:rsidR="009027B2" w:rsidRPr="00075DD2">
        <w:rPr>
          <w:color w:val="17365D"/>
        </w:rPr>
        <w:t>2022.</w:t>
      </w:r>
      <w:r w:rsidR="001D0511" w:rsidRPr="00075DD2">
        <w:rPr>
          <w:color w:val="17365D"/>
        </w:rPr>
        <w:t> </w:t>
      </w:r>
      <w:r w:rsidR="000C5BCC" w:rsidRPr="00075DD2">
        <w:rPr>
          <w:color w:val="17365D"/>
        </w:rPr>
        <w:t>g. (milj.</w:t>
      </w:r>
      <w:r w:rsidR="001D0511" w:rsidRPr="00075DD2">
        <w:rPr>
          <w:color w:val="17365D"/>
        </w:rPr>
        <w:t> </w:t>
      </w:r>
      <w:r w:rsidR="003E6E25" w:rsidRPr="00075DD2">
        <w:rPr>
          <w:color w:val="17365D"/>
        </w:rPr>
        <w:t>euro</w:t>
      </w:r>
      <w:r w:rsidR="000C5BCC" w:rsidRPr="00075DD2">
        <w:rPr>
          <w:color w:val="17365D"/>
        </w:rPr>
        <w:t>)</w:t>
      </w:r>
    </w:p>
    <w:p w14:paraId="51BA40DC" w14:textId="0402771F" w:rsidR="001D6743" w:rsidRPr="00075DD2" w:rsidRDefault="00D14958" w:rsidP="00346794">
      <w:pPr>
        <w:pStyle w:val="Pamatteksts"/>
        <w:ind w:right="-2"/>
        <w:rPr>
          <w:color w:val="17365D"/>
        </w:rPr>
      </w:pPr>
      <w:r w:rsidRPr="00075DD2">
        <w:rPr>
          <w:color w:val="17365D"/>
        </w:rPr>
        <w:t xml:space="preserve">Kopbudžeta izdevumi pārskata gadā ir </w:t>
      </w:r>
      <w:r w:rsidR="005D7BE6" w:rsidRPr="00075DD2">
        <w:rPr>
          <w:color w:val="17365D"/>
        </w:rPr>
        <w:t>palieli</w:t>
      </w:r>
      <w:r w:rsidRPr="00075DD2">
        <w:rPr>
          <w:color w:val="17365D"/>
        </w:rPr>
        <w:t xml:space="preserve">nājušies par </w:t>
      </w:r>
      <w:r w:rsidR="003327D7" w:rsidRPr="00075DD2">
        <w:rPr>
          <w:color w:val="17365D"/>
        </w:rPr>
        <w:t>1 </w:t>
      </w:r>
      <w:r w:rsidR="00635C66" w:rsidRPr="00075DD2">
        <w:rPr>
          <w:color w:val="17365D"/>
        </w:rPr>
        <w:t>324</w:t>
      </w:r>
      <w:r w:rsidR="003327D7" w:rsidRPr="00075DD2">
        <w:rPr>
          <w:color w:val="17365D"/>
        </w:rPr>
        <w:t>,</w:t>
      </w:r>
      <w:r w:rsidR="00635C66" w:rsidRPr="00075DD2">
        <w:rPr>
          <w:color w:val="17365D"/>
        </w:rPr>
        <w:t>2</w:t>
      </w:r>
      <w:r w:rsidR="00AC2648" w:rsidRPr="00075DD2">
        <w:rPr>
          <w:color w:val="17365D"/>
        </w:rPr>
        <w:t> </w:t>
      </w:r>
      <w:r w:rsidRPr="00075DD2">
        <w:rPr>
          <w:color w:val="17365D"/>
        </w:rPr>
        <w:t xml:space="preserve">milj. </w:t>
      </w:r>
      <w:r w:rsidR="003E6E25" w:rsidRPr="00075DD2">
        <w:rPr>
          <w:i/>
          <w:color w:val="17365D"/>
        </w:rPr>
        <w:t>euro</w:t>
      </w:r>
      <w:r w:rsidRPr="00075DD2">
        <w:rPr>
          <w:color w:val="17365D"/>
        </w:rPr>
        <w:t xml:space="preserve"> jeb par </w:t>
      </w:r>
      <w:r w:rsidR="00635C66" w:rsidRPr="00075DD2">
        <w:rPr>
          <w:color w:val="17365D"/>
        </w:rPr>
        <w:t>9,2</w:t>
      </w:r>
      <w:r w:rsidR="00AC2648" w:rsidRPr="00075DD2">
        <w:rPr>
          <w:color w:val="17365D"/>
        </w:rPr>
        <w:t> </w:t>
      </w:r>
      <w:r w:rsidRPr="00075DD2">
        <w:rPr>
          <w:color w:val="17365D"/>
        </w:rPr>
        <w:t>%</w:t>
      </w:r>
      <w:r w:rsidR="002F1B29" w:rsidRPr="00075DD2">
        <w:rPr>
          <w:color w:val="17365D"/>
        </w:rPr>
        <w:t>,</w:t>
      </w:r>
      <w:r w:rsidRPr="00075DD2">
        <w:rPr>
          <w:color w:val="17365D"/>
        </w:rPr>
        <w:t xml:space="preserve"> salīdzinot ar </w:t>
      </w:r>
      <w:r w:rsidR="009027B2" w:rsidRPr="00075DD2">
        <w:rPr>
          <w:color w:val="17365D"/>
        </w:rPr>
        <w:t>2021.</w:t>
      </w:r>
      <w:r w:rsidR="001D0511" w:rsidRPr="00075DD2">
        <w:rPr>
          <w:color w:val="17365D"/>
        </w:rPr>
        <w:t> </w:t>
      </w:r>
      <w:r w:rsidRPr="00075DD2">
        <w:rPr>
          <w:color w:val="17365D"/>
        </w:rPr>
        <w:t>gadu</w:t>
      </w:r>
      <w:r w:rsidR="002F1B29" w:rsidRPr="00075DD2">
        <w:rPr>
          <w:color w:val="17365D"/>
        </w:rPr>
        <w:t>,</w:t>
      </w:r>
      <w:r w:rsidRPr="00075DD2">
        <w:rPr>
          <w:color w:val="17365D"/>
        </w:rPr>
        <w:t xml:space="preserve"> un </w:t>
      </w:r>
      <w:r w:rsidR="002F1B29" w:rsidRPr="00075DD2">
        <w:rPr>
          <w:color w:val="17365D"/>
        </w:rPr>
        <w:t>veikti</w:t>
      </w:r>
      <w:r w:rsidRPr="00075DD2">
        <w:rPr>
          <w:color w:val="17365D"/>
        </w:rPr>
        <w:t xml:space="preserve"> par </w:t>
      </w:r>
      <w:r w:rsidR="003327D7" w:rsidRPr="00075DD2">
        <w:rPr>
          <w:color w:val="17365D"/>
        </w:rPr>
        <w:t>1 </w:t>
      </w:r>
      <w:r w:rsidR="00635C66" w:rsidRPr="00075DD2">
        <w:rPr>
          <w:color w:val="17365D"/>
        </w:rPr>
        <w:t>812</w:t>
      </w:r>
      <w:r w:rsidR="003327D7" w:rsidRPr="00075DD2">
        <w:rPr>
          <w:color w:val="17365D"/>
        </w:rPr>
        <w:t>,</w:t>
      </w:r>
      <w:r w:rsidR="00635C66" w:rsidRPr="00075DD2">
        <w:rPr>
          <w:color w:val="17365D"/>
        </w:rPr>
        <w:t>8</w:t>
      </w:r>
      <w:r w:rsidR="00AC2648" w:rsidRPr="00075DD2">
        <w:rPr>
          <w:color w:val="17365D"/>
        </w:rPr>
        <w:t> </w:t>
      </w:r>
      <w:r w:rsidRPr="00075DD2">
        <w:rPr>
          <w:color w:val="17365D"/>
        </w:rPr>
        <w:t>milj.</w:t>
      </w:r>
      <w:r w:rsidR="003B21A8" w:rsidRPr="00075DD2">
        <w:rPr>
          <w:color w:val="17365D"/>
        </w:rPr>
        <w:t> </w:t>
      </w:r>
      <w:r w:rsidR="003E6E25" w:rsidRPr="00075DD2">
        <w:rPr>
          <w:i/>
          <w:color w:val="17365D"/>
        </w:rPr>
        <w:t>euro</w:t>
      </w:r>
      <w:r w:rsidRPr="00075DD2">
        <w:rPr>
          <w:color w:val="17365D"/>
        </w:rPr>
        <w:t xml:space="preserve"> jeb </w:t>
      </w:r>
      <w:r w:rsidR="00635C66" w:rsidRPr="00075DD2">
        <w:rPr>
          <w:color w:val="17365D"/>
        </w:rPr>
        <w:t>10,3</w:t>
      </w:r>
      <w:r w:rsidR="004B6565" w:rsidRPr="00075DD2">
        <w:rPr>
          <w:color w:val="17365D"/>
        </w:rPr>
        <w:t xml:space="preserve"> % mazāk nekā bija plānots. </w:t>
      </w:r>
      <w:r w:rsidR="001D6743" w:rsidRPr="00075DD2">
        <w:rPr>
          <w:color w:val="17365D"/>
        </w:rPr>
        <w:t xml:space="preserve">Uzturēšanas izdevumi pārskata gadā palielinājušies par </w:t>
      </w:r>
      <w:r w:rsidR="00635C66" w:rsidRPr="00075DD2">
        <w:rPr>
          <w:color w:val="17365D"/>
        </w:rPr>
        <w:t>1 3</w:t>
      </w:r>
      <w:r w:rsidR="003327D7" w:rsidRPr="00075DD2">
        <w:rPr>
          <w:color w:val="17365D"/>
        </w:rPr>
        <w:t>1</w:t>
      </w:r>
      <w:r w:rsidR="00635C66" w:rsidRPr="00075DD2">
        <w:rPr>
          <w:color w:val="17365D"/>
        </w:rPr>
        <w:t>2</w:t>
      </w:r>
      <w:r w:rsidR="003327D7" w:rsidRPr="00075DD2">
        <w:rPr>
          <w:color w:val="17365D"/>
        </w:rPr>
        <w:t>,</w:t>
      </w:r>
      <w:r w:rsidR="00635C66" w:rsidRPr="00075DD2">
        <w:rPr>
          <w:color w:val="17365D"/>
        </w:rPr>
        <w:t xml:space="preserve">1 </w:t>
      </w:r>
      <w:r w:rsidR="001D6743" w:rsidRPr="00075DD2">
        <w:rPr>
          <w:color w:val="17365D"/>
        </w:rPr>
        <w:t xml:space="preserve">milj. </w:t>
      </w:r>
      <w:r w:rsidR="003E6E25" w:rsidRPr="00075DD2">
        <w:rPr>
          <w:i/>
          <w:color w:val="17365D"/>
        </w:rPr>
        <w:t>euro</w:t>
      </w:r>
      <w:r w:rsidR="001D6743" w:rsidRPr="00075DD2">
        <w:rPr>
          <w:color w:val="17365D"/>
        </w:rPr>
        <w:t xml:space="preserve"> jeb par </w:t>
      </w:r>
      <w:r w:rsidR="003327D7" w:rsidRPr="00075DD2">
        <w:rPr>
          <w:color w:val="17365D"/>
        </w:rPr>
        <w:t>1</w:t>
      </w:r>
      <w:r w:rsidR="00635C66" w:rsidRPr="00075DD2">
        <w:rPr>
          <w:color w:val="17365D"/>
        </w:rPr>
        <w:t>0</w:t>
      </w:r>
      <w:r w:rsidR="001D6743" w:rsidRPr="00075DD2">
        <w:rPr>
          <w:color w:val="17365D"/>
        </w:rPr>
        <w:t xml:space="preserve"> %, salīdzinot ar </w:t>
      </w:r>
      <w:r w:rsidR="009027B2" w:rsidRPr="00075DD2">
        <w:rPr>
          <w:color w:val="17365D"/>
        </w:rPr>
        <w:t>2021.</w:t>
      </w:r>
      <w:r w:rsidR="001D6743" w:rsidRPr="00075DD2">
        <w:rPr>
          <w:color w:val="17365D"/>
        </w:rPr>
        <w:t> </w:t>
      </w:r>
      <w:r w:rsidRPr="00075DD2">
        <w:rPr>
          <w:color w:val="17365D"/>
        </w:rPr>
        <w:t>g</w:t>
      </w:r>
      <w:r w:rsidR="001D6743" w:rsidRPr="00075DD2">
        <w:rPr>
          <w:color w:val="17365D"/>
        </w:rPr>
        <w:t>adu</w:t>
      </w:r>
      <w:r w:rsidR="002F1B29" w:rsidRPr="00075DD2">
        <w:rPr>
          <w:color w:val="17365D"/>
        </w:rPr>
        <w:t>,</w:t>
      </w:r>
      <w:r w:rsidRPr="00075DD2">
        <w:rPr>
          <w:color w:val="17365D"/>
        </w:rPr>
        <w:t xml:space="preserve"> un </w:t>
      </w:r>
      <w:r w:rsidR="002F1B29" w:rsidRPr="00075DD2">
        <w:rPr>
          <w:color w:val="17365D"/>
        </w:rPr>
        <w:t xml:space="preserve">veikti </w:t>
      </w:r>
      <w:r w:rsidRPr="00075DD2">
        <w:rPr>
          <w:color w:val="17365D"/>
        </w:rPr>
        <w:t xml:space="preserve">par </w:t>
      </w:r>
      <w:r w:rsidR="00635C66" w:rsidRPr="00075DD2">
        <w:rPr>
          <w:color w:val="17365D"/>
        </w:rPr>
        <w:t>1 420,3</w:t>
      </w:r>
      <w:r w:rsidR="00AC2648" w:rsidRPr="00075DD2">
        <w:rPr>
          <w:color w:val="17365D"/>
        </w:rPr>
        <w:t> </w:t>
      </w:r>
      <w:r w:rsidRPr="00075DD2">
        <w:rPr>
          <w:color w:val="17365D"/>
        </w:rPr>
        <w:t>milj.</w:t>
      </w:r>
      <w:r w:rsidR="00E659DD" w:rsidRPr="00075DD2">
        <w:rPr>
          <w:color w:val="17365D"/>
        </w:rPr>
        <w:t> </w:t>
      </w:r>
      <w:r w:rsidR="003E6E25" w:rsidRPr="00075DD2">
        <w:rPr>
          <w:i/>
          <w:color w:val="17365D"/>
        </w:rPr>
        <w:t>euro</w:t>
      </w:r>
      <w:r w:rsidRPr="00075DD2">
        <w:rPr>
          <w:color w:val="17365D"/>
        </w:rPr>
        <w:t xml:space="preserve"> jeb</w:t>
      </w:r>
      <w:r w:rsidR="00256CAD" w:rsidRPr="00075DD2">
        <w:rPr>
          <w:color w:val="17365D"/>
        </w:rPr>
        <w:t xml:space="preserve"> </w:t>
      </w:r>
      <w:r w:rsidR="00635C66" w:rsidRPr="00075DD2">
        <w:rPr>
          <w:color w:val="17365D"/>
        </w:rPr>
        <w:t>9</w:t>
      </w:r>
      <w:r w:rsidR="00676F13" w:rsidRPr="00075DD2">
        <w:rPr>
          <w:color w:val="17365D"/>
        </w:rPr>
        <w:t> </w:t>
      </w:r>
      <w:r w:rsidRPr="00075DD2">
        <w:rPr>
          <w:color w:val="17365D"/>
        </w:rPr>
        <w:t>% mazāk nekā bija plānots.</w:t>
      </w:r>
      <w:r w:rsidR="001D6743" w:rsidRPr="00075DD2">
        <w:rPr>
          <w:color w:val="17365D"/>
        </w:rPr>
        <w:t xml:space="preserve"> Kapitālie izdevumi pārskata gadā </w:t>
      </w:r>
      <w:r w:rsidR="005D7BE6" w:rsidRPr="00075DD2">
        <w:rPr>
          <w:color w:val="17365D"/>
        </w:rPr>
        <w:t>palieli</w:t>
      </w:r>
      <w:r w:rsidR="001D6743" w:rsidRPr="00075DD2">
        <w:rPr>
          <w:color w:val="17365D"/>
        </w:rPr>
        <w:t xml:space="preserve">nājušies par </w:t>
      </w:r>
      <w:r w:rsidR="003327D7" w:rsidRPr="00075DD2">
        <w:rPr>
          <w:color w:val="17365D"/>
        </w:rPr>
        <w:t>1</w:t>
      </w:r>
      <w:r w:rsidR="00635C66" w:rsidRPr="00075DD2">
        <w:rPr>
          <w:color w:val="17365D"/>
        </w:rPr>
        <w:t>2</w:t>
      </w:r>
      <w:r w:rsidR="003327D7" w:rsidRPr="00075DD2">
        <w:rPr>
          <w:color w:val="17365D"/>
        </w:rPr>
        <w:t>,</w:t>
      </w:r>
      <w:r w:rsidR="00635C66" w:rsidRPr="00075DD2">
        <w:rPr>
          <w:color w:val="17365D"/>
        </w:rPr>
        <w:t>1</w:t>
      </w:r>
      <w:r w:rsidR="00AC2648" w:rsidRPr="00075DD2">
        <w:rPr>
          <w:color w:val="17365D"/>
        </w:rPr>
        <w:t> </w:t>
      </w:r>
      <w:r w:rsidR="001D6743" w:rsidRPr="00075DD2">
        <w:rPr>
          <w:color w:val="17365D"/>
        </w:rPr>
        <w:t xml:space="preserve">milj. </w:t>
      </w:r>
      <w:r w:rsidR="003E6E25" w:rsidRPr="00075DD2">
        <w:rPr>
          <w:i/>
          <w:color w:val="17365D"/>
        </w:rPr>
        <w:t>euro</w:t>
      </w:r>
      <w:r w:rsidR="001D6743" w:rsidRPr="00075DD2">
        <w:rPr>
          <w:color w:val="17365D"/>
        </w:rPr>
        <w:t xml:space="preserve"> jeb par </w:t>
      </w:r>
      <w:r w:rsidR="003327D7" w:rsidRPr="00075DD2">
        <w:rPr>
          <w:color w:val="17365D"/>
        </w:rPr>
        <w:t>1</w:t>
      </w:r>
      <w:r w:rsidR="00AC2648" w:rsidRPr="00075DD2">
        <w:rPr>
          <w:color w:val="17365D"/>
        </w:rPr>
        <w:t> </w:t>
      </w:r>
      <w:r w:rsidR="001D6743" w:rsidRPr="00075DD2">
        <w:rPr>
          <w:color w:val="17365D"/>
        </w:rPr>
        <w:t xml:space="preserve">%, salīdzinot ar </w:t>
      </w:r>
      <w:r w:rsidR="009027B2" w:rsidRPr="00075DD2">
        <w:rPr>
          <w:color w:val="17365D"/>
        </w:rPr>
        <w:t>2021.</w:t>
      </w:r>
      <w:r w:rsidR="007B5390" w:rsidRPr="00075DD2">
        <w:rPr>
          <w:color w:val="17365D"/>
        </w:rPr>
        <w:t> g</w:t>
      </w:r>
      <w:r w:rsidR="001D6743" w:rsidRPr="00075DD2">
        <w:rPr>
          <w:color w:val="17365D"/>
        </w:rPr>
        <w:t>adu</w:t>
      </w:r>
      <w:r w:rsidR="002F1B29" w:rsidRPr="00075DD2">
        <w:rPr>
          <w:color w:val="17365D"/>
        </w:rPr>
        <w:t>,</w:t>
      </w:r>
      <w:r w:rsidR="004B6565" w:rsidRPr="00075DD2">
        <w:rPr>
          <w:color w:val="17365D"/>
        </w:rPr>
        <w:t xml:space="preserve"> un </w:t>
      </w:r>
      <w:r w:rsidR="002F1B29" w:rsidRPr="00075DD2">
        <w:rPr>
          <w:color w:val="17365D"/>
        </w:rPr>
        <w:t>veikti</w:t>
      </w:r>
      <w:r w:rsidR="004B6565" w:rsidRPr="00075DD2">
        <w:rPr>
          <w:color w:val="17365D"/>
        </w:rPr>
        <w:t xml:space="preserve"> par </w:t>
      </w:r>
      <w:r w:rsidR="003327D7" w:rsidRPr="00075DD2">
        <w:rPr>
          <w:color w:val="17365D"/>
        </w:rPr>
        <w:t>3</w:t>
      </w:r>
      <w:r w:rsidR="00635C66" w:rsidRPr="00075DD2">
        <w:rPr>
          <w:color w:val="17365D"/>
        </w:rPr>
        <w:t>92</w:t>
      </w:r>
      <w:r w:rsidR="003327D7" w:rsidRPr="00075DD2">
        <w:rPr>
          <w:color w:val="17365D"/>
        </w:rPr>
        <w:t>,</w:t>
      </w:r>
      <w:r w:rsidR="00635C66" w:rsidRPr="00075DD2">
        <w:rPr>
          <w:color w:val="17365D"/>
        </w:rPr>
        <w:t>5</w:t>
      </w:r>
      <w:r w:rsidR="005953CD" w:rsidRPr="00075DD2">
        <w:rPr>
          <w:color w:val="17365D"/>
        </w:rPr>
        <w:t> </w:t>
      </w:r>
      <w:r w:rsidR="004B6565" w:rsidRPr="00075DD2">
        <w:rPr>
          <w:color w:val="17365D"/>
        </w:rPr>
        <w:t xml:space="preserve">milj. </w:t>
      </w:r>
      <w:r w:rsidR="003E6E25" w:rsidRPr="00075DD2">
        <w:rPr>
          <w:i/>
          <w:color w:val="17365D"/>
        </w:rPr>
        <w:t>euro</w:t>
      </w:r>
      <w:r w:rsidR="004B6565" w:rsidRPr="00075DD2">
        <w:rPr>
          <w:color w:val="17365D"/>
        </w:rPr>
        <w:t xml:space="preserve"> jeb </w:t>
      </w:r>
      <w:r w:rsidR="003327D7" w:rsidRPr="00075DD2">
        <w:rPr>
          <w:color w:val="17365D"/>
        </w:rPr>
        <w:t>2</w:t>
      </w:r>
      <w:r w:rsidR="00635C66" w:rsidRPr="00075DD2">
        <w:rPr>
          <w:color w:val="17365D"/>
        </w:rPr>
        <w:t>3</w:t>
      </w:r>
      <w:r w:rsidR="003327D7" w:rsidRPr="00075DD2">
        <w:rPr>
          <w:color w:val="17365D"/>
        </w:rPr>
        <w:t>,</w:t>
      </w:r>
      <w:r w:rsidR="00635C66" w:rsidRPr="00075DD2">
        <w:rPr>
          <w:color w:val="17365D"/>
        </w:rPr>
        <w:t>5</w:t>
      </w:r>
      <w:r w:rsidR="004B6565" w:rsidRPr="00075DD2">
        <w:rPr>
          <w:color w:val="17365D"/>
        </w:rPr>
        <w:t> % mazāk nekā bija plānots</w:t>
      </w:r>
      <w:r w:rsidR="00440D98" w:rsidRPr="00075DD2">
        <w:rPr>
          <w:color w:val="17365D"/>
        </w:rPr>
        <w:t xml:space="preserve"> (skatīt 6. attēlu)</w:t>
      </w:r>
      <w:r w:rsidR="001D6743" w:rsidRPr="00075DD2">
        <w:rPr>
          <w:color w:val="17365D"/>
        </w:rPr>
        <w:t>.</w:t>
      </w:r>
    </w:p>
    <w:p w14:paraId="176591AE" w14:textId="1F165971" w:rsidR="00E93FA1" w:rsidRPr="00075DD2" w:rsidRDefault="00F320A2" w:rsidP="00E93FA1">
      <w:pPr>
        <w:pStyle w:val="Pamatteksts"/>
        <w:ind w:right="3684"/>
        <w:rPr>
          <w:color w:val="17365D"/>
        </w:rPr>
      </w:pPr>
      <w:r w:rsidRPr="00075DD2">
        <w:rPr>
          <w:b/>
          <w:color w:val="17365D"/>
        </w:rPr>
        <mc:AlternateContent>
          <mc:Choice Requires="wps">
            <w:drawing>
              <wp:anchor distT="0" distB="0" distL="114300" distR="114300" simplePos="0" relativeHeight="251664384" behindDoc="0" locked="0" layoutInCell="1" allowOverlap="1" wp14:anchorId="56118631" wp14:editId="131F656D">
                <wp:simplePos x="0" y="0"/>
                <wp:positionH relativeFrom="margin">
                  <wp:posOffset>3310890</wp:posOffset>
                </wp:positionH>
                <wp:positionV relativeFrom="paragraph">
                  <wp:posOffset>713105</wp:posOffset>
                </wp:positionV>
                <wp:extent cx="2638425" cy="612140"/>
                <wp:effectExtent l="0" t="0" r="9525" b="0"/>
                <wp:wrapSquare wrapText="bothSides"/>
                <wp:docPr id="16" name="Rectangle 16"/>
                <wp:cNvGraphicFramePr/>
                <a:graphic xmlns:a="http://schemas.openxmlformats.org/drawingml/2006/main">
                  <a:graphicData uri="http://schemas.microsoft.com/office/word/2010/wordprocessingShape">
                    <wps:wsp>
                      <wps:cNvSpPr/>
                      <wps:spPr>
                        <a:xfrm>
                          <a:off x="0" y="0"/>
                          <a:ext cx="2638425" cy="612140"/>
                        </a:xfrm>
                        <a:prstGeom prst="rect">
                          <a:avLst/>
                        </a:prstGeom>
                        <a:ln>
                          <a:noFill/>
                          <a:prstDash val="sysDot"/>
                        </a:ln>
                      </wps:spPr>
                      <wps:style>
                        <a:lnRef idx="2">
                          <a:schemeClr val="accent1"/>
                        </a:lnRef>
                        <a:fillRef idx="1">
                          <a:schemeClr val="lt1"/>
                        </a:fillRef>
                        <a:effectRef idx="0">
                          <a:schemeClr val="accent1"/>
                        </a:effectRef>
                        <a:fontRef idx="minor">
                          <a:schemeClr val="dk1"/>
                        </a:fontRef>
                      </wps:style>
                      <wps:txbx>
                        <w:txbxContent>
                          <w:p w14:paraId="0E0521BC" w14:textId="77777777" w:rsidR="004777BE" w:rsidRPr="00346794" w:rsidRDefault="00440D98" w:rsidP="00DE49D2">
                            <w:pPr>
                              <w:jc w:val="both"/>
                              <w:rPr>
                                <w:i/>
                                <w:color w:val="17365D"/>
                                <w:sz w:val="20"/>
                                <w:szCs w:val="20"/>
                              </w:rPr>
                            </w:pPr>
                            <w:r w:rsidRPr="00346794">
                              <w:rPr>
                                <w:i/>
                                <w:color w:val="17365D"/>
                                <w:sz w:val="20"/>
                                <w:szCs w:val="17"/>
                              </w:rPr>
                              <w:t>6</w:t>
                            </w:r>
                            <w:r w:rsidR="004777BE" w:rsidRPr="00346794">
                              <w:rPr>
                                <w:i/>
                                <w:color w:val="17365D"/>
                                <w:sz w:val="20"/>
                                <w:szCs w:val="17"/>
                              </w:rPr>
                              <w:t>. attēls. Uzturēšanas un kapitālie izdevumi salīdzinājumā ar iepriekšējo pārskata gadu un pārskata gada plānu</w:t>
                            </w:r>
                            <w:r w:rsidR="004777BE" w:rsidRPr="00346794">
                              <w:rPr>
                                <w:i/>
                                <w:color w:val="17365D"/>
                                <w:sz w:val="20"/>
                                <w:szCs w:val="20"/>
                              </w:rPr>
                              <w:t xml:space="preserve"> </w:t>
                            </w:r>
                            <w:r w:rsidR="004777BE" w:rsidRPr="00346794">
                              <w:rPr>
                                <w:i/>
                                <w:color w:val="17365D"/>
                                <w:sz w:val="20"/>
                                <w:szCs w:val="17"/>
                              </w:rPr>
                              <w:t>(milj. 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18631" id="Rectangle 16" o:spid="_x0000_s1030" style="position:absolute;left:0;text-align:left;margin-left:260.7pt;margin-top:56.15pt;width:207.75pt;height:48.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" fillcolor="white [3201]" stroked="f" strokeweight="2pt">
                <v:stroke dashstyle="1 1"/>
                <v:textbox>
                  <w:txbxContent>
                    <w:p w14:paraId="0E0521BC" w14:textId="77777777" w:rsidR="004777BE" w:rsidRPr="00346794" w:rsidRDefault="00440D98" w:rsidP="00DE49D2">
                      <w:pPr>
                        <w:jc w:val="both"/>
                        <w:rPr>
                          <w:i/>
                          <w:color w:val="17365D"/>
                          <w:sz w:val="20"/>
                          <w:szCs w:val="20"/>
                        </w:rPr>
                      </w:pPr>
                      <w:r w:rsidRPr="00346794">
                        <w:rPr>
                          <w:i/>
                          <w:color w:val="17365D"/>
                          <w:sz w:val="20"/>
                          <w:szCs w:val="17"/>
                        </w:rPr>
                        <w:t>6</w:t>
                      </w:r>
                      <w:r w:rsidR="004777BE" w:rsidRPr="00346794">
                        <w:rPr>
                          <w:i/>
                          <w:color w:val="17365D"/>
                          <w:sz w:val="20"/>
                          <w:szCs w:val="17"/>
                        </w:rPr>
                        <w:t>. attēls. Uzturēšanas un kapitālie izdevumi salīdzinājumā ar iepriekšējo pārskata gadu un pārskata gada plānu</w:t>
                      </w:r>
                      <w:r w:rsidR="004777BE" w:rsidRPr="00346794">
                        <w:rPr>
                          <w:i/>
                          <w:color w:val="17365D"/>
                          <w:sz w:val="20"/>
                          <w:szCs w:val="20"/>
                        </w:rPr>
                        <w:t xml:space="preserve"> </w:t>
                      </w:r>
                      <w:r w:rsidR="004777BE" w:rsidRPr="00346794">
                        <w:rPr>
                          <w:i/>
                          <w:color w:val="17365D"/>
                          <w:sz w:val="20"/>
                          <w:szCs w:val="17"/>
                        </w:rPr>
                        <w:t>(milj. euro)</w:t>
                      </w:r>
                    </w:p>
                  </w:txbxContent>
                </v:textbox>
                <w10:wrap type="square" anchorx="margin"/>
              </v:rect>
            </w:pict>
          </mc:Fallback>
        </mc:AlternateContent>
      </w:r>
      <w:r w:rsidR="006561AC" w:rsidRPr="00075DD2">
        <w:rPr>
          <w:color w:val="17365D"/>
        </w:rPr>
        <w:t xml:space="preserve">Uzturēšanas izdevumu struktūrā </w:t>
      </w:r>
      <w:r w:rsidR="005C4C9B" w:rsidRPr="00075DD2">
        <w:rPr>
          <w:color w:val="17365D"/>
        </w:rPr>
        <w:t xml:space="preserve">(skatīt </w:t>
      </w:r>
      <w:r w:rsidR="002E5A76" w:rsidRPr="00075DD2">
        <w:rPr>
          <w:color w:val="17365D"/>
        </w:rPr>
        <w:t>7</w:t>
      </w:r>
      <w:r w:rsidR="005C4C9B" w:rsidRPr="00075DD2">
        <w:rPr>
          <w:color w:val="17365D"/>
        </w:rPr>
        <w:t>.</w:t>
      </w:r>
      <w:r w:rsidR="001D0511" w:rsidRPr="00075DD2">
        <w:rPr>
          <w:color w:val="17365D"/>
        </w:rPr>
        <w:t> </w:t>
      </w:r>
      <w:r w:rsidR="005C4C9B" w:rsidRPr="00075DD2">
        <w:rPr>
          <w:color w:val="17365D"/>
        </w:rPr>
        <w:t xml:space="preserve">attēlu) </w:t>
      </w:r>
      <w:r w:rsidR="006561AC" w:rsidRPr="00075DD2">
        <w:rPr>
          <w:color w:val="17365D"/>
        </w:rPr>
        <w:t xml:space="preserve">lielāko īpatsvaru veido </w:t>
      </w:r>
      <w:r w:rsidR="00E93FA1" w:rsidRPr="00075DD2">
        <w:rPr>
          <w:color w:val="17365D"/>
        </w:rPr>
        <w:t xml:space="preserve">kārtējie izdevumi </w:t>
      </w:r>
      <w:r w:rsidR="00635C66" w:rsidRPr="00075DD2">
        <w:rPr>
          <w:color w:val="17365D"/>
        </w:rPr>
        <w:t>5</w:t>
      </w:r>
      <w:r w:rsidR="003B21A8" w:rsidRPr="00075DD2">
        <w:rPr>
          <w:color w:val="17365D"/>
        </w:rPr>
        <w:t> </w:t>
      </w:r>
      <w:r w:rsidR="00E91F1A" w:rsidRPr="00075DD2">
        <w:rPr>
          <w:color w:val="17365D"/>
        </w:rPr>
        <w:t>4</w:t>
      </w:r>
      <w:r w:rsidR="00635C66" w:rsidRPr="00075DD2">
        <w:rPr>
          <w:color w:val="17365D"/>
        </w:rPr>
        <w:t>2</w:t>
      </w:r>
      <w:r w:rsidR="00E91F1A" w:rsidRPr="00075DD2">
        <w:rPr>
          <w:color w:val="17365D"/>
        </w:rPr>
        <w:t>9,</w:t>
      </w:r>
      <w:r w:rsidR="00635C66" w:rsidRPr="00075DD2">
        <w:rPr>
          <w:color w:val="17365D"/>
        </w:rPr>
        <w:t>2</w:t>
      </w:r>
      <w:r w:rsidR="003B21A8" w:rsidRPr="00075DD2">
        <w:rPr>
          <w:color w:val="17365D"/>
        </w:rPr>
        <w:t> </w:t>
      </w:r>
      <w:r w:rsidR="00E93FA1" w:rsidRPr="00075DD2">
        <w:rPr>
          <w:color w:val="17365D"/>
        </w:rPr>
        <w:t>milj.</w:t>
      </w:r>
      <w:r w:rsidR="003B21A8" w:rsidRPr="00075DD2">
        <w:rPr>
          <w:color w:val="17365D"/>
        </w:rPr>
        <w:t> </w:t>
      </w:r>
      <w:r w:rsidR="00E93FA1" w:rsidRPr="00075DD2">
        <w:rPr>
          <w:i/>
          <w:color w:val="17365D"/>
        </w:rPr>
        <w:t>euro</w:t>
      </w:r>
      <w:r w:rsidR="00E93FA1" w:rsidRPr="00075DD2">
        <w:rPr>
          <w:color w:val="17365D"/>
        </w:rPr>
        <w:t xml:space="preserve"> vērtībā</w:t>
      </w:r>
      <w:r w:rsidR="00BC61A6" w:rsidRPr="00075DD2">
        <w:rPr>
          <w:color w:val="17365D"/>
        </w:rPr>
        <w:t xml:space="preserve"> jeb </w:t>
      </w:r>
      <w:r w:rsidR="00E91F1A" w:rsidRPr="00075DD2">
        <w:rPr>
          <w:color w:val="17365D"/>
        </w:rPr>
        <w:t>3</w:t>
      </w:r>
      <w:r w:rsidR="00635C66" w:rsidRPr="00075DD2">
        <w:rPr>
          <w:color w:val="17365D"/>
        </w:rPr>
        <w:t>7</w:t>
      </w:r>
      <w:r w:rsidR="00E91F1A" w:rsidRPr="00075DD2">
        <w:rPr>
          <w:color w:val="17365D"/>
        </w:rPr>
        <w:t>,</w:t>
      </w:r>
      <w:r w:rsidR="00635C66" w:rsidRPr="00075DD2">
        <w:rPr>
          <w:color w:val="17365D"/>
        </w:rPr>
        <w:t>6</w:t>
      </w:r>
      <w:r w:rsidR="00E93FA1" w:rsidRPr="00075DD2">
        <w:rPr>
          <w:color w:val="17365D"/>
        </w:rPr>
        <w:t xml:space="preserve"> % </w:t>
      </w:r>
      <w:r w:rsidR="005953CD" w:rsidRPr="00075DD2">
        <w:rPr>
          <w:color w:val="17365D"/>
        </w:rPr>
        <w:t>no uzturēšana</w:t>
      </w:r>
      <w:r w:rsidR="00E93FA1" w:rsidRPr="00075DD2">
        <w:rPr>
          <w:color w:val="17365D"/>
        </w:rPr>
        <w:t xml:space="preserve">s izdevumiem un </w:t>
      </w:r>
      <w:r w:rsidR="00E91F1A" w:rsidRPr="00075DD2">
        <w:rPr>
          <w:color w:val="17365D"/>
        </w:rPr>
        <w:t>3</w:t>
      </w:r>
      <w:r w:rsidR="00635C66" w:rsidRPr="00075DD2">
        <w:rPr>
          <w:color w:val="17365D"/>
        </w:rPr>
        <w:t>4</w:t>
      </w:r>
      <w:r w:rsidR="00E91F1A" w:rsidRPr="00075DD2">
        <w:rPr>
          <w:color w:val="17365D"/>
        </w:rPr>
        <w:t>,</w:t>
      </w:r>
      <w:r w:rsidR="00635C66" w:rsidRPr="00075DD2">
        <w:rPr>
          <w:color w:val="17365D"/>
        </w:rPr>
        <w:t>5</w:t>
      </w:r>
      <w:r w:rsidR="00E93FA1" w:rsidRPr="00075DD2">
        <w:rPr>
          <w:color w:val="17365D"/>
        </w:rPr>
        <w:t xml:space="preserve"> % no kopbudžeta izdevumiem. </w:t>
      </w:r>
      <w:r w:rsidR="009027B2" w:rsidRPr="00075DD2">
        <w:rPr>
          <w:color w:val="17365D"/>
        </w:rPr>
        <w:t>2022.</w:t>
      </w:r>
      <w:r w:rsidR="005953CD" w:rsidRPr="00075DD2">
        <w:rPr>
          <w:color w:val="17365D"/>
        </w:rPr>
        <w:t> </w:t>
      </w:r>
      <w:r w:rsidR="00E93FA1" w:rsidRPr="00075DD2">
        <w:rPr>
          <w:color w:val="17365D"/>
        </w:rPr>
        <w:t xml:space="preserve">gadā atlīdzībai tērēts </w:t>
      </w:r>
      <w:r w:rsidR="00635C66" w:rsidRPr="00075DD2">
        <w:rPr>
          <w:color w:val="17365D"/>
        </w:rPr>
        <w:t>3 120,1</w:t>
      </w:r>
      <w:r w:rsidR="005953CD" w:rsidRPr="00075DD2">
        <w:rPr>
          <w:color w:val="17365D"/>
        </w:rPr>
        <w:t> </w:t>
      </w:r>
      <w:r w:rsidR="00E93FA1" w:rsidRPr="00075DD2">
        <w:rPr>
          <w:color w:val="17365D"/>
        </w:rPr>
        <w:t xml:space="preserve">milj. </w:t>
      </w:r>
      <w:r w:rsidR="00E93FA1" w:rsidRPr="00075DD2">
        <w:rPr>
          <w:i/>
          <w:color w:val="17365D"/>
        </w:rPr>
        <w:t xml:space="preserve">euro </w:t>
      </w:r>
      <w:r w:rsidR="00E93FA1" w:rsidRPr="00075DD2">
        <w:rPr>
          <w:color w:val="17365D"/>
        </w:rPr>
        <w:t>jeb 2</w:t>
      </w:r>
      <w:r w:rsidR="00635C66" w:rsidRPr="00075DD2">
        <w:rPr>
          <w:color w:val="17365D"/>
        </w:rPr>
        <w:t>1</w:t>
      </w:r>
      <w:r w:rsidR="00E93FA1" w:rsidRPr="00075DD2">
        <w:rPr>
          <w:color w:val="17365D"/>
        </w:rPr>
        <w:t>,</w:t>
      </w:r>
      <w:r w:rsidR="00635C66" w:rsidRPr="00075DD2">
        <w:rPr>
          <w:color w:val="17365D"/>
        </w:rPr>
        <w:t>6</w:t>
      </w:r>
      <w:r w:rsidR="005953CD" w:rsidRPr="00075DD2">
        <w:rPr>
          <w:color w:val="17365D"/>
        </w:rPr>
        <w:t> </w:t>
      </w:r>
      <w:r w:rsidR="00E93FA1" w:rsidRPr="00075DD2">
        <w:rPr>
          <w:color w:val="17365D"/>
        </w:rPr>
        <w:t xml:space="preserve">% </w:t>
      </w:r>
      <w:r w:rsidR="005953CD" w:rsidRPr="00075DD2">
        <w:rPr>
          <w:color w:val="17365D"/>
        </w:rPr>
        <w:t>no uzturēšana</w:t>
      </w:r>
      <w:r w:rsidR="00E93FA1" w:rsidRPr="00075DD2">
        <w:rPr>
          <w:color w:val="17365D"/>
        </w:rPr>
        <w:t xml:space="preserve">s izdevumiem un </w:t>
      </w:r>
      <w:r w:rsidR="00635C66" w:rsidRPr="00075DD2">
        <w:rPr>
          <w:color w:val="17365D"/>
        </w:rPr>
        <w:t>19,9</w:t>
      </w:r>
      <w:r w:rsidR="00E93FA1" w:rsidRPr="00075DD2">
        <w:rPr>
          <w:color w:val="17365D"/>
        </w:rPr>
        <w:t> % no kopbudžeta izdevumiem.</w:t>
      </w:r>
    </w:p>
    <w:p w14:paraId="7157191A" w14:textId="7C032103" w:rsidR="006561AC" w:rsidRPr="00075DD2" w:rsidRDefault="00E93FA1" w:rsidP="00E93FA1">
      <w:pPr>
        <w:pStyle w:val="Pamatteksts"/>
        <w:ind w:right="-2"/>
        <w:rPr>
          <w:color w:val="17365D"/>
        </w:rPr>
      </w:pPr>
      <w:r w:rsidRPr="00075DD2">
        <w:rPr>
          <w:color w:val="17365D"/>
        </w:rPr>
        <w:t>S</w:t>
      </w:r>
      <w:r w:rsidR="006561AC" w:rsidRPr="00075DD2">
        <w:rPr>
          <w:color w:val="17365D"/>
        </w:rPr>
        <w:t xml:space="preserve">ubsīdiju un dotāciju un sociālo pabalstu izdevumi </w:t>
      </w:r>
      <w:r w:rsidRPr="00075DD2">
        <w:rPr>
          <w:color w:val="17365D"/>
        </w:rPr>
        <w:t xml:space="preserve">ir </w:t>
      </w:r>
      <w:r w:rsidR="00635C66" w:rsidRPr="00075DD2">
        <w:rPr>
          <w:color w:val="17365D"/>
        </w:rPr>
        <w:t>8</w:t>
      </w:r>
      <w:r w:rsidR="003B21A8" w:rsidRPr="00075DD2">
        <w:rPr>
          <w:color w:val="17365D"/>
        </w:rPr>
        <w:t> </w:t>
      </w:r>
      <w:r w:rsidR="00635C66" w:rsidRPr="00075DD2">
        <w:rPr>
          <w:color w:val="17365D"/>
        </w:rPr>
        <w:t>362</w:t>
      </w:r>
      <w:r w:rsidR="003B21A8" w:rsidRPr="00075DD2">
        <w:rPr>
          <w:color w:val="17365D"/>
        </w:rPr>
        <w:t>,</w:t>
      </w:r>
      <w:r w:rsidR="00635C66" w:rsidRPr="00075DD2">
        <w:rPr>
          <w:color w:val="17365D"/>
        </w:rPr>
        <w:t>6</w:t>
      </w:r>
      <w:r w:rsidR="00AC2648" w:rsidRPr="00075DD2">
        <w:rPr>
          <w:color w:val="17365D"/>
        </w:rPr>
        <w:t> </w:t>
      </w:r>
      <w:r w:rsidR="006561AC" w:rsidRPr="00075DD2">
        <w:rPr>
          <w:color w:val="17365D"/>
        </w:rPr>
        <w:t>milj.</w:t>
      </w:r>
      <w:r w:rsidR="00A11ECB" w:rsidRPr="00075DD2">
        <w:rPr>
          <w:color w:val="17365D"/>
        </w:rPr>
        <w:t> </w:t>
      </w:r>
      <w:r w:rsidR="003E6E25" w:rsidRPr="00075DD2">
        <w:rPr>
          <w:i/>
          <w:color w:val="17365D"/>
        </w:rPr>
        <w:t>euro</w:t>
      </w:r>
      <w:r w:rsidR="006561AC" w:rsidRPr="00075DD2">
        <w:rPr>
          <w:color w:val="17365D"/>
        </w:rPr>
        <w:t xml:space="preserve"> vērtībā jeb </w:t>
      </w:r>
      <w:r w:rsidR="00635C66" w:rsidRPr="00075DD2">
        <w:rPr>
          <w:color w:val="17365D"/>
        </w:rPr>
        <w:t>57</w:t>
      </w:r>
      <w:r w:rsidR="00E91F1A" w:rsidRPr="00075DD2">
        <w:rPr>
          <w:color w:val="17365D"/>
        </w:rPr>
        <w:t>,</w:t>
      </w:r>
      <w:r w:rsidR="00635C66" w:rsidRPr="00075DD2">
        <w:rPr>
          <w:color w:val="17365D"/>
        </w:rPr>
        <w:t>9</w:t>
      </w:r>
      <w:r w:rsidR="00A11ECB" w:rsidRPr="00075DD2">
        <w:rPr>
          <w:color w:val="17365D"/>
        </w:rPr>
        <w:t> % no uzturēšana</w:t>
      </w:r>
      <w:r w:rsidR="006561AC" w:rsidRPr="00075DD2">
        <w:rPr>
          <w:color w:val="17365D"/>
        </w:rPr>
        <w:t xml:space="preserve">s izdevumiem un </w:t>
      </w:r>
      <w:r w:rsidR="00875621" w:rsidRPr="00075DD2">
        <w:rPr>
          <w:color w:val="17365D"/>
        </w:rPr>
        <w:t>5</w:t>
      </w:r>
      <w:r w:rsidR="00635C66" w:rsidRPr="00075DD2">
        <w:rPr>
          <w:color w:val="17365D"/>
        </w:rPr>
        <w:t>3,2</w:t>
      </w:r>
      <w:r w:rsidR="006561AC" w:rsidRPr="00075DD2">
        <w:rPr>
          <w:color w:val="17365D"/>
        </w:rPr>
        <w:t> % no kopbudžeta izdevumiem.</w:t>
      </w:r>
    </w:p>
    <w:p w14:paraId="7FDB0F20" w14:textId="7570ECF3" w:rsidR="00910F4F" w:rsidRPr="00075DD2" w:rsidRDefault="00F320A2" w:rsidP="00F320A2">
      <w:pPr>
        <w:pStyle w:val="Pamatteksts"/>
        <w:ind w:right="2550" w:firstLine="540"/>
        <w:jc w:val="center"/>
        <w:rPr>
          <w:color w:val="17365D"/>
        </w:rPr>
      </w:pPr>
      <w:r w:rsidRPr="00075DD2">
        <w:rPr>
          <w:color w:val="17365D"/>
        </w:rPr>
        <mc:AlternateContent>
          <mc:Choice Requires="wps">
            <w:drawing>
              <wp:anchor distT="0" distB="0" distL="114300" distR="114300" simplePos="0" relativeHeight="251701248" behindDoc="0" locked="0" layoutInCell="1" allowOverlap="1" wp14:anchorId="0E109157" wp14:editId="129F538A">
                <wp:simplePos x="0" y="0"/>
                <wp:positionH relativeFrom="column">
                  <wp:posOffset>666750</wp:posOffset>
                </wp:positionH>
                <wp:positionV relativeFrom="paragraph">
                  <wp:posOffset>955675</wp:posOffset>
                </wp:positionV>
                <wp:extent cx="719455" cy="292100"/>
                <wp:effectExtent l="0" t="0" r="23495" b="12700"/>
                <wp:wrapNone/>
                <wp:docPr id="49" name="Rounded Rectangle 49"/>
                <wp:cNvGraphicFramePr/>
                <a:graphic xmlns:a="http://schemas.openxmlformats.org/drawingml/2006/main">
                  <a:graphicData uri="http://schemas.microsoft.com/office/word/2010/wordprocessingShape">
                    <wps:wsp>
                      <wps:cNvSpPr/>
                      <wps:spPr>
                        <a:xfrm>
                          <a:off x="0" y="0"/>
                          <a:ext cx="719455" cy="292100"/>
                        </a:xfrm>
                        <a:prstGeom prst="roundRect">
                          <a:avLst/>
                        </a:prstGeom>
                        <a:solidFill>
                          <a:srgbClr val="DBEE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82AD3C" w14:textId="36D2EB47" w:rsidR="003224F8" w:rsidRPr="0085510C" w:rsidRDefault="00635C66" w:rsidP="003224F8">
                            <w:pPr>
                              <w:jc w:val="center"/>
                              <w:rPr>
                                <w:b/>
                                <w:color w:val="17365D"/>
                                <w:sz w:val="20"/>
                                <w:szCs w:val="20"/>
                              </w:rPr>
                            </w:pPr>
                            <w:r>
                              <w:rPr>
                                <w:b/>
                                <w:color w:val="17365D"/>
                                <w:sz w:val="20"/>
                                <w:szCs w:val="20"/>
                              </w:rPr>
                              <w:t>5 429.2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109157" id="Rounded Rectangle 49" o:spid="_x0000_s1031" style="position:absolute;left:0;text-align:left;margin-left:52.5pt;margin-top:75.25pt;width:56.65pt;height:2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" fillcolor="#dbeef4" strokecolor="#b8cce4 [1300]" strokeweight="2pt">
                <v:textbox>
                  <w:txbxContent>
                    <w:p w14:paraId="7B82AD3C" w14:textId="36D2EB47" w:rsidR="003224F8" w:rsidRPr="0085510C" w:rsidRDefault="00635C66" w:rsidP="003224F8">
                      <w:pPr>
                        <w:jc w:val="center"/>
                        <w:rPr>
                          <w:b/>
                          <w:color w:val="17365D"/>
                          <w:sz w:val="20"/>
                          <w:szCs w:val="20"/>
                        </w:rPr>
                      </w:pPr>
                      <w:r>
                        <w:rPr>
                          <w:b/>
                          <w:color w:val="17365D"/>
                          <w:sz w:val="20"/>
                          <w:szCs w:val="20"/>
                        </w:rPr>
                        <w:t>5 429.2</w:t>
                      </w:r>
                    </w:p>
                  </w:txbxContent>
                </v:textbox>
              </v:roundrect>
            </w:pict>
          </mc:Fallback>
        </mc:AlternateContent>
      </w:r>
      <w:r w:rsidRPr="00075DD2">
        <w:rPr>
          <w:color w:val="17365D"/>
        </w:rPr>
        <mc:AlternateContent>
          <mc:Choice Requires="wps">
            <w:drawing>
              <wp:anchor distT="0" distB="0" distL="114300" distR="114300" simplePos="0" relativeHeight="251707392" behindDoc="0" locked="0" layoutInCell="1" allowOverlap="1" wp14:anchorId="21CD252D" wp14:editId="1C2BB2C0">
                <wp:simplePos x="0" y="0"/>
                <wp:positionH relativeFrom="column">
                  <wp:posOffset>4683760</wp:posOffset>
                </wp:positionH>
                <wp:positionV relativeFrom="paragraph">
                  <wp:posOffset>955040</wp:posOffset>
                </wp:positionV>
                <wp:extent cx="719455" cy="292100"/>
                <wp:effectExtent l="0" t="0" r="23495" b="12700"/>
                <wp:wrapNone/>
                <wp:docPr id="52" name="Rounded Rectangle 52"/>
                <wp:cNvGraphicFramePr/>
                <a:graphic xmlns:a="http://schemas.openxmlformats.org/drawingml/2006/main">
                  <a:graphicData uri="http://schemas.microsoft.com/office/word/2010/wordprocessingShape">
                    <wps:wsp>
                      <wps:cNvSpPr/>
                      <wps:spPr>
                        <a:xfrm>
                          <a:off x="0" y="0"/>
                          <a:ext cx="719455" cy="292100"/>
                        </a:xfrm>
                        <a:prstGeom prst="roundRect">
                          <a:avLst/>
                        </a:prstGeom>
                        <a:solidFill>
                          <a:srgbClr val="DBEE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4B6589" w14:textId="003011D2" w:rsidR="00430F3A" w:rsidRPr="0085510C" w:rsidRDefault="00635C66" w:rsidP="00430F3A">
                            <w:pPr>
                              <w:jc w:val="center"/>
                              <w:rPr>
                                <w:b/>
                                <w:color w:val="17365D"/>
                                <w:sz w:val="20"/>
                                <w:szCs w:val="20"/>
                              </w:rPr>
                            </w:pPr>
                            <w:r>
                              <w:rPr>
                                <w:b/>
                                <w:color w:val="17365D"/>
                                <w:sz w:val="20"/>
                                <w:szCs w:val="20"/>
                              </w:rPr>
                              <w:t>449.7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CD252D" id="Rounded Rectangle 52" o:spid="_x0000_s1032" style="position:absolute;left:0;text-align:left;margin-left:368.8pt;margin-top:75.2pt;width:56.65pt;height:2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" fillcolor="#dbeef4" strokecolor="#b8cce4 [1300]" strokeweight="2pt">
                <v:textbox>
                  <w:txbxContent>
                    <w:p w14:paraId="094B6589" w14:textId="003011D2" w:rsidR="00430F3A" w:rsidRPr="0085510C" w:rsidRDefault="00635C66" w:rsidP="00430F3A">
                      <w:pPr>
                        <w:jc w:val="center"/>
                        <w:rPr>
                          <w:b/>
                          <w:color w:val="17365D"/>
                          <w:sz w:val="20"/>
                          <w:szCs w:val="20"/>
                        </w:rPr>
                      </w:pPr>
                      <w:r>
                        <w:rPr>
                          <w:b/>
                          <w:color w:val="17365D"/>
                          <w:sz w:val="20"/>
                          <w:szCs w:val="20"/>
                        </w:rPr>
                        <w:t>449.7</w:t>
                      </w:r>
                    </w:p>
                  </w:txbxContent>
                </v:textbox>
              </v:roundrect>
            </w:pict>
          </mc:Fallback>
        </mc:AlternateContent>
      </w:r>
      <w:r w:rsidRPr="00075DD2">
        <w:rPr>
          <w:color w:val="17365D"/>
        </w:rPr>
        <mc:AlternateContent>
          <mc:Choice Requires="wps">
            <w:drawing>
              <wp:anchor distT="0" distB="0" distL="114300" distR="114300" simplePos="0" relativeHeight="251703296" behindDoc="0" locked="0" layoutInCell="1" allowOverlap="1" wp14:anchorId="70E941D8" wp14:editId="2C7ABE08">
                <wp:simplePos x="0" y="0"/>
                <wp:positionH relativeFrom="column">
                  <wp:posOffset>1371600</wp:posOffset>
                </wp:positionH>
                <wp:positionV relativeFrom="paragraph">
                  <wp:posOffset>-116840</wp:posOffset>
                </wp:positionV>
                <wp:extent cx="719455" cy="292100"/>
                <wp:effectExtent l="0" t="0" r="23495" b="12700"/>
                <wp:wrapNone/>
                <wp:docPr id="50" name="Rounded Rectangle 50"/>
                <wp:cNvGraphicFramePr/>
                <a:graphic xmlns:a="http://schemas.openxmlformats.org/drawingml/2006/main">
                  <a:graphicData uri="http://schemas.microsoft.com/office/word/2010/wordprocessingShape">
                    <wps:wsp>
                      <wps:cNvSpPr/>
                      <wps:spPr>
                        <a:xfrm>
                          <a:off x="0" y="0"/>
                          <a:ext cx="719455" cy="292100"/>
                        </a:xfrm>
                        <a:prstGeom prst="roundRect">
                          <a:avLst/>
                        </a:prstGeom>
                        <a:solidFill>
                          <a:srgbClr val="DBEE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23823D" w14:textId="3B23B0F6" w:rsidR="003224F8" w:rsidRPr="0085510C" w:rsidRDefault="00635C66" w:rsidP="003224F8">
                            <w:pPr>
                              <w:jc w:val="center"/>
                              <w:rPr>
                                <w:b/>
                                <w:color w:val="17365D"/>
                                <w:sz w:val="20"/>
                                <w:szCs w:val="20"/>
                              </w:rPr>
                            </w:pPr>
                            <w:r>
                              <w:rPr>
                                <w:b/>
                                <w:color w:val="17365D"/>
                                <w:sz w:val="20"/>
                                <w:szCs w:val="20"/>
                              </w:rPr>
                              <w:t>196.5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E941D8" id="Rounded Rectangle 50" o:spid="_x0000_s1033" style="position:absolute;left:0;text-align:left;margin-left:108pt;margin-top:-9.2pt;width:56.65pt;height:2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" fillcolor="#dbeef4" strokecolor="#b8cce4 [1300]" strokeweight="2pt">
                <v:textbox>
                  <w:txbxContent>
                    <w:p w14:paraId="3823823D" w14:textId="3B23B0F6" w:rsidR="003224F8" w:rsidRPr="0085510C" w:rsidRDefault="00635C66" w:rsidP="003224F8">
                      <w:pPr>
                        <w:jc w:val="center"/>
                        <w:rPr>
                          <w:b/>
                          <w:color w:val="17365D"/>
                          <w:sz w:val="20"/>
                          <w:szCs w:val="20"/>
                        </w:rPr>
                      </w:pPr>
                      <w:r>
                        <w:rPr>
                          <w:b/>
                          <w:color w:val="17365D"/>
                          <w:sz w:val="20"/>
                          <w:szCs w:val="20"/>
                        </w:rPr>
                        <w:t>196.5</w:t>
                      </w:r>
                    </w:p>
                  </w:txbxContent>
                </v:textbox>
              </v:roundrect>
            </w:pict>
          </mc:Fallback>
        </mc:AlternateContent>
      </w:r>
      <w:r w:rsidRPr="00075DD2">
        <w:rPr>
          <w:color w:val="17365D"/>
        </w:rPr>
        <mc:AlternateContent>
          <mc:Choice Requires="wps">
            <w:drawing>
              <wp:anchor distT="0" distB="0" distL="114300" distR="114300" simplePos="0" relativeHeight="251705344" behindDoc="0" locked="0" layoutInCell="1" allowOverlap="1" wp14:anchorId="6F3A9F32" wp14:editId="0D042512">
                <wp:simplePos x="0" y="0"/>
                <wp:positionH relativeFrom="column">
                  <wp:posOffset>3887470</wp:posOffset>
                </wp:positionH>
                <wp:positionV relativeFrom="paragraph">
                  <wp:posOffset>-116840</wp:posOffset>
                </wp:positionV>
                <wp:extent cx="719455" cy="292100"/>
                <wp:effectExtent l="0" t="0" r="23495" b="12700"/>
                <wp:wrapNone/>
                <wp:docPr id="51" name="Rounded Rectangle 51"/>
                <wp:cNvGraphicFramePr/>
                <a:graphic xmlns:a="http://schemas.openxmlformats.org/drawingml/2006/main">
                  <a:graphicData uri="http://schemas.microsoft.com/office/word/2010/wordprocessingShape">
                    <wps:wsp>
                      <wps:cNvSpPr/>
                      <wps:spPr>
                        <a:xfrm>
                          <a:off x="0" y="0"/>
                          <a:ext cx="719455" cy="292100"/>
                        </a:xfrm>
                        <a:prstGeom prst="roundRect">
                          <a:avLst/>
                        </a:prstGeom>
                        <a:solidFill>
                          <a:srgbClr val="DBEE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A670E6" w14:textId="2547EAAB" w:rsidR="003224F8" w:rsidRPr="0085510C" w:rsidRDefault="00635C66" w:rsidP="003224F8">
                            <w:pPr>
                              <w:jc w:val="center"/>
                              <w:rPr>
                                <w:b/>
                                <w:color w:val="17365D"/>
                                <w:sz w:val="20"/>
                                <w:szCs w:val="20"/>
                              </w:rPr>
                            </w:pPr>
                            <w:r>
                              <w:rPr>
                                <w:b/>
                                <w:color w:val="17365D"/>
                                <w:sz w:val="20"/>
                                <w:szCs w:val="20"/>
                              </w:rPr>
                              <w:t>8 362.6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3A9F32" id="Rounded Rectangle 51" o:spid="_x0000_s1034" style="position:absolute;left:0;text-align:left;margin-left:306.1pt;margin-top:-9.2pt;width:56.65pt;height:2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" fillcolor="#dbeef4" strokecolor="#b8cce4 [1300]" strokeweight="2pt">
                <v:textbox>
                  <w:txbxContent>
                    <w:p w14:paraId="76A670E6" w14:textId="2547EAAB" w:rsidR="003224F8" w:rsidRPr="0085510C" w:rsidRDefault="00635C66" w:rsidP="003224F8">
                      <w:pPr>
                        <w:jc w:val="center"/>
                        <w:rPr>
                          <w:b/>
                          <w:color w:val="17365D"/>
                          <w:sz w:val="20"/>
                          <w:szCs w:val="20"/>
                        </w:rPr>
                      </w:pPr>
                      <w:r>
                        <w:rPr>
                          <w:b/>
                          <w:color w:val="17365D"/>
                          <w:sz w:val="20"/>
                          <w:szCs w:val="20"/>
                        </w:rPr>
                        <w:t>8 362.6</w:t>
                      </w:r>
                    </w:p>
                  </w:txbxContent>
                </v:textbox>
              </v:roundrect>
            </w:pict>
          </mc:Fallback>
        </mc:AlternateContent>
      </w:r>
      <w:r w:rsidR="00910F4F" w:rsidRPr="00075DD2">
        <w:rPr>
          <w:color w:val="17365D"/>
        </w:rPr>
        <w:drawing>
          <wp:inline distT="0" distB="0" distL="0" distR="0" wp14:anchorId="7A1445A9" wp14:editId="27ED4607">
            <wp:extent cx="5361305" cy="2222500"/>
            <wp:effectExtent l="0" t="0" r="0" b="25400"/>
            <wp:docPr id="48" name="Diagram 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DB0A048" w14:textId="59294218" w:rsidR="00430F3A" w:rsidRPr="00075DD2" w:rsidRDefault="002E5A76" w:rsidP="00B27239">
      <w:pPr>
        <w:pStyle w:val="Attlanosaukums"/>
        <w:ind w:right="-2"/>
        <w:rPr>
          <w:color w:val="17365D"/>
        </w:rPr>
      </w:pPr>
      <w:r w:rsidRPr="00075DD2">
        <w:rPr>
          <w:color w:val="17365D"/>
        </w:rPr>
        <w:t>7</w:t>
      </w:r>
      <w:r w:rsidR="00430F3A" w:rsidRPr="00075DD2">
        <w:rPr>
          <w:color w:val="17365D"/>
        </w:rPr>
        <w:t xml:space="preserve">. attēls. Uzturēšanas izdevumu struktūra </w:t>
      </w:r>
      <w:r w:rsidR="009027B2" w:rsidRPr="00075DD2">
        <w:rPr>
          <w:color w:val="17365D"/>
        </w:rPr>
        <w:t>202</w:t>
      </w:r>
      <w:r w:rsidR="00635C66" w:rsidRPr="00075DD2">
        <w:rPr>
          <w:color w:val="17365D"/>
        </w:rPr>
        <w:t>2</w:t>
      </w:r>
      <w:r w:rsidR="009027B2" w:rsidRPr="00075DD2">
        <w:rPr>
          <w:color w:val="17365D"/>
        </w:rPr>
        <w:t>.</w:t>
      </w:r>
      <w:r w:rsidR="00430F3A" w:rsidRPr="00075DD2">
        <w:rPr>
          <w:color w:val="17365D"/>
        </w:rPr>
        <w:t> gadā (milj. euro)</w:t>
      </w:r>
    </w:p>
    <w:p w14:paraId="1C01B610" w14:textId="7AF1BAAD" w:rsidR="00A86EEA" w:rsidRPr="00075DD2" w:rsidRDefault="003E7DD5" w:rsidP="0014347F">
      <w:pPr>
        <w:pStyle w:val="Pamatteksts"/>
        <w:spacing w:after="0"/>
        <w:rPr>
          <w:color w:val="17365D"/>
        </w:rPr>
      </w:pPr>
      <w:r w:rsidRPr="00075DD2">
        <w:rPr>
          <w:color w:val="17365D"/>
        </w:rPr>
        <w:t xml:space="preserve">Subsīdiju un dotāciju un sociālo pabalstu izdevumi pārskata gadā ir </w:t>
      </w:r>
      <w:r w:rsidR="00905DE9" w:rsidRPr="00075DD2">
        <w:rPr>
          <w:color w:val="17365D"/>
        </w:rPr>
        <w:t>palieli</w:t>
      </w:r>
      <w:r w:rsidRPr="00075DD2">
        <w:rPr>
          <w:color w:val="17365D"/>
        </w:rPr>
        <w:t xml:space="preserve">nājušies par </w:t>
      </w:r>
      <w:r w:rsidR="00635C66" w:rsidRPr="00075DD2">
        <w:rPr>
          <w:color w:val="17365D"/>
        </w:rPr>
        <w:t>443.6</w:t>
      </w:r>
      <w:r w:rsidR="00E1021A" w:rsidRPr="00075DD2">
        <w:rPr>
          <w:color w:val="17365D"/>
        </w:rPr>
        <w:t> </w:t>
      </w:r>
      <w:r w:rsidRPr="00075DD2">
        <w:rPr>
          <w:color w:val="17365D"/>
        </w:rPr>
        <w:t>milj</w:t>
      </w:r>
      <w:r w:rsidR="006B3CA5" w:rsidRPr="00075DD2">
        <w:rPr>
          <w:color w:val="17365D"/>
        </w:rPr>
        <w:t>. </w:t>
      </w:r>
      <w:r w:rsidR="003E6E25" w:rsidRPr="00075DD2">
        <w:rPr>
          <w:i/>
          <w:color w:val="17365D"/>
        </w:rPr>
        <w:t>euro</w:t>
      </w:r>
      <w:r w:rsidRPr="00075DD2">
        <w:rPr>
          <w:color w:val="17365D"/>
        </w:rPr>
        <w:t xml:space="preserve"> jeb </w:t>
      </w:r>
      <w:r w:rsidR="00635C66" w:rsidRPr="00075DD2">
        <w:rPr>
          <w:color w:val="17365D"/>
        </w:rPr>
        <w:t>5.6</w:t>
      </w:r>
      <w:r w:rsidRPr="00075DD2">
        <w:rPr>
          <w:color w:val="17365D"/>
        </w:rPr>
        <w:t> %</w:t>
      </w:r>
      <w:r w:rsidR="00697AEA" w:rsidRPr="00075DD2">
        <w:rPr>
          <w:color w:val="17365D"/>
        </w:rPr>
        <w:t>,</w:t>
      </w:r>
      <w:r w:rsidRPr="00075DD2">
        <w:rPr>
          <w:color w:val="17365D"/>
        </w:rPr>
        <w:t xml:space="preserve"> salīdzinot ar </w:t>
      </w:r>
      <w:r w:rsidR="009027B2" w:rsidRPr="00075DD2">
        <w:rPr>
          <w:color w:val="17365D"/>
        </w:rPr>
        <w:t>2021.</w:t>
      </w:r>
      <w:r w:rsidRPr="00075DD2">
        <w:rPr>
          <w:color w:val="17365D"/>
        </w:rPr>
        <w:t xml:space="preserve"> gadu. </w:t>
      </w:r>
      <w:r w:rsidR="00A86EEA" w:rsidRPr="00075DD2">
        <w:rPr>
          <w:color w:val="17365D"/>
        </w:rPr>
        <w:t>Subsīdijas</w:t>
      </w:r>
      <w:r w:rsidR="006561AC" w:rsidRPr="00075DD2">
        <w:rPr>
          <w:color w:val="17365D"/>
        </w:rPr>
        <w:t>, dotācij</w:t>
      </w:r>
      <w:r w:rsidR="00A86EEA" w:rsidRPr="00075DD2">
        <w:rPr>
          <w:color w:val="17365D"/>
        </w:rPr>
        <w:t>as</w:t>
      </w:r>
      <w:r w:rsidR="006561AC" w:rsidRPr="00075DD2">
        <w:rPr>
          <w:color w:val="17365D"/>
        </w:rPr>
        <w:t xml:space="preserve"> un sociālo pabalstu izdevum</w:t>
      </w:r>
      <w:r w:rsidR="00A86EEA" w:rsidRPr="00075DD2">
        <w:rPr>
          <w:color w:val="17365D"/>
        </w:rPr>
        <w:t>us</w:t>
      </w:r>
      <w:r w:rsidR="006561AC" w:rsidRPr="00075DD2">
        <w:rPr>
          <w:color w:val="17365D"/>
        </w:rPr>
        <w:t xml:space="preserve"> veido</w:t>
      </w:r>
      <w:r w:rsidR="00A86EEA" w:rsidRPr="00075DD2">
        <w:rPr>
          <w:color w:val="17365D"/>
        </w:rPr>
        <w:t>:</w:t>
      </w:r>
    </w:p>
    <w:p w14:paraId="08B2375E" w14:textId="0CB4EE23" w:rsidR="00A86EEA" w:rsidRPr="00075DD2" w:rsidRDefault="00A86EEA" w:rsidP="0014347F">
      <w:pPr>
        <w:pStyle w:val="Pamatteksts"/>
        <w:numPr>
          <w:ilvl w:val="0"/>
          <w:numId w:val="42"/>
        </w:numPr>
        <w:spacing w:after="0"/>
        <w:ind w:left="993" w:hanging="426"/>
        <w:rPr>
          <w:color w:val="17365D"/>
        </w:rPr>
      </w:pPr>
      <w:r w:rsidRPr="00075DD2">
        <w:rPr>
          <w:color w:val="17365D"/>
        </w:rPr>
        <w:t xml:space="preserve">sociālie pabalsti </w:t>
      </w:r>
      <w:r w:rsidR="00E91F1A" w:rsidRPr="00075DD2">
        <w:rPr>
          <w:color w:val="17365D"/>
        </w:rPr>
        <w:t>4</w:t>
      </w:r>
      <w:r w:rsidR="00635C66" w:rsidRPr="00075DD2">
        <w:rPr>
          <w:color w:val="17365D"/>
        </w:rPr>
        <w:t> 521,8</w:t>
      </w:r>
      <w:r w:rsidR="00A11ECB" w:rsidRPr="00075DD2">
        <w:rPr>
          <w:color w:val="17365D"/>
        </w:rPr>
        <w:t> </w:t>
      </w:r>
      <w:r w:rsidRPr="00075DD2">
        <w:rPr>
          <w:color w:val="17365D"/>
        </w:rPr>
        <w:t>milj</w:t>
      </w:r>
      <w:r w:rsidR="006B3CA5" w:rsidRPr="00075DD2">
        <w:rPr>
          <w:color w:val="17365D"/>
        </w:rPr>
        <w:t>. </w:t>
      </w:r>
      <w:r w:rsidR="003E6E25" w:rsidRPr="00075DD2">
        <w:rPr>
          <w:i/>
          <w:color w:val="17365D"/>
        </w:rPr>
        <w:t>euro</w:t>
      </w:r>
      <w:r w:rsidRPr="00075DD2">
        <w:rPr>
          <w:i/>
          <w:color w:val="17365D"/>
        </w:rPr>
        <w:t xml:space="preserve"> </w:t>
      </w:r>
      <w:r w:rsidRPr="00075DD2">
        <w:rPr>
          <w:color w:val="17365D"/>
        </w:rPr>
        <w:t xml:space="preserve">vērtībā jeb </w:t>
      </w:r>
      <w:r w:rsidR="000034D8" w:rsidRPr="00075DD2">
        <w:rPr>
          <w:color w:val="17365D"/>
        </w:rPr>
        <w:t>3</w:t>
      </w:r>
      <w:r w:rsidR="00635C66" w:rsidRPr="00075DD2">
        <w:rPr>
          <w:color w:val="17365D"/>
        </w:rPr>
        <w:t>1</w:t>
      </w:r>
      <w:r w:rsidR="000034D8" w:rsidRPr="00075DD2">
        <w:rPr>
          <w:color w:val="17365D"/>
        </w:rPr>
        <w:t>,</w:t>
      </w:r>
      <w:r w:rsidR="00635C66" w:rsidRPr="00075DD2">
        <w:rPr>
          <w:color w:val="17365D"/>
        </w:rPr>
        <w:t>3</w:t>
      </w:r>
      <w:r w:rsidR="006B3CA5" w:rsidRPr="00075DD2">
        <w:rPr>
          <w:color w:val="17365D"/>
        </w:rPr>
        <w:t> </w:t>
      </w:r>
      <w:r w:rsidRPr="00075DD2">
        <w:rPr>
          <w:color w:val="17365D"/>
        </w:rPr>
        <w:t xml:space="preserve">% no uzturēšanas izdevumiem un </w:t>
      </w:r>
      <w:r w:rsidR="000034D8" w:rsidRPr="00075DD2">
        <w:rPr>
          <w:color w:val="17365D"/>
        </w:rPr>
        <w:t>2</w:t>
      </w:r>
      <w:r w:rsidR="00635C66" w:rsidRPr="00075DD2">
        <w:rPr>
          <w:color w:val="17365D"/>
        </w:rPr>
        <w:t>8</w:t>
      </w:r>
      <w:r w:rsidR="000034D8" w:rsidRPr="00075DD2">
        <w:rPr>
          <w:color w:val="17365D"/>
        </w:rPr>
        <w:t>,</w:t>
      </w:r>
      <w:r w:rsidR="00E91F1A" w:rsidRPr="00075DD2">
        <w:rPr>
          <w:color w:val="17365D"/>
        </w:rPr>
        <w:t>8</w:t>
      </w:r>
      <w:r w:rsidR="006B3CA5" w:rsidRPr="00075DD2">
        <w:rPr>
          <w:color w:val="17365D"/>
        </w:rPr>
        <w:t> </w:t>
      </w:r>
      <w:r w:rsidRPr="00075DD2">
        <w:rPr>
          <w:color w:val="17365D"/>
        </w:rPr>
        <w:t>% no kopbudžeta izdevumiem</w:t>
      </w:r>
      <w:r w:rsidR="00905DE9" w:rsidRPr="00075DD2">
        <w:rPr>
          <w:color w:val="17365D"/>
        </w:rPr>
        <w:t>,</w:t>
      </w:r>
      <w:r w:rsidR="000C2E53" w:rsidRPr="00075DD2">
        <w:rPr>
          <w:color w:val="17365D"/>
        </w:rPr>
        <w:tab/>
      </w:r>
    </w:p>
    <w:p w14:paraId="3802C36D" w14:textId="59E4AF0D" w:rsidR="00DE49D2" w:rsidRPr="00075DD2" w:rsidRDefault="00DE49D2" w:rsidP="0014347F">
      <w:pPr>
        <w:pStyle w:val="Pamatteksts"/>
        <w:numPr>
          <w:ilvl w:val="0"/>
          <w:numId w:val="42"/>
        </w:numPr>
        <w:spacing w:after="0"/>
        <w:ind w:left="993" w:hanging="426"/>
        <w:rPr>
          <w:color w:val="17365D"/>
        </w:rPr>
      </w:pPr>
      <w:r w:rsidRPr="00075DD2">
        <w:rPr>
          <w:color w:val="17365D"/>
        </w:rPr>
        <w:t xml:space="preserve">subsīdijas un dotācijas </w:t>
      </w:r>
      <w:r w:rsidR="00907F2E" w:rsidRPr="00075DD2">
        <w:rPr>
          <w:color w:val="17365D"/>
        </w:rPr>
        <w:t>3 840,8</w:t>
      </w:r>
      <w:r w:rsidR="00A11ECB" w:rsidRPr="00075DD2">
        <w:rPr>
          <w:color w:val="17365D"/>
        </w:rPr>
        <w:t> </w:t>
      </w:r>
      <w:r w:rsidRPr="00075DD2">
        <w:rPr>
          <w:color w:val="17365D"/>
        </w:rPr>
        <w:t xml:space="preserve">milj. </w:t>
      </w:r>
      <w:r w:rsidRPr="00075DD2">
        <w:rPr>
          <w:i/>
          <w:color w:val="17365D"/>
        </w:rPr>
        <w:t>euro</w:t>
      </w:r>
      <w:r w:rsidRPr="00075DD2">
        <w:rPr>
          <w:color w:val="17365D"/>
        </w:rPr>
        <w:t xml:space="preserve"> vērtībā jeb </w:t>
      </w:r>
      <w:r w:rsidR="00E91F1A" w:rsidRPr="00075DD2">
        <w:rPr>
          <w:color w:val="17365D"/>
        </w:rPr>
        <w:t>2</w:t>
      </w:r>
      <w:r w:rsidR="00907F2E" w:rsidRPr="00075DD2">
        <w:rPr>
          <w:color w:val="17365D"/>
        </w:rPr>
        <w:t>6</w:t>
      </w:r>
      <w:r w:rsidR="00E91F1A" w:rsidRPr="00075DD2">
        <w:rPr>
          <w:color w:val="17365D"/>
        </w:rPr>
        <w:t>,6</w:t>
      </w:r>
      <w:r w:rsidR="00A11ECB" w:rsidRPr="00075DD2">
        <w:rPr>
          <w:color w:val="17365D"/>
        </w:rPr>
        <w:t> </w:t>
      </w:r>
      <w:r w:rsidRPr="00075DD2">
        <w:rPr>
          <w:color w:val="17365D"/>
        </w:rPr>
        <w:t xml:space="preserve">% no uzturēšanas izdevumiem un </w:t>
      </w:r>
      <w:r w:rsidR="007C06F7" w:rsidRPr="00075DD2">
        <w:rPr>
          <w:color w:val="17365D"/>
        </w:rPr>
        <w:t>2</w:t>
      </w:r>
      <w:r w:rsidR="00907F2E" w:rsidRPr="00075DD2">
        <w:rPr>
          <w:color w:val="17365D"/>
        </w:rPr>
        <w:t>4</w:t>
      </w:r>
      <w:r w:rsidR="00E91F1A" w:rsidRPr="00075DD2">
        <w:rPr>
          <w:color w:val="17365D"/>
        </w:rPr>
        <w:t>,</w:t>
      </w:r>
      <w:r w:rsidR="00907F2E" w:rsidRPr="00075DD2">
        <w:rPr>
          <w:color w:val="17365D"/>
        </w:rPr>
        <w:t>4</w:t>
      </w:r>
      <w:r w:rsidRPr="00075DD2">
        <w:rPr>
          <w:color w:val="17365D"/>
        </w:rPr>
        <w:t> % no kopbudžeta izdevumiem.</w:t>
      </w:r>
    </w:p>
    <w:p w14:paraId="5D1001DD" w14:textId="58586782" w:rsidR="007F550F" w:rsidRPr="00075DD2" w:rsidRDefault="007F550F" w:rsidP="00F33F0F">
      <w:pPr>
        <w:pStyle w:val="Heading1"/>
        <w:ind w:right="2550"/>
        <w:rPr>
          <w:rFonts w:cs="Times New Roman"/>
          <w:color w:val="17365D"/>
        </w:rPr>
      </w:pPr>
      <w:r w:rsidRPr="00075DD2">
        <w:rPr>
          <w:rFonts w:cs="Times New Roman"/>
          <w:color w:val="17365D"/>
        </w:rPr>
        <w:t>Finansiālā bilance</w:t>
      </w:r>
    </w:p>
    <w:p w14:paraId="4A24703F" w14:textId="10291D09" w:rsidR="0030038F" w:rsidRPr="00075DD2" w:rsidRDefault="00E82F42" w:rsidP="00190576">
      <w:pPr>
        <w:pStyle w:val="Pamatteksts"/>
        <w:ind w:right="-2"/>
        <w:rPr>
          <w:color w:val="17365D"/>
        </w:rPr>
      </w:pPr>
      <w:r w:rsidRPr="00075DD2">
        <w:rPr>
          <w:b/>
          <w:color w:val="17365D"/>
        </w:rPr>
        <mc:AlternateContent>
          <mc:Choice Requires="wps">
            <w:drawing>
              <wp:anchor distT="0" distB="0" distL="114300" distR="114300" simplePos="0" relativeHeight="251738112" behindDoc="0" locked="0" layoutInCell="1" allowOverlap="1" wp14:anchorId="50D10162" wp14:editId="57AAF40B">
                <wp:simplePos x="0" y="0"/>
                <wp:positionH relativeFrom="margin">
                  <wp:posOffset>4259580</wp:posOffset>
                </wp:positionH>
                <wp:positionV relativeFrom="margin">
                  <wp:posOffset>4277360</wp:posOffset>
                </wp:positionV>
                <wp:extent cx="1682115" cy="972820"/>
                <wp:effectExtent l="0" t="0" r="13335" b="17780"/>
                <wp:wrapSquare wrapText="bothSides"/>
                <wp:docPr id="98" name="Rectangle 98"/>
                <wp:cNvGraphicFramePr/>
                <a:graphic xmlns:a="http://schemas.openxmlformats.org/drawingml/2006/main">
                  <a:graphicData uri="http://schemas.microsoft.com/office/word/2010/wordprocessingShape">
                    <wps:wsp>
                      <wps:cNvSpPr/>
                      <wps:spPr>
                        <a:xfrm>
                          <a:off x="0" y="0"/>
                          <a:ext cx="1682115" cy="97282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20106BF8" w14:textId="05C75DEE" w:rsidR="00347943" w:rsidRPr="00AA625D" w:rsidRDefault="00347943" w:rsidP="00347943">
                            <w:pPr>
                              <w:jc w:val="center"/>
                              <w:rPr>
                                <w:color w:val="17365D"/>
                              </w:rPr>
                            </w:pPr>
                            <w:r w:rsidRPr="00AA625D">
                              <w:rPr>
                                <w:color w:val="17365D"/>
                              </w:rPr>
                              <w:t>Finansiālā</w:t>
                            </w:r>
                            <w:r w:rsidR="004F46F0">
                              <w:rPr>
                                <w:color w:val="17365D"/>
                              </w:rPr>
                              <w:t>s</w:t>
                            </w:r>
                            <w:r w:rsidRPr="00AA625D">
                              <w:rPr>
                                <w:color w:val="17365D"/>
                              </w:rPr>
                              <w:t xml:space="preserve"> bilance</w:t>
                            </w:r>
                            <w:r w:rsidR="004F46F0">
                              <w:rPr>
                                <w:color w:val="17365D"/>
                              </w:rPr>
                              <w:t>s</w:t>
                            </w:r>
                            <w:r w:rsidR="009E779B">
                              <w:rPr>
                                <w:color w:val="17365D"/>
                              </w:rPr>
                              <w:t xml:space="preserve"> </w:t>
                            </w:r>
                            <w:r w:rsidRPr="00AA625D">
                              <w:rPr>
                                <w:color w:val="17365D"/>
                              </w:rPr>
                              <w:t>deficīts</w:t>
                            </w:r>
                          </w:p>
                          <w:p w14:paraId="310AC184" w14:textId="778F399B" w:rsidR="00BC662D" w:rsidRPr="00AA625D" w:rsidRDefault="007C06F7" w:rsidP="00347943">
                            <w:pPr>
                              <w:jc w:val="center"/>
                              <w:rPr>
                                <w:color w:val="17365D"/>
                              </w:rPr>
                            </w:pPr>
                            <w:r w:rsidRPr="007C06F7">
                              <w:rPr>
                                <w:b/>
                                <w:color w:val="17365D"/>
                              </w:rPr>
                              <w:t>1</w:t>
                            </w:r>
                            <w:r w:rsidR="006B038B">
                              <w:rPr>
                                <w:b/>
                                <w:color w:val="17365D"/>
                              </w:rPr>
                              <w:t> 423</w:t>
                            </w:r>
                            <w:r w:rsidR="00E91F1A">
                              <w:rPr>
                                <w:b/>
                                <w:color w:val="17365D"/>
                              </w:rPr>
                              <w:t> 8</w:t>
                            </w:r>
                            <w:r w:rsidR="006B038B">
                              <w:rPr>
                                <w:b/>
                                <w:color w:val="17365D"/>
                              </w:rPr>
                              <w:t>75</w:t>
                            </w:r>
                            <w:r w:rsidR="00E91F1A">
                              <w:rPr>
                                <w:b/>
                                <w:color w:val="17365D"/>
                              </w:rPr>
                              <w:t xml:space="preserve"> </w:t>
                            </w:r>
                            <w:r w:rsidR="006B038B">
                              <w:rPr>
                                <w:b/>
                                <w:color w:val="17365D"/>
                              </w:rPr>
                              <w:t>843</w:t>
                            </w:r>
                            <w:r>
                              <w:rPr>
                                <w:b/>
                                <w:color w:val="17365D"/>
                              </w:rPr>
                              <w:t xml:space="preserve"> </w:t>
                            </w:r>
                            <w:r w:rsidR="00C21EBD" w:rsidRPr="00AA625D">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10162" id="Rectangle 98" o:spid="_x0000_s1035" style="position:absolute;left:0;text-align:left;margin-left:335.4pt;margin-top:336.8pt;width:132.45pt;height:76.6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" fillcolor="white [3201]" strokecolor="#17365d" strokeweight="2pt">
                <v:stroke dashstyle="1 1"/>
                <v:textbox>
                  <w:txbxContent>
                    <w:p w14:paraId="20106BF8" w14:textId="05C75DEE" w:rsidR="00347943" w:rsidRPr="00AA625D" w:rsidRDefault="00347943" w:rsidP="00347943">
                      <w:pPr>
                        <w:jc w:val="center"/>
                        <w:rPr>
                          <w:color w:val="17365D"/>
                        </w:rPr>
                      </w:pPr>
                      <w:r w:rsidRPr="00AA625D">
                        <w:rPr>
                          <w:color w:val="17365D"/>
                        </w:rPr>
                        <w:t>Finansiālā</w:t>
                      </w:r>
                      <w:r w:rsidR="004F46F0">
                        <w:rPr>
                          <w:color w:val="17365D"/>
                        </w:rPr>
                        <w:t>s</w:t>
                      </w:r>
                      <w:r w:rsidRPr="00AA625D">
                        <w:rPr>
                          <w:color w:val="17365D"/>
                        </w:rPr>
                        <w:t xml:space="preserve"> bilance</w:t>
                      </w:r>
                      <w:r w:rsidR="004F46F0">
                        <w:rPr>
                          <w:color w:val="17365D"/>
                        </w:rPr>
                        <w:t>s</w:t>
                      </w:r>
                      <w:r w:rsidR="009E779B">
                        <w:rPr>
                          <w:color w:val="17365D"/>
                        </w:rPr>
                        <w:t xml:space="preserve"> </w:t>
                      </w:r>
                      <w:r w:rsidRPr="00AA625D">
                        <w:rPr>
                          <w:color w:val="17365D"/>
                        </w:rPr>
                        <w:t>deficīts</w:t>
                      </w:r>
                    </w:p>
                    <w:p w14:paraId="310AC184" w14:textId="778F399B" w:rsidR="00BC662D" w:rsidRPr="00AA625D" w:rsidRDefault="007C06F7" w:rsidP="00347943">
                      <w:pPr>
                        <w:jc w:val="center"/>
                        <w:rPr>
                          <w:color w:val="17365D"/>
                        </w:rPr>
                      </w:pPr>
                      <w:r w:rsidRPr="007C06F7">
                        <w:rPr>
                          <w:b/>
                          <w:color w:val="17365D"/>
                        </w:rPr>
                        <w:t>1</w:t>
                      </w:r>
                      <w:r w:rsidR="006B038B">
                        <w:rPr>
                          <w:b/>
                          <w:color w:val="17365D"/>
                        </w:rPr>
                        <w:t> 423</w:t>
                      </w:r>
                      <w:r w:rsidR="00E91F1A">
                        <w:rPr>
                          <w:b/>
                          <w:color w:val="17365D"/>
                        </w:rPr>
                        <w:t> 8</w:t>
                      </w:r>
                      <w:r w:rsidR="006B038B">
                        <w:rPr>
                          <w:b/>
                          <w:color w:val="17365D"/>
                        </w:rPr>
                        <w:t>75</w:t>
                      </w:r>
                      <w:r w:rsidR="00E91F1A">
                        <w:rPr>
                          <w:b/>
                          <w:color w:val="17365D"/>
                        </w:rPr>
                        <w:t xml:space="preserve"> </w:t>
                      </w:r>
                      <w:r w:rsidR="006B038B">
                        <w:rPr>
                          <w:b/>
                          <w:color w:val="17365D"/>
                        </w:rPr>
                        <w:t>843</w:t>
                      </w:r>
                      <w:r>
                        <w:rPr>
                          <w:b/>
                          <w:color w:val="17365D"/>
                        </w:rPr>
                        <w:t xml:space="preserve"> </w:t>
                      </w:r>
                      <w:proofErr w:type="spellStart"/>
                      <w:r w:rsidR="00C21EBD" w:rsidRPr="00AA625D">
                        <w:rPr>
                          <w:i/>
                          <w:color w:val="17365D"/>
                        </w:rPr>
                        <w:t>euro</w:t>
                      </w:r>
                      <w:proofErr w:type="spellEnd"/>
                    </w:p>
                  </w:txbxContent>
                </v:textbox>
                <w10:wrap type="square" anchorx="margin" anchory="margin"/>
              </v:rect>
            </w:pict>
          </mc:Fallback>
        </mc:AlternateContent>
      </w:r>
      <w:r w:rsidR="007F550F" w:rsidRPr="00075DD2">
        <w:rPr>
          <w:color w:val="17365D"/>
        </w:rPr>
        <w:t>Pārskata gadā kopbudžeta finansiālās bilances rezultāts</w:t>
      </w:r>
      <w:r w:rsidR="00DE3D58" w:rsidRPr="00075DD2">
        <w:rPr>
          <w:color w:val="17365D"/>
        </w:rPr>
        <w:t xml:space="preserve"> </w:t>
      </w:r>
      <w:r w:rsidR="007F550F" w:rsidRPr="00075DD2">
        <w:rPr>
          <w:color w:val="17365D"/>
        </w:rPr>
        <w:t xml:space="preserve">ir </w:t>
      </w:r>
      <w:r w:rsidR="00C3005A" w:rsidRPr="00075DD2">
        <w:rPr>
          <w:color w:val="17365D"/>
        </w:rPr>
        <w:t>deficīts</w:t>
      </w:r>
      <w:r w:rsidR="007F550F" w:rsidRPr="00075DD2">
        <w:rPr>
          <w:color w:val="17365D"/>
        </w:rPr>
        <w:t xml:space="preserve"> </w:t>
      </w:r>
      <w:r w:rsidR="007C06F7" w:rsidRPr="00075DD2">
        <w:rPr>
          <w:color w:val="17365D"/>
        </w:rPr>
        <w:t>1</w:t>
      </w:r>
      <w:r w:rsidR="006B038B" w:rsidRPr="00075DD2">
        <w:rPr>
          <w:color w:val="17365D"/>
        </w:rPr>
        <w:t> 423,9</w:t>
      </w:r>
      <w:r w:rsidR="00894417" w:rsidRPr="00075DD2">
        <w:rPr>
          <w:color w:val="17365D"/>
        </w:rPr>
        <w:t> </w:t>
      </w:r>
      <w:r w:rsidR="007F550F" w:rsidRPr="00075DD2">
        <w:rPr>
          <w:color w:val="17365D"/>
        </w:rPr>
        <w:t>milj</w:t>
      </w:r>
      <w:r w:rsidR="00524F32" w:rsidRPr="00075DD2">
        <w:rPr>
          <w:color w:val="17365D"/>
        </w:rPr>
        <w:t>. </w:t>
      </w:r>
      <w:r w:rsidR="003E6E25" w:rsidRPr="00075DD2">
        <w:rPr>
          <w:i/>
          <w:color w:val="17365D"/>
        </w:rPr>
        <w:t>euro</w:t>
      </w:r>
      <w:r w:rsidR="007F550F" w:rsidRPr="00075DD2">
        <w:rPr>
          <w:color w:val="17365D"/>
        </w:rPr>
        <w:t xml:space="preserve"> vērtībā jeb </w:t>
      </w:r>
      <w:r w:rsidR="006B038B" w:rsidRPr="00075DD2">
        <w:rPr>
          <w:b/>
          <w:color w:val="17365D"/>
        </w:rPr>
        <w:t>3</w:t>
      </w:r>
      <w:r w:rsidR="00E91F1A" w:rsidRPr="00075DD2">
        <w:rPr>
          <w:b/>
          <w:color w:val="17365D"/>
        </w:rPr>
        <w:t>,6</w:t>
      </w:r>
      <w:r w:rsidR="00582C46" w:rsidRPr="00075DD2">
        <w:rPr>
          <w:b/>
          <w:color w:val="17365D"/>
        </w:rPr>
        <w:t> </w:t>
      </w:r>
      <w:r w:rsidR="007F550F" w:rsidRPr="00075DD2">
        <w:rPr>
          <w:b/>
          <w:color w:val="17365D"/>
        </w:rPr>
        <w:t>% no iekšzemes kopprodukta</w:t>
      </w:r>
      <w:r w:rsidR="00535B1E" w:rsidRPr="00075DD2">
        <w:rPr>
          <w:b/>
          <w:color w:val="17365D"/>
        </w:rPr>
        <w:t xml:space="preserve"> </w:t>
      </w:r>
      <w:r w:rsidR="00535B1E" w:rsidRPr="00075DD2">
        <w:rPr>
          <w:color w:val="17365D"/>
        </w:rPr>
        <w:t>(</w:t>
      </w:r>
      <w:bookmarkStart w:id="1" w:name="_Ref359404077"/>
      <w:r w:rsidR="007D6BD8" w:rsidRPr="00075DD2">
        <w:rPr>
          <w:color w:val="17365D"/>
        </w:rPr>
        <w:t>turpmāk – IKP</w:t>
      </w:r>
      <w:bookmarkEnd w:id="1"/>
      <w:r w:rsidR="0038238F" w:rsidRPr="00075DD2">
        <w:rPr>
          <w:rStyle w:val="FootnoteReference"/>
          <w:color w:val="17365D"/>
        </w:rPr>
        <w:footnoteReference w:id="2"/>
      </w:r>
      <w:r w:rsidR="00535B1E" w:rsidRPr="00075DD2">
        <w:rPr>
          <w:color w:val="17365D"/>
        </w:rPr>
        <w:t>)</w:t>
      </w:r>
      <w:r w:rsidR="007F550F" w:rsidRPr="00075DD2">
        <w:rPr>
          <w:color w:val="17365D"/>
        </w:rPr>
        <w:t>, salīdzin</w:t>
      </w:r>
      <w:r w:rsidR="008B06B6" w:rsidRPr="00075DD2">
        <w:rPr>
          <w:color w:val="17365D"/>
        </w:rPr>
        <w:t>ājumam –</w:t>
      </w:r>
      <w:r w:rsidR="007F550F" w:rsidRPr="00075DD2">
        <w:rPr>
          <w:color w:val="17365D"/>
        </w:rPr>
        <w:t xml:space="preserve"> </w:t>
      </w:r>
      <w:r w:rsidR="009027B2" w:rsidRPr="00075DD2">
        <w:rPr>
          <w:color w:val="17365D"/>
        </w:rPr>
        <w:t>2021.</w:t>
      </w:r>
      <w:r w:rsidR="00A26677" w:rsidRPr="00075DD2">
        <w:rPr>
          <w:color w:val="17365D"/>
        </w:rPr>
        <w:t> gad</w:t>
      </w:r>
      <w:r w:rsidR="007F550F" w:rsidRPr="00075DD2">
        <w:rPr>
          <w:color w:val="17365D"/>
        </w:rPr>
        <w:t>ā kopbudžeta finansiālā bilance bija</w:t>
      </w:r>
      <w:r w:rsidR="00C3005A" w:rsidRPr="00075DD2">
        <w:rPr>
          <w:color w:val="17365D"/>
        </w:rPr>
        <w:t xml:space="preserve"> </w:t>
      </w:r>
      <w:r w:rsidR="006D27FB" w:rsidRPr="00075DD2">
        <w:rPr>
          <w:color w:val="17365D"/>
        </w:rPr>
        <w:t xml:space="preserve">ar </w:t>
      </w:r>
      <w:r w:rsidR="00F04375" w:rsidRPr="00075DD2">
        <w:rPr>
          <w:color w:val="17365D"/>
        </w:rPr>
        <w:t>deficītu</w:t>
      </w:r>
      <w:r w:rsidR="006D27FB" w:rsidRPr="00075DD2">
        <w:rPr>
          <w:color w:val="17365D"/>
        </w:rPr>
        <w:t xml:space="preserve"> </w:t>
      </w:r>
      <w:r w:rsidR="00E91F1A" w:rsidRPr="00075DD2">
        <w:rPr>
          <w:color w:val="17365D"/>
        </w:rPr>
        <w:t>1</w:t>
      </w:r>
      <w:r w:rsidR="006B038B" w:rsidRPr="00075DD2">
        <w:rPr>
          <w:color w:val="17365D"/>
        </w:rPr>
        <w:t> 844,8</w:t>
      </w:r>
      <w:r w:rsidR="00BE6C38" w:rsidRPr="00075DD2">
        <w:rPr>
          <w:color w:val="17365D"/>
        </w:rPr>
        <w:t xml:space="preserve"> </w:t>
      </w:r>
      <w:r w:rsidR="007F550F" w:rsidRPr="00075DD2">
        <w:rPr>
          <w:color w:val="17365D"/>
        </w:rPr>
        <w:t>milj</w:t>
      </w:r>
      <w:r w:rsidR="00524F32" w:rsidRPr="00075DD2">
        <w:rPr>
          <w:color w:val="17365D"/>
        </w:rPr>
        <w:t>. </w:t>
      </w:r>
      <w:r w:rsidR="003E6E25" w:rsidRPr="00075DD2">
        <w:rPr>
          <w:i/>
          <w:color w:val="17365D"/>
        </w:rPr>
        <w:t>euro</w:t>
      </w:r>
      <w:r w:rsidR="007F550F" w:rsidRPr="00075DD2">
        <w:rPr>
          <w:color w:val="17365D"/>
        </w:rPr>
        <w:t>.</w:t>
      </w:r>
    </w:p>
    <w:p w14:paraId="775AD5BD" w14:textId="3E97622C" w:rsidR="00910F4F" w:rsidRPr="00075DD2" w:rsidRDefault="00E94AE1" w:rsidP="00910F4F">
      <w:pPr>
        <w:pStyle w:val="Pamatteksts"/>
        <w:ind w:right="2550" w:firstLine="0"/>
        <w:rPr>
          <w:color w:val="17365D"/>
        </w:rPr>
      </w:pPr>
      <w:r w:rsidRPr="00075DD2">
        <w:rPr>
          <w:color w:val="17365D"/>
        </w:rPr>
        <w:t xml:space="preserve">Konsolidētā kopbudžeta finansiālās bilances rezultāts pa gadiem </w:t>
      </w:r>
      <w:r w:rsidR="00431C69" w:rsidRPr="00075DD2">
        <w:rPr>
          <w:color w:val="17365D"/>
        </w:rPr>
        <w:t>attēlots</w:t>
      </w:r>
      <w:r w:rsidRPr="00075DD2">
        <w:rPr>
          <w:color w:val="17365D"/>
        </w:rPr>
        <w:t xml:space="preserve"> </w:t>
      </w:r>
      <w:r w:rsidR="002E5A76" w:rsidRPr="00075DD2">
        <w:rPr>
          <w:color w:val="17365D"/>
        </w:rPr>
        <w:t>8</w:t>
      </w:r>
      <w:r w:rsidRPr="00075DD2">
        <w:rPr>
          <w:color w:val="17365D"/>
        </w:rPr>
        <w:t>.</w:t>
      </w:r>
      <w:r w:rsidR="001F5461" w:rsidRPr="00075DD2">
        <w:rPr>
          <w:color w:val="17365D"/>
        </w:rPr>
        <w:t> attēlā.</w:t>
      </w:r>
      <w:r w:rsidR="00910F4F" w:rsidRPr="00075DD2">
        <w:rPr>
          <w:color w:val="17365D"/>
        </w:rPr>
        <w:t xml:space="preserve"> </w:t>
      </w:r>
    </w:p>
    <w:p w14:paraId="74A09D3E" w14:textId="59E02916" w:rsidR="00CE74A7" w:rsidRPr="00075DD2" w:rsidRDefault="005A4FF8" w:rsidP="00310BD1">
      <w:pPr>
        <w:pStyle w:val="Pamatteksts"/>
        <w:ind w:right="-2" w:firstLine="0"/>
        <w:jc w:val="center"/>
        <w:rPr>
          <w:color w:val="17365D"/>
        </w:rPr>
      </w:pPr>
      <w:r w:rsidRPr="005A4FF8">
        <w:rPr>
          <w:color w:val="17365D"/>
        </w:rPr>
        <w:drawing>
          <wp:inline distT="0" distB="0" distL="0" distR="0" wp14:anchorId="0795116E" wp14:editId="41420C5C">
            <wp:extent cx="5880100" cy="3057525"/>
            <wp:effectExtent l="0" t="0" r="635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EAD4EB3" w14:textId="3FAAA684" w:rsidR="007F550F" w:rsidRPr="00075DD2" w:rsidRDefault="002E5A76" w:rsidP="00BE6C38">
      <w:pPr>
        <w:pStyle w:val="Pamatteksts"/>
        <w:ind w:right="-2" w:firstLine="0"/>
        <w:jc w:val="center"/>
        <w:rPr>
          <w:i/>
          <w:color w:val="17365D"/>
          <w:sz w:val="20"/>
        </w:rPr>
      </w:pPr>
      <w:r w:rsidRPr="00075DD2">
        <w:rPr>
          <w:i/>
          <w:color w:val="17365D"/>
          <w:sz w:val="20"/>
        </w:rPr>
        <w:t>8</w:t>
      </w:r>
      <w:r w:rsidR="007F550F" w:rsidRPr="00075DD2">
        <w:rPr>
          <w:i/>
          <w:color w:val="17365D"/>
          <w:sz w:val="20"/>
        </w:rPr>
        <w:t>.</w:t>
      </w:r>
      <w:r w:rsidR="004834F6" w:rsidRPr="00075DD2">
        <w:rPr>
          <w:i/>
          <w:color w:val="17365D"/>
          <w:sz w:val="20"/>
        </w:rPr>
        <w:t> </w:t>
      </w:r>
      <w:r w:rsidR="007F550F" w:rsidRPr="00075DD2">
        <w:rPr>
          <w:i/>
          <w:color w:val="17365D"/>
          <w:sz w:val="20"/>
        </w:rPr>
        <w:t xml:space="preserve">attēls. </w:t>
      </w:r>
      <w:r w:rsidR="00E94AE1" w:rsidRPr="00075DD2">
        <w:rPr>
          <w:i/>
          <w:color w:val="17365D"/>
          <w:sz w:val="20"/>
        </w:rPr>
        <w:t>Konsolidētā</w:t>
      </w:r>
      <w:r w:rsidR="007F550F" w:rsidRPr="00075DD2">
        <w:rPr>
          <w:i/>
          <w:color w:val="17365D"/>
          <w:sz w:val="20"/>
        </w:rPr>
        <w:t xml:space="preserve"> kopbudžeta finansiālā bilance</w:t>
      </w:r>
      <w:r w:rsidR="002C6BA8" w:rsidRPr="00075DD2">
        <w:rPr>
          <w:i/>
          <w:color w:val="17365D"/>
          <w:sz w:val="20"/>
        </w:rPr>
        <w:t xml:space="preserve"> </w:t>
      </w:r>
      <w:r w:rsidR="001E61EC" w:rsidRPr="00075DD2">
        <w:rPr>
          <w:i/>
          <w:color w:val="17365D"/>
          <w:sz w:val="20"/>
        </w:rPr>
        <w:t>20</w:t>
      </w:r>
      <w:r w:rsidR="008B15CE" w:rsidRPr="00075DD2">
        <w:rPr>
          <w:i/>
          <w:color w:val="17365D"/>
          <w:sz w:val="20"/>
        </w:rPr>
        <w:t>1</w:t>
      </w:r>
      <w:r w:rsidR="006B038B" w:rsidRPr="00075DD2">
        <w:rPr>
          <w:i/>
          <w:color w:val="17365D"/>
          <w:sz w:val="20"/>
        </w:rPr>
        <w:t>2</w:t>
      </w:r>
      <w:r w:rsidR="001E61EC" w:rsidRPr="00075DD2">
        <w:rPr>
          <w:i/>
          <w:color w:val="17365D"/>
          <w:sz w:val="20"/>
        </w:rPr>
        <w:t>.</w:t>
      </w:r>
      <w:r w:rsidR="004834F6" w:rsidRPr="00075DD2">
        <w:rPr>
          <w:i/>
          <w:color w:val="17365D"/>
          <w:sz w:val="20"/>
        </w:rPr>
        <w:t> </w:t>
      </w:r>
      <w:r w:rsidR="001E61EC" w:rsidRPr="00075DD2">
        <w:rPr>
          <w:i/>
          <w:color w:val="17365D"/>
          <w:sz w:val="20"/>
        </w:rPr>
        <w:t xml:space="preserve">g. – </w:t>
      </w:r>
      <w:r w:rsidR="009027B2" w:rsidRPr="00075DD2">
        <w:rPr>
          <w:i/>
          <w:color w:val="17365D"/>
          <w:sz w:val="20"/>
        </w:rPr>
        <w:t>2022.</w:t>
      </w:r>
      <w:r w:rsidR="004834F6" w:rsidRPr="00075DD2">
        <w:rPr>
          <w:i/>
          <w:color w:val="17365D"/>
          <w:sz w:val="20"/>
        </w:rPr>
        <w:t> </w:t>
      </w:r>
      <w:r w:rsidR="001E61EC" w:rsidRPr="00075DD2">
        <w:rPr>
          <w:i/>
          <w:color w:val="17365D"/>
          <w:sz w:val="20"/>
        </w:rPr>
        <w:t>g</w:t>
      </w:r>
      <w:r w:rsidR="008B15CE" w:rsidRPr="00075DD2">
        <w:rPr>
          <w:i/>
          <w:color w:val="17365D"/>
          <w:sz w:val="20"/>
        </w:rPr>
        <w:t>.</w:t>
      </w:r>
      <w:r w:rsidR="001E61EC" w:rsidRPr="00075DD2">
        <w:rPr>
          <w:i/>
          <w:color w:val="17365D"/>
          <w:sz w:val="20"/>
        </w:rPr>
        <w:t xml:space="preserve"> </w:t>
      </w:r>
      <w:r w:rsidR="007F550F" w:rsidRPr="00075DD2">
        <w:rPr>
          <w:i/>
          <w:color w:val="17365D"/>
          <w:sz w:val="20"/>
        </w:rPr>
        <w:t>(milj.</w:t>
      </w:r>
      <w:r w:rsidR="004834F6" w:rsidRPr="00075DD2">
        <w:rPr>
          <w:i/>
          <w:color w:val="17365D"/>
          <w:sz w:val="20"/>
        </w:rPr>
        <w:t> </w:t>
      </w:r>
      <w:r w:rsidR="003E6E25" w:rsidRPr="00075DD2">
        <w:rPr>
          <w:i/>
          <w:color w:val="17365D"/>
          <w:sz w:val="20"/>
        </w:rPr>
        <w:t>euro</w:t>
      </w:r>
      <w:r w:rsidR="007F550F" w:rsidRPr="00075DD2">
        <w:rPr>
          <w:i/>
          <w:color w:val="17365D"/>
          <w:sz w:val="20"/>
        </w:rPr>
        <w:t>)</w:t>
      </w:r>
    </w:p>
    <w:p w14:paraId="7A262998" w14:textId="32C9A91C" w:rsidR="00D76AAA" w:rsidRDefault="002B1D81" w:rsidP="00D76AAA">
      <w:pPr>
        <w:pStyle w:val="Pamatteksts"/>
        <w:rPr>
          <w:color w:val="17365D"/>
        </w:rPr>
      </w:pPr>
      <w:r w:rsidRPr="00075DD2">
        <w:rPr>
          <w:color w:val="17365D"/>
        </w:rPr>
        <w:t>Konsolidētais kopbudžeta finansiāl</w:t>
      </w:r>
      <w:r w:rsidR="00FC2DD6" w:rsidRPr="00075DD2">
        <w:rPr>
          <w:color w:val="17365D"/>
        </w:rPr>
        <w:t>ās bilances</w:t>
      </w:r>
      <w:r w:rsidRPr="00075DD2">
        <w:rPr>
          <w:color w:val="17365D"/>
        </w:rPr>
        <w:t xml:space="preserve"> rezultāts veidojas no valsts budžeta finansiālā</w:t>
      </w:r>
      <w:r w:rsidR="00FC2DD6" w:rsidRPr="00075DD2">
        <w:rPr>
          <w:color w:val="17365D"/>
        </w:rPr>
        <w:t>s bilances</w:t>
      </w:r>
      <w:r w:rsidRPr="00075DD2">
        <w:rPr>
          <w:color w:val="17365D"/>
        </w:rPr>
        <w:t xml:space="preserve"> rezultāta, kas </w:t>
      </w:r>
      <w:r w:rsidR="009027B2" w:rsidRPr="00075DD2">
        <w:rPr>
          <w:color w:val="17365D"/>
        </w:rPr>
        <w:t>2022.</w:t>
      </w:r>
      <w:r w:rsidR="00101828" w:rsidRPr="00075DD2">
        <w:rPr>
          <w:color w:val="17365D"/>
        </w:rPr>
        <w:t> </w:t>
      </w:r>
      <w:r w:rsidRPr="00075DD2">
        <w:rPr>
          <w:color w:val="17365D"/>
        </w:rPr>
        <w:t xml:space="preserve">gadā ir deficīts </w:t>
      </w:r>
      <w:r w:rsidR="00E91F1A" w:rsidRPr="00075DD2">
        <w:rPr>
          <w:color w:val="17365D"/>
        </w:rPr>
        <w:t>1</w:t>
      </w:r>
      <w:r w:rsidR="006B038B" w:rsidRPr="00075DD2">
        <w:rPr>
          <w:color w:val="17365D"/>
        </w:rPr>
        <w:t> 486,8</w:t>
      </w:r>
      <w:r w:rsidR="00C646C5" w:rsidRPr="00075DD2">
        <w:rPr>
          <w:color w:val="17365D"/>
        </w:rPr>
        <w:t> </w:t>
      </w:r>
      <w:r w:rsidRPr="00075DD2">
        <w:rPr>
          <w:color w:val="17365D"/>
        </w:rPr>
        <w:t>milj.</w:t>
      </w:r>
      <w:r w:rsidR="005B70F0" w:rsidRPr="00075DD2">
        <w:rPr>
          <w:color w:val="17365D"/>
        </w:rPr>
        <w:t> </w:t>
      </w:r>
      <w:r w:rsidRPr="00075DD2">
        <w:rPr>
          <w:i/>
          <w:color w:val="17365D"/>
        </w:rPr>
        <w:t>euro</w:t>
      </w:r>
      <w:r w:rsidRPr="00075DD2">
        <w:rPr>
          <w:color w:val="17365D"/>
        </w:rPr>
        <w:t xml:space="preserve"> vērtībā</w:t>
      </w:r>
      <w:r w:rsidR="000F29B9" w:rsidRPr="00075DD2">
        <w:rPr>
          <w:color w:val="17365D"/>
        </w:rPr>
        <w:t>,</w:t>
      </w:r>
      <w:r w:rsidRPr="00075DD2">
        <w:rPr>
          <w:color w:val="17365D"/>
        </w:rPr>
        <w:t xml:space="preserve"> un pašvaldību budžeta finansiālā</w:t>
      </w:r>
      <w:r w:rsidR="00FC2DD6" w:rsidRPr="00075DD2">
        <w:rPr>
          <w:color w:val="17365D"/>
        </w:rPr>
        <w:t>s bilances</w:t>
      </w:r>
      <w:r w:rsidRPr="00075DD2">
        <w:rPr>
          <w:color w:val="17365D"/>
        </w:rPr>
        <w:t xml:space="preserve"> rezultāta, kas </w:t>
      </w:r>
      <w:r w:rsidR="009027B2" w:rsidRPr="00075DD2">
        <w:rPr>
          <w:color w:val="17365D"/>
        </w:rPr>
        <w:t>2022.</w:t>
      </w:r>
      <w:r w:rsidR="00101828" w:rsidRPr="00075DD2">
        <w:rPr>
          <w:color w:val="17365D"/>
        </w:rPr>
        <w:t> </w:t>
      </w:r>
      <w:r w:rsidRPr="00075DD2">
        <w:rPr>
          <w:color w:val="17365D"/>
        </w:rPr>
        <w:t xml:space="preserve">gadā ir </w:t>
      </w:r>
      <w:r w:rsidR="006B038B" w:rsidRPr="00075DD2">
        <w:rPr>
          <w:color w:val="17365D"/>
        </w:rPr>
        <w:t>pārpalikums</w:t>
      </w:r>
      <w:r w:rsidRPr="00075DD2">
        <w:rPr>
          <w:color w:val="17365D"/>
        </w:rPr>
        <w:t xml:space="preserve"> </w:t>
      </w:r>
      <w:r w:rsidR="006B038B" w:rsidRPr="00075DD2">
        <w:rPr>
          <w:color w:val="17365D"/>
        </w:rPr>
        <w:t>62,9</w:t>
      </w:r>
      <w:r w:rsidR="00C646C5" w:rsidRPr="00075DD2">
        <w:rPr>
          <w:color w:val="17365D"/>
        </w:rPr>
        <w:t> </w:t>
      </w:r>
      <w:r w:rsidRPr="00075DD2">
        <w:rPr>
          <w:color w:val="17365D"/>
        </w:rPr>
        <w:t>milj.</w:t>
      </w:r>
      <w:r w:rsidR="005B70F0" w:rsidRPr="00075DD2">
        <w:rPr>
          <w:color w:val="17365D"/>
        </w:rPr>
        <w:t> </w:t>
      </w:r>
      <w:r w:rsidRPr="00075DD2">
        <w:rPr>
          <w:i/>
          <w:color w:val="17365D"/>
        </w:rPr>
        <w:t>euro</w:t>
      </w:r>
      <w:r w:rsidRPr="00075DD2">
        <w:rPr>
          <w:color w:val="17365D"/>
        </w:rPr>
        <w:t xml:space="preserve"> vērtībā. K</w:t>
      </w:r>
      <w:r w:rsidR="00FC2DD6" w:rsidRPr="00075DD2">
        <w:rPr>
          <w:color w:val="17365D"/>
        </w:rPr>
        <w:t>onsolidētā kopbudžeta finansiālā</w:t>
      </w:r>
      <w:r w:rsidR="00101828" w:rsidRPr="00075DD2">
        <w:rPr>
          <w:color w:val="17365D"/>
        </w:rPr>
        <w:t>s</w:t>
      </w:r>
      <w:r w:rsidR="00FC2DD6" w:rsidRPr="00075DD2">
        <w:rPr>
          <w:color w:val="17365D"/>
        </w:rPr>
        <w:t xml:space="preserve"> bilance</w:t>
      </w:r>
      <w:r w:rsidR="00A2049A" w:rsidRPr="00075DD2">
        <w:rPr>
          <w:color w:val="17365D"/>
        </w:rPr>
        <w:t>s</w:t>
      </w:r>
      <w:r w:rsidRPr="00075DD2">
        <w:rPr>
          <w:color w:val="17365D"/>
        </w:rPr>
        <w:t xml:space="preserve"> ietekme no valsts budžeta un pašvaldību budžeta finansiālā</w:t>
      </w:r>
      <w:r w:rsidR="00FC2DD6" w:rsidRPr="00075DD2">
        <w:rPr>
          <w:color w:val="17365D"/>
        </w:rPr>
        <w:t xml:space="preserve">s bilances </w:t>
      </w:r>
      <w:r w:rsidRPr="00075DD2">
        <w:rPr>
          <w:color w:val="17365D"/>
        </w:rPr>
        <w:t>rezultāta</w:t>
      </w:r>
      <w:r w:rsidR="00A2049A" w:rsidRPr="00075DD2">
        <w:rPr>
          <w:color w:val="17365D"/>
        </w:rPr>
        <w:t xml:space="preserve"> pa gadiem</w:t>
      </w:r>
      <w:r w:rsidRPr="00075DD2">
        <w:rPr>
          <w:color w:val="17365D"/>
        </w:rPr>
        <w:t xml:space="preserve"> </w:t>
      </w:r>
      <w:r w:rsidR="007D5B3A" w:rsidRPr="00075DD2">
        <w:rPr>
          <w:color w:val="17365D"/>
        </w:rPr>
        <w:t>attēlota</w:t>
      </w:r>
      <w:r w:rsidRPr="00075DD2">
        <w:rPr>
          <w:color w:val="17365D"/>
        </w:rPr>
        <w:t xml:space="preserve"> </w:t>
      </w:r>
      <w:r w:rsidR="00EC585F" w:rsidRPr="00075DD2">
        <w:rPr>
          <w:color w:val="17365D"/>
        </w:rPr>
        <w:t>9</w:t>
      </w:r>
      <w:r w:rsidRPr="00075DD2">
        <w:rPr>
          <w:color w:val="17365D"/>
        </w:rPr>
        <w:t>.</w:t>
      </w:r>
      <w:r w:rsidR="00101828" w:rsidRPr="00075DD2">
        <w:rPr>
          <w:color w:val="17365D"/>
        </w:rPr>
        <w:t> </w:t>
      </w:r>
      <w:r w:rsidRPr="00075DD2">
        <w:rPr>
          <w:color w:val="17365D"/>
        </w:rPr>
        <w:t>attēlā.</w:t>
      </w:r>
    </w:p>
    <w:p w14:paraId="7D696B76" w14:textId="3E606B20" w:rsidR="005A4FF8" w:rsidRPr="00075DD2" w:rsidRDefault="005A4FF8" w:rsidP="005A4FF8">
      <w:pPr>
        <w:pStyle w:val="Pamatteksts"/>
        <w:ind w:firstLine="0"/>
        <w:rPr>
          <w:color w:val="17365D"/>
        </w:rPr>
      </w:pPr>
      <w:r>
        <w:drawing>
          <wp:inline distT="0" distB="0" distL="0" distR="0" wp14:anchorId="13FA7C26" wp14:editId="6826EE9A">
            <wp:extent cx="5947410" cy="347345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18E20CE" w14:textId="390F971E" w:rsidR="002B1D81" w:rsidRPr="00075DD2" w:rsidRDefault="00EC585F" w:rsidP="00E91F1A">
      <w:pPr>
        <w:pStyle w:val="Attlanosaukums"/>
        <w:ind w:right="-2" w:firstLine="0"/>
        <w:rPr>
          <w:color w:val="17365D"/>
        </w:rPr>
      </w:pPr>
      <w:r w:rsidRPr="00075DD2">
        <w:rPr>
          <w:color w:val="17365D"/>
        </w:rPr>
        <w:t>9</w:t>
      </w:r>
      <w:r w:rsidR="002B1D81" w:rsidRPr="00075DD2">
        <w:rPr>
          <w:color w:val="17365D"/>
        </w:rPr>
        <w:t>.attēls</w:t>
      </w:r>
      <w:r w:rsidR="00B85B39" w:rsidRPr="00075DD2">
        <w:rPr>
          <w:color w:val="17365D"/>
        </w:rPr>
        <w:t>.</w:t>
      </w:r>
      <w:r w:rsidR="002B1D81" w:rsidRPr="00075DD2">
        <w:rPr>
          <w:color w:val="17365D"/>
        </w:rPr>
        <w:t xml:space="preserve"> </w:t>
      </w:r>
      <w:r w:rsidR="000340FD" w:rsidRPr="00075DD2">
        <w:rPr>
          <w:color w:val="17365D"/>
        </w:rPr>
        <w:t>Valsts budžeta un pašvaldību budžet</w:t>
      </w:r>
      <w:r w:rsidR="002A47CF" w:rsidRPr="00075DD2">
        <w:rPr>
          <w:color w:val="17365D"/>
        </w:rPr>
        <w:t>u</w:t>
      </w:r>
      <w:r w:rsidR="000340FD" w:rsidRPr="00075DD2">
        <w:rPr>
          <w:color w:val="17365D"/>
        </w:rPr>
        <w:t xml:space="preserve"> finansiālais rezultāts</w:t>
      </w:r>
      <w:r w:rsidR="002B1D81" w:rsidRPr="00075DD2">
        <w:rPr>
          <w:color w:val="17365D"/>
        </w:rPr>
        <w:t xml:space="preserve"> 20</w:t>
      </w:r>
      <w:r w:rsidR="008B15CE" w:rsidRPr="00075DD2">
        <w:rPr>
          <w:color w:val="17365D"/>
        </w:rPr>
        <w:t>1</w:t>
      </w:r>
      <w:r w:rsidR="006B038B" w:rsidRPr="00075DD2">
        <w:rPr>
          <w:color w:val="17365D"/>
        </w:rPr>
        <w:t>2</w:t>
      </w:r>
      <w:r w:rsidR="002B1D81" w:rsidRPr="00075DD2">
        <w:rPr>
          <w:color w:val="17365D"/>
        </w:rPr>
        <w:t xml:space="preserve">. – </w:t>
      </w:r>
      <w:r w:rsidR="009027B2" w:rsidRPr="00075DD2">
        <w:rPr>
          <w:color w:val="17365D"/>
        </w:rPr>
        <w:t>2022.</w:t>
      </w:r>
      <w:r w:rsidR="00C646C5" w:rsidRPr="00075DD2">
        <w:rPr>
          <w:color w:val="17365D"/>
        </w:rPr>
        <w:t> </w:t>
      </w:r>
      <w:r w:rsidR="002B1D81" w:rsidRPr="00075DD2">
        <w:rPr>
          <w:color w:val="17365D"/>
        </w:rPr>
        <w:t>gadā (milj.</w:t>
      </w:r>
      <w:r w:rsidR="00C646C5" w:rsidRPr="00075DD2">
        <w:rPr>
          <w:color w:val="17365D"/>
        </w:rPr>
        <w:t> </w:t>
      </w:r>
      <w:r w:rsidR="002B1D81" w:rsidRPr="00075DD2">
        <w:rPr>
          <w:color w:val="17365D"/>
        </w:rPr>
        <w:t>euro)</w:t>
      </w:r>
    </w:p>
    <w:p w14:paraId="748D6A94" w14:textId="77777777" w:rsidR="000B0788" w:rsidRPr="00075DD2" w:rsidRDefault="000B0788" w:rsidP="000B0788">
      <w:pPr>
        <w:pStyle w:val="Heading1"/>
        <w:ind w:right="2550"/>
        <w:rPr>
          <w:rFonts w:cs="Times New Roman"/>
          <w:color w:val="17365D"/>
        </w:rPr>
      </w:pPr>
      <w:r w:rsidRPr="00075DD2">
        <w:rPr>
          <w:rFonts w:cs="Times New Roman"/>
          <w:color w:val="17365D"/>
        </w:rPr>
        <w:t>Konsolidācija</w:t>
      </w:r>
    </w:p>
    <w:p w14:paraId="703EB7C2" w14:textId="0FD7018C" w:rsidR="000B0788" w:rsidRPr="00075DD2" w:rsidRDefault="000B0788" w:rsidP="0096422D">
      <w:pPr>
        <w:pStyle w:val="Pamatteksts"/>
        <w:spacing w:after="0"/>
        <w:ind w:right="-2"/>
        <w:rPr>
          <w:color w:val="17365D"/>
        </w:rPr>
      </w:pPr>
      <w:r w:rsidRPr="00075DD2">
        <w:rPr>
          <w:color w:val="17365D"/>
        </w:rPr>
        <w:t xml:space="preserve">Konsolidētajā kopbudžeta izpildē iekļauj katras ministrijas, centrālās valsts iestādes pārskatu, kas iekļauj valsts budžeta iestāžu, no valsts budžeta daļēji finansētu atvasinātu publisku personu un budžeta nefinansētu iestāžu budžeta izpildes pārskatus, un pašvaldības pārskatu, kas iekļauj </w:t>
      </w:r>
      <w:r w:rsidRPr="00075DD2">
        <w:rPr>
          <w:color w:val="17365D"/>
          <w:spacing w:val="-4"/>
        </w:rPr>
        <w:t>pašvaldību budžeta iestāžu</w:t>
      </w:r>
      <w:r w:rsidRPr="00075DD2">
        <w:rPr>
          <w:color w:val="17365D"/>
        </w:rPr>
        <w:t xml:space="preserve"> un kopīgo iestāžu iesniegto budžeta izpildes pārskatu.</w:t>
      </w:r>
    </w:p>
    <w:p w14:paraId="200B154A" w14:textId="767460CE" w:rsidR="003B41BC" w:rsidRPr="00075DD2" w:rsidRDefault="003B41BC" w:rsidP="00E22538">
      <w:pPr>
        <w:ind w:firstLine="567"/>
        <w:jc w:val="both"/>
        <w:rPr>
          <w:noProof/>
          <w:color w:val="17365D"/>
          <w:lang w:eastAsia="lv-LV"/>
        </w:rPr>
      </w:pPr>
      <w:r w:rsidRPr="00075DD2">
        <w:rPr>
          <w:color w:val="17365D"/>
        </w:rPr>
        <w:t>Konsolidāciju veic, summējot visus pārskatos uzrādītos rādītājus un izslēdzot</w:t>
      </w:r>
      <w:r w:rsidR="001900CD" w:rsidRPr="00075DD2">
        <w:rPr>
          <w:color w:val="17365D"/>
        </w:rPr>
        <w:t xml:space="preserve"> izdevumu</w:t>
      </w:r>
      <w:r w:rsidR="007035C7" w:rsidRPr="00075DD2">
        <w:rPr>
          <w:color w:val="17365D"/>
        </w:rPr>
        <w:t xml:space="preserve"> summas</w:t>
      </w:r>
      <w:r w:rsidRPr="00075DD2">
        <w:rPr>
          <w:color w:val="17365D"/>
        </w:rPr>
        <w:t xml:space="preserve"> savstarpēji atbilstoš</w:t>
      </w:r>
      <w:r w:rsidR="007035C7" w:rsidRPr="00075DD2">
        <w:rPr>
          <w:color w:val="17365D"/>
        </w:rPr>
        <w:t>os</w:t>
      </w:r>
      <w:r w:rsidRPr="00075DD2">
        <w:rPr>
          <w:color w:val="17365D"/>
        </w:rPr>
        <w:t xml:space="preserve"> ieņēmumu posteņ</w:t>
      </w:r>
      <w:r w:rsidR="007035C7" w:rsidRPr="00075DD2">
        <w:rPr>
          <w:color w:val="17365D"/>
        </w:rPr>
        <w:t>os</w:t>
      </w:r>
      <w:r w:rsidRPr="00075DD2">
        <w:rPr>
          <w:color w:val="17365D"/>
        </w:rPr>
        <w:t>,</w:t>
      </w:r>
      <w:r w:rsidR="007035C7" w:rsidRPr="00075DD2">
        <w:rPr>
          <w:color w:val="17365D"/>
        </w:rPr>
        <w:t xml:space="preserve"> kā arī izslēdzot savstarpējos aizdevumus un aizņēmumus un naudas līdzekļu atlikumu izmaiņas Valsts kases kontos</w:t>
      </w:r>
      <w:r w:rsidR="00102CB1" w:rsidRPr="00075DD2">
        <w:rPr>
          <w:color w:val="17365D"/>
        </w:rPr>
        <w:t>, izslēdzot atbilstošo posteņu mazākās summas</w:t>
      </w:r>
      <w:r w:rsidRPr="00075DD2">
        <w:rPr>
          <w:color w:val="17365D"/>
        </w:rPr>
        <w:t>.</w:t>
      </w:r>
      <w:r w:rsidRPr="00075DD2">
        <w:rPr>
          <w:b/>
          <w:color w:val="17365D"/>
        </w:rPr>
        <w:t xml:space="preserve"> </w:t>
      </w:r>
      <w:r w:rsidR="00E22538" w:rsidRPr="00075DD2">
        <w:rPr>
          <w:noProof/>
          <w:color w:val="17365D"/>
          <w:lang w:eastAsia="lv-LV"/>
        </w:rPr>
        <w:t>Atšķirības starp darījuma partneru pārskatos uzrādītām savstarpēji atbilstošām pozīcijām galvenokārt veidojas, jo viens darījuma partneris veic budžeta izdevumus pārskata gada pēdējās darba dienās, bet otrs darījuma partneris naudas līdzekļus saņēmis nākamajā pārskata gadā.</w:t>
      </w:r>
    </w:p>
    <w:p w14:paraId="66365AE1" w14:textId="77777777" w:rsidR="006B038B" w:rsidRPr="00075DD2" w:rsidRDefault="006B038B" w:rsidP="00360C68">
      <w:pPr>
        <w:pStyle w:val="Pamatteksts"/>
        <w:spacing w:after="0"/>
        <w:ind w:right="-2"/>
        <w:rPr>
          <w:noProof w:val="0"/>
          <w:color w:val="17365D"/>
        </w:rPr>
      </w:pPr>
    </w:p>
    <w:p w14:paraId="6F8E2B49" w14:textId="1918C47B" w:rsidR="00360C68" w:rsidRPr="00075DD2" w:rsidRDefault="00360C68" w:rsidP="00360C68">
      <w:pPr>
        <w:pStyle w:val="Pamatteksts"/>
        <w:spacing w:after="0"/>
        <w:ind w:right="-2"/>
        <w:rPr>
          <w:noProof w:val="0"/>
          <w:color w:val="17365D"/>
        </w:rPr>
      </w:pPr>
      <w:r w:rsidRPr="00075DD2">
        <w:rPr>
          <w:noProof w:val="0"/>
          <w:color w:val="17365D"/>
        </w:rPr>
        <w:t xml:space="preserve">Konsolidējot starpbudžetu (valsts konsolidētais budžets un pašvaldību konsolidētais budžets) darījumus, izslēgtas šādas </w:t>
      </w:r>
      <w:r w:rsidRPr="00075DD2">
        <w:rPr>
          <w:color w:val="17365D"/>
        </w:rPr>
        <w:t xml:space="preserve">budžeta izpildes </w:t>
      </w:r>
      <w:r w:rsidRPr="00075DD2">
        <w:rPr>
          <w:noProof w:val="0"/>
          <w:color w:val="17365D"/>
        </w:rPr>
        <w:t>pozīcijas:</w:t>
      </w:r>
    </w:p>
    <w:p w14:paraId="05C1225A" w14:textId="22B0B14A" w:rsidR="00910F4F" w:rsidRPr="00075DD2" w:rsidRDefault="00360C68" w:rsidP="00360C68">
      <w:pPr>
        <w:pStyle w:val="Pamatteksts"/>
        <w:spacing w:after="0"/>
        <w:ind w:right="-2"/>
        <w:rPr>
          <w:color w:val="17365D"/>
        </w:rPr>
      </w:pPr>
      <w:r w:rsidRPr="00075DD2">
        <w:rPr>
          <w:color w:val="17365D"/>
        </w:rPr>
        <w:t xml:space="preserve"> </w:t>
      </w:r>
    </w:p>
    <w:p w14:paraId="2D9CB32B" w14:textId="232A98D4" w:rsidR="000B0788" w:rsidRPr="00075DD2" w:rsidRDefault="000B0788" w:rsidP="00293362">
      <w:pPr>
        <w:pStyle w:val="Pamatteksts"/>
        <w:spacing w:after="0"/>
        <w:ind w:right="2552" w:firstLine="0"/>
        <w:rPr>
          <w:color w:val="17365D"/>
        </w:rPr>
      </w:pPr>
      <w:r w:rsidRPr="00075DD2">
        <w:rPr>
          <w:b/>
          <w:color w:val="17365D"/>
        </w:rPr>
        <w:t>Ieņēmu</w:t>
      </w:r>
      <w:r w:rsidRPr="00075DD2">
        <w:rPr>
          <w:rStyle w:val="Heading2Char"/>
          <w:rFonts w:cs="Times New Roman"/>
          <w:color w:val="17365D"/>
        </w:rPr>
        <w:t>m</w:t>
      </w:r>
      <w:r w:rsidRPr="00075DD2">
        <w:rPr>
          <w:b/>
          <w:color w:val="17365D"/>
        </w:rPr>
        <w:t>i/ izdevumi</w:t>
      </w:r>
      <w:r w:rsidRPr="00075DD2">
        <w:rPr>
          <w:color w:val="17365D"/>
        </w:rPr>
        <w:t xml:space="preserve"> – </w:t>
      </w:r>
      <w:r w:rsidR="004529F8" w:rsidRPr="00075DD2">
        <w:rPr>
          <w:b/>
          <w:color w:val="17365D"/>
        </w:rPr>
        <w:t>1</w:t>
      </w:r>
      <w:r w:rsidR="006B038B" w:rsidRPr="00075DD2">
        <w:rPr>
          <w:b/>
          <w:color w:val="17365D"/>
        </w:rPr>
        <w:t> </w:t>
      </w:r>
      <w:r w:rsidR="004529F8" w:rsidRPr="00075DD2">
        <w:rPr>
          <w:b/>
          <w:color w:val="17365D"/>
        </w:rPr>
        <w:t>0</w:t>
      </w:r>
      <w:r w:rsidR="006B038B" w:rsidRPr="00075DD2">
        <w:rPr>
          <w:b/>
          <w:color w:val="17365D"/>
        </w:rPr>
        <w:t>91 565</w:t>
      </w:r>
      <w:r w:rsidR="004529F8" w:rsidRPr="00075DD2">
        <w:rPr>
          <w:b/>
          <w:color w:val="17365D"/>
        </w:rPr>
        <w:t xml:space="preserve"> </w:t>
      </w:r>
      <w:r w:rsidR="006B038B" w:rsidRPr="00075DD2">
        <w:rPr>
          <w:b/>
          <w:color w:val="17365D"/>
        </w:rPr>
        <w:t>611</w:t>
      </w:r>
      <w:r w:rsidRPr="00075DD2">
        <w:rPr>
          <w:color w:val="17365D"/>
        </w:rPr>
        <w:t> </w:t>
      </w:r>
      <w:r w:rsidRPr="00075DD2">
        <w:rPr>
          <w:i/>
          <w:color w:val="17365D"/>
        </w:rPr>
        <w:t>euro</w:t>
      </w:r>
      <w:r w:rsidRPr="00075DD2">
        <w:rPr>
          <w:color w:val="17365D"/>
        </w:rPr>
        <w:t xml:space="preserve"> vērtībā, t.sk.:</w:t>
      </w:r>
    </w:p>
    <w:p w14:paraId="6F924A4A" w14:textId="24A9FA53"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pakalpojumi (izdevumu ekonomiskās klasifikācijas kods (turpmāk – EKK</w:t>
      </w:r>
      <w:r w:rsidR="008346EA" w:rsidRPr="00075DD2">
        <w:rPr>
          <w:color w:val="17365D"/>
          <w:lang w:val="lv-LV"/>
        </w:rPr>
        <w:t>) 2200, ieņēmumu kodi</w:t>
      </w:r>
      <w:r w:rsidR="003602A5" w:rsidRPr="00075DD2">
        <w:rPr>
          <w:color w:val="17365D"/>
          <w:lang w:val="lv-LV"/>
        </w:rPr>
        <w:t xml:space="preserve"> </w:t>
      </w:r>
      <w:r w:rsidR="006B038B" w:rsidRPr="00075DD2">
        <w:rPr>
          <w:color w:val="17365D"/>
          <w:lang w:val="lv-LV"/>
        </w:rPr>
        <w:t>8.4.0.0.</w:t>
      </w:r>
      <w:r w:rsidRPr="00075DD2">
        <w:rPr>
          <w:color w:val="17365D"/>
          <w:lang w:val="lv-LV"/>
        </w:rPr>
        <w:t xml:space="preserve">) – </w:t>
      </w:r>
      <w:r w:rsidR="004529F8" w:rsidRPr="00075DD2">
        <w:rPr>
          <w:color w:val="17365D"/>
          <w:lang w:val="lv-LV"/>
        </w:rPr>
        <w:t>2</w:t>
      </w:r>
      <w:r w:rsidR="006B038B" w:rsidRPr="00075DD2">
        <w:rPr>
          <w:color w:val="17365D"/>
          <w:lang w:val="lv-LV"/>
        </w:rPr>
        <w:t> 167 628</w:t>
      </w:r>
      <w:r w:rsidRPr="00075DD2">
        <w:rPr>
          <w:color w:val="17365D"/>
          <w:lang w:val="lv-LV"/>
        </w:rPr>
        <w:t xml:space="preserve"> </w:t>
      </w:r>
      <w:r w:rsidRPr="00075DD2">
        <w:rPr>
          <w:i/>
          <w:color w:val="17365D"/>
          <w:lang w:val="lv-LV"/>
        </w:rPr>
        <w:t>euro</w:t>
      </w:r>
      <w:r w:rsidRPr="00075DD2">
        <w:rPr>
          <w:color w:val="17365D"/>
          <w:lang w:val="lv-LV"/>
        </w:rPr>
        <w:t xml:space="preserve"> vērtībā,</w:t>
      </w:r>
    </w:p>
    <w:p w14:paraId="5A38F8A2" w14:textId="47E8DA76"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 xml:space="preserve">pārējie procentu maksājumi (izdevumu EKK 4300, ieņēmumu kods 8.4.0.0.) – </w:t>
      </w:r>
      <w:r w:rsidR="006B038B" w:rsidRPr="00075DD2">
        <w:rPr>
          <w:color w:val="17365D"/>
          <w:lang w:val="lv-LV"/>
        </w:rPr>
        <w:t>4 875 016</w:t>
      </w:r>
      <w:r w:rsidRPr="00075DD2">
        <w:rPr>
          <w:color w:val="17365D"/>
          <w:lang w:val="lv-LV"/>
        </w:rPr>
        <w:t> </w:t>
      </w:r>
      <w:r w:rsidRPr="00075DD2">
        <w:rPr>
          <w:i/>
          <w:color w:val="17365D"/>
          <w:lang w:val="lv-LV"/>
        </w:rPr>
        <w:t>euro</w:t>
      </w:r>
      <w:r w:rsidRPr="00075DD2">
        <w:rPr>
          <w:color w:val="17365D"/>
          <w:lang w:val="lv-LV"/>
        </w:rPr>
        <w:t xml:space="preserve"> vērtībā,</w:t>
      </w:r>
    </w:p>
    <w:p w14:paraId="56A75384" w14:textId="086D7C5C"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pašvaldību uzturēšanas izdevumu transferti valsts budžeta iestādēm (izdevumu EKK 7200, ieņēmumu kodi</w:t>
      </w:r>
      <w:r w:rsidR="008346EA" w:rsidRPr="00075DD2">
        <w:rPr>
          <w:color w:val="17365D"/>
          <w:lang w:val="lv-LV"/>
        </w:rPr>
        <w:t xml:space="preserve"> </w:t>
      </w:r>
      <w:r w:rsidR="00F9747D" w:rsidRPr="00075DD2">
        <w:rPr>
          <w:color w:val="17365D"/>
          <w:lang w:val="lv-LV"/>
        </w:rPr>
        <w:t xml:space="preserve">12.3.0.0., </w:t>
      </w:r>
      <w:r w:rsidR="008346EA" w:rsidRPr="00075DD2">
        <w:rPr>
          <w:color w:val="17365D"/>
          <w:lang w:val="lv-LV"/>
        </w:rPr>
        <w:t>19.5.0.0.</w:t>
      </w:r>
      <w:r w:rsidR="004529F8" w:rsidRPr="00075DD2">
        <w:rPr>
          <w:color w:val="17365D"/>
          <w:lang w:val="lv-LV"/>
        </w:rPr>
        <w:t>, 19.7.0.0.</w:t>
      </w:r>
      <w:r w:rsidR="006B038B" w:rsidRPr="00075DD2">
        <w:rPr>
          <w:color w:val="17365D"/>
          <w:lang w:val="lv-LV"/>
        </w:rPr>
        <w:t>, 21.3.0.0.</w:t>
      </w:r>
      <w:r w:rsidRPr="00075DD2">
        <w:rPr>
          <w:color w:val="17365D"/>
          <w:lang w:val="lv-LV"/>
        </w:rPr>
        <w:t xml:space="preserve">) – </w:t>
      </w:r>
      <w:r w:rsidR="006B038B" w:rsidRPr="00075DD2">
        <w:rPr>
          <w:color w:val="17365D"/>
          <w:lang w:val="lv-LV"/>
        </w:rPr>
        <w:t>4 063 262</w:t>
      </w:r>
      <w:r w:rsidR="003A4F35" w:rsidRPr="00075DD2">
        <w:rPr>
          <w:color w:val="17365D"/>
          <w:lang w:val="lv-LV"/>
        </w:rPr>
        <w:t> </w:t>
      </w:r>
      <w:r w:rsidRPr="00075DD2">
        <w:rPr>
          <w:i/>
          <w:color w:val="17365D"/>
          <w:lang w:val="lv-LV"/>
        </w:rPr>
        <w:t>euro</w:t>
      </w:r>
      <w:r w:rsidRPr="00075DD2">
        <w:rPr>
          <w:color w:val="17365D"/>
          <w:lang w:val="lv-LV"/>
        </w:rPr>
        <w:t xml:space="preserve"> vērtībā,</w:t>
      </w:r>
    </w:p>
    <w:p w14:paraId="6C3BC1AC" w14:textId="0CE9BB86"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 xml:space="preserve">valsts budžeta uzturēšanas izdevumu transferti citiem budžetiem noteiktam mērķim (izdevumu EKK 7300, ieņēmumu kods 18.6.0.0.) – </w:t>
      </w:r>
      <w:r w:rsidR="006B038B" w:rsidRPr="00075DD2">
        <w:rPr>
          <w:color w:val="17365D"/>
          <w:lang w:val="lv-LV"/>
        </w:rPr>
        <w:t>26 394 783</w:t>
      </w:r>
      <w:r w:rsidRPr="00075DD2">
        <w:rPr>
          <w:color w:val="17365D"/>
          <w:lang w:val="lv-LV"/>
        </w:rPr>
        <w:t> </w:t>
      </w:r>
      <w:r w:rsidRPr="00075DD2">
        <w:rPr>
          <w:i/>
          <w:color w:val="17365D"/>
          <w:lang w:val="lv-LV"/>
        </w:rPr>
        <w:t>euro</w:t>
      </w:r>
      <w:r w:rsidRPr="00075DD2">
        <w:rPr>
          <w:color w:val="17365D"/>
          <w:lang w:val="lv-LV"/>
        </w:rPr>
        <w:t xml:space="preserve"> vērtībā,</w:t>
      </w:r>
    </w:p>
    <w:p w14:paraId="4B81D1B4" w14:textId="7E53A3B8" w:rsidR="000B0788" w:rsidRPr="00075DD2" w:rsidRDefault="000B0788" w:rsidP="002851F8">
      <w:pPr>
        <w:pStyle w:val="BodyTextIndent"/>
        <w:numPr>
          <w:ilvl w:val="0"/>
          <w:numId w:val="37"/>
        </w:numPr>
        <w:tabs>
          <w:tab w:val="clear" w:pos="1440"/>
        </w:tabs>
        <w:ind w:left="992" w:hanging="425"/>
        <w:jc w:val="both"/>
        <w:rPr>
          <w:color w:val="17365D"/>
          <w:lang w:val="lv-LV"/>
        </w:rPr>
      </w:pPr>
      <w:r w:rsidRPr="00075DD2">
        <w:rPr>
          <w:color w:val="17365D"/>
          <w:lang w:val="lv-LV"/>
        </w:rPr>
        <w:t>pārējie valsts budžeta uzturēšanas izdevumu transferti citiem budžetiem (izdevumu EKK 7400, ieņēmumu kods 18.6.0.0.</w:t>
      </w:r>
      <w:r w:rsidR="0002463E" w:rsidRPr="00075DD2">
        <w:rPr>
          <w:color w:val="17365D"/>
          <w:lang w:val="lv-LV"/>
        </w:rPr>
        <w:t>, 21.3.0.0.</w:t>
      </w:r>
      <w:r w:rsidRPr="00075DD2">
        <w:rPr>
          <w:color w:val="17365D"/>
          <w:lang w:val="lv-LV"/>
        </w:rPr>
        <w:t xml:space="preserve">) – </w:t>
      </w:r>
      <w:r w:rsidR="006B038B" w:rsidRPr="00075DD2">
        <w:rPr>
          <w:color w:val="17365D"/>
          <w:lang w:val="lv-LV"/>
        </w:rPr>
        <w:t>886 214 359</w:t>
      </w:r>
      <w:r w:rsidRPr="00075DD2">
        <w:rPr>
          <w:color w:val="17365D"/>
          <w:lang w:val="lv-LV"/>
        </w:rPr>
        <w:t> </w:t>
      </w:r>
      <w:r w:rsidRPr="00075DD2">
        <w:rPr>
          <w:i/>
          <w:color w:val="17365D"/>
          <w:lang w:val="lv-LV"/>
        </w:rPr>
        <w:t>euro</w:t>
      </w:r>
      <w:r w:rsidRPr="00075DD2">
        <w:rPr>
          <w:color w:val="17365D"/>
          <w:lang w:val="lv-LV"/>
        </w:rPr>
        <w:t xml:space="preserve"> vērtībā,</w:t>
      </w:r>
    </w:p>
    <w:p w14:paraId="4E56C7B9" w14:textId="519A915F" w:rsidR="000B0788" w:rsidRPr="00075DD2" w:rsidRDefault="000B0788" w:rsidP="002851F8">
      <w:pPr>
        <w:pStyle w:val="BodyTextIndent"/>
        <w:numPr>
          <w:ilvl w:val="0"/>
          <w:numId w:val="37"/>
        </w:numPr>
        <w:tabs>
          <w:tab w:val="clear" w:pos="1440"/>
        </w:tabs>
        <w:ind w:left="992" w:hanging="425"/>
        <w:jc w:val="both"/>
        <w:rPr>
          <w:color w:val="17365D"/>
          <w:lang w:val="lv-LV"/>
        </w:rPr>
      </w:pPr>
      <w:r w:rsidRPr="00075DD2">
        <w:rPr>
          <w:color w:val="17365D"/>
          <w:lang w:val="lv-LV"/>
        </w:rPr>
        <w:t>no valsts budžeta daļēji finansētu atvasināt</w:t>
      </w:r>
      <w:r w:rsidR="00101828" w:rsidRPr="00075DD2">
        <w:rPr>
          <w:color w:val="17365D"/>
          <w:lang w:val="lv-LV"/>
        </w:rPr>
        <w:t>u</w:t>
      </w:r>
      <w:r w:rsidRPr="00075DD2">
        <w:rPr>
          <w:color w:val="17365D"/>
          <w:lang w:val="lv-LV"/>
        </w:rPr>
        <w:t xml:space="preserve"> publisk</w:t>
      </w:r>
      <w:r w:rsidR="00101828" w:rsidRPr="00075DD2">
        <w:rPr>
          <w:color w:val="17365D"/>
          <w:lang w:val="lv-LV"/>
        </w:rPr>
        <w:t>u</w:t>
      </w:r>
      <w:r w:rsidRPr="00075DD2">
        <w:rPr>
          <w:color w:val="17365D"/>
          <w:lang w:val="lv-LV"/>
        </w:rPr>
        <w:t xml:space="preserve"> personu un budžeta nefinansētu iestāžu uzturēšanas izdevumu transferti pašvaldībām (izdevumu EKK 7800, ieņēmumu kods 17.2.0.0.</w:t>
      </w:r>
      <w:r w:rsidR="0078422B" w:rsidRPr="00075DD2">
        <w:rPr>
          <w:color w:val="17365D"/>
          <w:lang w:val="lv-LV"/>
        </w:rPr>
        <w:t>)</w:t>
      </w:r>
      <w:r w:rsidR="0002463E" w:rsidRPr="00075DD2">
        <w:rPr>
          <w:color w:val="17365D"/>
          <w:lang w:val="lv-LV"/>
        </w:rPr>
        <w:t xml:space="preserve"> </w:t>
      </w:r>
      <w:r w:rsidRPr="00075DD2">
        <w:rPr>
          <w:color w:val="17365D"/>
          <w:lang w:val="lv-LV"/>
        </w:rPr>
        <w:t xml:space="preserve">– </w:t>
      </w:r>
      <w:r w:rsidR="006B038B" w:rsidRPr="00075DD2">
        <w:rPr>
          <w:color w:val="17365D"/>
          <w:lang w:val="lv-LV"/>
        </w:rPr>
        <w:t>9 920 731</w:t>
      </w:r>
      <w:r w:rsidRPr="00075DD2">
        <w:rPr>
          <w:color w:val="17365D"/>
          <w:lang w:val="lv-LV"/>
        </w:rPr>
        <w:t> </w:t>
      </w:r>
      <w:r w:rsidRPr="00075DD2">
        <w:rPr>
          <w:i/>
          <w:color w:val="17365D"/>
          <w:lang w:val="lv-LV"/>
        </w:rPr>
        <w:t>euro</w:t>
      </w:r>
      <w:r w:rsidRPr="00075DD2">
        <w:rPr>
          <w:color w:val="17365D"/>
          <w:lang w:val="lv-LV"/>
        </w:rPr>
        <w:t xml:space="preserve"> vērtībā, </w:t>
      </w:r>
    </w:p>
    <w:p w14:paraId="7238DC2C" w14:textId="30864125"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 xml:space="preserve">pašvaldību kapitālo izdevumu transferti (izdevumu EKK 9200, ieņēmumu kodi </w:t>
      </w:r>
      <w:r w:rsidR="008346EA" w:rsidRPr="00075DD2">
        <w:rPr>
          <w:color w:val="17365D"/>
          <w:lang w:val="lv-LV"/>
        </w:rPr>
        <w:t>1</w:t>
      </w:r>
      <w:r w:rsidRPr="00075DD2">
        <w:rPr>
          <w:color w:val="17365D"/>
          <w:lang w:val="lv-LV"/>
        </w:rPr>
        <w:t xml:space="preserve">9.5.0.0., </w:t>
      </w:r>
      <w:r w:rsidR="0047216D" w:rsidRPr="00075DD2">
        <w:rPr>
          <w:color w:val="17365D"/>
          <w:lang w:val="lv-LV"/>
        </w:rPr>
        <w:t>19.7.0.0.</w:t>
      </w:r>
      <w:r w:rsidRPr="00075DD2">
        <w:rPr>
          <w:color w:val="17365D"/>
          <w:lang w:val="lv-LV"/>
        </w:rPr>
        <w:t xml:space="preserve">) – </w:t>
      </w:r>
      <w:r w:rsidR="004529F8" w:rsidRPr="00075DD2">
        <w:rPr>
          <w:color w:val="17365D"/>
          <w:lang w:val="lv-LV"/>
        </w:rPr>
        <w:t>1</w:t>
      </w:r>
      <w:r w:rsidR="0002463E" w:rsidRPr="00075DD2">
        <w:rPr>
          <w:color w:val="17365D"/>
          <w:lang w:val="lv-LV"/>
        </w:rPr>
        <w:t> 001 594</w:t>
      </w:r>
      <w:r w:rsidRPr="00075DD2">
        <w:rPr>
          <w:color w:val="17365D"/>
          <w:lang w:val="lv-LV"/>
        </w:rPr>
        <w:t> </w:t>
      </w:r>
      <w:r w:rsidRPr="00075DD2">
        <w:rPr>
          <w:i/>
          <w:color w:val="17365D"/>
          <w:lang w:val="lv-LV"/>
        </w:rPr>
        <w:t>euro</w:t>
      </w:r>
      <w:r w:rsidRPr="00075DD2">
        <w:rPr>
          <w:color w:val="17365D"/>
          <w:lang w:val="lv-LV"/>
        </w:rPr>
        <w:t xml:space="preserve"> vērtībā,</w:t>
      </w:r>
    </w:p>
    <w:p w14:paraId="0A636745" w14:textId="2FAD1974"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 xml:space="preserve">valsts budžeta transferti kapitālajiem izdevumiem citiem budžetiem noteiktam mērķim (izdevumu EKK 9500, ieņēmumu kods 18.6.0.0.) – </w:t>
      </w:r>
      <w:r w:rsidR="0002463E" w:rsidRPr="00075DD2">
        <w:rPr>
          <w:color w:val="17365D"/>
          <w:lang w:val="lv-LV"/>
        </w:rPr>
        <w:t>79 582 841</w:t>
      </w:r>
      <w:r w:rsidRPr="00075DD2">
        <w:rPr>
          <w:color w:val="17365D"/>
          <w:lang w:val="lv-LV"/>
        </w:rPr>
        <w:t xml:space="preserve"> </w:t>
      </w:r>
      <w:r w:rsidRPr="00075DD2">
        <w:rPr>
          <w:i/>
          <w:color w:val="17365D"/>
          <w:lang w:val="lv-LV"/>
        </w:rPr>
        <w:t>euro</w:t>
      </w:r>
      <w:r w:rsidRPr="00075DD2">
        <w:rPr>
          <w:color w:val="17365D"/>
          <w:lang w:val="lv-LV"/>
        </w:rPr>
        <w:t xml:space="preserve"> vērtībā</w:t>
      </w:r>
      <w:r w:rsidR="00431C69" w:rsidRPr="00075DD2">
        <w:rPr>
          <w:color w:val="17365D"/>
          <w:lang w:val="lv-LV"/>
        </w:rPr>
        <w:t>,</w:t>
      </w:r>
    </w:p>
    <w:p w14:paraId="227D691B" w14:textId="5F45C9AA" w:rsidR="000B0788" w:rsidRPr="00075DD2" w:rsidRDefault="000B0788" w:rsidP="002851F8">
      <w:pPr>
        <w:pStyle w:val="BodyTextIndent"/>
        <w:numPr>
          <w:ilvl w:val="0"/>
          <w:numId w:val="37"/>
        </w:numPr>
        <w:tabs>
          <w:tab w:val="clear" w:pos="1440"/>
        </w:tabs>
        <w:ind w:left="992" w:right="-2" w:hanging="425"/>
        <w:jc w:val="both"/>
        <w:rPr>
          <w:color w:val="17365D"/>
          <w:lang w:val="lv-LV"/>
        </w:rPr>
      </w:pPr>
      <w:r w:rsidRPr="00075DD2">
        <w:rPr>
          <w:color w:val="17365D"/>
          <w:lang w:val="lv-LV"/>
        </w:rPr>
        <w:t xml:space="preserve">pārējie valsts budžeta kapitālo izdevumu transferti citiem budžetiem (izdevumu EKK 9700, ieņēmumu kods 18.6.0.0.) – </w:t>
      </w:r>
      <w:r w:rsidR="0002463E" w:rsidRPr="00075DD2">
        <w:rPr>
          <w:color w:val="17365D"/>
          <w:lang w:val="lv-LV"/>
        </w:rPr>
        <w:t>77 345 397</w:t>
      </w:r>
      <w:r w:rsidRPr="00075DD2">
        <w:rPr>
          <w:color w:val="17365D"/>
          <w:lang w:val="lv-LV"/>
        </w:rPr>
        <w:t xml:space="preserve"> </w:t>
      </w:r>
      <w:r w:rsidRPr="00075DD2">
        <w:rPr>
          <w:i/>
          <w:color w:val="17365D"/>
          <w:lang w:val="lv-LV"/>
        </w:rPr>
        <w:t>euro</w:t>
      </w:r>
      <w:r w:rsidR="001B062C" w:rsidRPr="00075DD2">
        <w:rPr>
          <w:color w:val="17365D"/>
          <w:lang w:val="lv-LV"/>
        </w:rPr>
        <w:t xml:space="preserve"> vērtībā;</w:t>
      </w:r>
    </w:p>
    <w:p w14:paraId="13B305CB" w14:textId="77777777" w:rsidR="002851F8" w:rsidRPr="00075DD2" w:rsidRDefault="002851F8" w:rsidP="002851F8">
      <w:pPr>
        <w:pStyle w:val="Heading2"/>
        <w:spacing w:before="0" w:after="0"/>
        <w:ind w:right="-2"/>
        <w:rPr>
          <w:rFonts w:cs="Times New Roman"/>
          <w:color w:val="17365D"/>
        </w:rPr>
      </w:pPr>
    </w:p>
    <w:p w14:paraId="4035FCA3" w14:textId="65734F38" w:rsidR="000B0788" w:rsidRPr="00075DD2" w:rsidRDefault="0047216D" w:rsidP="006A23C0">
      <w:pPr>
        <w:pStyle w:val="Pamatteksts"/>
        <w:rPr>
          <w:color w:val="17365D"/>
        </w:rPr>
      </w:pPr>
      <w:r w:rsidRPr="00075DD2">
        <w:rPr>
          <w:b/>
          <w:color w:val="17365D"/>
        </w:rPr>
        <w:t>Finansēšana</w:t>
      </w:r>
      <w:r w:rsidRPr="00075DD2">
        <w:rPr>
          <w:color w:val="17365D"/>
        </w:rPr>
        <w:t xml:space="preserve">, </w:t>
      </w:r>
      <w:r w:rsidR="000B0788" w:rsidRPr="00075DD2">
        <w:rPr>
          <w:color w:val="17365D"/>
        </w:rPr>
        <w:t>t.sk.:</w:t>
      </w:r>
    </w:p>
    <w:p w14:paraId="7229CC28" w14:textId="6089183C" w:rsidR="000B0788" w:rsidRPr="00075DD2" w:rsidRDefault="000B0788" w:rsidP="002851F8">
      <w:pPr>
        <w:pStyle w:val="BodyTextIndent"/>
        <w:numPr>
          <w:ilvl w:val="0"/>
          <w:numId w:val="37"/>
        </w:numPr>
        <w:tabs>
          <w:tab w:val="clear" w:pos="1440"/>
        </w:tabs>
        <w:ind w:left="993" w:hanging="426"/>
        <w:jc w:val="both"/>
        <w:rPr>
          <w:color w:val="17365D"/>
          <w:lang w:val="lv-LV"/>
        </w:rPr>
      </w:pPr>
      <w:r w:rsidRPr="00075DD2">
        <w:rPr>
          <w:color w:val="17365D"/>
          <w:lang w:val="lv-LV"/>
        </w:rPr>
        <w:t>naudas līdzekļi un noguldījumi (kods F20010000/ F20020000) – </w:t>
      </w:r>
      <w:r w:rsidR="0002463E" w:rsidRPr="00075DD2">
        <w:rPr>
          <w:color w:val="17365D"/>
          <w:lang w:val="lv-LV"/>
        </w:rPr>
        <w:t>14 405 933</w:t>
      </w:r>
      <w:r w:rsidRPr="00075DD2">
        <w:rPr>
          <w:color w:val="17365D"/>
          <w:lang w:val="lv-LV"/>
        </w:rPr>
        <w:t> </w:t>
      </w:r>
      <w:r w:rsidRPr="00075DD2">
        <w:rPr>
          <w:i/>
          <w:color w:val="17365D"/>
          <w:lang w:val="lv-LV"/>
        </w:rPr>
        <w:t>euro</w:t>
      </w:r>
      <w:r w:rsidRPr="00075DD2">
        <w:rPr>
          <w:color w:val="17365D"/>
          <w:lang w:val="lv-LV"/>
        </w:rPr>
        <w:t xml:space="preserve"> vērtībā,</w:t>
      </w:r>
    </w:p>
    <w:p w14:paraId="488A1DA8" w14:textId="26717BE6" w:rsidR="000B0788" w:rsidRPr="00075DD2" w:rsidRDefault="000B0788" w:rsidP="002851F8">
      <w:pPr>
        <w:pStyle w:val="BodyTextIndent"/>
        <w:numPr>
          <w:ilvl w:val="0"/>
          <w:numId w:val="37"/>
        </w:numPr>
        <w:tabs>
          <w:tab w:val="clear" w:pos="1440"/>
        </w:tabs>
        <w:ind w:left="993" w:hanging="426"/>
        <w:jc w:val="both"/>
        <w:rPr>
          <w:color w:val="17365D"/>
          <w:lang w:val="lv-LV"/>
        </w:rPr>
      </w:pPr>
      <w:r w:rsidRPr="00075DD2">
        <w:rPr>
          <w:color w:val="17365D"/>
          <w:lang w:val="lv-LV"/>
        </w:rPr>
        <w:t xml:space="preserve">aizņēmumi/ aizdevumi (kods F40010000/ F40020000) – </w:t>
      </w:r>
      <w:r w:rsidR="0002463E" w:rsidRPr="00075DD2">
        <w:rPr>
          <w:color w:val="17365D"/>
          <w:lang w:val="lv-LV"/>
        </w:rPr>
        <w:t>118 122 681</w:t>
      </w:r>
      <w:r w:rsidRPr="00075DD2">
        <w:rPr>
          <w:color w:val="17365D"/>
          <w:lang w:val="lv-LV"/>
        </w:rPr>
        <w:t> </w:t>
      </w:r>
      <w:r w:rsidRPr="00075DD2">
        <w:rPr>
          <w:i/>
          <w:color w:val="17365D"/>
          <w:lang w:val="lv-LV"/>
        </w:rPr>
        <w:t>euro</w:t>
      </w:r>
      <w:r w:rsidRPr="00075DD2">
        <w:rPr>
          <w:color w:val="17365D"/>
          <w:lang w:val="lv-LV"/>
        </w:rPr>
        <w:t xml:space="preserve"> </w:t>
      </w:r>
      <w:r w:rsidR="00431C69" w:rsidRPr="00075DD2">
        <w:rPr>
          <w:color w:val="17365D"/>
          <w:lang w:val="lv-LV"/>
        </w:rPr>
        <w:t>vērtībā.</w:t>
      </w:r>
    </w:p>
    <w:p w14:paraId="36C740BB" w14:textId="77777777" w:rsidR="00205AEC" w:rsidRPr="00075DD2" w:rsidRDefault="00205AEC" w:rsidP="00205AEC">
      <w:pPr>
        <w:pStyle w:val="BodyTextIndent"/>
        <w:ind w:left="851" w:firstLine="0"/>
        <w:jc w:val="both"/>
        <w:rPr>
          <w:color w:val="17365D"/>
          <w:lang w:val="lv-LV"/>
        </w:rPr>
      </w:pPr>
    </w:p>
    <w:p w14:paraId="75A08B12" w14:textId="138C7080" w:rsidR="00E94AE1" w:rsidRPr="00075DD2" w:rsidRDefault="00E341DB" w:rsidP="00F33F0F">
      <w:pPr>
        <w:pStyle w:val="Pamatteksts"/>
        <w:ind w:right="2550"/>
        <w:rPr>
          <w:color w:val="17365D"/>
        </w:rPr>
      </w:pPr>
      <w:r w:rsidRPr="00075DD2">
        <w:rPr>
          <w:b/>
          <w:color w:val="17365D"/>
        </w:rPr>
        <mc:AlternateContent>
          <mc:Choice Requires="wps">
            <w:drawing>
              <wp:anchor distT="0" distB="0" distL="114300" distR="114300" simplePos="0" relativeHeight="251746304" behindDoc="0" locked="0" layoutInCell="1" allowOverlap="1" wp14:anchorId="1CF1506D" wp14:editId="6D33B0A8">
                <wp:simplePos x="0" y="0"/>
                <wp:positionH relativeFrom="column">
                  <wp:posOffset>4324350</wp:posOffset>
                </wp:positionH>
                <wp:positionV relativeFrom="paragraph">
                  <wp:posOffset>29210</wp:posOffset>
                </wp:positionV>
                <wp:extent cx="1616075" cy="937895"/>
                <wp:effectExtent l="0" t="0" r="22225" b="14605"/>
                <wp:wrapSquare wrapText="bothSides"/>
                <wp:docPr id="103" name="Rectangle 103"/>
                <wp:cNvGraphicFramePr/>
                <a:graphic xmlns:a="http://schemas.openxmlformats.org/drawingml/2006/main">
                  <a:graphicData uri="http://schemas.microsoft.com/office/word/2010/wordprocessingShape">
                    <wps:wsp>
                      <wps:cNvSpPr/>
                      <wps:spPr>
                        <a:xfrm>
                          <a:off x="0" y="0"/>
                          <a:ext cx="1616075" cy="937895"/>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3D8FB24A" w14:textId="77777777" w:rsidR="00BC662D" w:rsidRPr="008E1791" w:rsidRDefault="00E341DB" w:rsidP="00E341DB">
                            <w:pPr>
                              <w:jc w:val="center"/>
                              <w:rPr>
                                <w:color w:val="17365D"/>
                              </w:rPr>
                            </w:pPr>
                            <w:r w:rsidRPr="008E1791">
                              <w:rPr>
                                <w:color w:val="17365D"/>
                              </w:rPr>
                              <w:t>Pielikumi ir pārskata neatņemama sastāvdaļa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1506D" id="Rectangle 103" o:spid="_x0000_s1036" style="position:absolute;left:0;text-align:left;margin-left:340.5pt;margin-top:2.3pt;width:127.25pt;height:73.8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" fillcolor="white [3201]" strokecolor="#17365d" strokeweight="2pt">
                <v:stroke dashstyle="1 1"/>
                <v:textbox>
                  <w:txbxContent>
                    <w:p w14:paraId="3D8FB24A" w14:textId="77777777" w:rsidR="00BC662D" w:rsidRPr="008E1791" w:rsidRDefault="00E341DB" w:rsidP="00E341DB">
                      <w:pPr>
                        <w:jc w:val="center"/>
                        <w:rPr>
                          <w:color w:val="17365D"/>
                        </w:rPr>
                      </w:pPr>
                      <w:r w:rsidRPr="008E1791">
                        <w:rPr>
                          <w:color w:val="17365D"/>
                        </w:rPr>
                        <w:t>Pielikumi ir pārskata neatņemama sastāvdaļa</w:t>
                      </w:r>
                    </w:p>
                  </w:txbxContent>
                </v:textbox>
                <w10:wrap type="square"/>
              </v:rect>
            </w:pict>
          </mc:Fallback>
        </mc:AlternateContent>
      </w:r>
      <w:r w:rsidR="00E94AE1" w:rsidRPr="00075DD2">
        <w:rPr>
          <w:color w:val="17365D"/>
        </w:rPr>
        <w:t xml:space="preserve">Gada pārskata </w:t>
      </w:r>
      <w:r w:rsidR="009F1160" w:rsidRPr="00075DD2">
        <w:rPr>
          <w:color w:val="17365D"/>
        </w:rPr>
        <w:t>3</w:t>
      </w:r>
      <w:r w:rsidR="00E94AE1" w:rsidRPr="00075DD2">
        <w:rPr>
          <w:color w:val="17365D"/>
        </w:rPr>
        <w:t>.</w:t>
      </w:r>
      <w:r w:rsidR="001F5461" w:rsidRPr="00075DD2">
        <w:rPr>
          <w:color w:val="17365D"/>
        </w:rPr>
        <w:t> </w:t>
      </w:r>
      <w:r w:rsidR="00E94AE1" w:rsidRPr="00075DD2">
        <w:rPr>
          <w:color w:val="17365D"/>
        </w:rPr>
        <w:t xml:space="preserve">pielikumā uzrādīta valsts budžeta, no valsts budžeta daļēji finansētu atvasinātu publisku personu budžetu un budžeta nefinansētu iestāžu budžeta izpilde. </w:t>
      </w:r>
      <w:r w:rsidR="008D69A4" w:rsidRPr="00075DD2">
        <w:rPr>
          <w:color w:val="17365D"/>
        </w:rPr>
        <w:t>I</w:t>
      </w:r>
      <w:r w:rsidR="00E94AE1" w:rsidRPr="00075DD2">
        <w:rPr>
          <w:color w:val="17365D"/>
        </w:rPr>
        <w:t xml:space="preserve">nformācija par valsts budžeta, no valsts budžeta daļēji finansētu atvasinātu publisku personu budžetu un budžeta nefinansētu iestāžu budžeta izpildi </w:t>
      </w:r>
      <w:r w:rsidR="008D69A4" w:rsidRPr="00075DD2">
        <w:rPr>
          <w:color w:val="17365D"/>
        </w:rPr>
        <w:t>atklāta</w:t>
      </w:r>
      <w:r w:rsidR="00E94AE1" w:rsidRPr="00075DD2">
        <w:rPr>
          <w:color w:val="17365D"/>
        </w:rPr>
        <w:t xml:space="preserve"> gada pārskatā no </w:t>
      </w:r>
      <w:r w:rsidR="009F1160" w:rsidRPr="00075DD2">
        <w:rPr>
          <w:color w:val="17365D"/>
        </w:rPr>
        <w:t>3.1.</w:t>
      </w:r>
      <w:r w:rsidR="00E94AE1" w:rsidRPr="00075DD2">
        <w:rPr>
          <w:color w:val="17365D"/>
        </w:rPr>
        <w:t xml:space="preserve"> līdz </w:t>
      </w:r>
      <w:r w:rsidR="009F1160" w:rsidRPr="00075DD2">
        <w:rPr>
          <w:color w:val="17365D"/>
        </w:rPr>
        <w:t>3</w:t>
      </w:r>
      <w:r w:rsidR="0047216D" w:rsidRPr="00075DD2">
        <w:rPr>
          <w:color w:val="17365D"/>
        </w:rPr>
        <w:t>.1.14</w:t>
      </w:r>
      <w:r w:rsidR="003A4F35" w:rsidRPr="00075DD2">
        <w:rPr>
          <w:color w:val="17365D"/>
        </w:rPr>
        <w:t>. </w:t>
      </w:r>
      <w:r w:rsidR="00E94AE1" w:rsidRPr="00075DD2">
        <w:rPr>
          <w:color w:val="17365D"/>
        </w:rPr>
        <w:t>pielikumam.</w:t>
      </w:r>
    </w:p>
    <w:p w14:paraId="2B0437F6" w14:textId="68762CA2" w:rsidR="00430F3A" w:rsidRPr="00075DD2" w:rsidRDefault="007F550F" w:rsidP="00915E73">
      <w:pPr>
        <w:ind w:right="-2" w:firstLine="567"/>
        <w:jc w:val="both"/>
        <w:rPr>
          <w:color w:val="17365D"/>
        </w:rPr>
      </w:pPr>
      <w:r w:rsidRPr="00075DD2">
        <w:rPr>
          <w:color w:val="17365D"/>
        </w:rPr>
        <w:t xml:space="preserve">Gada pārskata </w:t>
      </w:r>
      <w:r w:rsidR="009F1160" w:rsidRPr="00075DD2">
        <w:rPr>
          <w:color w:val="17365D"/>
        </w:rPr>
        <w:t>3.2.</w:t>
      </w:r>
      <w:r w:rsidR="00911A8E" w:rsidRPr="00075DD2">
        <w:rPr>
          <w:color w:val="17365D"/>
        </w:rPr>
        <w:t> </w:t>
      </w:r>
      <w:r w:rsidRPr="00075DD2">
        <w:rPr>
          <w:color w:val="17365D"/>
        </w:rPr>
        <w:t xml:space="preserve">pielikumā uzrādīta pašvaldību konsolidētā budžeta izpilde (ieskaitot ziedojumus un dāvinājumus). </w:t>
      </w:r>
      <w:r w:rsidR="008D69A4" w:rsidRPr="00075DD2">
        <w:rPr>
          <w:color w:val="17365D"/>
        </w:rPr>
        <w:t>I</w:t>
      </w:r>
      <w:r w:rsidRPr="00075DD2">
        <w:rPr>
          <w:color w:val="17365D"/>
        </w:rPr>
        <w:t xml:space="preserve">nformācija par pašvaldību konsolidētā budžeta izpildi (ieskaitot ziedojumus un dāvinājumus) </w:t>
      </w:r>
      <w:r w:rsidR="008D69A4" w:rsidRPr="00075DD2">
        <w:rPr>
          <w:color w:val="17365D"/>
        </w:rPr>
        <w:t>atklāta</w:t>
      </w:r>
      <w:r w:rsidRPr="00075DD2">
        <w:rPr>
          <w:color w:val="17365D"/>
        </w:rPr>
        <w:t xml:space="preserve"> gada pārskatā no </w:t>
      </w:r>
      <w:r w:rsidR="0047216D" w:rsidRPr="00075DD2">
        <w:rPr>
          <w:color w:val="17365D"/>
        </w:rPr>
        <w:t>3.2.1</w:t>
      </w:r>
      <w:r w:rsidRPr="00075DD2">
        <w:rPr>
          <w:color w:val="17365D"/>
        </w:rPr>
        <w:t xml:space="preserve">. līdz </w:t>
      </w:r>
      <w:r w:rsidR="0047216D" w:rsidRPr="00075DD2">
        <w:rPr>
          <w:color w:val="17365D"/>
        </w:rPr>
        <w:t>3.2.3.</w:t>
      </w:r>
      <w:r w:rsidR="00911A8E" w:rsidRPr="00075DD2">
        <w:rPr>
          <w:color w:val="17365D"/>
        </w:rPr>
        <w:t> </w:t>
      </w:r>
      <w:r w:rsidRPr="00075DD2">
        <w:rPr>
          <w:color w:val="17365D"/>
        </w:rPr>
        <w:t>pielikumam.</w:t>
      </w:r>
    </w:p>
    <w:p w14:paraId="030C1F10" w14:textId="77777777" w:rsidR="001C2734" w:rsidRPr="00075DD2" w:rsidRDefault="001C2734" w:rsidP="001C2734">
      <w:pPr>
        <w:pStyle w:val="Pamatteksts"/>
        <w:rPr>
          <w:color w:val="17365D"/>
        </w:rPr>
      </w:pPr>
    </w:p>
    <w:p w14:paraId="189B2E87" w14:textId="0CA6D163" w:rsidR="001C2734" w:rsidRPr="00075DD2" w:rsidRDefault="001C2734" w:rsidP="002851F8">
      <w:pPr>
        <w:pStyle w:val="Pamatteksts"/>
        <w:rPr>
          <w:color w:val="17365D"/>
        </w:rPr>
      </w:pPr>
      <w:r w:rsidRPr="00075DD2">
        <w:rPr>
          <w:color w:val="17365D"/>
        </w:rPr>
        <w:t>Detalizēta informācija par budžeta izpildi konsolidācijā iesaistītajās vienībās pieejama Valsts kases tīmek</w:t>
      </w:r>
      <w:r w:rsidR="009D5225" w:rsidRPr="00075DD2">
        <w:rPr>
          <w:color w:val="17365D"/>
        </w:rPr>
        <w:t xml:space="preserve">ļa vietnē </w:t>
      </w:r>
      <w:hyperlink r:id="rId21" w:history="1">
        <w:r w:rsidR="009D5225" w:rsidRPr="00075DD2">
          <w:rPr>
            <w:rStyle w:val="Hyperlink"/>
            <w:color w:val="17365D"/>
          </w:rPr>
          <w:t>www.kase.gov.lv/</w:t>
        </w:r>
      </w:hyperlink>
      <w:r w:rsidR="009D5225" w:rsidRPr="00075DD2">
        <w:rPr>
          <w:color w:val="17365D"/>
        </w:rPr>
        <w:t xml:space="preserve"> Pārskati un tāmes</w:t>
      </w:r>
      <w:r w:rsidR="004B575F" w:rsidRPr="00075DD2">
        <w:rPr>
          <w:color w:val="17365D"/>
        </w:rPr>
        <w:t>.</w:t>
      </w:r>
    </w:p>
    <w:sectPr w:rsidR="001C2734" w:rsidRPr="00075DD2" w:rsidSect="008E1791">
      <w:headerReference w:type="default" r:id="rId22"/>
      <w:footerReference w:type="default" r:id="rId23"/>
      <w:footerReference w:type="first" r:id="rId24"/>
      <w:pgSz w:w="11906" w:h="16838" w:code="9"/>
      <w:pgMar w:top="1134" w:right="851" w:bottom="1134" w:left="1701" w:header="567" w:footer="567" w:gutter="0"/>
      <w:pgNumType w:start="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76233" w14:textId="77777777" w:rsidR="00D52841" w:rsidRDefault="00D52841">
      <w:r>
        <w:separator/>
      </w:r>
    </w:p>
  </w:endnote>
  <w:endnote w:type="continuationSeparator" w:id="0">
    <w:p w14:paraId="3E490350" w14:textId="77777777" w:rsidR="00D52841" w:rsidRDefault="00D5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1B9EB" w14:textId="08339611" w:rsidR="00464217" w:rsidRPr="00317385" w:rsidRDefault="00464217" w:rsidP="0071705C">
    <w:pPr>
      <w:pStyle w:val="Footer"/>
      <w:framePr w:wrap="around" w:vAnchor="text" w:hAnchor="page" w:x="10888" w:y="203"/>
      <w:ind w:right="-47"/>
      <w:rPr>
        <w:rStyle w:val="PageNumber"/>
        <w:color w:val="17365D"/>
        <w:sz w:val="24"/>
      </w:rPr>
    </w:pPr>
    <w:r w:rsidRPr="00317385">
      <w:rPr>
        <w:rStyle w:val="PageNumber"/>
        <w:color w:val="17365D"/>
      </w:rPr>
      <w:fldChar w:fldCharType="begin"/>
    </w:r>
    <w:r w:rsidRPr="00317385">
      <w:rPr>
        <w:rStyle w:val="PageNumber"/>
        <w:color w:val="17365D"/>
      </w:rPr>
      <w:instrText xml:space="preserve">PAGE  </w:instrText>
    </w:r>
    <w:r w:rsidRPr="00317385">
      <w:rPr>
        <w:rStyle w:val="PageNumber"/>
        <w:color w:val="17365D"/>
      </w:rPr>
      <w:fldChar w:fldCharType="separate"/>
    </w:r>
    <w:r w:rsidR="00A36BF6">
      <w:rPr>
        <w:rStyle w:val="PageNumber"/>
        <w:noProof/>
        <w:color w:val="17365D"/>
      </w:rPr>
      <w:t>6</w:t>
    </w:r>
    <w:r w:rsidRPr="00317385">
      <w:rPr>
        <w:rStyle w:val="PageNumber"/>
        <w:color w:val="17365D"/>
      </w:rPr>
      <w:fldChar w:fldCharType="end"/>
    </w:r>
  </w:p>
  <w:p w14:paraId="1AF74E2A" w14:textId="3C06A943" w:rsidR="00C333BC" w:rsidRDefault="00A74A4A">
    <w:pPr>
      <w:pStyle w:val="Footer"/>
      <w:jc w:val="right"/>
    </w:pPr>
    <w:r w:rsidRPr="00C54E8D">
      <w:rPr>
        <w:noProof/>
      </w:rPr>
      <mc:AlternateContent>
        <mc:Choice Requires="wps">
          <w:drawing>
            <wp:anchor distT="0" distB="0" distL="114300" distR="114300" simplePos="0" relativeHeight="251680768" behindDoc="1" locked="0" layoutInCell="1" allowOverlap="1" wp14:anchorId="3217D50F" wp14:editId="103C6244">
              <wp:simplePos x="0" y="0"/>
              <wp:positionH relativeFrom="column">
                <wp:posOffset>5656580</wp:posOffset>
              </wp:positionH>
              <wp:positionV relativeFrom="paragraph">
                <wp:posOffset>64770</wp:posOffset>
              </wp:positionV>
              <wp:extent cx="457200" cy="280800"/>
              <wp:effectExtent l="0" t="0" r="0" b="5080"/>
              <wp:wrapNone/>
              <wp:docPr id="11" name="Rounded Rectangle 11"/>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2D98019" w14:textId="2E714356" w:rsidR="00C333BC" w:rsidRDefault="00C333BC" w:rsidP="00C333BC">
                          <w:pPr>
                            <w:jc w:val="center"/>
                            <w:rPr>
                              <w:color w:val="17365D"/>
                              <w:sz w:val="20"/>
                              <w:szCs w:val="20"/>
                            </w:rPr>
                          </w:pPr>
                        </w:p>
                        <w:p w14:paraId="3D13E944" w14:textId="77777777" w:rsidR="00C333BC" w:rsidRDefault="00C333BC" w:rsidP="00C333BC">
                          <w:pPr>
                            <w:jc w:val="center"/>
                            <w:rPr>
                              <w:color w:val="17365D"/>
                              <w:sz w:val="20"/>
                              <w:szCs w:val="20"/>
                            </w:rPr>
                          </w:pPr>
                        </w:p>
                        <w:p w14:paraId="3FE8B9A8" w14:textId="77777777" w:rsidR="00C333BC" w:rsidRDefault="00C333BC" w:rsidP="00C333BC">
                          <w:pPr>
                            <w:jc w:val="center"/>
                            <w:rPr>
                              <w:color w:val="17365D"/>
                              <w:sz w:val="20"/>
                              <w:szCs w:val="20"/>
                            </w:rPr>
                          </w:pPr>
                        </w:p>
                        <w:p w14:paraId="5E2747B5" w14:textId="77777777" w:rsidR="00C333BC" w:rsidRDefault="00C333BC" w:rsidP="00C333BC">
                          <w:pPr>
                            <w:jc w:val="center"/>
                            <w:rPr>
                              <w:color w:val="17365D"/>
                              <w:sz w:val="20"/>
                              <w:szCs w:val="20"/>
                            </w:rPr>
                          </w:pPr>
                        </w:p>
                        <w:p w14:paraId="23F6D741" w14:textId="77777777" w:rsidR="00C333BC" w:rsidRDefault="00C333BC" w:rsidP="00C333BC">
                          <w:pPr>
                            <w:jc w:val="center"/>
                            <w:rPr>
                              <w:color w:val="17365D"/>
                              <w:sz w:val="20"/>
                              <w:szCs w:val="20"/>
                            </w:rPr>
                          </w:pPr>
                        </w:p>
                        <w:p w14:paraId="4FAC8CB0" w14:textId="77777777" w:rsidR="00C333BC" w:rsidRPr="00CE04D3" w:rsidRDefault="00C333BC" w:rsidP="00C333BC">
                          <w:pPr>
                            <w:jc w:val="center"/>
                            <w:rPr>
                              <w:color w:val="17365D"/>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17D50F" id="Rounded Rectangle 11" o:spid="_x0000_s1037" style="position:absolute;left:0;text-align:left;margin-left:445.4pt;margin-top:5.1pt;width:36pt;height:22.1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" fillcolor="#dbe5f1 [660]" stroked="f" strokeweight="1pt">
              <v:stroke dashstyle="dash"/>
              <v:textbox>
                <w:txbxContent>
                  <w:p w14:paraId="12D98019" w14:textId="2E714356" w:rsidR="00C333BC" w:rsidRDefault="00C333BC" w:rsidP="00C333BC">
                    <w:pPr>
                      <w:jc w:val="center"/>
                      <w:rPr>
                        <w:color w:val="17365D"/>
                        <w:sz w:val="20"/>
                        <w:szCs w:val="20"/>
                      </w:rPr>
                    </w:pPr>
                  </w:p>
                  <w:p w14:paraId="3D13E944" w14:textId="77777777" w:rsidR="00C333BC" w:rsidRDefault="00C333BC" w:rsidP="00C333BC">
                    <w:pPr>
                      <w:jc w:val="center"/>
                      <w:rPr>
                        <w:color w:val="17365D"/>
                        <w:sz w:val="20"/>
                        <w:szCs w:val="20"/>
                      </w:rPr>
                    </w:pPr>
                  </w:p>
                  <w:p w14:paraId="3FE8B9A8" w14:textId="77777777" w:rsidR="00C333BC" w:rsidRDefault="00C333BC" w:rsidP="00C333BC">
                    <w:pPr>
                      <w:jc w:val="center"/>
                      <w:rPr>
                        <w:color w:val="17365D"/>
                        <w:sz w:val="20"/>
                        <w:szCs w:val="20"/>
                      </w:rPr>
                    </w:pPr>
                  </w:p>
                  <w:p w14:paraId="5E2747B5" w14:textId="77777777" w:rsidR="00C333BC" w:rsidRDefault="00C333BC" w:rsidP="00C333BC">
                    <w:pPr>
                      <w:jc w:val="center"/>
                      <w:rPr>
                        <w:color w:val="17365D"/>
                        <w:sz w:val="20"/>
                        <w:szCs w:val="20"/>
                      </w:rPr>
                    </w:pPr>
                  </w:p>
                  <w:p w14:paraId="23F6D741" w14:textId="77777777" w:rsidR="00C333BC" w:rsidRDefault="00C333BC" w:rsidP="00C333BC">
                    <w:pPr>
                      <w:jc w:val="center"/>
                      <w:rPr>
                        <w:color w:val="17365D"/>
                        <w:sz w:val="20"/>
                        <w:szCs w:val="20"/>
                      </w:rPr>
                    </w:pPr>
                  </w:p>
                  <w:p w14:paraId="4FAC8CB0" w14:textId="77777777" w:rsidR="00C333BC" w:rsidRPr="00CE04D3" w:rsidRDefault="00C333BC" w:rsidP="00C333BC">
                    <w:pPr>
                      <w:jc w:val="center"/>
                      <w:rPr>
                        <w:color w:val="17365D"/>
                        <w:sz w:val="20"/>
                        <w:szCs w:val="20"/>
                      </w:rPr>
                    </w:pPr>
                  </w:p>
                </w:txbxContent>
              </v:textbox>
            </v:roundrect>
          </w:pict>
        </mc:Fallback>
      </mc:AlternateContent>
    </w:r>
    <w:r w:rsidR="0069162D" w:rsidRPr="00C54E8D">
      <w:rPr>
        <w:noProof/>
      </w:rPr>
      <mc:AlternateContent>
        <mc:Choice Requires="wps">
          <w:drawing>
            <wp:anchor distT="0" distB="0" distL="114300" distR="114300" simplePos="0" relativeHeight="251658240" behindDoc="0" locked="0" layoutInCell="1" allowOverlap="1" wp14:anchorId="3B04E101" wp14:editId="3035FE4D">
              <wp:simplePos x="0" y="0"/>
              <wp:positionH relativeFrom="column">
                <wp:posOffset>-172720</wp:posOffset>
              </wp:positionH>
              <wp:positionV relativeFrom="paragraph">
                <wp:posOffset>-17780</wp:posOffset>
              </wp:positionV>
              <wp:extent cx="5684400" cy="446400"/>
              <wp:effectExtent l="0" t="0" r="0" b="0"/>
              <wp:wrapNone/>
              <wp:docPr id="7" name="Rounded Rectangle 7"/>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723E61F" w14:textId="4246AB75" w:rsidR="00C333BC" w:rsidRPr="00CE04D3" w:rsidRDefault="00C333BC" w:rsidP="0069162D">
                          <w:pPr>
                            <w:spacing w:after="120"/>
                            <w:jc w:val="center"/>
                            <w:rPr>
                              <w:color w:val="17365D"/>
                              <w:sz w:val="20"/>
                              <w:szCs w:val="20"/>
                            </w:rPr>
                          </w:pPr>
                          <w:r w:rsidRPr="00CE04D3">
                            <w:rPr>
                              <w:color w:val="17365D"/>
                              <w:sz w:val="20"/>
                              <w:szCs w:val="20"/>
                            </w:rPr>
                            <w:t>2_03_FMInf</w:t>
                          </w:r>
                          <w:r w:rsidR="00BE1D4E">
                            <w:rPr>
                              <w:color w:val="17365D"/>
                              <w:sz w:val="20"/>
                              <w:szCs w:val="20"/>
                            </w:rPr>
                            <w:t>p</w:t>
                          </w:r>
                          <w:r w:rsidR="005F772D">
                            <w:rPr>
                              <w:color w:val="17365D"/>
                              <w:sz w:val="20"/>
                              <w:szCs w:val="20"/>
                            </w:rPr>
                            <w:t>3</w:t>
                          </w:r>
                          <w:r w:rsidRPr="00CE04D3">
                            <w:rPr>
                              <w:color w:val="17365D"/>
                              <w:sz w:val="20"/>
                              <w:szCs w:val="20"/>
                            </w:rPr>
                            <w:t>_</w:t>
                          </w:r>
                          <w:r w:rsidR="0084150B">
                            <w:rPr>
                              <w:color w:val="17365D"/>
                              <w:sz w:val="20"/>
                              <w:szCs w:val="20"/>
                            </w:rPr>
                            <w:t>1</w:t>
                          </w:r>
                          <w:r w:rsidR="00AC6166">
                            <w:rPr>
                              <w:color w:val="17365D"/>
                              <w:sz w:val="20"/>
                              <w:szCs w:val="20"/>
                            </w:rPr>
                            <w:t>6</w:t>
                          </w:r>
                          <w:r w:rsidR="00F56D0F">
                            <w:rPr>
                              <w:color w:val="17365D"/>
                              <w:sz w:val="20"/>
                              <w:szCs w:val="20"/>
                            </w:rPr>
                            <w:t>0</w:t>
                          </w:r>
                          <w:r w:rsidR="00AC6166">
                            <w:rPr>
                              <w:color w:val="17365D"/>
                              <w:sz w:val="20"/>
                              <w:szCs w:val="20"/>
                            </w:rPr>
                            <w:t>6</w:t>
                          </w:r>
                          <w:r w:rsidR="009D4B26">
                            <w:rPr>
                              <w:color w:val="17365D"/>
                              <w:sz w:val="20"/>
                              <w:szCs w:val="20"/>
                            </w:rPr>
                            <w:t>2</w:t>
                          </w:r>
                          <w:r w:rsidR="00AC6166">
                            <w:rPr>
                              <w:color w:val="17365D"/>
                              <w:sz w:val="20"/>
                              <w:szCs w:val="20"/>
                            </w:rPr>
                            <w:t>3</w:t>
                          </w:r>
                          <w:r w:rsidRPr="00CE04D3">
                            <w:rPr>
                              <w:color w:val="17365D"/>
                              <w:sz w:val="20"/>
                              <w:szCs w:val="20"/>
                            </w:rPr>
                            <w:t xml:space="preserve">_sk; Latvijas Republikas </w:t>
                          </w:r>
                          <w:r w:rsidR="009027B2">
                            <w:rPr>
                              <w:color w:val="17365D"/>
                              <w:sz w:val="20"/>
                              <w:szCs w:val="20"/>
                            </w:rPr>
                            <w:t>2022.</w:t>
                          </w:r>
                          <w:r w:rsidRPr="00CE04D3">
                            <w:rPr>
                              <w:color w:val="17365D"/>
                              <w:sz w:val="20"/>
                              <w:szCs w:val="20"/>
                            </w:rPr>
                            <w:t> gada pārskats par valsts budžeta izpildi un par pašvaldību budžetiem;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04E101" id="Rounded Rectangle 7" o:spid="_x0000_s1038" style="position:absolute;left:0;text-align:left;margin-left:-13.6pt;margin-top:-1.4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" fillcolor="#dbe5f1 [660]" stroked="f" strokeweight="1pt">
              <v:stroke dashstyle="dash"/>
              <v:textbox>
                <w:txbxContent>
                  <w:p w14:paraId="0723E61F" w14:textId="4246AB75" w:rsidR="00C333BC" w:rsidRPr="00CE04D3" w:rsidRDefault="00C333BC" w:rsidP="0069162D">
                    <w:pPr>
                      <w:spacing w:after="120"/>
                      <w:jc w:val="center"/>
                      <w:rPr>
                        <w:color w:val="17365D"/>
                        <w:sz w:val="20"/>
                        <w:szCs w:val="20"/>
                      </w:rPr>
                    </w:pPr>
                    <w:r w:rsidRPr="00CE04D3">
                      <w:rPr>
                        <w:color w:val="17365D"/>
                        <w:sz w:val="20"/>
                        <w:szCs w:val="20"/>
                      </w:rPr>
                      <w:t>2_03_FMInf</w:t>
                    </w:r>
                    <w:r w:rsidR="00BE1D4E">
                      <w:rPr>
                        <w:color w:val="17365D"/>
                        <w:sz w:val="20"/>
                        <w:szCs w:val="20"/>
                      </w:rPr>
                      <w:t>p</w:t>
                    </w:r>
                    <w:r w:rsidR="005F772D">
                      <w:rPr>
                        <w:color w:val="17365D"/>
                        <w:sz w:val="20"/>
                        <w:szCs w:val="20"/>
                      </w:rPr>
                      <w:t>3</w:t>
                    </w:r>
                    <w:r w:rsidRPr="00CE04D3">
                      <w:rPr>
                        <w:color w:val="17365D"/>
                        <w:sz w:val="20"/>
                        <w:szCs w:val="20"/>
                      </w:rPr>
                      <w:t>_</w:t>
                    </w:r>
                    <w:r w:rsidR="0084150B">
                      <w:rPr>
                        <w:color w:val="17365D"/>
                        <w:sz w:val="20"/>
                        <w:szCs w:val="20"/>
                      </w:rPr>
                      <w:t>1</w:t>
                    </w:r>
                    <w:r w:rsidR="00AC6166">
                      <w:rPr>
                        <w:color w:val="17365D"/>
                        <w:sz w:val="20"/>
                        <w:szCs w:val="20"/>
                      </w:rPr>
                      <w:t>6</w:t>
                    </w:r>
                    <w:r w:rsidR="00F56D0F">
                      <w:rPr>
                        <w:color w:val="17365D"/>
                        <w:sz w:val="20"/>
                        <w:szCs w:val="20"/>
                      </w:rPr>
                      <w:t>0</w:t>
                    </w:r>
                    <w:r w:rsidR="00AC6166">
                      <w:rPr>
                        <w:color w:val="17365D"/>
                        <w:sz w:val="20"/>
                        <w:szCs w:val="20"/>
                      </w:rPr>
                      <w:t>6</w:t>
                    </w:r>
                    <w:r w:rsidR="009D4B26">
                      <w:rPr>
                        <w:color w:val="17365D"/>
                        <w:sz w:val="20"/>
                        <w:szCs w:val="20"/>
                      </w:rPr>
                      <w:t>2</w:t>
                    </w:r>
                    <w:r w:rsidR="00AC6166">
                      <w:rPr>
                        <w:color w:val="17365D"/>
                        <w:sz w:val="20"/>
                        <w:szCs w:val="20"/>
                      </w:rPr>
                      <w:t>3</w:t>
                    </w:r>
                    <w:r w:rsidRPr="00CE04D3">
                      <w:rPr>
                        <w:color w:val="17365D"/>
                        <w:sz w:val="20"/>
                        <w:szCs w:val="20"/>
                      </w:rPr>
                      <w:t xml:space="preserve">_sk; Latvijas Republikas </w:t>
                    </w:r>
                    <w:r w:rsidR="009027B2">
                      <w:rPr>
                        <w:color w:val="17365D"/>
                        <w:sz w:val="20"/>
                        <w:szCs w:val="20"/>
                      </w:rPr>
                      <w:t>2022.</w:t>
                    </w:r>
                    <w:r w:rsidRPr="00CE04D3">
                      <w:rPr>
                        <w:color w:val="17365D"/>
                        <w:sz w:val="20"/>
                        <w:szCs w:val="20"/>
                      </w:rPr>
                      <w:t> gada pārskats par valsts budžeta izpildi un par pašvaldību budžetiem; 2. sējums</w:t>
                    </w:r>
                  </w:p>
                </w:txbxContent>
              </v:textbox>
            </v:roundrect>
          </w:pict>
        </mc:Fallback>
      </mc:AlternateContent>
    </w:r>
  </w:p>
  <w:p w14:paraId="1B11CDC2" w14:textId="3A53CDB0" w:rsidR="00355B25" w:rsidRPr="00CE04D3" w:rsidRDefault="00C333BC" w:rsidP="00A74A4A">
    <w:pPr>
      <w:pStyle w:val="Footer"/>
      <w:tabs>
        <w:tab w:val="clear" w:pos="8306"/>
      </w:tabs>
      <w:ind w:right="-2"/>
      <w:rPr>
        <w:color w:val="17365D" w:themeColor="text2" w:themeShade="BF"/>
        <w:szCs w:val="20"/>
      </w:rPr>
    </w:pPr>
    <w:r>
      <w:rPr>
        <w:color w:val="17365D" w:themeColor="text2" w:themeShade="BF"/>
        <w:szCs w:val="20"/>
      </w:rPr>
      <w:tab/>
    </w:r>
    <w:r>
      <w:rPr>
        <w:color w:val="17365D" w:themeColor="text2" w:themeShade="BF"/>
        <w:szCs w:val="20"/>
      </w:rPr>
      <w:tab/>
    </w:r>
    <w:r w:rsidR="00A74A4A">
      <w:rPr>
        <w:color w:val="17365D" w:themeColor="text2" w:themeShade="BF"/>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1351A" w14:textId="35E34D37" w:rsidR="00C54E8D" w:rsidRDefault="00A74A4A" w:rsidP="00F75315">
    <w:pPr>
      <w:pStyle w:val="Footer"/>
      <w:tabs>
        <w:tab w:val="clear" w:pos="4153"/>
        <w:tab w:val="clear" w:pos="8306"/>
        <w:tab w:val="right" w:pos="9354"/>
      </w:tabs>
      <w:jc w:val="right"/>
    </w:pPr>
    <w:r w:rsidRPr="00C54E8D">
      <w:rPr>
        <w:noProof/>
      </w:rPr>
      <mc:AlternateContent>
        <mc:Choice Requires="wps">
          <w:drawing>
            <wp:anchor distT="0" distB="0" distL="114300" distR="114300" simplePos="0" relativeHeight="251634688" behindDoc="0" locked="0" layoutInCell="1" allowOverlap="1" wp14:anchorId="7637F5F4" wp14:editId="6029D0F4">
              <wp:simplePos x="0" y="0"/>
              <wp:positionH relativeFrom="column">
                <wp:posOffset>5656580</wp:posOffset>
              </wp:positionH>
              <wp:positionV relativeFrom="paragraph">
                <wp:posOffset>-71755</wp:posOffset>
              </wp:positionV>
              <wp:extent cx="457200" cy="280800"/>
              <wp:effectExtent l="0" t="0" r="0" b="5080"/>
              <wp:wrapNone/>
              <wp:docPr id="2" name="Rounded Rectangle 2"/>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FCE4108" w14:textId="55B5426D" w:rsidR="00574CCE" w:rsidRDefault="00C333BC" w:rsidP="00C54E8D">
                          <w:pPr>
                            <w:jc w:val="center"/>
                            <w:rPr>
                              <w:color w:val="17365D"/>
                              <w:sz w:val="20"/>
                              <w:szCs w:val="20"/>
                            </w:rPr>
                          </w:pPr>
                          <w:r>
                            <w:rPr>
                              <w:color w:val="17365D"/>
                              <w:sz w:val="20"/>
                              <w:szCs w:val="20"/>
                            </w:rPr>
                            <w:t>5</w:t>
                          </w:r>
                        </w:p>
                        <w:p w14:paraId="27804218" w14:textId="7E744884" w:rsidR="00574CCE" w:rsidRDefault="00574CCE" w:rsidP="00C54E8D">
                          <w:pPr>
                            <w:jc w:val="center"/>
                            <w:rPr>
                              <w:color w:val="17365D"/>
                              <w:sz w:val="20"/>
                              <w:szCs w:val="20"/>
                            </w:rPr>
                          </w:pPr>
                        </w:p>
                        <w:p w14:paraId="4E0ED9D4" w14:textId="2AC766D2" w:rsidR="00574CCE" w:rsidRDefault="00574CCE" w:rsidP="00C54E8D">
                          <w:pPr>
                            <w:jc w:val="center"/>
                            <w:rPr>
                              <w:color w:val="17365D"/>
                              <w:sz w:val="20"/>
                              <w:szCs w:val="20"/>
                            </w:rPr>
                          </w:pPr>
                        </w:p>
                        <w:p w14:paraId="3EC040BC" w14:textId="77777777" w:rsidR="00574CCE" w:rsidRPr="00CE04D3" w:rsidRDefault="00574CCE" w:rsidP="00C54E8D">
                          <w:pPr>
                            <w:jc w:val="center"/>
                            <w:rPr>
                              <w:color w:val="17365D"/>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37F5F4" id="Rounded Rectangle 2" o:spid="_x0000_s1039" style="position:absolute;left:0;text-align:left;margin-left:445.4pt;margin-top:-5.65pt;width:36pt;height:22.1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" fillcolor="#dbe5f1 [660]" stroked="f" strokeweight="1pt">
              <v:stroke dashstyle="dash"/>
              <v:textbox>
                <w:txbxContent>
                  <w:p w14:paraId="7FCE4108" w14:textId="55B5426D" w:rsidR="00574CCE" w:rsidRDefault="00C333BC" w:rsidP="00C54E8D">
                    <w:pPr>
                      <w:jc w:val="center"/>
                      <w:rPr>
                        <w:color w:val="17365D"/>
                        <w:sz w:val="20"/>
                        <w:szCs w:val="20"/>
                      </w:rPr>
                    </w:pPr>
                    <w:r>
                      <w:rPr>
                        <w:color w:val="17365D"/>
                        <w:sz w:val="20"/>
                        <w:szCs w:val="20"/>
                      </w:rPr>
                      <w:t>5</w:t>
                    </w:r>
                  </w:p>
                  <w:p w14:paraId="27804218" w14:textId="7E744884" w:rsidR="00574CCE" w:rsidRDefault="00574CCE" w:rsidP="00C54E8D">
                    <w:pPr>
                      <w:jc w:val="center"/>
                      <w:rPr>
                        <w:color w:val="17365D"/>
                        <w:sz w:val="20"/>
                        <w:szCs w:val="20"/>
                      </w:rPr>
                    </w:pPr>
                  </w:p>
                  <w:p w14:paraId="4E0ED9D4" w14:textId="2AC766D2" w:rsidR="00574CCE" w:rsidRDefault="00574CCE" w:rsidP="00C54E8D">
                    <w:pPr>
                      <w:jc w:val="center"/>
                      <w:rPr>
                        <w:color w:val="17365D"/>
                        <w:sz w:val="20"/>
                        <w:szCs w:val="20"/>
                      </w:rPr>
                    </w:pPr>
                  </w:p>
                  <w:p w14:paraId="3EC040BC" w14:textId="77777777" w:rsidR="00574CCE" w:rsidRPr="00CE04D3" w:rsidRDefault="00574CCE" w:rsidP="00C54E8D">
                    <w:pPr>
                      <w:jc w:val="center"/>
                      <w:rPr>
                        <w:color w:val="17365D"/>
                        <w:sz w:val="20"/>
                        <w:szCs w:val="20"/>
                      </w:rPr>
                    </w:pPr>
                  </w:p>
                </w:txbxContent>
              </v:textbox>
            </v:roundrect>
          </w:pict>
        </mc:Fallback>
      </mc:AlternateContent>
    </w:r>
    <w:r w:rsidR="00A75AB0" w:rsidRPr="00C54E8D">
      <w:rPr>
        <w:noProof/>
      </w:rPr>
      <mc:AlternateContent>
        <mc:Choice Requires="wps">
          <w:drawing>
            <wp:anchor distT="0" distB="0" distL="114300" distR="114300" simplePos="0" relativeHeight="251635712" behindDoc="0" locked="0" layoutInCell="1" allowOverlap="1" wp14:anchorId="04D3879A" wp14:editId="2B8D6C2E">
              <wp:simplePos x="0" y="0"/>
              <wp:positionH relativeFrom="column">
                <wp:posOffset>-172720</wp:posOffset>
              </wp:positionH>
              <wp:positionV relativeFrom="paragraph">
                <wp:posOffset>-161925</wp:posOffset>
              </wp:positionV>
              <wp:extent cx="5684400" cy="446400"/>
              <wp:effectExtent l="0" t="0" r="0" b="0"/>
              <wp:wrapNone/>
              <wp:docPr id="10" name="Rounded Rectangle 10"/>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50D484F" w14:textId="75ABF8C8" w:rsidR="00C54E8D" w:rsidRPr="00CE04D3" w:rsidRDefault="00720A4D" w:rsidP="00C54E8D">
                          <w:pPr>
                            <w:jc w:val="center"/>
                            <w:rPr>
                              <w:color w:val="17365D"/>
                              <w:sz w:val="20"/>
                              <w:szCs w:val="20"/>
                            </w:rPr>
                          </w:pPr>
                          <w:r w:rsidRPr="00CE04D3">
                            <w:rPr>
                              <w:color w:val="17365D"/>
                              <w:sz w:val="20"/>
                              <w:szCs w:val="20"/>
                            </w:rPr>
                            <w:t>2_03_FMInf</w:t>
                          </w:r>
                          <w:r w:rsidR="00BE1D4E">
                            <w:rPr>
                              <w:color w:val="17365D"/>
                              <w:sz w:val="20"/>
                              <w:szCs w:val="20"/>
                            </w:rPr>
                            <w:t>p</w:t>
                          </w:r>
                          <w:r w:rsidR="005F772D">
                            <w:rPr>
                              <w:color w:val="17365D"/>
                              <w:sz w:val="20"/>
                              <w:szCs w:val="20"/>
                            </w:rPr>
                            <w:t>3</w:t>
                          </w:r>
                          <w:r w:rsidRPr="00CE04D3">
                            <w:rPr>
                              <w:color w:val="17365D"/>
                              <w:sz w:val="20"/>
                              <w:szCs w:val="20"/>
                            </w:rPr>
                            <w:t>_</w:t>
                          </w:r>
                          <w:r w:rsidR="0084150B">
                            <w:rPr>
                              <w:color w:val="17365D"/>
                              <w:sz w:val="20"/>
                              <w:szCs w:val="20"/>
                            </w:rPr>
                            <w:t>1</w:t>
                          </w:r>
                          <w:r w:rsidR="00AC6166">
                            <w:rPr>
                              <w:color w:val="17365D"/>
                              <w:sz w:val="20"/>
                              <w:szCs w:val="20"/>
                            </w:rPr>
                            <w:t>6</w:t>
                          </w:r>
                          <w:r w:rsidR="00F56D0F">
                            <w:rPr>
                              <w:color w:val="17365D"/>
                              <w:sz w:val="20"/>
                              <w:szCs w:val="20"/>
                            </w:rPr>
                            <w:t>0</w:t>
                          </w:r>
                          <w:r w:rsidR="00AC6166">
                            <w:rPr>
                              <w:color w:val="17365D"/>
                              <w:sz w:val="20"/>
                              <w:szCs w:val="20"/>
                            </w:rPr>
                            <w:t>6</w:t>
                          </w:r>
                          <w:r w:rsidR="009D4B26">
                            <w:rPr>
                              <w:color w:val="17365D"/>
                              <w:sz w:val="20"/>
                              <w:szCs w:val="20"/>
                            </w:rPr>
                            <w:t>2</w:t>
                          </w:r>
                          <w:r w:rsidR="00AC6166">
                            <w:rPr>
                              <w:color w:val="17365D"/>
                              <w:sz w:val="20"/>
                              <w:szCs w:val="20"/>
                            </w:rPr>
                            <w:t>3</w:t>
                          </w:r>
                          <w:r w:rsidRPr="00CE04D3">
                            <w:rPr>
                              <w:color w:val="17365D"/>
                              <w:sz w:val="20"/>
                              <w:szCs w:val="20"/>
                            </w:rPr>
                            <w:t>_sk</w:t>
                          </w:r>
                          <w:r w:rsidR="00C54E8D" w:rsidRPr="00CE04D3">
                            <w:rPr>
                              <w:color w:val="17365D"/>
                              <w:sz w:val="20"/>
                              <w:szCs w:val="20"/>
                            </w:rPr>
                            <w:t xml:space="preserve">; Latvijas Republikas </w:t>
                          </w:r>
                          <w:r w:rsidR="009027B2">
                            <w:rPr>
                              <w:color w:val="17365D"/>
                              <w:sz w:val="20"/>
                              <w:szCs w:val="20"/>
                            </w:rPr>
                            <w:t>2022.</w:t>
                          </w:r>
                          <w:r w:rsidR="00C54E8D" w:rsidRPr="00CE04D3">
                            <w:rPr>
                              <w:color w:val="17365D"/>
                              <w:sz w:val="20"/>
                              <w:szCs w:val="20"/>
                            </w:rPr>
                            <w:t> gada pārskats par valsts budžeta izpildi un par pašvaldību budžetiem;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D3879A" id="Rounded Rectangle 10" o:spid="_x0000_s1040" style="position:absolute;left:0;text-align:left;margin-left:-13.6pt;margin-top:-12.75pt;width:447.6pt;height:35.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" fillcolor="#dbe5f1 [660]" stroked="f" strokeweight="1pt">
              <v:stroke dashstyle="dash"/>
              <v:textbox>
                <w:txbxContent>
                  <w:p w14:paraId="350D484F" w14:textId="75ABF8C8" w:rsidR="00C54E8D" w:rsidRPr="00CE04D3" w:rsidRDefault="00720A4D" w:rsidP="00C54E8D">
                    <w:pPr>
                      <w:jc w:val="center"/>
                      <w:rPr>
                        <w:color w:val="17365D"/>
                        <w:sz w:val="20"/>
                        <w:szCs w:val="20"/>
                      </w:rPr>
                    </w:pPr>
                    <w:r w:rsidRPr="00CE04D3">
                      <w:rPr>
                        <w:color w:val="17365D"/>
                        <w:sz w:val="20"/>
                        <w:szCs w:val="20"/>
                      </w:rPr>
                      <w:t>2_03_FMInf</w:t>
                    </w:r>
                    <w:r w:rsidR="00BE1D4E">
                      <w:rPr>
                        <w:color w:val="17365D"/>
                        <w:sz w:val="20"/>
                        <w:szCs w:val="20"/>
                      </w:rPr>
                      <w:t>p</w:t>
                    </w:r>
                    <w:r w:rsidR="005F772D">
                      <w:rPr>
                        <w:color w:val="17365D"/>
                        <w:sz w:val="20"/>
                        <w:szCs w:val="20"/>
                      </w:rPr>
                      <w:t>3</w:t>
                    </w:r>
                    <w:r w:rsidRPr="00CE04D3">
                      <w:rPr>
                        <w:color w:val="17365D"/>
                        <w:sz w:val="20"/>
                        <w:szCs w:val="20"/>
                      </w:rPr>
                      <w:t>_</w:t>
                    </w:r>
                    <w:r w:rsidR="0084150B">
                      <w:rPr>
                        <w:color w:val="17365D"/>
                        <w:sz w:val="20"/>
                        <w:szCs w:val="20"/>
                      </w:rPr>
                      <w:t>1</w:t>
                    </w:r>
                    <w:r w:rsidR="00AC6166">
                      <w:rPr>
                        <w:color w:val="17365D"/>
                        <w:sz w:val="20"/>
                        <w:szCs w:val="20"/>
                      </w:rPr>
                      <w:t>6</w:t>
                    </w:r>
                    <w:r w:rsidR="00F56D0F">
                      <w:rPr>
                        <w:color w:val="17365D"/>
                        <w:sz w:val="20"/>
                        <w:szCs w:val="20"/>
                      </w:rPr>
                      <w:t>0</w:t>
                    </w:r>
                    <w:r w:rsidR="00AC6166">
                      <w:rPr>
                        <w:color w:val="17365D"/>
                        <w:sz w:val="20"/>
                        <w:szCs w:val="20"/>
                      </w:rPr>
                      <w:t>6</w:t>
                    </w:r>
                    <w:r w:rsidR="009D4B26">
                      <w:rPr>
                        <w:color w:val="17365D"/>
                        <w:sz w:val="20"/>
                        <w:szCs w:val="20"/>
                      </w:rPr>
                      <w:t>2</w:t>
                    </w:r>
                    <w:r w:rsidR="00AC6166">
                      <w:rPr>
                        <w:color w:val="17365D"/>
                        <w:sz w:val="20"/>
                        <w:szCs w:val="20"/>
                      </w:rPr>
                      <w:t>3</w:t>
                    </w:r>
                    <w:r w:rsidRPr="00CE04D3">
                      <w:rPr>
                        <w:color w:val="17365D"/>
                        <w:sz w:val="20"/>
                        <w:szCs w:val="20"/>
                      </w:rPr>
                      <w:t>_sk</w:t>
                    </w:r>
                    <w:r w:rsidR="00C54E8D" w:rsidRPr="00CE04D3">
                      <w:rPr>
                        <w:color w:val="17365D"/>
                        <w:sz w:val="20"/>
                        <w:szCs w:val="20"/>
                      </w:rPr>
                      <w:t xml:space="preserve">; Latvijas Republikas </w:t>
                    </w:r>
                    <w:r w:rsidR="009027B2">
                      <w:rPr>
                        <w:color w:val="17365D"/>
                        <w:sz w:val="20"/>
                        <w:szCs w:val="20"/>
                      </w:rPr>
                      <w:t>2022.</w:t>
                    </w:r>
                    <w:r w:rsidR="00C54E8D" w:rsidRPr="00CE04D3">
                      <w:rPr>
                        <w:color w:val="17365D"/>
                        <w:sz w:val="20"/>
                        <w:szCs w:val="20"/>
                      </w:rPr>
                      <w:t> gada pārskats par valsts budžeta izpildi un par pašvaldību budžetiem; 2. sējums</w:t>
                    </w:r>
                  </w:p>
                </w:txbxContent>
              </v:textbox>
            </v:roundrect>
          </w:pict>
        </mc:Fallback>
      </mc:AlternateContent>
    </w:r>
    <w:r w:rsidR="00C333B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2418E" w14:textId="77777777" w:rsidR="00D52841" w:rsidRPr="000402BA" w:rsidRDefault="00D52841">
      <w:pPr>
        <w:rPr>
          <w:color w:val="17365D"/>
        </w:rPr>
      </w:pPr>
      <w:r w:rsidRPr="000402BA">
        <w:rPr>
          <w:color w:val="17365D"/>
        </w:rPr>
        <w:separator/>
      </w:r>
    </w:p>
  </w:footnote>
  <w:footnote w:type="continuationSeparator" w:id="0">
    <w:p w14:paraId="2414135A" w14:textId="77777777" w:rsidR="00D52841" w:rsidRDefault="00D52841">
      <w:r>
        <w:continuationSeparator/>
      </w:r>
    </w:p>
  </w:footnote>
  <w:footnote w:id="1">
    <w:p w14:paraId="6E883524" w14:textId="62EBD86E" w:rsidR="002B7CA0" w:rsidRPr="000413E4" w:rsidRDefault="002B7CA0">
      <w:pPr>
        <w:pStyle w:val="FootnoteText"/>
        <w:rPr>
          <w:color w:val="17365D"/>
        </w:rPr>
      </w:pPr>
      <w:r w:rsidRPr="000413E4">
        <w:rPr>
          <w:rStyle w:val="FootnoteReference"/>
          <w:color w:val="17365D"/>
        </w:rPr>
        <w:footnoteRef/>
      </w:r>
      <w:r w:rsidRPr="000413E4">
        <w:rPr>
          <w:color w:val="17365D"/>
        </w:rPr>
        <w:t xml:space="preserve"> Saimnieciskā gada plāns ar izmaiņām</w:t>
      </w:r>
    </w:p>
  </w:footnote>
  <w:footnote w:id="2">
    <w:p w14:paraId="311A4D0D" w14:textId="066F822E" w:rsidR="0038238F" w:rsidRPr="0038238F" w:rsidRDefault="0038238F">
      <w:pPr>
        <w:pStyle w:val="FootnoteText"/>
        <w:rPr>
          <w:color w:val="17365D"/>
        </w:rPr>
      </w:pPr>
      <w:r w:rsidRPr="00BE6C38">
        <w:rPr>
          <w:rStyle w:val="FootnoteReference"/>
          <w:color w:val="17365D"/>
          <w:sz w:val="16"/>
        </w:rPr>
        <w:footnoteRef/>
      </w:r>
      <w:r w:rsidRPr="00BE6C38">
        <w:rPr>
          <w:color w:val="17365D"/>
          <w:sz w:val="16"/>
        </w:rPr>
        <w:t xml:space="preserve"> šajā skaidrojumā aprēķinos lietota Centrālās statistikas pārvaldes mājaslapā publicētā </w:t>
      </w:r>
      <w:r w:rsidR="009027B2">
        <w:rPr>
          <w:color w:val="17365D"/>
          <w:sz w:val="16"/>
        </w:rPr>
        <w:t>2022.</w:t>
      </w:r>
      <w:r w:rsidR="009E779B" w:rsidRPr="00BE6C38">
        <w:rPr>
          <w:color w:val="17365D"/>
          <w:sz w:val="16"/>
        </w:rPr>
        <w:t> </w:t>
      </w:r>
      <w:r w:rsidRPr="00BE6C38">
        <w:rPr>
          <w:color w:val="17365D"/>
          <w:sz w:val="16"/>
        </w:rPr>
        <w:t xml:space="preserve">gada IKP vērtība </w:t>
      </w:r>
      <w:r w:rsidR="006B038B">
        <w:rPr>
          <w:color w:val="17365D"/>
          <w:sz w:val="16"/>
        </w:rPr>
        <w:t>39 062.5</w:t>
      </w:r>
      <w:r w:rsidR="00551F3F" w:rsidRPr="00BE6C38">
        <w:rPr>
          <w:color w:val="17365D"/>
          <w:sz w:val="16"/>
        </w:rPr>
        <w:t xml:space="preserve"> </w:t>
      </w:r>
      <w:r w:rsidRPr="00BE6C38">
        <w:rPr>
          <w:color w:val="17365D"/>
          <w:sz w:val="16"/>
        </w:rPr>
        <w:t>milj. </w:t>
      </w:r>
      <w:r w:rsidRPr="00BE6C38">
        <w:rPr>
          <w:i/>
          <w:color w:val="17365D"/>
          <w:sz w:val="16"/>
        </w:rPr>
        <w:t>euro</w:t>
      </w:r>
      <w:r w:rsidRPr="00BE6C38">
        <w:rPr>
          <w:color w:val="17365D"/>
          <w:sz w:val="16"/>
        </w:rPr>
        <w:t xml:space="preserve"> faktiskajās cenās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28FD5" w14:textId="66A10F00" w:rsidR="00F33F0F" w:rsidRPr="00E55BC6" w:rsidRDefault="00F33F0F" w:rsidP="00F33F0F">
    <w:pPr>
      <w:pStyle w:val="Header"/>
      <w:jc w:val="center"/>
      <w:rPr>
        <w:color w:val="17365D" w:themeColor="text2" w:themeShade="BF"/>
        <w:szCs w:val="20"/>
      </w:rPr>
    </w:pPr>
    <w:r w:rsidRPr="00E55BC6">
      <w:rPr>
        <w:color w:val="17365D" w:themeColor="text2" w:themeShade="BF"/>
        <w:szCs w:val="20"/>
      </w:rPr>
      <w:t>SKAIDROJUMS PAR KONSOLIDĒTĀ KOPBUDŽETA IZPILDI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320"/>
    <w:multiLevelType w:val="hybridMultilevel"/>
    <w:tmpl w:val="BBB0DF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BA637F"/>
    <w:multiLevelType w:val="hybridMultilevel"/>
    <w:tmpl w:val="9D96FB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205327"/>
    <w:multiLevelType w:val="hybridMultilevel"/>
    <w:tmpl w:val="91D8B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694CBB"/>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562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B6F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650A2"/>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F58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1B1CCA"/>
    <w:multiLevelType w:val="hybridMultilevel"/>
    <w:tmpl w:val="33C6B886"/>
    <w:lvl w:ilvl="0" w:tplc="04260001">
      <w:start w:val="1"/>
      <w:numFmt w:val="bullet"/>
      <w:lvlText w:val=""/>
      <w:lvlJc w:val="left"/>
      <w:pPr>
        <w:ind w:left="1397" w:hanging="360"/>
      </w:pPr>
      <w:rPr>
        <w:rFonts w:ascii="Symbol" w:hAnsi="Symbol" w:hint="default"/>
      </w:rPr>
    </w:lvl>
    <w:lvl w:ilvl="1" w:tplc="04260003" w:tentative="1">
      <w:start w:val="1"/>
      <w:numFmt w:val="bullet"/>
      <w:lvlText w:val="o"/>
      <w:lvlJc w:val="left"/>
      <w:pPr>
        <w:ind w:left="2117" w:hanging="360"/>
      </w:pPr>
      <w:rPr>
        <w:rFonts w:ascii="Courier New" w:hAnsi="Courier New" w:cs="Courier New" w:hint="default"/>
      </w:rPr>
    </w:lvl>
    <w:lvl w:ilvl="2" w:tplc="04260005" w:tentative="1">
      <w:start w:val="1"/>
      <w:numFmt w:val="bullet"/>
      <w:lvlText w:val=""/>
      <w:lvlJc w:val="left"/>
      <w:pPr>
        <w:ind w:left="2837" w:hanging="360"/>
      </w:pPr>
      <w:rPr>
        <w:rFonts w:ascii="Wingdings" w:hAnsi="Wingdings" w:hint="default"/>
      </w:rPr>
    </w:lvl>
    <w:lvl w:ilvl="3" w:tplc="04260001" w:tentative="1">
      <w:start w:val="1"/>
      <w:numFmt w:val="bullet"/>
      <w:lvlText w:val=""/>
      <w:lvlJc w:val="left"/>
      <w:pPr>
        <w:ind w:left="3557" w:hanging="360"/>
      </w:pPr>
      <w:rPr>
        <w:rFonts w:ascii="Symbol" w:hAnsi="Symbol" w:hint="default"/>
      </w:rPr>
    </w:lvl>
    <w:lvl w:ilvl="4" w:tplc="04260003" w:tentative="1">
      <w:start w:val="1"/>
      <w:numFmt w:val="bullet"/>
      <w:lvlText w:val="o"/>
      <w:lvlJc w:val="left"/>
      <w:pPr>
        <w:ind w:left="4277" w:hanging="360"/>
      </w:pPr>
      <w:rPr>
        <w:rFonts w:ascii="Courier New" w:hAnsi="Courier New" w:cs="Courier New" w:hint="default"/>
      </w:rPr>
    </w:lvl>
    <w:lvl w:ilvl="5" w:tplc="04260005" w:tentative="1">
      <w:start w:val="1"/>
      <w:numFmt w:val="bullet"/>
      <w:lvlText w:val=""/>
      <w:lvlJc w:val="left"/>
      <w:pPr>
        <w:ind w:left="4997" w:hanging="360"/>
      </w:pPr>
      <w:rPr>
        <w:rFonts w:ascii="Wingdings" w:hAnsi="Wingdings" w:hint="default"/>
      </w:rPr>
    </w:lvl>
    <w:lvl w:ilvl="6" w:tplc="04260001" w:tentative="1">
      <w:start w:val="1"/>
      <w:numFmt w:val="bullet"/>
      <w:lvlText w:val=""/>
      <w:lvlJc w:val="left"/>
      <w:pPr>
        <w:ind w:left="5717" w:hanging="360"/>
      </w:pPr>
      <w:rPr>
        <w:rFonts w:ascii="Symbol" w:hAnsi="Symbol" w:hint="default"/>
      </w:rPr>
    </w:lvl>
    <w:lvl w:ilvl="7" w:tplc="04260003" w:tentative="1">
      <w:start w:val="1"/>
      <w:numFmt w:val="bullet"/>
      <w:lvlText w:val="o"/>
      <w:lvlJc w:val="left"/>
      <w:pPr>
        <w:ind w:left="6437" w:hanging="360"/>
      </w:pPr>
      <w:rPr>
        <w:rFonts w:ascii="Courier New" w:hAnsi="Courier New" w:cs="Courier New" w:hint="default"/>
      </w:rPr>
    </w:lvl>
    <w:lvl w:ilvl="8" w:tplc="04260005" w:tentative="1">
      <w:start w:val="1"/>
      <w:numFmt w:val="bullet"/>
      <w:lvlText w:val=""/>
      <w:lvlJc w:val="left"/>
      <w:pPr>
        <w:ind w:left="7157" w:hanging="360"/>
      </w:pPr>
      <w:rPr>
        <w:rFonts w:ascii="Wingdings" w:hAnsi="Wingdings" w:hint="default"/>
      </w:rPr>
    </w:lvl>
  </w:abstractNum>
  <w:abstractNum w:abstractNumId="10" w15:restartNumberingAfterBreak="0">
    <w:nsid w:val="2DF437DB"/>
    <w:multiLevelType w:val="multilevel"/>
    <w:tmpl w:val="64684FCC"/>
    <w:numStyleLink w:val="Numercija"/>
  </w:abstractNum>
  <w:abstractNum w:abstractNumId="11" w15:restartNumberingAfterBreak="0">
    <w:nsid w:val="2E2B7283"/>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3" w15:restartNumberingAfterBreak="0">
    <w:nsid w:val="303356F9"/>
    <w:multiLevelType w:val="hybridMultilevel"/>
    <w:tmpl w:val="9394FAA2"/>
    <w:lvl w:ilvl="0" w:tplc="F754DDF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9E5CDD"/>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F6538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562DE1"/>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DB2D9B"/>
    <w:multiLevelType w:val="multilevel"/>
    <w:tmpl w:val="91D8B47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8B51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83B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EE618A"/>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EB486E"/>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116A12"/>
    <w:multiLevelType w:val="hybridMultilevel"/>
    <w:tmpl w:val="85D826A6"/>
    <w:lvl w:ilvl="0" w:tplc="04260001">
      <w:start w:val="1"/>
      <w:numFmt w:val="bullet"/>
      <w:lvlText w:val=""/>
      <w:lvlJc w:val="left"/>
      <w:pPr>
        <w:ind w:left="1350" w:hanging="360"/>
      </w:pPr>
      <w:rPr>
        <w:rFonts w:ascii="Symbol" w:hAnsi="Symbol" w:hint="default"/>
      </w:rPr>
    </w:lvl>
    <w:lvl w:ilvl="1" w:tplc="04260003">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24" w15:restartNumberingAfterBreak="0">
    <w:nsid w:val="54674057"/>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6" w15:restartNumberingAfterBreak="0">
    <w:nsid w:val="57E00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4763BF"/>
    <w:multiLevelType w:val="hybridMultilevel"/>
    <w:tmpl w:val="53D2373E"/>
    <w:lvl w:ilvl="0" w:tplc="F754DDFE">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8" w15:restartNumberingAfterBreak="0">
    <w:nsid w:val="5C697E73"/>
    <w:multiLevelType w:val="hybridMultilevel"/>
    <w:tmpl w:val="6DC4779A"/>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29" w15:restartNumberingAfterBreak="0">
    <w:nsid w:val="5F260E9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D82396"/>
    <w:multiLevelType w:val="hybridMultilevel"/>
    <w:tmpl w:val="B36E29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1CE6117"/>
    <w:multiLevelType w:val="multilevel"/>
    <w:tmpl w:val="0426001F"/>
    <w:numStyleLink w:val="Secganumercija"/>
  </w:abstractNum>
  <w:abstractNum w:abstractNumId="32" w15:restartNumberingAfterBreak="0">
    <w:nsid w:val="62DB3CBA"/>
    <w:multiLevelType w:val="hybridMultilevel"/>
    <w:tmpl w:val="DF6491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C048D9"/>
    <w:multiLevelType w:val="hybridMultilevel"/>
    <w:tmpl w:val="1F2E784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4" w15:restartNumberingAfterBreak="0">
    <w:nsid w:val="6A1B5A38"/>
    <w:multiLevelType w:val="multilevel"/>
    <w:tmpl w:val="0426001F"/>
    <w:numStyleLink w:val="Secganumercija"/>
  </w:abstractNum>
  <w:abstractNum w:abstractNumId="35" w15:restartNumberingAfterBreak="0">
    <w:nsid w:val="6C0C5094"/>
    <w:multiLevelType w:val="hybridMultilevel"/>
    <w:tmpl w:val="235269CA"/>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6" w15:restartNumberingAfterBreak="0">
    <w:nsid w:val="6D3C5635"/>
    <w:multiLevelType w:val="hybridMultilevel"/>
    <w:tmpl w:val="3E4C47E4"/>
    <w:lvl w:ilvl="0" w:tplc="67C43640">
      <w:start w:val="1"/>
      <w:numFmt w:val="bullet"/>
      <w:pStyle w:val="Bullets"/>
      <w:lvlText w:val=""/>
      <w:lvlJc w:val="left"/>
      <w:pPr>
        <w:ind w:left="927" w:hanging="360"/>
      </w:pPr>
      <w:rPr>
        <w:rFonts w:ascii="Symbol" w:hAnsi="Symbol" w:hint="default"/>
      </w:rPr>
    </w:lvl>
    <w:lvl w:ilvl="1" w:tplc="04260003">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7" w15:restartNumberingAfterBreak="0">
    <w:nsid w:val="6DD268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54683E"/>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423B54"/>
    <w:multiLevelType w:val="multilevel"/>
    <w:tmpl w:val="0426001F"/>
    <w:numStyleLink w:val="Secganumercija"/>
  </w:abstractNum>
  <w:abstractNum w:abstractNumId="40" w15:restartNumberingAfterBreak="0">
    <w:nsid w:val="7AEC0A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4B16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5B727F"/>
    <w:multiLevelType w:val="hybridMultilevel"/>
    <w:tmpl w:val="92649A34"/>
    <w:lvl w:ilvl="0" w:tplc="61985EDE">
      <w:start w:val="1"/>
      <w:numFmt w:val="bullet"/>
      <w:lvlText w:val=""/>
      <w:lvlJc w:val="left"/>
      <w:pPr>
        <w:ind w:left="1287"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32"/>
  </w:num>
  <w:num w:numId="4">
    <w:abstractNumId w:val="30"/>
  </w:num>
  <w:num w:numId="5">
    <w:abstractNumId w:val="37"/>
  </w:num>
  <w:num w:numId="6">
    <w:abstractNumId w:val="15"/>
  </w:num>
  <w:num w:numId="7">
    <w:abstractNumId w:val="41"/>
  </w:num>
  <w:num w:numId="8">
    <w:abstractNumId w:val="0"/>
  </w:num>
  <w:num w:numId="9">
    <w:abstractNumId w:val="26"/>
  </w:num>
  <w:num w:numId="10">
    <w:abstractNumId w:val="8"/>
  </w:num>
  <w:num w:numId="11">
    <w:abstractNumId w:val="19"/>
  </w:num>
  <w:num w:numId="12">
    <w:abstractNumId w:val="11"/>
  </w:num>
  <w:num w:numId="13">
    <w:abstractNumId w:val="1"/>
  </w:num>
  <w:num w:numId="14">
    <w:abstractNumId w:val="4"/>
  </w:num>
  <w:num w:numId="15">
    <w:abstractNumId w:val="3"/>
  </w:num>
  <w:num w:numId="16">
    <w:abstractNumId w:val="21"/>
  </w:num>
  <w:num w:numId="17">
    <w:abstractNumId w:val="14"/>
  </w:num>
  <w:num w:numId="18">
    <w:abstractNumId w:val="20"/>
  </w:num>
  <w:num w:numId="19">
    <w:abstractNumId w:val="29"/>
  </w:num>
  <w:num w:numId="20">
    <w:abstractNumId w:val="38"/>
  </w:num>
  <w:num w:numId="21">
    <w:abstractNumId w:val="40"/>
  </w:num>
  <w:num w:numId="22">
    <w:abstractNumId w:val="18"/>
  </w:num>
  <w:num w:numId="23">
    <w:abstractNumId w:val="6"/>
  </w:num>
  <w:num w:numId="24">
    <w:abstractNumId w:val="10"/>
  </w:num>
  <w:num w:numId="25">
    <w:abstractNumId w:val="24"/>
  </w:num>
  <w:num w:numId="26">
    <w:abstractNumId w:val="12"/>
  </w:num>
  <w:num w:numId="27">
    <w:abstractNumId w:val="25"/>
  </w:num>
  <w:num w:numId="28">
    <w:abstractNumId w:val="16"/>
  </w:num>
  <w:num w:numId="29">
    <w:abstractNumId w:val="5"/>
  </w:num>
  <w:num w:numId="30">
    <w:abstractNumId w:val="22"/>
  </w:num>
  <w:num w:numId="31">
    <w:abstractNumId w:val="7"/>
  </w:num>
  <w:num w:numId="32">
    <w:abstractNumId w:val="31"/>
  </w:num>
  <w:num w:numId="33">
    <w:abstractNumId w:val="31"/>
  </w:num>
  <w:num w:numId="34">
    <w:abstractNumId w:val="42"/>
  </w:num>
  <w:num w:numId="35">
    <w:abstractNumId w:val="34"/>
  </w:num>
  <w:num w:numId="36">
    <w:abstractNumId w:val="39"/>
  </w:num>
  <w:num w:numId="37">
    <w:abstractNumId w:val="13"/>
  </w:num>
  <w:num w:numId="38">
    <w:abstractNumId w:val="27"/>
  </w:num>
  <w:num w:numId="39">
    <w:abstractNumId w:val="9"/>
  </w:num>
  <w:num w:numId="40">
    <w:abstractNumId w:val="28"/>
  </w:num>
  <w:num w:numId="41">
    <w:abstractNumId w:val="33"/>
  </w:num>
  <w:num w:numId="42">
    <w:abstractNumId w:val="23"/>
  </w:num>
  <w:num w:numId="43">
    <w:abstractNumId w:val="35"/>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defaultTabStop w:val="720"/>
  <w:characterSpacingControl w:val="doNotCompress"/>
  <w:hdrShapeDefaults>
    <o:shapedefaults v:ext="edit" spidmax="304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50F"/>
    <w:rsid w:val="00002CC6"/>
    <w:rsid w:val="000034D8"/>
    <w:rsid w:val="0000783D"/>
    <w:rsid w:val="000102F2"/>
    <w:rsid w:val="00010879"/>
    <w:rsid w:val="00016D7A"/>
    <w:rsid w:val="00021D25"/>
    <w:rsid w:val="00023750"/>
    <w:rsid w:val="0002450F"/>
    <w:rsid w:val="0002463E"/>
    <w:rsid w:val="000340FD"/>
    <w:rsid w:val="000402BA"/>
    <w:rsid w:val="000413E4"/>
    <w:rsid w:val="00044419"/>
    <w:rsid w:val="000462DE"/>
    <w:rsid w:val="000505CF"/>
    <w:rsid w:val="00057670"/>
    <w:rsid w:val="000649E5"/>
    <w:rsid w:val="00067A73"/>
    <w:rsid w:val="00075DD2"/>
    <w:rsid w:val="00077F06"/>
    <w:rsid w:val="00080648"/>
    <w:rsid w:val="000866F7"/>
    <w:rsid w:val="0009011B"/>
    <w:rsid w:val="00096449"/>
    <w:rsid w:val="00097D22"/>
    <w:rsid w:val="000A2BD6"/>
    <w:rsid w:val="000A5BD6"/>
    <w:rsid w:val="000B0788"/>
    <w:rsid w:val="000B5300"/>
    <w:rsid w:val="000C07C9"/>
    <w:rsid w:val="000C155D"/>
    <w:rsid w:val="000C2768"/>
    <w:rsid w:val="000C2E53"/>
    <w:rsid w:val="000C540E"/>
    <w:rsid w:val="000C5BCC"/>
    <w:rsid w:val="000C7681"/>
    <w:rsid w:val="000D0756"/>
    <w:rsid w:val="000D1FAD"/>
    <w:rsid w:val="000D20B0"/>
    <w:rsid w:val="000D2F88"/>
    <w:rsid w:val="000D359C"/>
    <w:rsid w:val="000D6FEA"/>
    <w:rsid w:val="000D790F"/>
    <w:rsid w:val="000E06F3"/>
    <w:rsid w:val="000E1ED4"/>
    <w:rsid w:val="000E3563"/>
    <w:rsid w:val="000E3A1A"/>
    <w:rsid w:val="000E4EE1"/>
    <w:rsid w:val="000E7352"/>
    <w:rsid w:val="000E761A"/>
    <w:rsid w:val="000F05AE"/>
    <w:rsid w:val="000F1101"/>
    <w:rsid w:val="000F29B9"/>
    <w:rsid w:val="000F3E1F"/>
    <w:rsid w:val="000F4003"/>
    <w:rsid w:val="000F4A9C"/>
    <w:rsid w:val="000F65F4"/>
    <w:rsid w:val="000F6D86"/>
    <w:rsid w:val="0010166E"/>
    <w:rsid w:val="00101828"/>
    <w:rsid w:val="00102AB2"/>
    <w:rsid w:val="00102CB1"/>
    <w:rsid w:val="00103A83"/>
    <w:rsid w:val="00106817"/>
    <w:rsid w:val="0010743C"/>
    <w:rsid w:val="001103C9"/>
    <w:rsid w:val="001108FF"/>
    <w:rsid w:val="001120B5"/>
    <w:rsid w:val="0011334A"/>
    <w:rsid w:val="001141E8"/>
    <w:rsid w:val="00117BA4"/>
    <w:rsid w:val="00117F24"/>
    <w:rsid w:val="0012008C"/>
    <w:rsid w:val="00120467"/>
    <w:rsid w:val="00123297"/>
    <w:rsid w:val="00125522"/>
    <w:rsid w:val="001307FF"/>
    <w:rsid w:val="00135F3E"/>
    <w:rsid w:val="00142B2A"/>
    <w:rsid w:val="00142BD8"/>
    <w:rsid w:val="0014316F"/>
    <w:rsid w:val="0014347F"/>
    <w:rsid w:val="00146D36"/>
    <w:rsid w:val="001475B3"/>
    <w:rsid w:val="001524A8"/>
    <w:rsid w:val="0015530E"/>
    <w:rsid w:val="00155CEB"/>
    <w:rsid w:val="00155F24"/>
    <w:rsid w:val="00164ABB"/>
    <w:rsid w:val="001654FA"/>
    <w:rsid w:val="00173A34"/>
    <w:rsid w:val="00174A81"/>
    <w:rsid w:val="00176B1D"/>
    <w:rsid w:val="0017729C"/>
    <w:rsid w:val="00177B24"/>
    <w:rsid w:val="00180737"/>
    <w:rsid w:val="00185CB1"/>
    <w:rsid w:val="00187912"/>
    <w:rsid w:val="00187B73"/>
    <w:rsid w:val="001900CD"/>
    <w:rsid w:val="001902B8"/>
    <w:rsid w:val="00190576"/>
    <w:rsid w:val="00191C56"/>
    <w:rsid w:val="0019203E"/>
    <w:rsid w:val="00192B28"/>
    <w:rsid w:val="00192D04"/>
    <w:rsid w:val="0019312A"/>
    <w:rsid w:val="00196BCE"/>
    <w:rsid w:val="001A055C"/>
    <w:rsid w:val="001A08B8"/>
    <w:rsid w:val="001B062C"/>
    <w:rsid w:val="001B0640"/>
    <w:rsid w:val="001B188D"/>
    <w:rsid w:val="001B1DE9"/>
    <w:rsid w:val="001B1EEB"/>
    <w:rsid w:val="001B21B7"/>
    <w:rsid w:val="001B2250"/>
    <w:rsid w:val="001B3934"/>
    <w:rsid w:val="001C1DA3"/>
    <w:rsid w:val="001C2734"/>
    <w:rsid w:val="001C6EAD"/>
    <w:rsid w:val="001C7B8C"/>
    <w:rsid w:val="001D0511"/>
    <w:rsid w:val="001D1003"/>
    <w:rsid w:val="001D1948"/>
    <w:rsid w:val="001D1DF9"/>
    <w:rsid w:val="001D3490"/>
    <w:rsid w:val="001D3AD7"/>
    <w:rsid w:val="001D4519"/>
    <w:rsid w:val="001D4AB4"/>
    <w:rsid w:val="001D6743"/>
    <w:rsid w:val="001E17B1"/>
    <w:rsid w:val="001E1C2F"/>
    <w:rsid w:val="001E31DB"/>
    <w:rsid w:val="001E4091"/>
    <w:rsid w:val="001E61EC"/>
    <w:rsid w:val="001F086D"/>
    <w:rsid w:val="001F12B1"/>
    <w:rsid w:val="001F2497"/>
    <w:rsid w:val="001F5461"/>
    <w:rsid w:val="00203C6E"/>
    <w:rsid w:val="00205AEC"/>
    <w:rsid w:val="0020719D"/>
    <w:rsid w:val="00211031"/>
    <w:rsid w:val="00211057"/>
    <w:rsid w:val="00212121"/>
    <w:rsid w:val="00213455"/>
    <w:rsid w:val="0021715B"/>
    <w:rsid w:val="002250D1"/>
    <w:rsid w:val="00232766"/>
    <w:rsid w:val="00232D94"/>
    <w:rsid w:val="00240EB5"/>
    <w:rsid w:val="002446B2"/>
    <w:rsid w:val="00245CF5"/>
    <w:rsid w:val="00246541"/>
    <w:rsid w:val="002503CF"/>
    <w:rsid w:val="00256CAD"/>
    <w:rsid w:val="00260342"/>
    <w:rsid w:val="0026049F"/>
    <w:rsid w:val="00265FAD"/>
    <w:rsid w:val="00266577"/>
    <w:rsid w:val="00266834"/>
    <w:rsid w:val="002669F1"/>
    <w:rsid w:val="00273A4E"/>
    <w:rsid w:val="00283D95"/>
    <w:rsid w:val="002850F6"/>
    <w:rsid w:val="002851F8"/>
    <w:rsid w:val="00285520"/>
    <w:rsid w:val="00286260"/>
    <w:rsid w:val="002864D6"/>
    <w:rsid w:val="0028664D"/>
    <w:rsid w:val="00286746"/>
    <w:rsid w:val="00293362"/>
    <w:rsid w:val="002A1F67"/>
    <w:rsid w:val="002A2C46"/>
    <w:rsid w:val="002A2CA7"/>
    <w:rsid w:val="002A394A"/>
    <w:rsid w:val="002A47CF"/>
    <w:rsid w:val="002A55D1"/>
    <w:rsid w:val="002B1360"/>
    <w:rsid w:val="002B1D81"/>
    <w:rsid w:val="002B4507"/>
    <w:rsid w:val="002B5062"/>
    <w:rsid w:val="002B7CA0"/>
    <w:rsid w:val="002C29BB"/>
    <w:rsid w:val="002C433D"/>
    <w:rsid w:val="002C5A3B"/>
    <w:rsid w:val="002C68C1"/>
    <w:rsid w:val="002C6BA8"/>
    <w:rsid w:val="002C7463"/>
    <w:rsid w:val="002C75BB"/>
    <w:rsid w:val="002D16A4"/>
    <w:rsid w:val="002D2236"/>
    <w:rsid w:val="002D4DDC"/>
    <w:rsid w:val="002E4B1B"/>
    <w:rsid w:val="002E5A76"/>
    <w:rsid w:val="002E5DE0"/>
    <w:rsid w:val="002F1B29"/>
    <w:rsid w:val="002F24C2"/>
    <w:rsid w:val="002F50D3"/>
    <w:rsid w:val="002F7B37"/>
    <w:rsid w:val="0030038F"/>
    <w:rsid w:val="00301407"/>
    <w:rsid w:val="00302618"/>
    <w:rsid w:val="0031016B"/>
    <w:rsid w:val="00310BD1"/>
    <w:rsid w:val="00310BDD"/>
    <w:rsid w:val="00312747"/>
    <w:rsid w:val="00313337"/>
    <w:rsid w:val="00313459"/>
    <w:rsid w:val="0031349E"/>
    <w:rsid w:val="00313DF7"/>
    <w:rsid w:val="003143F7"/>
    <w:rsid w:val="00320B1C"/>
    <w:rsid w:val="00320B6F"/>
    <w:rsid w:val="003220D9"/>
    <w:rsid w:val="003224F8"/>
    <w:rsid w:val="00322BAC"/>
    <w:rsid w:val="00325975"/>
    <w:rsid w:val="00325A7F"/>
    <w:rsid w:val="0032759B"/>
    <w:rsid w:val="00330D4D"/>
    <w:rsid w:val="003327D7"/>
    <w:rsid w:val="003327EE"/>
    <w:rsid w:val="00332DDC"/>
    <w:rsid w:val="0033427F"/>
    <w:rsid w:val="00334F32"/>
    <w:rsid w:val="00335265"/>
    <w:rsid w:val="0033779D"/>
    <w:rsid w:val="0034196C"/>
    <w:rsid w:val="00345AAE"/>
    <w:rsid w:val="00345C8F"/>
    <w:rsid w:val="00346794"/>
    <w:rsid w:val="00347943"/>
    <w:rsid w:val="003518F8"/>
    <w:rsid w:val="00352066"/>
    <w:rsid w:val="00355B25"/>
    <w:rsid w:val="00356283"/>
    <w:rsid w:val="003602A5"/>
    <w:rsid w:val="00360C68"/>
    <w:rsid w:val="00366559"/>
    <w:rsid w:val="003671D2"/>
    <w:rsid w:val="00370FC8"/>
    <w:rsid w:val="00372057"/>
    <w:rsid w:val="0037299C"/>
    <w:rsid w:val="003752BC"/>
    <w:rsid w:val="00375510"/>
    <w:rsid w:val="003771C0"/>
    <w:rsid w:val="0038238F"/>
    <w:rsid w:val="00382874"/>
    <w:rsid w:val="00383361"/>
    <w:rsid w:val="00384FB1"/>
    <w:rsid w:val="00386265"/>
    <w:rsid w:val="00387B75"/>
    <w:rsid w:val="003951AA"/>
    <w:rsid w:val="003961A8"/>
    <w:rsid w:val="003977B2"/>
    <w:rsid w:val="00397E42"/>
    <w:rsid w:val="003A021E"/>
    <w:rsid w:val="003A4B54"/>
    <w:rsid w:val="003A4F35"/>
    <w:rsid w:val="003A66B7"/>
    <w:rsid w:val="003A73FC"/>
    <w:rsid w:val="003B035F"/>
    <w:rsid w:val="003B21A8"/>
    <w:rsid w:val="003B41BC"/>
    <w:rsid w:val="003B58CD"/>
    <w:rsid w:val="003C1D47"/>
    <w:rsid w:val="003C259F"/>
    <w:rsid w:val="003C2E8D"/>
    <w:rsid w:val="003D08A5"/>
    <w:rsid w:val="003D29F5"/>
    <w:rsid w:val="003D5293"/>
    <w:rsid w:val="003E2436"/>
    <w:rsid w:val="003E2C31"/>
    <w:rsid w:val="003E41F8"/>
    <w:rsid w:val="003E6995"/>
    <w:rsid w:val="003E6E25"/>
    <w:rsid w:val="003E7200"/>
    <w:rsid w:val="003E7DD5"/>
    <w:rsid w:val="003F0661"/>
    <w:rsid w:val="003F23B9"/>
    <w:rsid w:val="003F5AC8"/>
    <w:rsid w:val="003F5E3E"/>
    <w:rsid w:val="0040038E"/>
    <w:rsid w:val="004016B6"/>
    <w:rsid w:val="00401CE6"/>
    <w:rsid w:val="00404729"/>
    <w:rsid w:val="00406243"/>
    <w:rsid w:val="00407B8C"/>
    <w:rsid w:val="00411B3D"/>
    <w:rsid w:val="00412266"/>
    <w:rsid w:val="00412F88"/>
    <w:rsid w:val="004135DA"/>
    <w:rsid w:val="00416A59"/>
    <w:rsid w:val="00420D1B"/>
    <w:rsid w:val="004221EE"/>
    <w:rsid w:val="00424571"/>
    <w:rsid w:val="00430F3A"/>
    <w:rsid w:val="004317D7"/>
    <w:rsid w:val="00431C69"/>
    <w:rsid w:val="004354AB"/>
    <w:rsid w:val="00436153"/>
    <w:rsid w:val="00440D98"/>
    <w:rsid w:val="0044149C"/>
    <w:rsid w:val="00442DB7"/>
    <w:rsid w:val="00445C6C"/>
    <w:rsid w:val="004529F8"/>
    <w:rsid w:val="00452BE4"/>
    <w:rsid w:val="004531AE"/>
    <w:rsid w:val="00455627"/>
    <w:rsid w:val="004602C9"/>
    <w:rsid w:val="00461061"/>
    <w:rsid w:val="00461BB1"/>
    <w:rsid w:val="004639C3"/>
    <w:rsid w:val="00464217"/>
    <w:rsid w:val="0046423A"/>
    <w:rsid w:val="00466392"/>
    <w:rsid w:val="004672D1"/>
    <w:rsid w:val="00471756"/>
    <w:rsid w:val="0047216D"/>
    <w:rsid w:val="00474149"/>
    <w:rsid w:val="0047444C"/>
    <w:rsid w:val="004777BE"/>
    <w:rsid w:val="0048305F"/>
    <w:rsid w:val="004833AE"/>
    <w:rsid w:val="004834F6"/>
    <w:rsid w:val="004846E9"/>
    <w:rsid w:val="00484F31"/>
    <w:rsid w:val="00486FAB"/>
    <w:rsid w:val="00491EE2"/>
    <w:rsid w:val="00492432"/>
    <w:rsid w:val="004947C7"/>
    <w:rsid w:val="0049781E"/>
    <w:rsid w:val="004A02C1"/>
    <w:rsid w:val="004A4A57"/>
    <w:rsid w:val="004B1001"/>
    <w:rsid w:val="004B5639"/>
    <w:rsid w:val="004B575F"/>
    <w:rsid w:val="004B604A"/>
    <w:rsid w:val="004B6565"/>
    <w:rsid w:val="004B692C"/>
    <w:rsid w:val="004B7D0C"/>
    <w:rsid w:val="004C395B"/>
    <w:rsid w:val="004C4D79"/>
    <w:rsid w:val="004D0A11"/>
    <w:rsid w:val="004D1A3F"/>
    <w:rsid w:val="004D2D17"/>
    <w:rsid w:val="004D7838"/>
    <w:rsid w:val="004E000D"/>
    <w:rsid w:val="004E01AB"/>
    <w:rsid w:val="004E52D2"/>
    <w:rsid w:val="004E5328"/>
    <w:rsid w:val="004E5A5E"/>
    <w:rsid w:val="004E7482"/>
    <w:rsid w:val="004E7A59"/>
    <w:rsid w:val="004F1CA9"/>
    <w:rsid w:val="004F1F53"/>
    <w:rsid w:val="004F268B"/>
    <w:rsid w:val="004F2B45"/>
    <w:rsid w:val="004F4263"/>
    <w:rsid w:val="004F46F0"/>
    <w:rsid w:val="004F59C2"/>
    <w:rsid w:val="004F7A5A"/>
    <w:rsid w:val="004F7AF7"/>
    <w:rsid w:val="00500636"/>
    <w:rsid w:val="00500DC6"/>
    <w:rsid w:val="005021F0"/>
    <w:rsid w:val="0050259C"/>
    <w:rsid w:val="00516340"/>
    <w:rsid w:val="005205A2"/>
    <w:rsid w:val="00520887"/>
    <w:rsid w:val="0052338C"/>
    <w:rsid w:val="005233AE"/>
    <w:rsid w:val="00524F32"/>
    <w:rsid w:val="00525905"/>
    <w:rsid w:val="00527261"/>
    <w:rsid w:val="0052781B"/>
    <w:rsid w:val="00532042"/>
    <w:rsid w:val="00534AD4"/>
    <w:rsid w:val="00535B1E"/>
    <w:rsid w:val="005379E7"/>
    <w:rsid w:val="005513FF"/>
    <w:rsid w:val="0055188B"/>
    <w:rsid w:val="00551F3F"/>
    <w:rsid w:val="005528B9"/>
    <w:rsid w:val="00552F84"/>
    <w:rsid w:val="00562BAB"/>
    <w:rsid w:val="00563489"/>
    <w:rsid w:val="00564701"/>
    <w:rsid w:val="00567A4C"/>
    <w:rsid w:val="00574CCE"/>
    <w:rsid w:val="005752DB"/>
    <w:rsid w:val="00575C98"/>
    <w:rsid w:val="00577EB4"/>
    <w:rsid w:val="00581576"/>
    <w:rsid w:val="00582C46"/>
    <w:rsid w:val="005868F6"/>
    <w:rsid w:val="00587F16"/>
    <w:rsid w:val="005953CD"/>
    <w:rsid w:val="00595C59"/>
    <w:rsid w:val="00596B5D"/>
    <w:rsid w:val="005A0FB2"/>
    <w:rsid w:val="005A2682"/>
    <w:rsid w:val="005A35D7"/>
    <w:rsid w:val="005A36C8"/>
    <w:rsid w:val="005A4FF8"/>
    <w:rsid w:val="005A6A44"/>
    <w:rsid w:val="005A6CEB"/>
    <w:rsid w:val="005B040B"/>
    <w:rsid w:val="005B38B0"/>
    <w:rsid w:val="005B485E"/>
    <w:rsid w:val="005B6D1A"/>
    <w:rsid w:val="005B70F0"/>
    <w:rsid w:val="005C024B"/>
    <w:rsid w:val="005C07EE"/>
    <w:rsid w:val="005C18F1"/>
    <w:rsid w:val="005C27F4"/>
    <w:rsid w:val="005C4C9B"/>
    <w:rsid w:val="005C6C41"/>
    <w:rsid w:val="005C6C85"/>
    <w:rsid w:val="005C748C"/>
    <w:rsid w:val="005D1103"/>
    <w:rsid w:val="005D600B"/>
    <w:rsid w:val="005D7BE6"/>
    <w:rsid w:val="005D7D4E"/>
    <w:rsid w:val="005E0A1B"/>
    <w:rsid w:val="005E2561"/>
    <w:rsid w:val="005E5E8D"/>
    <w:rsid w:val="005F5416"/>
    <w:rsid w:val="005F772D"/>
    <w:rsid w:val="00601F8A"/>
    <w:rsid w:val="00605753"/>
    <w:rsid w:val="00605E03"/>
    <w:rsid w:val="00606330"/>
    <w:rsid w:val="00607E1D"/>
    <w:rsid w:val="00611DA6"/>
    <w:rsid w:val="0061531D"/>
    <w:rsid w:val="00625731"/>
    <w:rsid w:val="00625A63"/>
    <w:rsid w:val="00627EE8"/>
    <w:rsid w:val="00630BFD"/>
    <w:rsid w:val="00632FBB"/>
    <w:rsid w:val="00635C66"/>
    <w:rsid w:val="0064302D"/>
    <w:rsid w:val="0064317D"/>
    <w:rsid w:val="0064323B"/>
    <w:rsid w:val="00643DAD"/>
    <w:rsid w:val="00646A23"/>
    <w:rsid w:val="006471B9"/>
    <w:rsid w:val="006513FF"/>
    <w:rsid w:val="00652E69"/>
    <w:rsid w:val="006553CA"/>
    <w:rsid w:val="006561AC"/>
    <w:rsid w:val="006602CF"/>
    <w:rsid w:val="00660A87"/>
    <w:rsid w:val="0066471E"/>
    <w:rsid w:val="006677D7"/>
    <w:rsid w:val="00672A23"/>
    <w:rsid w:val="006742FF"/>
    <w:rsid w:val="00676F13"/>
    <w:rsid w:val="00683098"/>
    <w:rsid w:val="006836DB"/>
    <w:rsid w:val="006855DE"/>
    <w:rsid w:val="00690A16"/>
    <w:rsid w:val="0069162D"/>
    <w:rsid w:val="00692CDD"/>
    <w:rsid w:val="00697AEA"/>
    <w:rsid w:val="006A0CD8"/>
    <w:rsid w:val="006A15CD"/>
    <w:rsid w:val="006A23C0"/>
    <w:rsid w:val="006B038B"/>
    <w:rsid w:val="006B1088"/>
    <w:rsid w:val="006B3CA5"/>
    <w:rsid w:val="006B5267"/>
    <w:rsid w:val="006C000F"/>
    <w:rsid w:val="006C22BE"/>
    <w:rsid w:val="006C4006"/>
    <w:rsid w:val="006C4357"/>
    <w:rsid w:val="006D27FB"/>
    <w:rsid w:val="006D39BC"/>
    <w:rsid w:val="006D3F0E"/>
    <w:rsid w:val="006D4715"/>
    <w:rsid w:val="006D574A"/>
    <w:rsid w:val="006E2FEC"/>
    <w:rsid w:val="006E3FB3"/>
    <w:rsid w:val="006F0EA3"/>
    <w:rsid w:val="006F37F6"/>
    <w:rsid w:val="006F4ACE"/>
    <w:rsid w:val="006F558D"/>
    <w:rsid w:val="00701649"/>
    <w:rsid w:val="00701BEB"/>
    <w:rsid w:val="007035C7"/>
    <w:rsid w:val="007064AD"/>
    <w:rsid w:val="0070655B"/>
    <w:rsid w:val="00707118"/>
    <w:rsid w:val="0071139F"/>
    <w:rsid w:val="007126AA"/>
    <w:rsid w:val="0071705C"/>
    <w:rsid w:val="00720A4D"/>
    <w:rsid w:val="00725305"/>
    <w:rsid w:val="00726312"/>
    <w:rsid w:val="00727830"/>
    <w:rsid w:val="00727979"/>
    <w:rsid w:val="0073190D"/>
    <w:rsid w:val="00733000"/>
    <w:rsid w:val="0073320B"/>
    <w:rsid w:val="00733218"/>
    <w:rsid w:val="007349FD"/>
    <w:rsid w:val="00736945"/>
    <w:rsid w:val="007371F2"/>
    <w:rsid w:val="007411D6"/>
    <w:rsid w:val="00741734"/>
    <w:rsid w:val="00741A50"/>
    <w:rsid w:val="00742B05"/>
    <w:rsid w:val="007509CB"/>
    <w:rsid w:val="00755784"/>
    <w:rsid w:val="00756039"/>
    <w:rsid w:val="00757B27"/>
    <w:rsid w:val="00760A40"/>
    <w:rsid w:val="00761480"/>
    <w:rsid w:val="00761547"/>
    <w:rsid w:val="00762E6E"/>
    <w:rsid w:val="00764487"/>
    <w:rsid w:val="00773277"/>
    <w:rsid w:val="00773505"/>
    <w:rsid w:val="0077707F"/>
    <w:rsid w:val="007804A9"/>
    <w:rsid w:val="0078422B"/>
    <w:rsid w:val="00784ABF"/>
    <w:rsid w:val="00786AF4"/>
    <w:rsid w:val="00787CB7"/>
    <w:rsid w:val="007964BB"/>
    <w:rsid w:val="007A1FAB"/>
    <w:rsid w:val="007A3289"/>
    <w:rsid w:val="007B3F09"/>
    <w:rsid w:val="007B5390"/>
    <w:rsid w:val="007B5AC0"/>
    <w:rsid w:val="007C06F7"/>
    <w:rsid w:val="007C2575"/>
    <w:rsid w:val="007C2A59"/>
    <w:rsid w:val="007C40C8"/>
    <w:rsid w:val="007D2014"/>
    <w:rsid w:val="007D5B3A"/>
    <w:rsid w:val="007D6BD8"/>
    <w:rsid w:val="007E40BD"/>
    <w:rsid w:val="007E5431"/>
    <w:rsid w:val="007E586D"/>
    <w:rsid w:val="007E5BE2"/>
    <w:rsid w:val="007F1CA4"/>
    <w:rsid w:val="007F3758"/>
    <w:rsid w:val="007F550F"/>
    <w:rsid w:val="007F6419"/>
    <w:rsid w:val="00817E0E"/>
    <w:rsid w:val="00824B8F"/>
    <w:rsid w:val="008260FF"/>
    <w:rsid w:val="00832CCF"/>
    <w:rsid w:val="00833588"/>
    <w:rsid w:val="00833DED"/>
    <w:rsid w:val="008346EA"/>
    <w:rsid w:val="0084150B"/>
    <w:rsid w:val="008422D3"/>
    <w:rsid w:val="00843EF4"/>
    <w:rsid w:val="00845858"/>
    <w:rsid w:val="00846544"/>
    <w:rsid w:val="008544E0"/>
    <w:rsid w:val="00854E6B"/>
    <w:rsid w:val="0085510C"/>
    <w:rsid w:val="008551A0"/>
    <w:rsid w:val="00855FD6"/>
    <w:rsid w:val="00856D61"/>
    <w:rsid w:val="00870BA9"/>
    <w:rsid w:val="00875621"/>
    <w:rsid w:val="008767C6"/>
    <w:rsid w:val="008768F7"/>
    <w:rsid w:val="00876E88"/>
    <w:rsid w:val="00880D26"/>
    <w:rsid w:val="00881300"/>
    <w:rsid w:val="008815E6"/>
    <w:rsid w:val="00885A72"/>
    <w:rsid w:val="00885E04"/>
    <w:rsid w:val="00887E12"/>
    <w:rsid w:val="00891805"/>
    <w:rsid w:val="00894417"/>
    <w:rsid w:val="00896B0E"/>
    <w:rsid w:val="0089742F"/>
    <w:rsid w:val="008A06D7"/>
    <w:rsid w:val="008A7643"/>
    <w:rsid w:val="008B06B6"/>
    <w:rsid w:val="008B15CE"/>
    <w:rsid w:val="008B2B89"/>
    <w:rsid w:val="008B4AEA"/>
    <w:rsid w:val="008C02F2"/>
    <w:rsid w:val="008C16D5"/>
    <w:rsid w:val="008D1344"/>
    <w:rsid w:val="008D69A4"/>
    <w:rsid w:val="008D7D1C"/>
    <w:rsid w:val="008E1791"/>
    <w:rsid w:val="008E3A5D"/>
    <w:rsid w:val="008E6FD5"/>
    <w:rsid w:val="008E7F4F"/>
    <w:rsid w:val="008F3909"/>
    <w:rsid w:val="008F51F7"/>
    <w:rsid w:val="008F740C"/>
    <w:rsid w:val="00900464"/>
    <w:rsid w:val="009027B2"/>
    <w:rsid w:val="0090457B"/>
    <w:rsid w:val="00905DE9"/>
    <w:rsid w:val="0090695E"/>
    <w:rsid w:val="00907F2E"/>
    <w:rsid w:val="00910F4F"/>
    <w:rsid w:val="009113AD"/>
    <w:rsid w:val="00911A8E"/>
    <w:rsid w:val="00911D34"/>
    <w:rsid w:val="00915E73"/>
    <w:rsid w:val="00921509"/>
    <w:rsid w:val="00930DC8"/>
    <w:rsid w:val="0093253C"/>
    <w:rsid w:val="0093399F"/>
    <w:rsid w:val="00934071"/>
    <w:rsid w:val="009354A4"/>
    <w:rsid w:val="00935529"/>
    <w:rsid w:val="00945620"/>
    <w:rsid w:val="009508C4"/>
    <w:rsid w:val="009508D0"/>
    <w:rsid w:val="00951263"/>
    <w:rsid w:val="009520E7"/>
    <w:rsid w:val="009554CF"/>
    <w:rsid w:val="0096121A"/>
    <w:rsid w:val="00962AC3"/>
    <w:rsid w:val="0096422D"/>
    <w:rsid w:val="00964A81"/>
    <w:rsid w:val="00965BE9"/>
    <w:rsid w:val="00965EC2"/>
    <w:rsid w:val="0096669A"/>
    <w:rsid w:val="009669C2"/>
    <w:rsid w:val="00967121"/>
    <w:rsid w:val="0097503A"/>
    <w:rsid w:val="00975FD5"/>
    <w:rsid w:val="00981B4D"/>
    <w:rsid w:val="00982982"/>
    <w:rsid w:val="0098390C"/>
    <w:rsid w:val="00984C39"/>
    <w:rsid w:val="00986E8F"/>
    <w:rsid w:val="00992E07"/>
    <w:rsid w:val="0099339D"/>
    <w:rsid w:val="009934A7"/>
    <w:rsid w:val="009950BB"/>
    <w:rsid w:val="009A1FE7"/>
    <w:rsid w:val="009A2A5F"/>
    <w:rsid w:val="009A4343"/>
    <w:rsid w:val="009A4546"/>
    <w:rsid w:val="009A52BB"/>
    <w:rsid w:val="009A5441"/>
    <w:rsid w:val="009B40FE"/>
    <w:rsid w:val="009B503E"/>
    <w:rsid w:val="009B510B"/>
    <w:rsid w:val="009B73C8"/>
    <w:rsid w:val="009C21F9"/>
    <w:rsid w:val="009C4052"/>
    <w:rsid w:val="009C4895"/>
    <w:rsid w:val="009C495B"/>
    <w:rsid w:val="009C54DE"/>
    <w:rsid w:val="009C61C7"/>
    <w:rsid w:val="009D0DC3"/>
    <w:rsid w:val="009D0EC8"/>
    <w:rsid w:val="009D41FD"/>
    <w:rsid w:val="009D4B26"/>
    <w:rsid w:val="009D5225"/>
    <w:rsid w:val="009D5E82"/>
    <w:rsid w:val="009D7D0C"/>
    <w:rsid w:val="009E1674"/>
    <w:rsid w:val="009E2FC4"/>
    <w:rsid w:val="009E48D3"/>
    <w:rsid w:val="009E5D95"/>
    <w:rsid w:val="009E5F1A"/>
    <w:rsid w:val="009E6182"/>
    <w:rsid w:val="009E6B02"/>
    <w:rsid w:val="009E779B"/>
    <w:rsid w:val="009F1160"/>
    <w:rsid w:val="009F48E4"/>
    <w:rsid w:val="00A0014B"/>
    <w:rsid w:val="00A015CB"/>
    <w:rsid w:val="00A10352"/>
    <w:rsid w:val="00A11ECB"/>
    <w:rsid w:val="00A16DFF"/>
    <w:rsid w:val="00A17AAA"/>
    <w:rsid w:val="00A17BC2"/>
    <w:rsid w:val="00A2049A"/>
    <w:rsid w:val="00A22364"/>
    <w:rsid w:val="00A247ED"/>
    <w:rsid w:val="00A26181"/>
    <w:rsid w:val="00A26677"/>
    <w:rsid w:val="00A266B7"/>
    <w:rsid w:val="00A267FE"/>
    <w:rsid w:val="00A30BA7"/>
    <w:rsid w:val="00A30E9A"/>
    <w:rsid w:val="00A30F1D"/>
    <w:rsid w:val="00A329BB"/>
    <w:rsid w:val="00A34770"/>
    <w:rsid w:val="00A36BF6"/>
    <w:rsid w:val="00A37ACB"/>
    <w:rsid w:val="00A42B29"/>
    <w:rsid w:val="00A46FA4"/>
    <w:rsid w:val="00A53EBE"/>
    <w:rsid w:val="00A541E7"/>
    <w:rsid w:val="00A55606"/>
    <w:rsid w:val="00A63922"/>
    <w:rsid w:val="00A66D84"/>
    <w:rsid w:val="00A7012F"/>
    <w:rsid w:val="00A718F3"/>
    <w:rsid w:val="00A72040"/>
    <w:rsid w:val="00A72DBF"/>
    <w:rsid w:val="00A739F1"/>
    <w:rsid w:val="00A74A4A"/>
    <w:rsid w:val="00A75AB0"/>
    <w:rsid w:val="00A76375"/>
    <w:rsid w:val="00A82226"/>
    <w:rsid w:val="00A842E1"/>
    <w:rsid w:val="00A85539"/>
    <w:rsid w:val="00A8696B"/>
    <w:rsid w:val="00A86EEA"/>
    <w:rsid w:val="00A91F24"/>
    <w:rsid w:val="00A92335"/>
    <w:rsid w:val="00AA2B0D"/>
    <w:rsid w:val="00AA3FE5"/>
    <w:rsid w:val="00AA625D"/>
    <w:rsid w:val="00AB02E1"/>
    <w:rsid w:val="00AB3C3E"/>
    <w:rsid w:val="00AB44FA"/>
    <w:rsid w:val="00AC0B49"/>
    <w:rsid w:val="00AC2648"/>
    <w:rsid w:val="00AC3835"/>
    <w:rsid w:val="00AC3A3D"/>
    <w:rsid w:val="00AC6166"/>
    <w:rsid w:val="00AC75ED"/>
    <w:rsid w:val="00AD0A0A"/>
    <w:rsid w:val="00AD10A8"/>
    <w:rsid w:val="00AD2969"/>
    <w:rsid w:val="00AD4C15"/>
    <w:rsid w:val="00AD6082"/>
    <w:rsid w:val="00AD6E0A"/>
    <w:rsid w:val="00AD7201"/>
    <w:rsid w:val="00AF24A3"/>
    <w:rsid w:val="00AF26A2"/>
    <w:rsid w:val="00AF4E3F"/>
    <w:rsid w:val="00AF616F"/>
    <w:rsid w:val="00AF6F43"/>
    <w:rsid w:val="00B00795"/>
    <w:rsid w:val="00B03392"/>
    <w:rsid w:val="00B1155B"/>
    <w:rsid w:val="00B12235"/>
    <w:rsid w:val="00B1324D"/>
    <w:rsid w:val="00B16DA4"/>
    <w:rsid w:val="00B17207"/>
    <w:rsid w:val="00B20053"/>
    <w:rsid w:val="00B2043D"/>
    <w:rsid w:val="00B20C06"/>
    <w:rsid w:val="00B217F3"/>
    <w:rsid w:val="00B22D29"/>
    <w:rsid w:val="00B23338"/>
    <w:rsid w:val="00B27239"/>
    <w:rsid w:val="00B275EC"/>
    <w:rsid w:val="00B278D5"/>
    <w:rsid w:val="00B30CCF"/>
    <w:rsid w:val="00B310D3"/>
    <w:rsid w:val="00B316A4"/>
    <w:rsid w:val="00B44D09"/>
    <w:rsid w:val="00B4619C"/>
    <w:rsid w:val="00B4677F"/>
    <w:rsid w:val="00B47298"/>
    <w:rsid w:val="00B50E41"/>
    <w:rsid w:val="00B51594"/>
    <w:rsid w:val="00B51B82"/>
    <w:rsid w:val="00B63EF5"/>
    <w:rsid w:val="00B648DE"/>
    <w:rsid w:val="00B64ECB"/>
    <w:rsid w:val="00B66492"/>
    <w:rsid w:val="00B71F40"/>
    <w:rsid w:val="00B736C5"/>
    <w:rsid w:val="00B753A1"/>
    <w:rsid w:val="00B85B39"/>
    <w:rsid w:val="00B903FD"/>
    <w:rsid w:val="00B93048"/>
    <w:rsid w:val="00B94B07"/>
    <w:rsid w:val="00B9501E"/>
    <w:rsid w:val="00B95835"/>
    <w:rsid w:val="00B95AD5"/>
    <w:rsid w:val="00B97D40"/>
    <w:rsid w:val="00BA1A72"/>
    <w:rsid w:val="00BA29AD"/>
    <w:rsid w:val="00BA4055"/>
    <w:rsid w:val="00BB60DE"/>
    <w:rsid w:val="00BB6B0C"/>
    <w:rsid w:val="00BB711D"/>
    <w:rsid w:val="00BB7AA7"/>
    <w:rsid w:val="00BC3060"/>
    <w:rsid w:val="00BC3932"/>
    <w:rsid w:val="00BC4D54"/>
    <w:rsid w:val="00BC61A6"/>
    <w:rsid w:val="00BC6387"/>
    <w:rsid w:val="00BC662D"/>
    <w:rsid w:val="00BC6DE9"/>
    <w:rsid w:val="00BC7BE6"/>
    <w:rsid w:val="00BD012A"/>
    <w:rsid w:val="00BD69E3"/>
    <w:rsid w:val="00BE0938"/>
    <w:rsid w:val="00BE1D4E"/>
    <w:rsid w:val="00BE6475"/>
    <w:rsid w:val="00BE6C38"/>
    <w:rsid w:val="00BF1A82"/>
    <w:rsid w:val="00BF35EB"/>
    <w:rsid w:val="00BF5C8B"/>
    <w:rsid w:val="00BF6886"/>
    <w:rsid w:val="00C00969"/>
    <w:rsid w:val="00C025A8"/>
    <w:rsid w:val="00C03F64"/>
    <w:rsid w:val="00C04535"/>
    <w:rsid w:val="00C0638C"/>
    <w:rsid w:val="00C07174"/>
    <w:rsid w:val="00C07B3F"/>
    <w:rsid w:val="00C07EC9"/>
    <w:rsid w:val="00C10816"/>
    <w:rsid w:val="00C11B92"/>
    <w:rsid w:val="00C11BF0"/>
    <w:rsid w:val="00C215BB"/>
    <w:rsid w:val="00C2194B"/>
    <w:rsid w:val="00C21EBD"/>
    <w:rsid w:val="00C261A0"/>
    <w:rsid w:val="00C26EC8"/>
    <w:rsid w:val="00C3005A"/>
    <w:rsid w:val="00C314E8"/>
    <w:rsid w:val="00C333BC"/>
    <w:rsid w:val="00C33986"/>
    <w:rsid w:val="00C33A02"/>
    <w:rsid w:val="00C3553A"/>
    <w:rsid w:val="00C3595E"/>
    <w:rsid w:val="00C36DCB"/>
    <w:rsid w:val="00C40DCD"/>
    <w:rsid w:val="00C43A78"/>
    <w:rsid w:val="00C50573"/>
    <w:rsid w:val="00C54E8D"/>
    <w:rsid w:val="00C646C5"/>
    <w:rsid w:val="00C66AB6"/>
    <w:rsid w:val="00C7072D"/>
    <w:rsid w:val="00C71CEB"/>
    <w:rsid w:val="00C72620"/>
    <w:rsid w:val="00C74E1C"/>
    <w:rsid w:val="00C7507E"/>
    <w:rsid w:val="00C77E0A"/>
    <w:rsid w:val="00C818E7"/>
    <w:rsid w:val="00C81A58"/>
    <w:rsid w:val="00C84EF5"/>
    <w:rsid w:val="00C865AB"/>
    <w:rsid w:val="00C87479"/>
    <w:rsid w:val="00C90E6D"/>
    <w:rsid w:val="00C90FE1"/>
    <w:rsid w:val="00C937C0"/>
    <w:rsid w:val="00C961EC"/>
    <w:rsid w:val="00C967F6"/>
    <w:rsid w:val="00C96F8D"/>
    <w:rsid w:val="00CA3CCA"/>
    <w:rsid w:val="00CB0127"/>
    <w:rsid w:val="00CB14A7"/>
    <w:rsid w:val="00CB30AF"/>
    <w:rsid w:val="00CB5825"/>
    <w:rsid w:val="00CB5872"/>
    <w:rsid w:val="00CB5E92"/>
    <w:rsid w:val="00CB7CAB"/>
    <w:rsid w:val="00CC11B7"/>
    <w:rsid w:val="00CC1D5E"/>
    <w:rsid w:val="00CC1E79"/>
    <w:rsid w:val="00CC5934"/>
    <w:rsid w:val="00CD035D"/>
    <w:rsid w:val="00CD1328"/>
    <w:rsid w:val="00CD5EF6"/>
    <w:rsid w:val="00CE04D3"/>
    <w:rsid w:val="00CE1D2C"/>
    <w:rsid w:val="00CE509C"/>
    <w:rsid w:val="00CE74A7"/>
    <w:rsid w:val="00CF05E1"/>
    <w:rsid w:val="00CF263D"/>
    <w:rsid w:val="00CF286E"/>
    <w:rsid w:val="00CF4016"/>
    <w:rsid w:val="00CF7E61"/>
    <w:rsid w:val="00D0348D"/>
    <w:rsid w:val="00D04266"/>
    <w:rsid w:val="00D113D8"/>
    <w:rsid w:val="00D14958"/>
    <w:rsid w:val="00D2667B"/>
    <w:rsid w:val="00D3345B"/>
    <w:rsid w:val="00D4692F"/>
    <w:rsid w:val="00D52841"/>
    <w:rsid w:val="00D54623"/>
    <w:rsid w:val="00D55AB4"/>
    <w:rsid w:val="00D62733"/>
    <w:rsid w:val="00D62BA1"/>
    <w:rsid w:val="00D64873"/>
    <w:rsid w:val="00D64F51"/>
    <w:rsid w:val="00D66406"/>
    <w:rsid w:val="00D675B1"/>
    <w:rsid w:val="00D72FD3"/>
    <w:rsid w:val="00D73197"/>
    <w:rsid w:val="00D76AAA"/>
    <w:rsid w:val="00D82538"/>
    <w:rsid w:val="00D85F2C"/>
    <w:rsid w:val="00D86549"/>
    <w:rsid w:val="00D86A6F"/>
    <w:rsid w:val="00D903D4"/>
    <w:rsid w:val="00D91D05"/>
    <w:rsid w:val="00D92618"/>
    <w:rsid w:val="00DA218E"/>
    <w:rsid w:val="00DA2BD4"/>
    <w:rsid w:val="00DA32BC"/>
    <w:rsid w:val="00DA40BA"/>
    <w:rsid w:val="00DA6574"/>
    <w:rsid w:val="00DB029B"/>
    <w:rsid w:val="00DB20D7"/>
    <w:rsid w:val="00DB50C7"/>
    <w:rsid w:val="00DB7F5D"/>
    <w:rsid w:val="00DC0BFE"/>
    <w:rsid w:val="00DC2951"/>
    <w:rsid w:val="00DC4801"/>
    <w:rsid w:val="00DC6F7B"/>
    <w:rsid w:val="00DC7683"/>
    <w:rsid w:val="00DC7A13"/>
    <w:rsid w:val="00DD38AF"/>
    <w:rsid w:val="00DD3B99"/>
    <w:rsid w:val="00DE1C4C"/>
    <w:rsid w:val="00DE3D58"/>
    <w:rsid w:val="00DE49D2"/>
    <w:rsid w:val="00DE4B83"/>
    <w:rsid w:val="00DE7324"/>
    <w:rsid w:val="00DF0FD0"/>
    <w:rsid w:val="00DF190B"/>
    <w:rsid w:val="00DF2A04"/>
    <w:rsid w:val="00E0267F"/>
    <w:rsid w:val="00E1021A"/>
    <w:rsid w:val="00E10C12"/>
    <w:rsid w:val="00E13E8A"/>
    <w:rsid w:val="00E16CFB"/>
    <w:rsid w:val="00E207B9"/>
    <w:rsid w:val="00E22538"/>
    <w:rsid w:val="00E2554B"/>
    <w:rsid w:val="00E27866"/>
    <w:rsid w:val="00E27F8C"/>
    <w:rsid w:val="00E32964"/>
    <w:rsid w:val="00E341DB"/>
    <w:rsid w:val="00E4167C"/>
    <w:rsid w:val="00E443F9"/>
    <w:rsid w:val="00E46F79"/>
    <w:rsid w:val="00E513CC"/>
    <w:rsid w:val="00E5477A"/>
    <w:rsid w:val="00E55BC6"/>
    <w:rsid w:val="00E569B2"/>
    <w:rsid w:val="00E603CC"/>
    <w:rsid w:val="00E6308A"/>
    <w:rsid w:val="00E632F5"/>
    <w:rsid w:val="00E659DD"/>
    <w:rsid w:val="00E736F5"/>
    <w:rsid w:val="00E73BE6"/>
    <w:rsid w:val="00E76373"/>
    <w:rsid w:val="00E76C4C"/>
    <w:rsid w:val="00E808D4"/>
    <w:rsid w:val="00E82F42"/>
    <w:rsid w:val="00E91F1A"/>
    <w:rsid w:val="00E93BF6"/>
    <w:rsid w:val="00E93FA1"/>
    <w:rsid w:val="00E9483C"/>
    <w:rsid w:val="00E94AE1"/>
    <w:rsid w:val="00E96774"/>
    <w:rsid w:val="00E97A8E"/>
    <w:rsid w:val="00E97B89"/>
    <w:rsid w:val="00E97E18"/>
    <w:rsid w:val="00EA3E47"/>
    <w:rsid w:val="00EA3F34"/>
    <w:rsid w:val="00EA4B6A"/>
    <w:rsid w:val="00EA76D7"/>
    <w:rsid w:val="00EB2202"/>
    <w:rsid w:val="00EB66EF"/>
    <w:rsid w:val="00EB6B1A"/>
    <w:rsid w:val="00EB6D09"/>
    <w:rsid w:val="00EC1851"/>
    <w:rsid w:val="00EC585F"/>
    <w:rsid w:val="00ED051D"/>
    <w:rsid w:val="00ED1B68"/>
    <w:rsid w:val="00ED265C"/>
    <w:rsid w:val="00ED53E7"/>
    <w:rsid w:val="00ED5CA2"/>
    <w:rsid w:val="00EE19A5"/>
    <w:rsid w:val="00EE3734"/>
    <w:rsid w:val="00EE691E"/>
    <w:rsid w:val="00EF13A7"/>
    <w:rsid w:val="00EF18C0"/>
    <w:rsid w:val="00EF626A"/>
    <w:rsid w:val="00F00440"/>
    <w:rsid w:val="00F02F8C"/>
    <w:rsid w:val="00F0357C"/>
    <w:rsid w:val="00F04375"/>
    <w:rsid w:val="00F11380"/>
    <w:rsid w:val="00F113ED"/>
    <w:rsid w:val="00F11F8F"/>
    <w:rsid w:val="00F1228E"/>
    <w:rsid w:val="00F1338B"/>
    <w:rsid w:val="00F13F50"/>
    <w:rsid w:val="00F21279"/>
    <w:rsid w:val="00F229CA"/>
    <w:rsid w:val="00F252D9"/>
    <w:rsid w:val="00F2685A"/>
    <w:rsid w:val="00F27D85"/>
    <w:rsid w:val="00F320A2"/>
    <w:rsid w:val="00F33F0F"/>
    <w:rsid w:val="00F363D7"/>
    <w:rsid w:val="00F375C6"/>
    <w:rsid w:val="00F37B35"/>
    <w:rsid w:val="00F46771"/>
    <w:rsid w:val="00F564C2"/>
    <w:rsid w:val="00F56D0F"/>
    <w:rsid w:val="00F60EB1"/>
    <w:rsid w:val="00F66975"/>
    <w:rsid w:val="00F7067A"/>
    <w:rsid w:val="00F739C1"/>
    <w:rsid w:val="00F73F32"/>
    <w:rsid w:val="00F75315"/>
    <w:rsid w:val="00F771C9"/>
    <w:rsid w:val="00F871C5"/>
    <w:rsid w:val="00F90187"/>
    <w:rsid w:val="00F90B75"/>
    <w:rsid w:val="00F91772"/>
    <w:rsid w:val="00F92128"/>
    <w:rsid w:val="00F93E0E"/>
    <w:rsid w:val="00F94205"/>
    <w:rsid w:val="00F96C65"/>
    <w:rsid w:val="00F9747D"/>
    <w:rsid w:val="00FA07E6"/>
    <w:rsid w:val="00FA45C3"/>
    <w:rsid w:val="00FA65B1"/>
    <w:rsid w:val="00FA7690"/>
    <w:rsid w:val="00FB02A6"/>
    <w:rsid w:val="00FB05BB"/>
    <w:rsid w:val="00FB2733"/>
    <w:rsid w:val="00FB733A"/>
    <w:rsid w:val="00FC147A"/>
    <w:rsid w:val="00FC2DD6"/>
    <w:rsid w:val="00FC3570"/>
    <w:rsid w:val="00FC3D5C"/>
    <w:rsid w:val="00FD215C"/>
    <w:rsid w:val="00FD460F"/>
    <w:rsid w:val="00FD7202"/>
    <w:rsid w:val="00FE1EF1"/>
    <w:rsid w:val="00FE2210"/>
    <w:rsid w:val="00FE3FEE"/>
    <w:rsid w:val="00FE7240"/>
    <w:rsid w:val="00FF0A9E"/>
    <w:rsid w:val="00FF1049"/>
    <w:rsid w:val="00FF14FD"/>
    <w:rsid w:val="00FF1D43"/>
    <w:rsid w:val="00FF1F0F"/>
    <w:rsid w:val="00FF28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4129"/>
    <o:shapelayout v:ext="edit">
      <o:idmap v:ext="edit" data="1"/>
    </o:shapelayout>
  </w:shapeDefaults>
  <w:decimalSymbol w:val="."/>
  <w:listSeparator w:val=";"/>
  <w14:docId w14:val="5A869B34"/>
  <w15:docId w15:val="{496E3812-5A48-440C-BA2E-87084478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50F"/>
    <w:pPr>
      <w:spacing w:after="0" w:line="240" w:lineRule="auto"/>
    </w:pPr>
    <w:rPr>
      <w:rFonts w:ascii="Times New Roman" w:eastAsia="Times New Roman" w:hAnsi="Times New Roman" w:cs="Times New Roman"/>
      <w:sz w:val="24"/>
      <w:szCs w:val="24"/>
    </w:rPr>
  </w:style>
  <w:style w:type="paragraph" w:styleId="Heading1">
    <w:name w:val="heading 1"/>
    <w:basedOn w:val="Pamatteksts"/>
    <w:next w:val="Pamatteksts"/>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
    <w:next w:val="Pamatteksts"/>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
    <w:next w:val="Pamatteksts"/>
    <w:link w:val="Heading3Char"/>
    <w:unhideWhenUsed/>
    <w:qFormat/>
    <w:rsid w:val="00ED051D"/>
    <w:pPr>
      <w:keepNext/>
      <w:keepLines/>
      <w:spacing w:before="240"/>
      <w:ind w:left="567" w:firstLine="0"/>
      <w:outlineLvl w:val="2"/>
    </w:pPr>
    <w:rPr>
      <w:rFonts w:eastAsiaTheme="majorEastAsia" w:cstheme="majorBidi"/>
      <w:b/>
      <w:bCs/>
      <w:i/>
    </w:rPr>
  </w:style>
  <w:style w:type="paragraph" w:styleId="Heading5">
    <w:name w:val="heading 5"/>
    <w:basedOn w:val="Normal"/>
    <w:next w:val="Normal"/>
    <w:link w:val="Heading5Char"/>
    <w:qFormat/>
    <w:rsid w:val="007F550F"/>
    <w:pPr>
      <w:keepNext/>
      <w:outlineLvl w:val="4"/>
    </w:pPr>
    <w:rPr>
      <w:color w:val="0000F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
    <w:next w:val="Pamatteksts"/>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basedOn w:val="Normal"/>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22"/>
      </w:numPr>
    </w:pPr>
  </w:style>
  <w:style w:type="paragraph" w:styleId="Header">
    <w:name w:val="header"/>
    <w:link w:val="Head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rsid w:val="00D55AB4"/>
    <w:rPr>
      <w:rFonts w:ascii="Times New Roman" w:eastAsia="Times New Roman" w:hAnsi="Times New Roman" w:cs="Times New Roman"/>
      <w:sz w:val="20"/>
      <w:szCs w:val="24"/>
      <w:lang w:eastAsia="lv-LV"/>
    </w:rPr>
  </w:style>
  <w:style w:type="paragraph" w:styleId="Footer">
    <w:name w:val="footer"/>
    <w:link w:val="Foot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E659DD"/>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3"/>
      </w:numPr>
    </w:pPr>
  </w:style>
  <w:style w:type="numbering" w:customStyle="1" w:styleId="StyleOutlinenumberedLeft0cmHanging063cm">
    <w:name w:val="Style Outline numbered Left:  0 cm Hanging:  0.63 cm"/>
    <w:basedOn w:val="NoList"/>
    <w:rsid w:val="00D55AB4"/>
    <w:pPr>
      <w:numPr>
        <w:numId w:val="26"/>
      </w:numPr>
    </w:pPr>
  </w:style>
  <w:style w:type="numbering" w:customStyle="1" w:styleId="StyleOutlinenumberedLeft0cmHanging063cm1">
    <w:name w:val="Style Outline numbered Left:  0 cm Hanging:  0.63 cm1"/>
    <w:basedOn w:val="NoList"/>
    <w:rsid w:val="00D55AB4"/>
    <w:pPr>
      <w:numPr>
        <w:numId w:val="27"/>
      </w:numPr>
    </w:pPr>
  </w:style>
  <w:style w:type="paragraph" w:customStyle="1" w:styleId="Tabulasgalvene">
    <w:name w:val="Tabulas galvene"/>
    <w:basedOn w:val="Pamatteksts"/>
    <w:rsid w:val="0064323B"/>
    <w:pPr>
      <w:spacing w:after="0"/>
      <w:ind w:firstLine="0"/>
      <w:jc w:val="center"/>
    </w:pPr>
    <w:rPr>
      <w:b/>
      <w:sz w:val="20"/>
      <w:szCs w:val="20"/>
    </w:rPr>
  </w:style>
  <w:style w:type="paragraph" w:customStyle="1" w:styleId="Tabulasteksts">
    <w:name w:val="Tabulas teksts"/>
    <w:basedOn w:val="Normal"/>
    <w:qFormat/>
    <w:rsid w:val="0064323B"/>
    <w:rPr>
      <w:sz w:val="20"/>
    </w:rPr>
  </w:style>
  <w:style w:type="paragraph" w:customStyle="1" w:styleId="Tabulasnosaukums">
    <w:name w:val="Tabulas nosaukums"/>
    <w:basedOn w:val="Pamatteksts"/>
    <w:next w:val="Pamatteksts"/>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
    <w:name w:val="Pamatteksts"/>
    <w:qFormat/>
    <w:rsid w:val="00A26677"/>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
    <w:next w:val="Pamatteksts"/>
    <w:qFormat/>
    <w:rsid w:val="00975FD5"/>
    <w:pPr>
      <w:jc w:val="center"/>
    </w:pPr>
    <w:rPr>
      <w:i/>
      <w:sz w:val="20"/>
    </w:rPr>
  </w:style>
  <w:style w:type="table" w:customStyle="1" w:styleId="Noformtatabula">
    <w:name w:val="Noformēta tabula"/>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Heading5Char">
    <w:name w:val="Heading 5 Char"/>
    <w:basedOn w:val="DefaultParagraphFont"/>
    <w:link w:val="Heading5"/>
    <w:rsid w:val="007F550F"/>
    <w:rPr>
      <w:rFonts w:ascii="Times New Roman" w:eastAsia="Times New Roman" w:hAnsi="Times New Roman" w:cs="Times New Roman"/>
      <w:color w:val="0000FF"/>
      <w:sz w:val="24"/>
      <w:szCs w:val="24"/>
      <w:u w:val="single"/>
    </w:rPr>
  </w:style>
  <w:style w:type="paragraph" w:styleId="BodyText2">
    <w:name w:val="Body Text 2"/>
    <w:basedOn w:val="Normal"/>
    <w:link w:val="BodyText2Char"/>
    <w:semiHidden/>
    <w:rsid w:val="007F550F"/>
    <w:pPr>
      <w:jc w:val="both"/>
    </w:pPr>
  </w:style>
  <w:style w:type="character" w:customStyle="1" w:styleId="BodyText2Char">
    <w:name w:val="Body Text 2 Char"/>
    <w:basedOn w:val="DefaultParagraphFont"/>
    <w:link w:val="BodyText2"/>
    <w:semiHidden/>
    <w:rsid w:val="007F550F"/>
    <w:rPr>
      <w:rFonts w:ascii="Times New Roman" w:eastAsia="Times New Roman" w:hAnsi="Times New Roman" w:cs="Times New Roman"/>
      <w:sz w:val="24"/>
      <w:szCs w:val="24"/>
    </w:rPr>
  </w:style>
  <w:style w:type="paragraph" w:styleId="BodyTextIndent">
    <w:name w:val="Body Text Indent"/>
    <w:basedOn w:val="Normal"/>
    <w:link w:val="BodyTextIndentChar"/>
    <w:semiHidden/>
    <w:rsid w:val="007F550F"/>
    <w:pPr>
      <w:ind w:left="720" w:hanging="360"/>
    </w:pPr>
    <w:rPr>
      <w:lang w:val="en-US"/>
    </w:rPr>
  </w:style>
  <w:style w:type="character" w:customStyle="1" w:styleId="BodyTextIndentChar">
    <w:name w:val="Body Text Indent Char"/>
    <w:basedOn w:val="DefaultParagraphFont"/>
    <w:link w:val="BodyTextIndent"/>
    <w:semiHidden/>
    <w:rsid w:val="007F550F"/>
    <w:rPr>
      <w:rFonts w:ascii="Times New Roman" w:eastAsia="Times New Roman" w:hAnsi="Times New Roman" w:cs="Times New Roman"/>
      <w:sz w:val="24"/>
      <w:szCs w:val="24"/>
      <w:lang w:val="en-US"/>
    </w:rPr>
  </w:style>
  <w:style w:type="paragraph" w:styleId="NormalWeb">
    <w:name w:val="Normal (Web)"/>
    <w:basedOn w:val="Normal"/>
    <w:uiPriority w:val="99"/>
    <w:rsid w:val="007F550F"/>
    <w:pPr>
      <w:spacing w:before="100" w:beforeAutospacing="1" w:after="100" w:afterAutospacing="1"/>
    </w:pPr>
    <w:rPr>
      <w:rFonts w:ascii="Verdana" w:hAnsi="Verdana"/>
      <w:color w:val="233458"/>
      <w:sz w:val="16"/>
      <w:szCs w:val="16"/>
      <w:lang w:eastAsia="lv-LV"/>
    </w:rPr>
  </w:style>
  <w:style w:type="paragraph" w:styleId="FootnoteText">
    <w:name w:val="footnote text"/>
    <w:basedOn w:val="Normal"/>
    <w:link w:val="FootnoteTextChar"/>
    <w:unhideWhenUsed/>
    <w:rsid w:val="007F550F"/>
    <w:rPr>
      <w:sz w:val="20"/>
      <w:szCs w:val="20"/>
    </w:rPr>
  </w:style>
  <w:style w:type="character" w:customStyle="1" w:styleId="FootnoteTextChar">
    <w:name w:val="Footnote Text Char"/>
    <w:basedOn w:val="DefaultParagraphFont"/>
    <w:link w:val="FootnoteText"/>
    <w:rsid w:val="007F550F"/>
    <w:rPr>
      <w:rFonts w:ascii="Times New Roman" w:eastAsia="Times New Roman" w:hAnsi="Times New Roman" w:cs="Times New Roman"/>
      <w:sz w:val="20"/>
      <w:szCs w:val="20"/>
    </w:rPr>
  </w:style>
  <w:style w:type="character" w:styleId="FootnoteReference">
    <w:name w:val="footnote reference"/>
    <w:unhideWhenUsed/>
    <w:rsid w:val="007F550F"/>
    <w:rPr>
      <w:vertAlign w:val="superscript"/>
    </w:rPr>
  </w:style>
  <w:style w:type="paragraph" w:styleId="BalloonText">
    <w:name w:val="Balloon Text"/>
    <w:basedOn w:val="Normal"/>
    <w:link w:val="BalloonTextChar"/>
    <w:semiHidden/>
    <w:unhideWhenUsed/>
    <w:rsid w:val="007F550F"/>
    <w:rPr>
      <w:rFonts w:ascii="Tahoma" w:hAnsi="Tahoma" w:cs="Tahoma"/>
      <w:sz w:val="16"/>
      <w:szCs w:val="16"/>
    </w:rPr>
  </w:style>
  <w:style w:type="character" w:customStyle="1" w:styleId="BalloonTextChar">
    <w:name w:val="Balloon Text Char"/>
    <w:basedOn w:val="DefaultParagraphFont"/>
    <w:link w:val="BalloonText"/>
    <w:semiHidden/>
    <w:rsid w:val="007F550F"/>
    <w:rPr>
      <w:rFonts w:ascii="Tahoma" w:eastAsia="Times New Roman" w:hAnsi="Tahoma" w:cs="Tahoma"/>
      <w:sz w:val="16"/>
      <w:szCs w:val="16"/>
    </w:rPr>
  </w:style>
  <w:style w:type="character" w:styleId="CommentReference">
    <w:name w:val="annotation reference"/>
    <w:basedOn w:val="DefaultParagraphFont"/>
    <w:semiHidden/>
    <w:unhideWhenUsed/>
    <w:rsid w:val="00784ABF"/>
    <w:rPr>
      <w:sz w:val="16"/>
      <w:szCs w:val="16"/>
    </w:rPr>
  </w:style>
  <w:style w:type="paragraph" w:styleId="CommentText">
    <w:name w:val="annotation text"/>
    <w:basedOn w:val="Normal"/>
    <w:link w:val="CommentTextChar"/>
    <w:unhideWhenUsed/>
    <w:rsid w:val="00784ABF"/>
    <w:rPr>
      <w:sz w:val="20"/>
      <w:szCs w:val="20"/>
    </w:rPr>
  </w:style>
  <w:style w:type="character" w:customStyle="1" w:styleId="CommentTextChar">
    <w:name w:val="Comment Text Char"/>
    <w:basedOn w:val="DefaultParagraphFont"/>
    <w:link w:val="CommentText"/>
    <w:rsid w:val="00784AB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784ABF"/>
    <w:rPr>
      <w:b/>
      <w:bCs/>
    </w:rPr>
  </w:style>
  <w:style w:type="character" w:customStyle="1" w:styleId="CommentSubjectChar">
    <w:name w:val="Comment Subject Char"/>
    <w:basedOn w:val="CommentTextChar"/>
    <w:link w:val="CommentSubject"/>
    <w:semiHidden/>
    <w:rsid w:val="00784ABF"/>
    <w:rPr>
      <w:rFonts w:ascii="Times New Roman" w:eastAsia="Times New Roman" w:hAnsi="Times New Roman" w:cs="Times New Roman"/>
      <w:b/>
      <w:bCs/>
      <w:sz w:val="20"/>
      <w:szCs w:val="20"/>
    </w:rPr>
  </w:style>
  <w:style w:type="paragraph" w:customStyle="1" w:styleId="Bullets">
    <w:name w:val="Bullets"/>
    <w:basedOn w:val="Pamatteksts"/>
    <w:next w:val="Pamatteksts"/>
    <w:qFormat/>
    <w:rsid w:val="00BA4055"/>
    <w:pPr>
      <w:numPr>
        <w:numId w:val="44"/>
      </w:numPr>
    </w:pPr>
  </w:style>
  <w:style w:type="character" w:styleId="PageNumber">
    <w:name w:val="page number"/>
    <w:basedOn w:val="DefaultParagraphFont"/>
    <w:rsid w:val="00C33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868535">
      <w:bodyDiv w:val="1"/>
      <w:marLeft w:val="0"/>
      <w:marRight w:val="0"/>
      <w:marTop w:val="0"/>
      <w:marBottom w:val="0"/>
      <w:divBdr>
        <w:top w:val="none" w:sz="0" w:space="0" w:color="auto"/>
        <w:left w:val="none" w:sz="0" w:space="0" w:color="auto"/>
        <w:bottom w:val="none" w:sz="0" w:space="0" w:color="auto"/>
        <w:right w:val="none" w:sz="0" w:space="0" w:color="auto"/>
      </w:divBdr>
    </w:div>
    <w:div w:id="988437743">
      <w:bodyDiv w:val="1"/>
      <w:marLeft w:val="0"/>
      <w:marRight w:val="0"/>
      <w:marTop w:val="0"/>
      <w:marBottom w:val="0"/>
      <w:divBdr>
        <w:top w:val="none" w:sz="0" w:space="0" w:color="auto"/>
        <w:left w:val="none" w:sz="0" w:space="0" w:color="auto"/>
        <w:bottom w:val="none" w:sz="0" w:space="0" w:color="auto"/>
        <w:right w:val="none" w:sz="0" w:space="0" w:color="auto"/>
      </w:divBdr>
    </w:div>
    <w:div w:id="1011033022">
      <w:bodyDiv w:val="1"/>
      <w:marLeft w:val="0"/>
      <w:marRight w:val="0"/>
      <w:marTop w:val="0"/>
      <w:marBottom w:val="0"/>
      <w:divBdr>
        <w:top w:val="none" w:sz="0" w:space="0" w:color="auto"/>
        <w:left w:val="none" w:sz="0" w:space="0" w:color="auto"/>
        <w:bottom w:val="none" w:sz="0" w:space="0" w:color="auto"/>
        <w:right w:val="none" w:sz="0" w:space="0" w:color="auto"/>
      </w:divBdr>
    </w:div>
    <w:div w:id="1202204756">
      <w:bodyDiv w:val="1"/>
      <w:marLeft w:val="0"/>
      <w:marRight w:val="0"/>
      <w:marTop w:val="0"/>
      <w:marBottom w:val="0"/>
      <w:divBdr>
        <w:top w:val="none" w:sz="0" w:space="0" w:color="auto"/>
        <w:left w:val="none" w:sz="0" w:space="0" w:color="auto"/>
        <w:bottom w:val="none" w:sz="0" w:space="0" w:color="auto"/>
        <w:right w:val="none" w:sz="0" w:space="0" w:color="auto"/>
      </w:divBdr>
    </w:div>
    <w:div w:id="17312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kase.gov.lv/"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oter" Target="footer1.xml"/><Relationship Id="rId10" Type="http://schemas.openxmlformats.org/officeDocument/2006/relationships/chart" Target="charts/chart3.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diagramData" Target="diagrams/data1.xm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kase.gov.lv\depart\PAR\2022.gada%20parskats\2.s&#275;jums\Darba%20materiali\atteli,%20shemas_kopbudzetam_22.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ieņ.dinamika!$A$4</c:f>
              <c:strCache>
                <c:ptCount val="1"/>
                <c:pt idx="0">
                  <c:v>Nodokļu ieņēmumi</c:v>
                </c:pt>
              </c:strCache>
            </c:strRef>
          </c:tx>
          <c:spPr>
            <a:solidFill>
              <a:srgbClr val="B9CDE5"/>
            </a:solidFill>
            <a:ln>
              <a:noFill/>
            </a:ln>
            <a:effectLst/>
          </c:spPr>
          <c:invertIfNegative val="0"/>
          <c:cat>
            <c:numRef>
              <c:f>ieņ.dinamika!$E$3:$N$3</c:f>
              <c:numCache>
                <c:formatCode>0</c:formatCode>
                <c:ptCount val="10"/>
                <c:pt idx="0">
                  <c:v>2012</c:v>
                </c:pt>
                <c:pt idx="1">
                  <c:v>2013</c:v>
                </c:pt>
                <c:pt idx="2">
                  <c:v>2014</c:v>
                </c:pt>
                <c:pt idx="3">
                  <c:v>2015</c:v>
                </c:pt>
                <c:pt idx="4">
                  <c:v>2016</c:v>
                </c:pt>
                <c:pt idx="5">
                  <c:v>2017</c:v>
                </c:pt>
                <c:pt idx="6">
                  <c:v>2018</c:v>
                </c:pt>
                <c:pt idx="7">
                  <c:v>2020</c:v>
                </c:pt>
                <c:pt idx="8">
                  <c:v>2021</c:v>
                </c:pt>
                <c:pt idx="9">
                  <c:v>2022</c:v>
                </c:pt>
              </c:numCache>
              <c:extLst/>
            </c:numRef>
          </c:cat>
          <c:val>
            <c:numRef>
              <c:f>ieņ.dinamika!$E$4:$N$4</c:f>
              <c:numCache>
                <c:formatCode>#\ ##0.0</c:formatCode>
                <c:ptCount val="10"/>
                <c:pt idx="0">
                  <c:v>6102.6971958042359</c:v>
                </c:pt>
                <c:pt idx="1">
                  <c:v>6426.3</c:v>
                </c:pt>
                <c:pt idx="2">
                  <c:v>6676.3</c:v>
                </c:pt>
                <c:pt idx="3">
                  <c:v>7002.6</c:v>
                </c:pt>
                <c:pt idx="4">
                  <c:v>7419.6</c:v>
                </c:pt>
                <c:pt idx="5">
                  <c:v>8015.3</c:v>
                </c:pt>
                <c:pt idx="6">
                  <c:v>8657.7000000000007</c:v>
                </c:pt>
                <c:pt idx="7">
                  <c:v>9006.5</c:v>
                </c:pt>
                <c:pt idx="8">
                  <c:v>10031</c:v>
                </c:pt>
                <c:pt idx="9">
                  <c:v>11557.3</c:v>
                </c:pt>
              </c:numCache>
              <c:extLst/>
            </c:numRef>
          </c:val>
          <c:extLst>
            <c:ext xmlns:c16="http://schemas.microsoft.com/office/drawing/2014/chart" uri="{C3380CC4-5D6E-409C-BE32-E72D297353CC}">
              <c16:uniqueId val="{00000000-2DCD-4F74-9C8C-BEB2C41944AB}"/>
            </c:ext>
          </c:extLst>
        </c:ser>
        <c:ser>
          <c:idx val="1"/>
          <c:order val="1"/>
          <c:tx>
            <c:strRef>
              <c:f>ieņ.dinamika!$A$5</c:f>
              <c:strCache>
                <c:ptCount val="1"/>
                <c:pt idx="0">
                  <c:v>Nenodokļu ieņēmumi</c:v>
                </c:pt>
              </c:strCache>
            </c:strRef>
          </c:tx>
          <c:spPr>
            <a:solidFill>
              <a:srgbClr val="558ED5"/>
            </a:solidFill>
            <a:ln>
              <a:noFill/>
            </a:ln>
            <a:effectLst/>
          </c:spPr>
          <c:invertIfNegative val="0"/>
          <c:cat>
            <c:numRef>
              <c:f>ieņ.dinamika!$E$3:$N$3</c:f>
              <c:numCache>
                <c:formatCode>0</c:formatCode>
                <c:ptCount val="10"/>
                <c:pt idx="0">
                  <c:v>2012</c:v>
                </c:pt>
                <c:pt idx="1">
                  <c:v>2013</c:v>
                </c:pt>
                <c:pt idx="2">
                  <c:v>2014</c:v>
                </c:pt>
                <c:pt idx="3">
                  <c:v>2015</c:v>
                </c:pt>
                <c:pt idx="4">
                  <c:v>2016</c:v>
                </c:pt>
                <c:pt idx="5">
                  <c:v>2017</c:v>
                </c:pt>
                <c:pt idx="6">
                  <c:v>2018</c:v>
                </c:pt>
                <c:pt idx="7">
                  <c:v>2020</c:v>
                </c:pt>
                <c:pt idx="8">
                  <c:v>2021</c:v>
                </c:pt>
                <c:pt idx="9">
                  <c:v>2022</c:v>
                </c:pt>
              </c:numCache>
              <c:extLst/>
            </c:numRef>
          </c:cat>
          <c:val>
            <c:numRef>
              <c:f>ieņ.dinamika!$E$5:$N$5</c:f>
              <c:numCache>
                <c:formatCode>#\ ##0.0</c:formatCode>
                <c:ptCount val="10"/>
                <c:pt idx="0">
                  <c:v>561.03835493252745</c:v>
                </c:pt>
                <c:pt idx="1">
                  <c:v>522.20000000000005</c:v>
                </c:pt>
                <c:pt idx="2">
                  <c:v>485</c:v>
                </c:pt>
                <c:pt idx="3">
                  <c:v>498.4</c:v>
                </c:pt>
                <c:pt idx="4">
                  <c:v>564.4</c:v>
                </c:pt>
                <c:pt idx="5">
                  <c:v>536.5</c:v>
                </c:pt>
                <c:pt idx="6">
                  <c:v>717.7</c:v>
                </c:pt>
                <c:pt idx="7">
                  <c:v>666.3</c:v>
                </c:pt>
                <c:pt idx="8">
                  <c:v>771.2</c:v>
                </c:pt>
                <c:pt idx="9">
                  <c:v>845</c:v>
                </c:pt>
              </c:numCache>
              <c:extLst/>
            </c:numRef>
          </c:val>
          <c:extLst>
            <c:ext xmlns:c16="http://schemas.microsoft.com/office/drawing/2014/chart" uri="{C3380CC4-5D6E-409C-BE32-E72D297353CC}">
              <c16:uniqueId val="{00000001-2DCD-4F74-9C8C-BEB2C41944AB}"/>
            </c:ext>
          </c:extLst>
        </c:ser>
        <c:ser>
          <c:idx val="2"/>
          <c:order val="2"/>
          <c:tx>
            <c:strRef>
              <c:f>ieņ.dinamika!$A$6</c:f>
              <c:strCache>
                <c:ptCount val="1"/>
                <c:pt idx="0">
                  <c:v>Maksas pakalpojumi un citi pašu ieņēmumi</c:v>
                </c:pt>
              </c:strCache>
            </c:strRef>
          </c:tx>
          <c:spPr>
            <a:solidFill>
              <a:srgbClr val="D9D9D9"/>
            </a:solidFill>
            <a:ln>
              <a:noFill/>
            </a:ln>
            <a:effectLst/>
          </c:spPr>
          <c:invertIfNegative val="0"/>
          <c:cat>
            <c:numRef>
              <c:f>ieņ.dinamika!$E$3:$N$3</c:f>
              <c:numCache>
                <c:formatCode>0</c:formatCode>
                <c:ptCount val="10"/>
                <c:pt idx="0">
                  <c:v>2012</c:v>
                </c:pt>
                <c:pt idx="1">
                  <c:v>2013</c:v>
                </c:pt>
                <c:pt idx="2">
                  <c:v>2014</c:v>
                </c:pt>
                <c:pt idx="3">
                  <c:v>2015</c:v>
                </c:pt>
                <c:pt idx="4">
                  <c:v>2016</c:v>
                </c:pt>
                <c:pt idx="5">
                  <c:v>2017</c:v>
                </c:pt>
                <c:pt idx="6">
                  <c:v>2018</c:v>
                </c:pt>
                <c:pt idx="7">
                  <c:v>2020</c:v>
                </c:pt>
                <c:pt idx="8">
                  <c:v>2021</c:v>
                </c:pt>
                <c:pt idx="9">
                  <c:v>2022</c:v>
                </c:pt>
              </c:numCache>
              <c:extLst/>
            </c:numRef>
          </c:cat>
          <c:val>
            <c:numRef>
              <c:f>ieņ.dinamika!$E$6:$N$6</c:f>
              <c:numCache>
                <c:formatCode>#\ ##0.0</c:formatCode>
                <c:ptCount val="10"/>
                <c:pt idx="0">
                  <c:v>299.22994177608552</c:v>
                </c:pt>
                <c:pt idx="1">
                  <c:v>299.7</c:v>
                </c:pt>
                <c:pt idx="2">
                  <c:v>292</c:v>
                </c:pt>
                <c:pt idx="3">
                  <c:v>303</c:v>
                </c:pt>
                <c:pt idx="4">
                  <c:v>326</c:v>
                </c:pt>
                <c:pt idx="5">
                  <c:v>332.6</c:v>
                </c:pt>
                <c:pt idx="6">
                  <c:v>366.77</c:v>
                </c:pt>
                <c:pt idx="7">
                  <c:v>348.4</c:v>
                </c:pt>
                <c:pt idx="8">
                  <c:v>372.5</c:v>
                </c:pt>
                <c:pt idx="9">
                  <c:v>424.9</c:v>
                </c:pt>
              </c:numCache>
              <c:extLst/>
            </c:numRef>
          </c:val>
          <c:extLst>
            <c:ext xmlns:c16="http://schemas.microsoft.com/office/drawing/2014/chart" uri="{C3380CC4-5D6E-409C-BE32-E72D297353CC}">
              <c16:uniqueId val="{00000002-2DCD-4F74-9C8C-BEB2C41944AB}"/>
            </c:ext>
          </c:extLst>
        </c:ser>
        <c:ser>
          <c:idx val="3"/>
          <c:order val="3"/>
          <c:tx>
            <c:strRef>
              <c:f>ieņ.dinamika!$A$7</c:f>
              <c:strCache>
                <c:ptCount val="1"/>
                <c:pt idx="0">
                  <c:v>Ārvalstu finanšu palīdzība</c:v>
                </c:pt>
              </c:strCache>
            </c:strRef>
          </c:tx>
          <c:spPr>
            <a:solidFill>
              <a:srgbClr val="8EB4E3"/>
            </a:solidFill>
            <a:ln>
              <a:noFill/>
            </a:ln>
            <a:effectLst/>
          </c:spPr>
          <c:invertIfNegative val="0"/>
          <c:cat>
            <c:numRef>
              <c:f>ieņ.dinamika!$E$3:$N$3</c:f>
              <c:numCache>
                <c:formatCode>0</c:formatCode>
                <c:ptCount val="10"/>
                <c:pt idx="0">
                  <c:v>2012</c:v>
                </c:pt>
                <c:pt idx="1">
                  <c:v>2013</c:v>
                </c:pt>
                <c:pt idx="2">
                  <c:v>2014</c:v>
                </c:pt>
                <c:pt idx="3">
                  <c:v>2015</c:v>
                </c:pt>
                <c:pt idx="4">
                  <c:v>2016</c:v>
                </c:pt>
                <c:pt idx="5">
                  <c:v>2017</c:v>
                </c:pt>
                <c:pt idx="6">
                  <c:v>2018</c:v>
                </c:pt>
                <c:pt idx="7">
                  <c:v>2020</c:v>
                </c:pt>
                <c:pt idx="8">
                  <c:v>2021</c:v>
                </c:pt>
                <c:pt idx="9">
                  <c:v>2022</c:v>
                </c:pt>
              </c:numCache>
              <c:extLst/>
            </c:numRef>
          </c:cat>
          <c:val>
            <c:numRef>
              <c:f>ieņ.dinamika!$E$7:$N$7</c:f>
              <c:numCache>
                <c:formatCode>#\ ##0.0</c:formatCode>
                <c:ptCount val="10"/>
                <c:pt idx="0">
                  <c:v>1203.7495517953796</c:v>
                </c:pt>
                <c:pt idx="1">
                  <c:v>1110</c:v>
                </c:pt>
                <c:pt idx="2">
                  <c:v>1070.7</c:v>
                </c:pt>
                <c:pt idx="3">
                  <c:v>1005.7</c:v>
                </c:pt>
                <c:pt idx="4">
                  <c:v>750.7</c:v>
                </c:pt>
                <c:pt idx="5">
                  <c:v>729.6</c:v>
                </c:pt>
                <c:pt idx="6">
                  <c:v>1131.29</c:v>
                </c:pt>
                <c:pt idx="7">
                  <c:v>1310.3</c:v>
                </c:pt>
                <c:pt idx="8">
                  <c:v>1371</c:v>
                </c:pt>
                <c:pt idx="9">
                  <c:v>1465.5</c:v>
                </c:pt>
              </c:numCache>
              <c:extLst/>
            </c:numRef>
          </c:val>
          <c:extLst>
            <c:ext xmlns:c16="http://schemas.microsoft.com/office/drawing/2014/chart" uri="{C3380CC4-5D6E-409C-BE32-E72D297353CC}">
              <c16:uniqueId val="{00000003-2DCD-4F74-9C8C-BEB2C41944AB}"/>
            </c:ext>
          </c:extLst>
        </c:ser>
        <c:ser>
          <c:idx val="4"/>
          <c:order val="4"/>
          <c:tx>
            <c:strRef>
              <c:f>ieņ.dinamika!$A$8</c:f>
              <c:strCache>
                <c:ptCount val="1"/>
                <c:pt idx="0">
                  <c:v>Transferti</c:v>
                </c:pt>
              </c:strCache>
            </c:strRef>
          </c:tx>
          <c:spPr>
            <a:solidFill>
              <a:srgbClr val="009F9B"/>
            </a:solidFill>
            <a:ln>
              <a:noFill/>
            </a:ln>
            <a:effectLst/>
          </c:spPr>
          <c:invertIfNegative val="0"/>
          <c:cat>
            <c:numRef>
              <c:f>ieņ.dinamika!$E$3:$N$3</c:f>
              <c:numCache>
                <c:formatCode>0</c:formatCode>
                <c:ptCount val="10"/>
                <c:pt idx="0">
                  <c:v>2012</c:v>
                </c:pt>
                <c:pt idx="1">
                  <c:v>2013</c:v>
                </c:pt>
                <c:pt idx="2">
                  <c:v>2014</c:v>
                </c:pt>
                <c:pt idx="3">
                  <c:v>2015</c:v>
                </c:pt>
                <c:pt idx="4">
                  <c:v>2016</c:v>
                </c:pt>
                <c:pt idx="5">
                  <c:v>2017</c:v>
                </c:pt>
                <c:pt idx="6">
                  <c:v>2018</c:v>
                </c:pt>
                <c:pt idx="7">
                  <c:v>2020</c:v>
                </c:pt>
                <c:pt idx="8">
                  <c:v>2021</c:v>
                </c:pt>
                <c:pt idx="9">
                  <c:v>2022</c:v>
                </c:pt>
              </c:numCache>
              <c:extLst/>
            </c:numRef>
          </c:cat>
          <c:val>
            <c:numRef>
              <c:f>ieņ.dinamika!$E$8:$N$8</c:f>
              <c:numCache>
                <c:formatCode>#\ ##0.0</c:formatCode>
                <c:ptCount val="10"/>
                <c:pt idx="0">
                  <c:v>0</c:v>
                </c:pt>
                <c:pt idx="1">
                  <c:v>0</c:v>
                </c:pt>
                <c:pt idx="2">
                  <c:v>0</c:v>
                </c:pt>
                <c:pt idx="3">
                  <c:v>0</c:v>
                </c:pt>
                <c:pt idx="4">
                  <c:v>0</c:v>
                </c:pt>
                <c:pt idx="5">
                  <c:v>0</c:v>
                </c:pt>
                <c:pt idx="6">
                  <c:v>0.5</c:v>
                </c:pt>
                <c:pt idx="7">
                  <c:v>3</c:v>
                </c:pt>
                <c:pt idx="8">
                  <c:v>0.4</c:v>
                </c:pt>
                <c:pt idx="9">
                  <c:v>0</c:v>
                </c:pt>
              </c:numCache>
              <c:extLst/>
            </c:numRef>
          </c:val>
          <c:extLst>
            <c:ext xmlns:c16="http://schemas.microsoft.com/office/drawing/2014/chart" uri="{C3380CC4-5D6E-409C-BE32-E72D297353CC}">
              <c16:uniqueId val="{00000004-2DCD-4F74-9C8C-BEB2C41944AB}"/>
            </c:ext>
          </c:extLst>
        </c:ser>
        <c:ser>
          <c:idx val="5"/>
          <c:order val="5"/>
          <c:tx>
            <c:strRef>
              <c:f>ieņ.dinamika!$A$9</c:f>
              <c:strCache>
                <c:ptCount val="1"/>
                <c:pt idx="0">
                  <c:v>Ziedojumi un dāvinājumi</c:v>
                </c:pt>
              </c:strCache>
            </c:strRef>
          </c:tx>
          <c:spPr>
            <a:solidFill>
              <a:srgbClr val="17375E"/>
            </a:solidFill>
            <a:ln>
              <a:noFill/>
            </a:ln>
            <a:effectLst/>
          </c:spPr>
          <c:invertIfNegative val="0"/>
          <c:cat>
            <c:numRef>
              <c:f>ieņ.dinamika!$E$3:$N$3</c:f>
              <c:numCache>
                <c:formatCode>0</c:formatCode>
                <c:ptCount val="10"/>
                <c:pt idx="0">
                  <c:v>2012</c:v>
                </c:pt>
                <c:pt idx="1">
                  <c:v>2013</c:v>
                </c:pt>
                <c:pt idx="2">
                  <c:v>2014</c:v>
                </c:pt>
                <c:pt idx="3">
                  <c:v>2015</c:v>
                </c:pt>
                <c:pt idx="4">
                  <c:v>2016</c:v>
                </c:pt>
                <c:pt idx="5">
                  <c:v>2017</c:v>
                </c:pt>
                <c:pt idx="6">
                  <c:v>2018</c:v>
                </c:pt>
                <c:pt idx="7">
                  <c:v>2020</c:v>
                </c:pt>
                <c:pt idx="8">
                  <c:v>2021</c:v>
                </c:pt>
                <c:pt idx="9">
                  <c:v>2022</c:v>
                </c:pt>
              </c:numCache>
              <c:extLst/>
            </c:numRef>
          </c:cat>
          <c:val>
            <c:numRef>
              <c:f>ieņ.dinamika!$E$9:$N$9</c:f>
              <c:numCache>
                <c:formatCode>#\ ##0.0</c:formatCode>
                <c:ptCount val="10"/>
                <c:pt idx="0">
                  <c:v>8.3949436827337358</c:v>
                </c:pt>
                <c:pt idx="1">
                  <c:v>6.1</c:v>
                </c:pt>
                <c:pt idx="2">
                  <c:v>8.6</c:v>
                </c:pt>
                <c:pt idx="3">
                  <c:v>4.9000000000000004</c:v>
                </c:pt>
                <c:pt idx="4">
                  <c:v>4.5</c:v>
                </c:pt>
                <c:pt idx="5">
                  <c:v>7.5</c:v>
                </c:pt>
                <c:pt idx="6">
                  <c:v>4</c:v>
                </c:pt>
                <c:pt idx="7">
                  <c:v>2.8</c:v>
                </c:pt>
                <c:pt idx="8">
                  <c:v>3</c:v>
                </c:pt>
                <c:pt idx="9">
                  <c:v>1.6</c:v>
                </c:pt>
              </c:numCache>
              <c:extLst/>
            </c:numRef>
          </c:val>
          <c:extLst>
            <c:ext xmlns:c16="http://schemas.microsoft.com/office/drawing/2014/chart" uri="{C3380CC4-5D6E-409C-BE32-E72D297353CC}">
              <c16:uniqueId val="{00000005-2DCD-4F74-9C8C-BEB2C41944AB}"/>
            </c:ext>
          </c:extLst>
        </c:ser>
        <c:ser>
          <c:idx val="6"/>
          <c:order val="6"/>
          <c:tx>
            <c:strRef>
              <c:f>ieņ.dinamika!$A$10</c:f>
              <c:strCache>
                <c:ptCount val="1"/>
              </c:strCache>
            </c:strRef>
          </c:tx>
          <c:spPr>
            <a:no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Lit>
              <c:ptCount val="10"/>
              <c:pt idx="0">
                <c:v>2012</c:v>
              </c:pt>
              <c:pt idx="1">
                <c:v>2013</c:v>
              </c:pt>
              <c:pt idx="2">
                <c:v>2014</c:v>
              </c:pt>
              <c:pt idx="3">
                <c:v>2015</c:v>
              </c:pt>
              <c:pt idx="4">
                <c:v>2016</c:v>
              </c:pt>
              <c:pt idx="5">
                <c:v>2017</c:v>
              </c:pt>
              <c:pt idx="6">
                <c:v>2018</c:v>
              </c:pt>
              <c:pt idx="7">
                <c:v>2020</c:v>
              </c:pt>
              <c:pt idx="8">
                <c:v>2021</c:v>
              </c:pt>
              <c:pt idx="9">
                <c:v>2022</c:v>
              </c:pt>
              <c:extLst>
                <c:ext xmlns:c15="http://schemas.microsoft.com/office/drawing/2012/chart" uri="{02D57815-91ED-43cb-92C2-25804820EDAC}">
                  <c15:autoCat val="1"/>
                </c:ext>
              </c:extLst>
            </c:strLit>
          </c:cat>
          <c:val>
            <c:numRef>
              <c:f>ieņ.dinamika!$E$10:$N$10</c:f>
              <c:numCache>
                <c:formatCode>#\ ##0.0</c:formatCode>
                <c:ptCount val="10"/>
                <c:pt idx="0">
                  <c:v>8175.1099879909616</c:v>
                </c:pt>
                <c:pt idx="1">
                  <c:v>8364.3000000000011</c:v>
                </c:pt>
                <c:pt idx="2">
                  <c:v>8532.6</c:v>
                </c:pt>
                <c:pt idx="3">
                  <c:v>8814.6</c:v>
                </c:pt>
                <c:pt idx="4">
                  <c:v>9065.2000000000007</c:v>
                </c:pt>
                <c:pt idx="5">
                  <c:v>9621.5</c:v>
                </c:pt>
                <c:pt idx="6">
                  <c:v>10877.960000000003</c:v>
                </c:pt>
                <c:pt idx="7">
                  <c:v>11337.299999999997</c:v>
                </c:pt>
                <c:pt idx="8">
                  <c:v>12549.1</c:v>
                </c:pt>
                <c:pt idx="9">
                  <c:v>14294.3</c:v>
                </c:pt>
              </c:numCache>
            </c:numRef>
          </c:val>
          <c:extLst>
            <c:ext xmlns:c16="http://schemas.microsoft.com/office/drawing/2014/chart" uri="{C3380CC4-5D6E-409C-BE32-E72D297353CC}">
              <c16:uniqueId val="{00000000-A1DF-401C-A0F4-470BEFDCC415}"/>
            </c:ext>
          </c:extLst>
        </c:ser>
        <c:dLbls>
          <c:showLegendKey val="0"/>
          <c:showVal val="0"/>
          <c:showCatName val="0"/>
          <c:showSerName val="0"/>
          <c:showPercent val="0"/>
          <c:showBubbleSize val="0"/>
        </c:dLbls>
        <c:gapWidth val="150"/>
        <c:overlap val="100"/>
        <c:axId val="363889264"/>
        <c:axId val="363892216"/>
      </c:barChart>
      <c:catAx>
        <c:axId val="363889264"/>
        <c:scaling>
          <c:orientation val="minMax"/>
        </c:scaling>
        <c:delete val="0"/>
        <c:axPos val="b"/>
        <c:numFmt formatCode="0" sourceLinked="1"/>
        <c:majorTickMark val="none"/>
        <c:minorTickMark val="none"/>
        <c:tickLblPos val="nextTo"/>
        <c:spPr>
          <a:noFill/>
          <a:ln w="6350" cap="flat" cmpd="sng" algn="ctr">
            <a:solidFill>
              <a:srgbClr val="C3C4C6"/>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363892216"/>
        <c:crosses val="autoZero"/>
        <c:auto val="1"/>
        <c:lblAlgn val="ctr"/>
        <c:lblOffset val="100"/>
        <c:noMultiLvlLbl val="0"/>
      </c:catAx>
      <c:valAx>
        <c:axId val="363892216"/>
        <c:scaling>
          <c:orientation val="minMax"/>
          <c:max val="15000"/>
          <c:min val="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363889264"/>
        <c:crosses val="autoZero"/>
        <c:crossBetween val="between"/>
      </c:valAx>
      <c:spPr>
        <a:noFill/>
        <a:ln>
          <a:noFill/>
        </a:ln>
        <a:effectLst/>
      </c:spPr>
    </c:plotArea>
    <c:legend>
      <c:legendPos val="b"/>
      <c:layout>
        <c:manualLayout>
          <c:xMode val="edge"/>
          <c:yMode val="edge"/>
          <c:x val="9.5622235802949263E-2"/>
          <c:y val="0.79253737945678138"/>
          <c:w val="0.89214231479564088"/>
          <c:h val="0.20746256587378276"/>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4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
          <c:w val="1"/>
          <c:h val="0.97797009318789296"/>
        </c:manualLayout>
      </c:layout>
      <c:pie3DChart>
        <c:varyColors val="1"/>
        <c:ser>
          <c:idx val="0"/>
          <c:order val="0"/>
          <c:spPr>
            <a:ln>
              <a:noFill/>
            </a:ln>
          </c:spPr>
          <c:dPt>
            <c:idx val="0"/>
            <c:bubble3D val="0"/>
            <c:spPr>
              <a:solidFill>
                <a:srgbClr val="B9CDE5"/>
              </a:solidFill>
              <a:ln w="25400">
                <a:noFill/>
              </a:ln>
              <a:effectLst/>
              <a:sp3d/>
            </c:spPr>
            <c:extLst>
              <c:ext xmlns:c16="http://schemas.microsoft.com/office/drawing/2014/chart" uri="{C3380CC4-5D6E-409C-BE32-E72D297353CC}">
                <c16:uniqueId val="{00000001-28A6-472E-8D44-E679AA92CC00}"/>
              </c:ext>
            </c:extLst>
          </c:dPt>
          <c:dPt>
            <c:idx val="1"/>
            <c:bubble3D val="0"/>
            <c:explosion val="5"/>
            <c:spPr>
              <a:solidFill>
                <a:srgbClr val="D9D9D9"/>
              </a:solidFill>
              <a:ln w="25400">
                <a:noFill/>
              </a:ln>
              <a:effectLst/>
              <a:sp3d/>
            </c:spPr>
            <c:extLst>
              <c:ext xmlns:c16="http://schemas.microsoft.com/office/drawing/2014/chart" uri="{C3380CC4-5D6E-409C-BE32-E72D297353CC}">
                <c16:uniqueId val="{00000003-28A6-472E-8D44-E679AA92CC00}"/>
              </c:ext>
            </c:extLst>
          </c:dPt>
          <c:dPt>
            <c:idx val="2"/>
            <c:bubble3D val="0"/>
            <c:explosion val="8"/>
            <c:spPr>
              <a:solidFill>
                <a:srgbClr val="17375E"/>
              </a:solidFill>
              <a:ln w="25400">
                <a:noFill/>
              </a:ln>
              <a:effectLst/>
              <a:sp3d/>
            </c:spPr>
            <c:extLst>
              <c:ext xmlns:c16="http://schemas.microsoft.com/office/drawing/2014/chart" uri="{C3380CC4-5D6E-409C-BE32-E72D297353CC}">
                <c16:uniqueId val="{00000005-28A6-472E-8D44-E679AA92CC00}"/>
              </c:ext>
            </c:extLst>
          </c:dPt>
          <c:dPt>
            <c:idx val="3"/>
            <c:bubble3D val="0"/>
            <c:explosion val="5"/>
            <c:spPr>
              <a:solidFill>
                <a:srgbClr val="558ED5"/>
              </a:solidFill>
              <a:ln w="25400">
                <a:noFill/>
              </a:ln>
              <a:effectLst/>
              <a:sp3d/>
            </c:spPr>
            <c:extLst>
              <c:ext xmlns:c16="http://schemas.microsoft.com/office/drawing/2014/chart" uri="{C3380CC4-5D6E-409C-BE32-E72D297353CC}">
                <c16:uniqueId val="{00000007-28A6-472E-8D44-E679AA92CC00}"/>
              </c:ext>
            </c:extLst>
          </c:dPt>
          <c:dLbls>
            <c:dLbl>
              <c:idx val="0"/>
              <c:layout>
                <c:manualLayout>
                  <c:x val="0.23742354527685322"/>
                  <c:y val="0.24458869470584468"/>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28A6-472E-8D44-E679AA92CC00}"/>
                </c:ext>
              </c:extLst>
            </c:dLbl>
            <c:dLbl>
              <c:idx val="1"/>
              <c:layout>
                <c:manualLayout>
                  <c:x val="2.8135927364435442E-2"/>
                  <c:y val="-0.13879726009858523"/>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28A6-472E-8D44-E679AA92CC00}"/>
                </c:ext>
              </c:extLst>
            </c:dLbl>
            <c:dLbl>
              <c:idx val="2"/>
              <c:layout>
                <c:manualLayout>
                  <c:x val="2.8630052577616381E-2"/>
                  <c:y val="-5.0142756545675696E-2"/>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28A6-472E-8D44-E679AA92CC00}"/>
                </c:ext>
              </c:extLst>
            </c:dLbl>
            <c:dLbl>
              <c:idx val="3"/>
              <c:layout>
                <c:manualLayout>
                  <c:x val="2.3663294493576372E-2"/>
                  <c:y val="0.10148185135394661"/>
                </c:manualLayout>
              </c:layout>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28A6-472E-8D44-E679AA92CC00}"/>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bestFit"/>
            <c:showLegendKey val="0"/>
            <c:showVal val="0"/>
            <c:showCatName val="1"/>
            <c:showSerName val="0"/>
            <c:showPercent val="1"/>
            <c:showBubbleSize val="0"/>
            <c:showLeaderLines val="1"/>
            <c:leaderLines>
              <c:spPr>
                <a:ln w="6350" cap="flat" cmpd="sng" algn="ctr">
                  <a:solidFill>
                    <a:srgbClr val="C3C4C6"/>
                  </a:solidFill>
                  <a:round/>
                </a:ln>
                <a:effectLst/>
              </c:spPr>
            </c:leaderLines>
            <c:extLst>
              <c:ext xmlns:c15="http://schemas.microsoft.com/office/drawing/2012/chart" uri="{CE6537A1-D6FC-4f65-9D91-7224C49458BB}"/>
            </c:extLst>
          </c:dLbls>
          <c:cat>
            <c:strRef>
              <c:f>ien.str!$A$3:$A$8</c:f>
              <c:strCache>
                <c:ptCount val="4"/>
                <c:pt idx="0">
                  <c:v>Nodokļu ieņēmumi</c:v>
                </c:pt>
                <c:pt idx="1">
                  <c:v>Nenodokļu ieņēmumi</c:v>
                </c:pt>
                <c:pt idx="2">
                  <c:v>Maksas pakalpojumi un citi pašu ieņēmumi</c:v>
                </c:pt>
                <c:pt idx="3">
                  <c:v>Ārvalstu finanšu palīdzība</c:v>
                </c:pt>
              </c:strCache>
            </c:strRef>
          </c:cat>
          <c:val>
            <c:numRef>
              <c:f>ien.str!$B$3:$B$8</c:f>
              <c:numCache>
                <c:formatCode>#\ ##0.0</c:formatCode>
                <c:ptCount val="4"/>
                <c:pt idx="0">
                  <c:v>11557.3</c:v>
                </c:pt>
                <c:pt idx="1">
                  <c:v>845</c:v>
                </c:pt>
                <c:pt idx="2">
                  <c:v>424.9</c:v>
                </c:pt>
                <c:pt idx="3">
                  <c:v>1465.5</c:v>
                </c:pt>
              </c:numCache>
            </c:numRef>
          </c:val>
          <c:extLst>
            <c:ext xmlns:c15="http://schemas.microsoft.com/office/drawing/2012/chart" uri="{02D57815-91ED-43cb-92C2-25804820EDAC}">
              <c15:categoryFilterExceptions/>
            </c:ext>
            <c:ext xmlns:c16="http://schemas.microsoft.com/office/drawing/2014/chart" uri="{C3380CC4-5D6E-409C-BE32-E72D297353CC}">
              <c16:uniqueId val="{00000008-28A6-472E-8D44-E679AA92CC00}"/>
            </c:ext>
          </c:extLst>
        </c:ser>
        <c:dLbls>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7104981825956812E-2"/>
          <c:y val="0.10945273631840796"/>
          <c:w val="0.59410416866589555"/>
          <c:h val="0.87026855483368781"/>
        </c:manualLayout>
      </c:layout>
      <c:pie3DChart>
        <c:varyColors val="1"/>
        <c:ser>
          <c:idx val="0"/>
          <c:order val="0"/>
          <c:spPr>
            <a:ln>
              <a:noFill/>
            </a:ln>
          </c:spPr>
          <c:explosion val="5"/>
          <c:dPt>
            <c:idx val="0"/>
            <c:bubble3D val="0"/>
            <c:spPr>
              <a:solidFill>
                <a:srgbClr val="D9D9D9"/>
              </a:solidFill>
              <a:ln w="25400">
                <a:noFill/>
              </a:ln>
              <a:effectLst/>
              <a:sp3d/>
            </c:spPr>
            <c:extLst>
              <c:ext xmlns:c16="http://schemas.microsoft.com/office/drawing/2014/chart" uri="{C3380CC4-5D6E-409C-BE32-E72D297353CC}">
                <c16:uniqueId val="{00000001-E51C-45B7-B27E-ECA38B296F8A}"/>
              </c:ext>
            </c:extLst>
          </c:dPt>
          <c:dPt>
            <c:idx val="1"/>
            <c:bubble3D val="0"/>
            <c:spPr>
              <a:solidFill>
                <a:srgbClr val="B9CDE5"/>
              </a:solidFill>
              <a:ln w="25400">
                <a:noFill/>
              </a:ln>
              <a:effectLst/>
              <a:sp3d/>
            </c:spPr>
            <c:extLst>
              <c:ext xmlns:c16="http://schemas.microsoft.com/office/drawing/2014/chart" uri="{C3380CC4-5D6E-409C-BE32-E72D297353CC}">
                <c16:uniqueId val="{00000003-E51C-45B7-B27E-ECA38B296F8A}"/>
              </c:ext>
            </c:extLst>
          </c:dPt>
          <c:dPt>
            <c:idx val="2"/>
            <c:bubble3D val="0"/>
            <c:spPr>
              <a:solidFill>
                <a:srgbClr val="A6A6A6"/>
              </a:solidFill>
              <a:ln w="25400">
                <a:noFill/>
              </a:ln>
              <a:effectLst/>
              <a:sp3d/>
            </c:spPr>
            <c:extLst>
              <c:ext xmlns:c16="http://schemas.microsoft.com/office/drawing/2014/chart" uri="{C3380CC4-5D6E-409C-BE32-E72D297353CC}">
                <c16:uniqueId val="{00000005-E51C-45B7-B27E-ECA38B296F8A}"/>
              </c:ext>
            </c:extLst>
          </c:dPt>
          <c:dPt>
            <c:idx val="3"/>
            <c:bubble3D val="0"/>
            <c:spPr>
              <a:solidFill>
                <a:srgbClr val="558ED5"/>
              </a:solidFill>
              <a:ln w="25400">
                <a:noFill/>
              </a:ln>
              <a:effectLst/>
              <a:sp3d/>
            </c:spPr>
            <c:extLst>
              <c:ext xmlns:c16="http://schemas.microsoft.com/office/drawing/2014/chart" uri="{C3380CC4-5D6E-409C-BE32-E72D297353CC}">
                <c16:uniqueId val="{00000007-E51C-45B7-B27E-ECA38B296F8A}"/>
              </c:ext>
            </c:extLst>
          </c:dPt>
          <c:dPt>
            <c:idx val="4"/>
            <c:bubble3D val="0"/>
            <c:spPr>
              <a:solidFill>
                <a:srgbClr val="8EB4E3"/>
              </a:solidFill>
              <a:ln w="25400">
                <a:noFill/>
              </a:ln>
              <a:effectLst/>
              <a:sp3d/>
            </c:spPr>
            <c:extLst>
              <c:ext xmlns:c16="http://schemas.microsoft.com/office/drawing/2014/chart" uri="{C3380CC4-5D6E-409C-BE32-E72D297353CC}">
                <c16:uniqueId val="{00000009-E51C-45B7-B27E-ECA38B296F8A}"/>
              </c:ext>
            </c:extLst>
          </c:dPt>
          <c:dPt>
            <c:idx val="5"/>
            <c:bubble3D val="0"/>
            <c:spPr>
              <a:solidFill>
                <a:srgbClr val="0070C0"/>
              </a:solidFill>
              <a:ln w="25400">
                <a:noFill/>
              </a:ln>
              <a:effectLst/>
              <a:sp3d/>
            </c:spPr>
            <c:extLst>
              <c:ext xmlns:c16="http://schemas.microsoft.com/office/drawing/2014/chart" uri="{C3380CC4-5D6E-409C-BE32-E72D297353CC}">
                <c16:uniqueId val="{0000000B-E51C-45B7-B27E-ECA38B296F8A}"/>
              </c:ext>
            </c:extLst>
          </c:dPt>
          <c:dPt>
            <c:idx val="6"/>
            <c:bubble3D val="0"/>
            <c:spPr>
              <a:solidFill>
                <a:srgbClr val="009F9B"/>
              </a:solidFill>
              <a:ln w="25400">
                <a:noFill/>
              </a:ln>
              <a:effectLst/>
              <a:sp3d/>
            </c:spPr>
            <c:extLst>
              <c:ext xmlns:c16="http://schemas.microsoft.com/office/drawing/2014/chart" uri="{C3380CC4-5D6E-409C-BE32-E72D297353CC}">
                <c16:uniqueId val="{0000000D-E51C-45B7-B27E-ECA38B296F8A}"/>
              </c:ext>
            </c:extLst>
          </c:dPt>
          <c:dPt>
            <c:idx val="7"/>
            <c:bubble3D val="0"/>
            <c:spPr>
              <a:solidFill>
                <a:srgbClr val="DBEEF4"/>
              </a:solidFill>
              <a:ln w="25400">
                <a:noFill/>
              </a:ln>
              <a:effectLst/>
              <a:sp3d/>
            </c:spPr>
            <c:extLst>
              <c:ext xmlns:c16="http://schemas.microsoft.com/office/drawing/2014/chart" uri="{C3380CC4-5D6E-409C-BE32-E72D297353CC}">
                <c16:uniqueId val="{0000000F-E51C-45B7-B27E-ECA38B296F8A}"/>
              </c:ext>
            </c:extLst>
          </c:dPt>
          <c:dPt>
            <c:idx val="8"/>
            <c:bubble3D val="0"/>
            <c:spPr>
              <a:solidFill>
                <a:srgbClr val="17375E"/>
              </a:solidFill>
              <a:ln w="25400">
                <a:noFill/>
              </a:ln>
              <a:effectLst/>
              <a:sp3d/>
            </c:spPr>
            <c:extLst>
              <c:ext xmlns:c16="http://schemas.microsoft.com/office/drawing/2014/chart" uri="{C3380CC4-5D6E-409C-BE32-E72D297353CC}">
                <c16:uniqueId val="{00000011-E51C-45B7-B27E-ECA38B296F8A}"/>
              </c:ext>
            </c:extLst>
          </c:dPt>
          <c:dLbls>
            <c:dLbl>
              <c:idx val="2"/>
              <c:layout>
                <c:manualLayout>
                  <c:x val="1.4100851392546479E-2"/>
                  <c:y val="1.5340688016329204E-2"/>
                </c:manualLayout>
              </c:layout>
              <c:numFmt formatCode="0.0%" sourceLinked="0"/>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bestFit"/>
              <c:showLegendKey val="0"/>
              <c:showVal val="0"/>
              <c:showCatName val="0"/>
              <c:showSerName val="0"/>
              <c:showPercent val="1"/>
              <c:showBubbleSize val="0"/>
              <c:extLst>
                <c:ext xmlns:c15="http://schemas.microsoft.com/office/drawing/2012/chart" uri="{CE6537A1-D6FC-4f65-9D91-7224C49458BB}">
                  <c15:layout>
                    <c:manualLayout>
                      <c:w val="6.5261057540756645E-2"/>
                      <c:h val="5.3069910615876577E-2"/>
                    </c:manualLayout>
                  </c15:layout>
                </c:ext>
                <c:ext xmlns:c16="http://schemas.microsoft.com/office/drawing/2014/chart" uri="{C3380CC4-5D6E-409C-BE32-E72D297353CC}">
                  <c16:uniqueId val="{00000005-E51C-45B7-B27E-ECA38B296F8A}"/>
                </c:ext>
              </c:extLst>
            </c:dLbl>
            <c:dLbl>
              <c:idx val="5"/>
              <c:layout>
                <c:manualLayout>
                  <c:x val="-3.5877362667703742E-2"/>
                  <c:y val="-9.0688290829317973E-4"/>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E51C-45B7-B27E-ECA38B296F8A}"/>
                </c:ext>
              </c:extLst>
            </c:dLbl>
            <c:dLbl>
              <c:idx val="6"/>
              <c:layout>
                <c:manualLayout>
                  <c:x val="-6.8456965650300766E-3"/>
                  <c:y val="-3.8577192776276102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E51C-45B7-B27E-ECA38B296F8A}"/>
                </c:ext>
              </c:extLst>
            </c:dLbl>
            <c:dLbl>
              <c:idx val="7"/>
              <c:layout>
                <c:manualLayout>
                  <c:x val="2.6231230397034198E-2"/>
                  <c:y val="-4.8129039840169231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E51C-45B7-B27E-ECA38B296F8A}"/>
                </c:ext>
              </c:extLst>
            </c:dLbl>
            <c:dLbl>
              <c:idx val="8"/>
              <c:layout>
                <c:manualLayout>
                  <c:x val="7.4487986949033552E-2"/>
                  <c:y val="-2.9820973870803465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1-E51C-45B7-B27E-ECA38B296F8A}"/>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0"/>
            <c:showCatName val="0"/>
            <c:showSerName val="0"/>
            <c:showPercent val="1"/>
            <c:showBubbleSize val="0"/>
            <c:showLeaderLines val="1"/>
            <c:leaderLines>
              <c:spPr>
                <a:ln w="6350" cap="flat" cmpd="sng" algn="ctr">
                  <a:solidFill>
                    <a:srgbClr val="C3C4C6"/>
                  </a:solidFill>
                  <a:round/>
                </a:ln>
                <a:effectLst/>
              </c:spPr>
            </c:leaderLines>
            <c:extLst>
              <c:ext xmlns:c15="http://schemas.microsoft.com/office/drawing/2012/chart" uri="{CE6537A1-D6FC-4f65-9D91-7224C49458BB}">
                <c15:layout/>
              </c:ext>
            </c:extLst>
          </c:dLbls>
          <c:cat>
            <c:strRef>
              <c:f>nodoklu.str!$A$3:$A$11</c:f>
              <c:strCache>
                <c:ptCount val="9"/>
                <c:pt idx="0">
                  <c:v>Ienākuma nodokļi</c:v>
                </c:pt>
                <c:pt idx="1">
                  <c:v>Sociālās apdrošināšanas iemaksas</c:v>
                </c:pt>
                <c:pt idx="2">
                  <c:v>Ieņēmumi, kas iemaksāti vienotajā nodokļu kontā</c:v>
                </c:pt>
                <c:pt idx="3">
                  <c:v>Pievienotās vērtības nodoklis</c:v>
                </c:pt>
                <c:pt idx="4">
                  <c:v>Akcīzes nodoklis</c:v>
                </c:pt>
                <c:pt idx="5">
                  <c:v>Īpašuma nodokļi</c:v>
                </c:pt>
                <c:pt idx="6">
                  <c:v>Nodokļi atsevišķām precēm
un  pakalpojumu veidiem</c:v>
                </c:pt>
                <c:pt idx="7">
                  <c:v>Muitas nodoklis</c:v>
                </c:pt>
                <c:pt idx="8">
                  <c:v>Nodokļi un maksājumi par 
tiesībām lietot atsevišķas preces</c:v>
                </c:pt>
              </c:strCache>
            </c:strRef>
          </c:cat>
          <c:val>
            <c:numRef>
              <c:f>nodoklu.str!$D$3:$D$11</c:f>
              <c:numCache>
                <c:formatCode>#\ ##0.0</c:formatCode>
                <c:ptCount val="9"/>
                <c:pt idx="0">
                  <c:v>22.853088524136261</c:v>
                </c:pt>
                <c:pt idx="1">
                  <c:v>31.730594516020176</c:v>
                </c:pt>
                <c:pt idx="2">
                  <c:v>0.15488046516054788</c:v>
                </c:pt>
                <c:pt idx="3">
                  <c:v>30.791793931108479</c:v>
                </c:pt>
                <c:pt idx="4">
                  <c:v>9.7860226869597575</c:v>
                </c:pt>
                <c:pt idx="5">
                  <c:v>1.9952757131856058</c:v>
                </c:pt>
                <c:pt idx="6">
                  <c:v>1.4570877281025847</c:v>
                </c:pt>
                <c:pt idx="7">
                  <c:v>0.76055826187777431</c:v>
                </c:pt>
                <c:pt idx="8">
                  <c:v>0.47069817344881593</c:v>
                </c:pt>
              </c:numCache>
            </c:numRef>
          </c:val>
          <c:extLst>
            <c:ext xmlns:c16="http://schemas.microsoft.com/office/drawing/2014/chart" uri="{C3380CC4-5D6E-409C-BE32-E72D297353CC}">
              <c16:uniqueId val="{00000012-E51C-45B7-B27E-ECA38B296F8A}"/>
            </c:ext>
          </c:extLst>
        </c:ser>
        <c:dLbls>
          <c:dLblPos val="bestFit"/>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5610972778498899"/>
          <c:y val="3.5487959442332066E-2"/>
          <c:w val="0.33106153584554338"/>
          <c:h val="0.93195493148907715"/>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133093930930218"/>
          <c:y val="1.343408900083963E-2"/>
          <c:w val="0.41938216670959749"/>
          <c:h val="0.90759012806018891"/>
        </c:manualLayout>
      </c:layout>
      <c:barChart>
        <c:barDir val="bar"/>
        <c:grouping val="clustered"/>
        <c:varyColors val="0"/>
        <c:ser>
          <c:idx val="0"/>
          <c:order val="0"/>
          <c:tx>
            <c:strRef>
              <c:f>nenod.str!$B$2</c:f>
              <c:strCache>
                <c:ptCount val="1"/>
                <c:pt idx="0">
                  <c:v>2022</c:v>
                </c:pt>
              </c:strCache>
            </c:strRef>
          </c:tx>
          <c:spPr>
            <a:solidFill>
              <a:srgbClr val="558ED5"/>
            </a:solidFill>
            <a:ln>
              <a:noFill/>
            </a:ln>
            <a:effectLst/>
          </c:spPr>
          <c:invertIfNegative val="0"/>
          <c:dLbls>
            <c:spPr>
              <a:noFill/>
              <a:ln>
                <a:solidFill>
                  <a:schemeClr val="bg1"/>
                </a:solid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nenod.str!$A$3:$A$8</c:f>
              <c:strCache>
                <c:ptCount val="6"/>
                <c:pt idx="0">
                  <c:v>Ieņēmumi no uzņēmējdarbības un īpašuma</c:v>
                </c:pt>
                <c:pt idx="1">
                  <c:v>Valsts (pašvaldību) nodevas un kancelejas nodevas</c:v>
                </c:pt>
                <c:pt idx="2">
                  <c:v>Pārējie nenodokļu ieņēmumi</c:v>
                </c:pt>
                <c:pt idx="3">
                  <c:v>Naudas sodi un sankcijas</c:v>
                </c:pt>
                <c:pt idx="4">
                  <c:v>Ieņēmumi no īpašuma pārdošanas, iznomāšanas</c:v>
                </c:pt>
                <c:pt idx="5">
                  <c:v>Pārējie un citi VSAA speciālā budžeta ieņēmumi</c:v>
                </c:pt>
              </c:strCache>
            </c:strRef>
          </c:cat>
          <c:val>
            <c:numRef>
              <c:f>nenod.str!$B$3:$B$8</c:f>
              <c:numCache>
                <c:formatCode>#\ ##0.0</c:formatCode>
                <c:ptCount val="6"/>
                <c:pt idx="0">
                  <c:v>351.2</c:v>
                </c:pt>
                <c:pt idx="1">
                  <c:v>175.8</c:v>
                </c:pt>
                <c:pt idx="2">
                  <c:v>105.4</c:v>
                </c:pt>
                <c:pt idx="3">
                  <c:v>50.6</c:v>
                </c:pt>
                <c:pt idx="4">
                  <c:v>65.2</c:v>
                </c:pt>
                <c:pt idx="5">
                  <c:v>96.8</c:v>
                </c:pt>
              </c:numCache>
            </c:numRef>
          </c:val>
          <c:extLst>
            <c:ext xmlns:c16="http://schemas.microsoft.com/office/drawing/2014/chart" uri="{C3380CC4-5D6E-409C-BE32-E72D297353CC}">
              <c16:uniqueId val="{00000000-EEC7-40A1-BBD6-F8AF283E50ED}"/>
            </c:ext>
          </c:extLst>
        </c:ser>
        <c:ser>
          <c:idx val="1"/>
          <c:order val="1"/>
          <c:tx>
            <c:strRef>
              <c:f>nenod.str!$C$2</c:f>
              <c:strCache>
                <c:ptCount val="1"/>
                <c:pt idx="0">
                  <c:v>2021</c:v>
                </c:pt>
              </c:strCache>
            </c:strRef>
          </c:tx>
          <c:spPr>
            <a:solidFill>
              <a:srgbClr val="B9CDE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nenod.str!$A$3:$A$8</c:f>
              <c:strCache>
                <c:ptCount val="6"/>
                <c:pt idx="0">
                  <c:v>Ieņēmumi no uzņēmējdarbības un īpašuma</c:v>
                </c:pt>
                <c:pt idx="1">
                  <c:v>Valsts (pašvaldību) nodevas un kancelejas nodevas</c:v>
                </c:pt>
                <c:pt idx="2">
                  <c:v>Pārējie nenodokļu ieņēmumi</c:v>
                </c:pt>
                <c:pt idx="3">
                  <c:v>Naudas sodi un sankcijas</c:v>
                </c:pt>
                <c:pt idx="4">
                  <c:v>Ieņēmumi no īpašuma pārdošanas, iznomāšanas</c:v>
                </c:pt>
                <c:pt idx="5">
                  <c:v>Pārējie un citi VSAA speciālā budžeta ieņēmumi</c:v>
                </c:pt>
              </c:strCache>
            </c:strRef>
          </c:cat>
          <c:val>
            <c:numRef>
              <c:f>nenod.str!$C$3:$C$8</c:f>
              <c:numCache>
                <c:formatCode>#\ ##0.0</c:formatCode>
                <c:ptCount val="6"/>
                <c:pt idx="0">
                  <c:v>339.3</c:v>
                </c:pt>
                <c:pt idx="1">
                  <c:v>162</c:v>
                </c:pt>
                <c:pt idx="2">
                  <c:v>94.3</c:v>
                </c:pt>
                <c:pt idx="3">
                  <c:v>41.8</c:v>
                </c:pt>
                <c:pt idx="4">
                  <c:v>61.9</c:v>
                </c:pt>
                <c:pt idx="5">
                  <c:v>71.900000000000006</c:v>
                </c:pt>
              </c:numCache>
            </c:numRef>
          </c:val>
          <c:extLst>
            <c:ext xmlns:c16="http://schemas.microsoft.com/office/drawing/2014/chart" uri="{C3380CC4-5D6E-409C-BE32-E72D297353CC}">
              <c16:uniqueId val="{00000001-EEC7-40A1-BBD6-F8AF283E50ED}"/>
            </c:ext>
          </c:extLst>
        </c:ser>
        <c:dLbls>
          <c:dLblPos val="outEnd"/>
          <c:showLegendKey val="0"/>
          <c:showVal val="1"/>
          <c:showCatName val="0"/>
          <c:showSerName val="0"/>
          <c:showPercent val="0"/>
          <c:showBubbleSize val="0"/>
        </c:dLbls>
        <c:gapWidth val="182"/>
        <c:axId val="661238600"/>
        <c:axId val="661242864"/>
      </c:barChart>
      <c:catAx>
        <c:axId val="661238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1242864"/>
        <c:crosses val="autoZero"/>
        <c:auto val="1"/>
        <c:lblAlgn val="ctr"/>
        <c:lblOffset val="100"/>
        <c:noMultiLvlLbl val="0"/>
      </c:catAx>
      <c:valAx>
        <c:axId val="661242864"/>
        <c:scaling>
          <c:orientation val="minMax"/>
        </c:scaling>
        <c:delete val="0"/>
        <c:axPos val="b"/>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1238600"/>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izdev!$B$3</c:f>
              <c:strCache>
                <c:ptCount val="1"/>
                <c:pt idx="0">
                  <c:v>Uzturēšanas izdevumi</c:v>
                </c:pt>
              </c:strCache>
            </c:strRef>
          </c:tx>
          <c:spPr>
            <a:solidFill>
              <a:srgbClr val="B9CDE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izdev!$C$2:$O$2</c:f>
              <c:numCache>
                <c:formatCode>#\ ##0</c:formatCode>
                <c:ptCount val="10"/>
                <c:pt idx="0">
                  <c:v>2012</c:v>
                </c:pt>
                <c:pt idx="1">
                  <c:v>2013</c:v>
                </c:pt>
                <c:pt idx="2">
                  <c:v>2014</c:v>
                </c:pt>
                <c:pt idx="3">
                  <c:v>2015</c:v>
                </c:pt>
                <c:pt idx="4">
                  <c:v>2016</c:v>
                </c:pt>
                <c:pt idx="5">
                  <c:v>2017</c:v>
                </c:pt>
                <c:pt idx="6">
                  <c:v>2018</c:v>
                </c:pt>
                <c:pt idx="7">
                  <c:v>2019</c:v>
                </c:pt>
                <c:pt idx="8">
                  <c:v>2021</c:v>
                </c:pt>
                <c:pt idx="9">
                  <c:v>2022</c:v>
                </c:pt>
              </c:numCache>
            </c:numRef>
          </c:cat>
          <c:val>
            <c:numRef>
              <c:f>izdev!$C$3:$O$3</c:f>
              <c:numCache>
                <c:formatCode>#\ ##0.0</c:formatCode>
                <c:ptCount val="10"/>
                <c:pt idx="0">
                  <c:v>7302.0358449866535</c:v>
                </c:pt>
                <c:pt idx="1">
                  <c:v>7628.3</c:v>
                </c:pt>
                <c:pt idx="2">
                  <c:v>8052.9</c:v>
                </c:pt>
                <c:pt idx="3">
                  <c:v>8268.2999999999993</c:v>
                </c:pt>
                <c:pt idx="4">
                  <c:v>8502.7999999999993</c:v>
                </c:pt>
                <c:pt idx="5">
                  <c:v>8886.2999999999993</c:v>
                </c:pt>
                <c:pt idx="6">
                  <c:v>9905.2999999999993</c:v>
                </c:pt>
                <c:pt idx="7">
                  <c:v>10315.4</c:v>
                </c:pt>
                <c:pt idx="8">
                  <c:v>13125.9</c:v>
                </c:pt>
                <c:pt idx="9">
                  <c:v>14438</c:v>
                </c:pt>
              </c:numCache>
            </c:numRef>
          </c:val>
          <c:extLst>
            <c:ext xmlns:c16="http://schemas.microsoft.com/office/drawing/2014/chart" uri="{C3380CC4-5D6E-409C-BE32-E72D297353CC}">
              <c16:uniqueId val="{00000000-5D4D-4016-BBE8-8B6EDDD2045C}"/>
            </c:ext>
          </c:extLst>
        </c:ser>
        <c:ser>
          <c:idx val="1"/>
          <c:order val="1"/>
          <c:tx>
            <c:strRef>
              <c:f>izdev!$B$4</c:f>
              <c:strCache>
                <c:ptCount val="1"/>
                <c:pt idx="0">
                  <c:v>Kapitālie izdevumi</c:v>
                </c:pt>
              </c:strCache>
            </c:strRef>
          </c:tx>
          <c:spPr>
            <a:solidFill>
              <a:srgbClr val="558ED5"/>
            </a:solidFill>
            <a:ln>
              <a:noFill/>
            </a:ln>
            <a:effectLst/>
          </c:spPr>
          <c:invertIfNegative val="0"/>
          <c:dLbls>
            <c:dLbl>
              <c:idx val="0"/>
              <c:layout>
                <c:manualLayout>
                  <c:x val="-4.483654121864809E-17"/>
                  <c:y val="-5.977839630723271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D4D-4016-BBE8-8B6EDDD2045C}"/>
                </c:ext>
              </c:extLst>
            </c:dLbl>
            <c:dLbl>
              <c:idx val="1"/>
              <c:layout>
                <c:manualLayout>
                  <c:x val="0"/>
                  <c:y val="-6.6420440341369708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D4D-4016-BBE8-8B6EDDD2045C}"/>
                </c:ext>
              </c:extLst>
            </c:dLbl>
            <c:dLbl>
              <c:idx val="2"/>
              <c:layout>
                <c:manualLayout>
                  <c:x val="2.4456577731380891E-3"/>
                  <c:y val="-6.974146235843817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D4D-4016-BBE8-8B6EDDD2045C}"/>
                </c:ext>
              </c:extLst>
            </c:dLbl>
            <c:dLbl>
              <c:idx val="3"/>
              <c:layout>
                <c:manualLayout>
                  <c:x val="-8.9673082437296181E-17"/>
                  <c:y val="-7.3062484375506651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D4D-4016-BBE8-8B6EDDD2045C}"/>
                </c:ext>
              </c:extLst>
            </c:dLbl>
            <c:dLbl>
              <c:idx val="4"/>
              <c:layout>
                <c:manualLayout>
                  <c:x val="2.4456577731380891E-3"/>
                  <c:y val="-6.974146235843817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D4D-4016-BBE8-8B6EDDD2045C}"/>
                </c:ext>
              </c:extLst>
            </c:dLbl>
            <c:dLbl>
              <c:idx val="5"/>
              <c:layout>
                <c:manualLayout>
                  <c:x val="-8.9673082437296181E-17"/>
                  <c:y val="-7.3062484375506651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D4D-4016-BBE8-8B6EDDD2045C}"/>
                </c:ext>
              </c:extLst>
            </c:dLbl>
            <c:dLbl>
              <c:idx val="6"/>
              <c:layout>
                <c:manualLayout>
                  <c:x val="0"/>
                  <c:y val="-8.63465724437806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D4D-4016-BBE8-8B6EDDD2045C}"/>
                </c:ext>
              </c:extLst>
            </c:dLbl>
            <c:dLbl>
              <c:idx val="7"/>
              <c:layout>
                <c:manualLayout>
                  <c:x val="0"/>
                  <c:y val="-8.634657244378060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D4D-4016-BBE8-8B6EDDD2045C}"/>
                </c:ext>
              </c:extLst>
            </c:dLbl>
            <c:dLbl>
              <c:idx val="8"/>
              <c:layout>
                <c:manualLayout>
                  <c:x val="2.3648854361975323E-3"/>
                  <c:y val="-7.9704528409643635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5D4D-4016-BBE8-8B6EDDD2045C}"/>
                </c:ext>
              </c:extLst>
            </c:dLbl>
            <c:dLbl>
              <c:idx val="9"/>
              <c:layout>
                <c:manualLayout>
                  <c:x val="-2.4456577731380891E-3"/>
                  <c:y val="-8.3025550426712114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5D4D-4016-BBE8-8B6EDDD2045C}"/>
                </c:ext>
              </c:extLst>
            </c:dLbl>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izdev!$C$2:$O$2</c:f>
              <c:numCache>
                <c:formatCode>#\ ##0</c:formatCode>
                <c:ptCount val="10"/>
                <c:pt idx="0">
                  <c:v>2012</c:v>
                </c:pt>
                <c:pt idx="1">
                  <c:v>2013</c:v>
                </c:pt>
                <c:pt idx="2">
                  <c:v>2014</c:v>
                </c:pt>
                <c:pt idx="3">
                  <c:v>2015</c:v>
                </c:pt>
                <c:pt idx="4">
                  <c:v>2016</c:v>
                </c:pt>
                <c:pt idx="5">
                  <c:v>2017</c:v>
                </c:pt>
                <c:pt idx="6">
                  <c:v>2018</c:v>
                </c:pt>
                <c:pt idx="7">
                  <c:v>2019</c:v>
                </c:pt>
                <c:pt idx="8">
                  <c:v>2021</c:v>
                </c:pt>
                <c:pt idx="9">
                  <c:v>2022</c:v>
                </c:pt>
              </c:numCache>
            </c:numRef>
          </c:cat>
          <c:val>
            <c:numRef>
              <c:f>izdev!$C$4:$O$4</c:f>
              <c:numCache>
                <c:formatCode>#\ ##0.0</c:formatCode>
                <c:ptCount val="10"/>
                <c:pt idx="0">
                  <c:v>834.51431693615859</c:v>
                </c:pt>
                <c:pt idx="1">
                  <c:v>863.6</c:v>
                </c:pt>
                <c:pt idx="2">
                  <c:v>877.1</c:v>
                </c:pt>
                <c:pt idx="3">
                  <c:v>919.9</c:v>
                </c:pt>
                <c:pt idx="4">
                  <c:v>662.6</c:v>
                </c:pt>
                <c:pt idx="5">
                  <c:v>957.1</c:v>
                </c:pt>
                <c:pt idx="6">
                  <c:v>1188.0999999999999</c:v>
                </c:pt>
                <c:pt idx="7">
                  <c:v>1208.5999999999999</c:v>
                </c:pt>
                <c:pt idx="8">
                  <c:v>1268.2</c:v>
                </c:pt>
                <c:pt idx="9">
                  <c:v>1280.3</c:v>
                </c:pt>
              </c:numCache>
            </c:numRef>
          </c:val>
          <c:extLst>
            <c:ext xmlns:c15="http://schemas.microsoft.com/office/drawing/2012/chart" uri="{02D57815-91ED-43cb-92C2-25804820EDAC}">
              <c15:categoryFilterExceptions>
                <c15:categoryFilterException>
                  <c15:sqref>izdev!$F$4</c15:sqref>
                  <c15:dLbl>
                    <c:idx val="-1"/>
                    <c:layout>
                      <c:manualLayout>
                        <c:x val="-2.4456577731380891E-3"/>
                        <c:y val="2.6995202038427563E-2"/>
                      </c:manualLayout>
                    </c:layout>
                    <c:dLblPos val="ctr"/>
                    <c:showLegendKey val="0"/>
                    <c:showVal val="1"/>
                    <c:showCatName val="0"/>
                    <c:showSerName val="0"/>
                    <c:showPercent val="0"/>
                    <c:showBubbleSize val="0"/>
                    <c:extLst>
                      <c:ext uri="{CE6537A1-D6FC-4f65-9D91-7224C49458BB}"/>
                      <c:ext xmlns:c16="http://schemas.microsoft.com/office/drawing/2014/chart" uri="{C3380CC4-5D6E-409C-BE32-E72D297353CC}">
                        <c16:uniqueId val="{00000000-EC02-4830-901E-83F42DE757F1}"/>
                      </c:ext>
                    </c:extLst>
                  </c15:dLbl>
                </c15:categoryFilterException>
                <c15:categoryFilterException>
                  <c15:sqref>izdev!$G$4</c15:sqref>
                  <c15:dLbl>
                    <c:idx val="-1"/>
                    <c:layout>
                      <c:manualLayout>
                        <c:x val="2.4456577731380891E-3"/>
                        <c:y val="-6.2968669425991414E-2"/>
                      </c:manualLayout>
                    </c:layout>
                    <c:dLblPos val="ctr"/>
                    <c:showLegendKey val="0"/>
                    <c:showVal val="1"/>
                    <c:showCatName val="0"/>
                    <c:showSerName val="0"/>
                    <c:showPercent val="0"/>
                    <c:showBubbleSize val="0"/>
                    <c:extLst>
                      <c:ext uri="{CE6537A1-D6FC-4f65-9D91-7224C49458BB}"/>
                      <c:ext xmlns:c16="http://schemas.microsoft.com/office/drawing/2014/chart" uri="{C3380CC4-5D6E-409C-BE32-E72D297353CC}">
                        <c16:uniqueId val="{00000001-EC02-4830-901E-83F42DE757F1}"/>
                      </c:ext>
                    </c:extLst>
                  </c15:dLbl>
                </c15:categoryFilterException>
                <c15:categoryFilterException>
                  <c15:sqref>izdev!$H$4</c15:sqref>
                  <c15:dLbl>
                    <c:idx val="-1"/>
                    <c:layout>
                      <c:manualLayout>
                        <c:x val="0"/>
                        <c:y val="-7.3062484375506706E-2"/>
                      </c:manualLayout>
                    </c:layout>
                    <c:dLblPos val="ctr"/>
                    <c:showLegendKey val="0"/>
                    <c:showVal val="1"/>
                    <c:showCatName val="0"/>
                    <c:showSerName val="0"/>
                    <c:showPercent val="0"/>
                    <c:showBubbleSize val="0"/>
                    <c:extLst>
                      <c:ext uri="{CE6537A1-D6FC-4f65-9D91-7224C49458BB}"/>
                      <c:ext xmlns:c16="http://schemas.microsoft.com/office/drawing/2014/chart" uri="{C3380CC4-5D6E-409C-BE32-E72D297353CC}">
                        <c16:uniqueId val="{00000002-EC02-4830-901E-83F42DE757F1}"/>
                      </c:ext>
                    </c:extLst>
                  </c15:dLbl>
                </c15:categoryFilterException>
              </c15:categoryFilterExceptions>
            </c:ext>
            <c:ext xmlns:c16="http://schemas.microsoft.com/office/drawing/2014/chart" uri="{C3380CC4-5D6E-409C-BE32-E72D297353CC}">
              <c16:uniqueId val="{0000000B-5D4D-4016-BBE8-8B6EDDD2045C}"/>
            </c:ext>
          </c:extLst>
        </c:ser>
        <c:dLbls>
          <c:dLblPos val="ctr"/>
          <c:showLegendKey val="0"/>
          <c:showVal val="1"/>
          <c:showCatName val="0"/>
          <c:showSerName val="0"/>
          <c:showPercent val="0"/>
          <c:showBubbleSize val="0"/>
        </c:dLbls>
        <c:gapWidth val="150"/>
        <c:overlap val="100"/>
        <c:axId val="661242208"/>
        <c:axId val="661242536"/>
        <c:extLst>
          <c:ext xmlns:c15="http://schemas.microsoft.com/office/drawing/2012/chart" uri="{02D57815-91ED-43cb-92C2-25804820EDAC}">
            <c15:filteredBarSeries>
              <c15:ser>
                <c:idx val="2"/>
                <c:order val="2"/>
                <c:tx>
                  <c:strRef>
                    <c:extLst>
                      <c:ext uri="{02D57815-91ED-43cb-92C2-25804820EDAC}">
                        <c15:formulaRef>
                          <c15:sqref>izdev!$B$5</c15:sqref>
                        </c15:formulaRef>
                      </c:ext>
                    </c:extLst>
                    <c:strCache>
                      <c:ptCount val="1"/>
                      <c:pt idx="0">
                        <c:v>Parējie izdevumi, kas veidojas pēc uzkrāšanas principa un nav klasificēti iepriekš</c:v>
                      </c:pt>
                    </c:strCache>
                  </c:strRef>
                </c:tx>
                <c:spPr>
                  <a:solidFill>
                    <a:schemeClr val="accent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numRef>
                    <c:extLst>
                      <c:ext uri="{02D57815-91ED-43cb-92C2-25804820EDAC}">
                        <c15:formulaRef>
                          <c15:sqref>izdev!$C$2:$O$2</c15:sqref>
                        </c15:formulaRef>
                      </c:ext>
                    </c:extLst>
                    <c:numCache>
                      <c:formatCode>#\ ##0</c:formatCode>
                      <c:ptCount val="10"/>
                      <c:pt idx="0">
                        <c:v>2012</c:v>
                      </c:pt>
                      <c:pt idx="1">
                        <c:v>2013</c:v>
                      </c:pt>
                      <c:pt idx="2">
                        <c:v>2014</c:v>
                      </c:pt>
                      <c:pt idx="3">
                        <c:v>2015</c:v>
                      </c:pt>
                      <c:pt idx="4">
                        <c:v>2016</c:v>
                      </c:pt>
                      <c:pt idx="5">
                        <c:v>2017</c:v>
                      </c:pt>
                      <c:pt idx="6">
                        <c:v>2018</c:v>
                      </c:pt>
                      <c:pt idx="7">
                        <c:v>2019</c:v>
                      </c:pt>
                      <c:pt idx="8">
                        <c:v>2021</c:v>
                      </c:pt>
                      <c:pt idx="9">
                        <c:v>2022</c:v>
                      </c:pt>
                    </c:numCache>
                  </c:numRef>
                </c:cat>
                <c:val>
                  <c:numRef>
                    <c:extLst>
                      <c:ext uri="{02D57815-91ED-43cb-92C2-25804820EDAC}">
                        <c15:formulaRef>
                          <c15:sqref>izdev!$C$5:$O$5</c15:sqref>
                        </c15:formulaRef>
                      </c:ext>
                    </c:extLst>
                    <c:numCache>
                      <c:formatCode>#\ ##0.0</c:formatCode>
                      <c:ptCount val="10"/>
                      <c:pt idx="0">
                        <c:v>0</c:v>
                      </c:pt>
                      <c:pt idx="1">
                        <c:v>0</c:v>
                      </c:pt>
                      <c:pt idx="2">
                        <c:v>0</c:v>
                      </c:pt>
                      <c:pt idx="3">
                        <c:v>0</c:v>
                      </c:pt>
                      <c:pt idx="4">
                        <c:v>0</c:v>
                      </c:pt>
                      <c:pt idx="5">
                        <c:v>0</c:v>
                      </c:pt>
                      <c:pt idx="6">
                        <c:v>0</c:v>
                      </c:pt>
                      <c:pt idx="7">
                        <c:v>1</c:v>
                      </c:pt>
                      <c:pt idx="8">
                        <c:v>0</c:v>
                      </c:pt>
                    </c:numCache>
                  </c:numRef>
                </c:val>
                <c:extLst>
                  <c:ext uri="{02D57815-91ED-43cb-92C2-25804820EDAC}">
                    <c15:categoryFilterExceptions>
                      <c15:categoryFilterException>
                        <c15:sqref>izdev!$G$5</c15:sqref>
                        <c15:dLbl>
                          <c:idx val="-1"/>
                          <c:delete val="1"/>
                          <c:extLst>
                            <c:ext uri="{CE6537A1-D6FC-4f65-9D91-7224C49458BB}"/>
                            <c:ext xmlns:c16="http://schemas.microsoft.com/office/drawing/2014/chart" uri="{C3380CC4-5D6E-409C-BE32-E72D297353CC}">
                              <c16:uniqueId val="{00000003-EC02-4830-901E-83F42DE757F1}"/>
                            </c:ext>
                          </c:extLst>
                        </c15:dLbl>
                      </c15:categoryFilterException>
                    </c15:categoryFilterExceptions>
                  </c:ext>
                  <c:ext xmlns:c16="http://schemas.microsoft.com/office/drawing/2014/chart" uri="{C3380CC4-5D6E-409C-BE32-E72D297353CC}">
                    <c16:uniqueId val="{0000000C-5D4D-4016-BBE8-8B6EDDD2045C}"/>
                  </c:ext>
                </c:extLst>
              </c15:ser>
            </c15:filteredBarSeries>
          </c:ext>
        </c:extLst>
      </c:barChart>
      <c:catAx>
        <c:axId val="661242208"/>
        <c:scaling>
          <c:orientation val="minMax"/>
        </c:scaling>
        <c:delete val="0"/>
        <c:axPos val="b"/>
        <c:numFmt formatCode="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1242536"/>
        <c:crosses val="autoZero"/>
        <c:auto val="1"/>
        <c:lblAlgn val="ctr"/>
        <c:lblOffset val="100"/>
        <c:noMultiLvlLbl val="0"/>
      </c:catAx>
      <c:valAx>
        <c:axId val="6612425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lv-LV"/>
          </a:p>
        </c:txPr>
        <c:crossAx val="6612422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def!$A$4</c:f>
              <c:strCache>
                <c:ptCount val="1"/>
                <c:pt idx="0">
                  <c:v>Kopbudžeta finansiālais rezultāts</c:v>
                </c:pt>
              </c:strCache>
            </c:strRef>
          </c:tx>
          <c:spPr>
            <a:solidFill>
              <a:srgbClr val="B9CDE5"/>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extLst>
                <c:ext xmlns:c15="http://schemas.microsoft.com/office/drawing/2012/chart" uri="{02D57815-91ED-43cb-92C2-25804820EDAC}">
                  <c15:fullRef>
                    <c15:sqref>def!$B$3:$R$3</c15:sqref>
                  </c15:fullRef>
                </c:ext>
              </c:extLst>
              <c:f>def!$H$3:$R$3</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extLst>
                <c:ext xmlns:c15="http://schemas.microsoft.com/office/drawing/2012/chart" uri="{02D57815-91ED-43cb-92C2-25804820EDAC}">
                  <c15:fullRef>
                    <c15:sqref>def!$B$4:$R$4</c15:sqref>
                  </c15:fullRef>
                </c:ext>
              </c:extLst>
              <c:f>def!$H$4:$R$4</c:f>
              <c:numCache>
                <c:formatCode>#,##0.00</c:formatCode>
                <c:ptCount val="11"/>
                <c:pt idx="0" formatCode="#,##0">
                  <c:v>38.417538887086586</c:v>
                </c:pt>
                <c:pt idx="1" formatCode="#,##0">
                  <c:v>-127.63160141376544</c:v>
                </c:pt>
                <c:pt idx="2" formatCode="#,##0">
                  <c:v>-397.3</c:v>
                </c:pt>
                <c:pt idx="3" formatCode="#,##0">
                  <c:v>-373.5</c:v>
                </c:pt>
                <c:pt idx="4" formatCode="#,##0">
                  <c:v>-100.25</c:v>
                </c:pt>
                <c:pt idx="5" formatCode="#,##0">
                  <c:v>-221.92</c:v>
                </c:pt>
                <c:pt idx="6" formatCode="#,##0">
                  <c:v>-215.42</c:v>
                </c:pt>
                <c:pt idx="7" formatCode="#,##0">
                  <c:v>-117.42999999999998</c:v>
                </c:pt>
                <c:pt idx="8" formatCode="#,##0">
                  <c:v>-1124.8599999999999</c:v>
                </c:pt>
                <c:pt idx="9">
                  <c:v>-1844.83</c:v>
                </c:pt>
                <c:pt idx="10">
                  <c:v>-1423.88</c:v>
                </c:pt>
              </c:numCache>
            </c:numRef>
          </c:val>
          <c:extLst>
            <c:ext xmlns:c16="http://schemas.microsoft.com/office/drawing/2014/chart" uri="{C3380CC4-5D6E-409C-BE32-E72D297353CC}">
              <c16:uniqueId val="{00000000-BA55-47DD-943E-BD0FFACB0BCB}"/>
            </c:ext>
          </c:extLst>
        </c:ser>
        <c:dLbls>
          <c:dLblPos val="outEnd"/>
          <c:showLegendKey val="0"/>
          <c:showVal val="1"/>
          <c:showCatName val="0"/>
          <c:showSerName val="0"/>
          <c:showPercent val="0"/>
          <c:showBubbleSize val="0"/>
        </c:dLbls>
        <c:gapWidth val="80"/>
        <c:overlap val="25"/>
        <c:axId val="754098816"/>
        <c:axId val="754097832"/>
      </c:barChart>
      <c:catAx>
        <c:axId val="754098816"/>
        <c:scaling>
          <c:orientation val="minMax"/>
        </c:scaling>
        <c:delete val="0"/>
        <c:axPos val="b"/>
        <c:numFmt formatCode="General" sourceLinked="1"/>
        <c:majorTickMark val="none"/>
        <c:minorTickMark val="none"/>
        <c:tickLblPos val="low"/>
        <c:spPr>
          <a:noFill/>
          <a:ln w="6350" cap="flat" cmpd="sng" algn="ctr">
            <a:solidFill>
              <a:srgbClr val="C3C4C6"/>
            </a:solidFill>
            <a:round/>
          </a:ln>
          <a:effectLst/>
        </c:spPr>
        <c:txPr>
          <a:bodyPr rot="-60000000" spcFirstLastPara="1" vertOverflow="ellipsis" vert="horz" wrap="square" anchor="ctr" anchorCtr="1"/>
          <a:lstStyle/>
          <a:p>
            <a:pPr>
              <a:defRPr sz="1000" b="0" i="0" u="none" strike="noStrike" kern="1200" cap="none" spc="20" normalizeH="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54097832"/>
        <c:crossesAt val="0"/>
        <c:auto val="1"/>
        <c:lblAlgn val="ctr"/>
        <c:lblOffset val="100"/>
        <c:noMultiLvlLbl val="0"/>
      </c:catAx>
      <c:valAx>
        <c:axId val="754097832"/>
        <c:scaling>
          <c:orientation val="minMax"/>
          <c:max val="200"/>
          <c:min val="-22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spc="2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54098816"/>
        <c:crosses val="autoZero"/>
        <c:crossBetween val="between"/>
        <c:majorUnit val="400"/>
      </c:valAx>
      <c:spPr>
        <a:noFill/>
        <a:ln>
          <a:noFill/>
        </a:ln>
        <a:effectLst/>
      </c:spPr>
    </c:plotArea>
    <c:plotVisOnly val="1"/>
    <c:dispBlanksAs val="gap"/>
    <c:showDLblsOverMax val="0"/>
  </c:chart>
  <c:spPr>
    <a:solidFill>
      <a:schemeClr val="lt1"/>
    </a:solidFill>
    <a:ln w="9525" cap="flat" cmpd="sng" algn="ctr">
      <a:no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'VB_PB def'!$A$4</c:f>
              <c:strCache>
                <c:ptCount val="1"/>
                <c:pt idx="0">
                  <c:v>Valsts budžeta finansiālais rezultāts</c:v>
                </c:pt>
              </c:strCache>
            </c:strRef>
          </c:tx>
          <c:spPr>
            <a:ln w="28575" cap="rnd">
              <a:solidFill>
                <a:srgbClr val="558ED5"/>
              </a:solidFill>
              <a:round/>
            </a:ln>
            <a:effectLst/>
          </c:spPr>
          <c:marker>
            <c:symbol val="none"/>
          </c:marker>
          <c:cat>
            <c:numRef>
              <c:f>'VB_PB def'!$C$3:$R$3</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'VB_PB def'!$C$4:$R$4</c:f>
              <c:numCache>
                <c:formatCode>#,##0.00</c:formatCode>
                <c:ptCount val="11"/>
                <c:pt idx="0">
                  <c:v>115.11032948019648</c:v>
                </c:pt>
                <c:pt idx="1">
                  <c:v>-8.252656501670451</c:v>
                </c:pt>
                <c:pt idx="2">
                  <c:v>-312.3</c:v>
                </c:pt>
                <c:pt idx="3">
                  <c:v>-347.3</c:v>
                </c:pt>
                <c:pt idx="4" formatCode="General">
                  <c:v>-157.6</c:v>
                </c:pt>
                <c:pt idx="5" formatCode="General">
                  <c:v>-207.7</c:v>
                </c:pt>
                <c:pt idx="6">
                  <c:v>-64.45</c:v>
                </c:pt>
                <c:pt idx="7">
                  <c:v>-167.95</c:v>
                </c:pt>
                <c:pt idx="8">
                  <c:v>-1085</c:v>
                </c:pt>
                <c:pt idx="9">
                  <c:v>-1753.9</c:v>
                </c:pt>
                <c:pt idx="10" formatCode="General">
                  <c:v>-1486.77</c:v>
                </c:pt>
              </c:numCache>
            </c:numRef>
          </c:val>
          <c:smooth val="0"/>
          <c:extLst>
            <c:ext xmlns:c16="http://schemas.microsoft.com/office/drawing/2014/chart" uri="{C3380CC4-5D6E-409C-BE32-E72D297353CC}">
              <c16:uniqueId val="{00000000-7AFE-4892-97B1-5D18381936FB}"/>
            </c:ext>
          </c:extLst>
        </c:ser>
        <c:ser>
          <c:idx val="1"/>
          <c:order val="1"/>
          <c:tx>
            <c:strRef>
              <c:f>'VB_PB def'!$A$5</c:f>
              <c:strCache>
                <c:ptCount val="1"/>
                <c:pt idx="0">
                  <c:v>Pašvaldību budžetu finansiālais rezultāts</c:v>
                </c:pt>
              </c:strCache>
            </c:strRef>
          </c:tx>
          <c:spPr>
            <a:ln w="28575" cap="rnd">
              <a:solidFill>
                <a:srgbClr val="B9CDE5"/>
              </a:solidFill>
              <a:round/>
            </a:ln>
            <a:effectLst/>
          </c:spPr>
          <c:marker>
            <c:symbol val="none"/>
          </c:marker>
          <c:cat>
            <c:numRef>
              <c:f>'VB_PB def'!$C$3:$R$3</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'VB_PB def'!$C$5:$R$5</c:f>
              <c:numCache>
                <c:formatCode>0.00</c:formatCode>
                <c:ptCount val="11"/>
                <c:pt idx="0">
                  <c:v>-76.835077774173172</c:v>
                </c:pt>
                <c:pt idx="1">
                  <c:v>-119.37894491209499</c:v>
                </c:pt>
                <c:pt idx="2" formatCode="General">
                  <c:v>-85</c:v>
                </c:pt>
                <c:pt idx="3" formatCode="General">
                  <c:v>-26.2</c:v>
                </c:pt>
                <c:pt idx="4" formatCode="General">
                  <c:v>57.37</c:v>
                </c:pt>
                <c:pt idx="5" formatCode="General">
                  <c:v>-14.2</c:v>
                </c:pt>
                <c:pt idx="6" formatCode="#,##0.00">
                  <c:v>-150.96</c:v>
                </c:pt>
                <c:pt idx="7" formatCode="#,##0.00">
                  <c:v>50.52</c:v>
                </c:pt>
                <c:pt idx="8" formatCode="#,##0.00">
                  <c:v>-40</c:v>
                </c:pt>
                <c:pt idx="9" formatCode="#,##0.00">
                  <c:v>-90.9</c:v>
                </c:pt>
                <c:pt idx="10" formatCode="General">
                  <c:v>62.89</c:v>
                </c:pt>
              </c:numCache>
            </c:numRef>
          </c:val>
          <c:smooth val="0"/>
          <c:extLst>
            <c:ext xmlns:c16="http://schemas.microsoft.com/office/drawing/2014/chart" uri="{C3380CC4-5D6E-409C-BE32-E72D297353CC}">
              <c16:uniqueId val="{00000001-7AFE-4892-97B1-5D18381936FB}"/>
            </c:ext>
          </c:extLst>
        </c:ser>
        <c:dLbls>
          <c:showLegendKey val="0"/>
          <c:showVal val="0"/>
          <c:showCatName val="0"/>
          <c:showSerName val="0"/>
          <c:showPercent val="0"/>
          <c:showBubbleSize val="0"/>
        </c:dLbls>
        <c:smooth val="0"/>
        <c:axId val="754113248"/>
        <c:axId val="754113904"/>
      </c:lineChart>
      <c:catAx>
        <c:axId val="754113248"/>
        <c:scaling>
          <c:orientation val="minMax"/>
        </c:scaling>
        <c:delete val="0"/>
        <c:axPos val="b"/>
        <c:numFmt formatCode="General" sourceLinked="1"/>
        <c:majorTickMark val="cross"/>
        <c:minorTickMark val="none"/>
        <c:tickLblPos val="low"/>
        <c:spPr>
          <a:noFill/>
          <a:ln w="6350" cap="flat" cmpd="sng" algn="ctr">
            <a:solidFill>
              <a:srgbClr val="C3C4C6"/>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54113904"/>
        <c:crosses val="autoZero"/>
        <c:auto val="1"/>
        <c:lblAlgn val="ctr"/>
        <c:lblOffset val="100"/>
        <c:noMultiLvlLbl val="0"/>
      </c:catAx>
      <c:valAx>
        <c:axId val="754113904"/>
        <c:scaling>
          <c:orientation val="minMax"/>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54113248"/>
        <c:crosses val="autoZero"/>
        <c:crossBetween val="between"/>
        <c:majorUnit val="4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DA25A8-D28E-4EAE-A93C-CAA3D5103C2F}"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lv-LV"/>
        </a:p>
      </dgm:t>
    </dgm:pt>
    <dgm:pt modelId="{70419163-799A-438D-821A-9284BEBE6E4A}">
      <dgm:prSet phldrT="[Text]" custT="1"/>
      <dgm:spPr>
        <a:solidFill>
          <a:srgbClr val="B9CDE5"/>
        </a:solidFill>
      </dgm:spPr>
      <dgm:t>
        <a:bodyPr/>
        <a:lstStyle/>
        <a:p>
          <a:r>
            <a:rPr lang="lv-LV" sz="1000" b="1">
              <a:solidFill>
                <a:srgbClr val="17365D"/>
              </a:solidFill>
              <a:latin typeface="Times New Roman" panose="02020603050405020304" pitchFamily="18" charset="0"/>
              <a:cs typeface="Times New Roman" panose="02020603050405020304" pitchFamily="18" charset="0"/>
            </a:rPr>
            <a:t>Uzturēšanas izdevumi - </a:t>
          </a:r>
        </a:p>
        <a:p>
          <a:r>
            <a:rPr lang="lv-LV" sz="1000" b="1" baseline="0">
              <a:solidFill>
                <a:srgbClr val="17365D"/>
              </a:solidFill>
              <a:latin typeface="Times New Roman" panose="02020603050405020304" pitchFamily="18" charset="0"/>
              <a:cs typeface="Times New Roman" panose="02020603050405020304" pitchFamily="18" charset="0"/>
            </a:rPr>
            <a:t>14 438 </a:t>
          </a:r>
        </a:p>
        <a:p>
          <a:r>
            <a:rPr lang="lv-LV" sz="1000" b="1">
              <a:solidFill>
                <a:srgbClr val="17365D"/>
              </a:solidFill>
              <a:latin typeface="Times New Roman" panose="02020603050405020304" pitchFamily="18" charset="0"/>
              <a:cs typeface="Times New Roman" panose="02020603050405020304" pitchFamily="18" charset="0"/>
            </a:rPr>
            <a:t>milj. </a:t>
          </a:r>
          <a:r>
            <a:rPr lang="lv-LV" sz="1000" b="1" i="1">
              <a:solidFill>
                <a:srgbClr val="17365D"/>
              </a:solidFill>
              <a:latin typeface="Times New Roman" panose="02020603050405020304" pitchFamily="18" charset="0"/>
              <a:cs typeface="Times New Roman" panose="02020603050405020304" pitchFamily="18" charset="0"/>
            </a:rPr>
            <a:t>euro</a:t>
          </a:r>
          <a:endParaRPr lang="lv-LV" sz="1000" b="1">
            <a:solidFill>
              <a:srgbClr val="17365D"/>
            </a:solidFill>
            <a:latin typeface="Times New Roman" panose="02020603050405020304" pitchFamily="18" charset="0"/>
            <a:cs typeface="Times New Roman" panose="02020603050405020304" pitchFamily="18" charset="0"/>
          </a:endParaRPr>
        </a:p>
      </dgm:t>
    </dgm:pt>
    <dgm:pt modelId="{B92C457B-0EA7-4DB7-BECD-34D4AA00C995}" type="parTrans" cxnId="{90CFB911-F2E3-49E8-BFA0-4CB896378CC8}">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82B7A998-9152-4A74-94D5-B66AEECB7F10}" type="sibTrans" cxnId="{90CFB911-F2E3-49E8-BFA0-4CB896378CC8}">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CCF6D339-4081-4790-B56A-6E11E8CFC1F0}">
      <dgm:prSet phldrT="[Text]" custT="1"/>
      <dgm:spPr>
        <a:solidFill>
          <a:srgbClr val="B9CDE5"/>
        </a:solidFill>
      </dgm:spPr>
      <dgm:t>
        <a:bodyPr/>
        <a:lstStyle/>
        <a:p>
          <a:r>
            <a:rPr lang="lv-LV" sz="1000" b="1">
              <a:solidFill>
                <a:srgbClr val="17365D"/>
              </a:solidFill>
              <a:latin typeface="Times New Roman" panose="02020603050405020304" pitchFamily="18" charset="0"/>
              <a:cs typeface="Times New Roman" panose="02020603050405020304" pitchFamily="18" charset="0"/>
            </a:rPr>
            <a:t>Kārtējie izdevumi</a:t>
          </a:r>
        </a:p>
      </dgm:t>
    </dgm:pt>
    <dgm:pt modelId="{556668F2-ED74-4456-B3AF-AF0D1AA64EAA}" type="parTrans" cxnId="{C40D558E-0B01-4FC9-8BA0-E4782246AC17}">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D782A371-0191-4498-B212-0DDDB9C3C3FA}" type="sibTrans" cxnId="{C40D558E-0B01-4FC9-8BA0-E4782246AC17}">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98DFB423-B8C3-45CA-818D-2916A605D8A7}">
      <dgm:prSet phldrT="[Text]" custT="1"/>
      <dgm:spPr>
        <a:solidFill>
          <a:srgbClr val="B9CDE5"/>
        </a:solidFill>
      </dgm:spPr>
      <dgm:t>
        <a:bodyPr/>
        <a:lstStyle/>
        <a:p>
          <a:r>
            <a:rPr lang="lv-LV" sz="1000" b="1">
              <a:solidFill>
                <a:srgbClr val="17365D"/>
              </a:solidFill>
              <a:latin typeface="Times New Roman" panose="02020603050405020304" pitchFamily="18" charset="0"/>
              <a:cs typeface="Times New Roman" panose="02020603050405020304" pitchFamily="18" charset="0"/>
            </a:rPr>
            <a:t>Procentu izdevumi</a:t>
          </a:r>
        </a:p>
      </dgm:t>
    </dgm:pt>
    <dgm:pt modelId="{EEE0DF9A-EF76-49F1-8803-B5B0F7014651}" type="parTrans" cxnId="{B7748D68-43E6-4119-84FB-2A4F3D8DC208}">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02254E86-E966-4245-96B5-F7D1FCB742A2}" type="sibTrans" cxnId="{B7748D68-43E6-4119-84FB-2A4F3D8DC208}">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3D22E6A4-DF04-4E51-BA9B-F9119DF079DB}">
      <dgm:prSet phldrT="[Text]" custT="1"/>
      <dgm:spPr>
        <a:solidFill>
          <a:srgbClr val="B9CDE5"/>
        </a:solidFill>
      </dgm:spPr>
      <dgm:t>
        <a:bodyPr/>
        <a:lstStyle/>
        <a:p>
          <a:r>
            <a:rPr lang="lv-LV" sz="1000" b="1">
              <a:solidFill>
                <a:srgbClr val="17365D"/>
              </a:solidFill>
              <a:latin typeface="Times New Roman" panose="02020603050405020304" pitchFamily="18" charset="0"/>
              <a:cs typeface="Times New Roman" panose="02020603050405020304" pitchFamily="18" charset="0"/>
            </a:rPr>
            <a:t>Subsīdijas, dotācijas un sociālie pabalsti</a:t>
          </a:r>
        </a:p>
      </dgm:t>
    </dgm:pt>
    <dgm:pt modelId="{2D014A4A-D77C-4468-8AE9-2BBC1AEECAD3}" type="parTrans" cxnId="{009AA85D-E62B-427D-99FF-88657DB7A3D1}">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9F22C44B-E300-4811-90AB-62205A5210B8}" type="sibTrans" cxnId="{009AA85D-E62B-427D-99FF-88657DB7A3D1}">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925AD024-65BB-45A3-BC56-BBB8677E57C1}">
      <dgm:prSet phldrT="[Text]" custT="1"/>
      <dgm:spPr>
        <a:solidFill>
          <a:srgbClr val="B9CDE5"/>
        </a:solidFill>
      </dgm:spPr>
      <dgm:t>
        <a:bodyPr/>
        <a:lstStyle/>
        <a:p>
          <a:r>
            <a:rPr lang="lv-LV" sz="1000" b="1">
              <a:solidFill>
                <a:srgbClr val="17365D"/>
              </a:solidFill>
              <a:latin typeface="Times New Roman" panose="02020603050405020304" pitchFamily="18" charset="0"/>
              <a:cs typeface="Times New Roman" panose="02020603050405020304" pitchFamily="18" charset="0"/>
            </a:rPr>
            <a:t>Kārtējie maksājumi EK budžetā un starptautiskā sadarbība </a:t>
          </a:r>
        </a:p>
      </dgm:t>
    </dgm:pt>
    <dgm:pt modelId="{2DBB33DF-D7AC-471C-B87B-C25D84CC660B}" type="parTrans" cxnId="{3EBD7F9A-B30A-45F1-9D53-75975B3E0C20}">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F0F20BA4-29FB-4E63-B2BE-5AA085BA1C3D}" type="sibTrans" cxnId="{3EBD7F9A-B30A-45F1-9D53-75975B3E0C20}">
      <dgm:prSet/>
      <dgm:spPr/>
      <dgm:t>
        <a:bodyPr/>
        <a:lstStyle/>
        <a:p>
          <a:endParaRPr lang="lv-LV" sz="1000">
            <a:solidFill>
              <a:srgbClr val="17365D"/>
            </a:solidFill>
            <a:latin typeface="Times New Roman" panose="02020603050405020304" pitchFamily="18" charset="0"/>
            <a:cs typeface="Times New Roman" panose="02020603050405020304" pitchFamily="18" charset="0"/>
          </a:endParaRPr>
        </a:p>
      </dgm:t>
    </dgm:pt>
    <dgm:pt modelId="{0DE4B0C9-AC79-48D8-9ECE-69F77FCEEB21}" type="pres">
      <dgm:prSet presAssocID="{BEDA25A8-D28E-4EAE-A93C-CAA3D5103C2F}" presName="cycle" presStyleCnt="0">
        <dgm:presLayoutVars>
          <dgm:chMax val="1"/>
          <dgm:dir/>
          <dgm:animLvl val="ctr"/>
          <dgm:resizeHandles val="exact"/>
        </dgm:presLayoutVars>
      </dgm:prSet>
      <dgm:spPr/>
      <dgm:t>
        <a:bodyPr/>
        <a:lstStyle/>
        <a:p>
          <a:endParaRPr lang="lv-LV"/>
        </a:p>
      </dgm:t>
    </dgm:pt>
    <dgm:pt modelId="{AEE14F2A-EFE6-4DDA-9B81-CE4FFC3801BA}" type="pres">
      <dgm:prSet presAssocID="{70419163-799A-438D-821A-9284BEBE6E4A}" presName="centerShape" presStyleLbl="node0" presStyleIdx="0" presStyleCnt="1"/>
      <dgm:spPr/>
      <dgm:t>
        <a:bodyPr/>
        <a:lstStyle/>
        <a:p>
          <a:endParaRPr lang="lv-LV"/>
        </a:p>
      </dgm:t>
    </dgm:pt>
    <dgm:pt modelId="{9B131FDD-9458-4DAD-AF0F-109980CEA843}" type="pres">
      <dgm:prSet presAssocID="{556668F2-ED74-4456-B3AF-AF0D1AA64EAA}" presName="parTrans" presStyleLbl="bgSibTrans2D1" presStyleIdx="0" presStyleCnt="4" custScaleY="15129"/>
      <dgm:spPr/>
      <dgm:t>
        <a:bodyPr/>
        <a:lstStyle/>
        <a:p>
          <a:endParaRPr lang="lv-LV"/>
        </a:p>
      </dgm:t>
    </dgm:pt>
    <dgm:pt modelId="{D8B314C9-DAB3-4EDE-9CC4-64A874D279D2}" type="pres">
      <dgm:prSet presAssocID="{CCF6D339-4081-4790-B56A-6E11E8CFC1F0}" presName="node" presStyleLbl="node1" presStyleIdx="0" presStyleCnt="4" custRadScaleRad="97551" custRadScaleInc="-15474">
        <dgm:presLayoutVars>
          <dgm:bulletEnabled val="1"/>
        </dgm:presLayoutVars>
      </dgm:prSet>
      <dgm:spPr/>
      <dgm:t>
        <a:bodyPr/>
        <a:lstStyle/>
        <a:p>
          <a:endParaRPr lang="lv-LV"/>
        </a:p>
      </dgm:t>
    </dgm:pt>
    <dgm:pt modelId="{9AA973CF-EEE0-4CD0-9382-1833FBA601D2}" type="pres">
      <dgm:prSet presAssocID="{EEE0DF9A-EF76-49F1-8803-B5B0F7014651}" presName="parTrans" presStyleLbl="bgSibTrans2D1" presStyleIdx="1" presStyleCnt="4" custScaleY="15496"/>
      <dgm:spPr/>
      <dgm:t>
        <a:bodyPr/>
        <a:lstStyle/>
        <a:p>
          <a:endParaRPr lang="lv-LV"/>
        </a:p>
      </dgm:t>
    </dgm:pt>
    <dgm:pt modelId="{50C833C9-9778-4BB2-8FBC-77927FEAF3A0}" type="pres">
      <dgm:prSet presAssocID="{98DFB423-B8C3-45CA-818D-2916A605D8A7}" presName="node" presStyleLbl="node1" presStyleIdx="1" presStyleCnt="4">
        <dgm:presLayoutVars>
          <dgm:bulletEnabled val="1"/>
        </dgm:presLayoutVars>
      </dgm:prSet>
      <dgm:spPr/>
      <dgm:t>
        <a:bodyPr/>
        <a:lstStyle/>
        <a:p>
          <a:endParaRPr lang="lv-LV"/>
        </a:p>
      </dgm:t>
    </dgm:pt>
    <dgm:pt modelId="{82AC1C25-CDA2-41EB-AD4A-6421FFEC4EC8}" type="pres">
      <dgm:prSet presAssocID="{2D014A4A-D77C-4468-8AE9-2BBC1AEECAD3}" presName="parTrans" presStyleLbl="bgSibTrans2D1" presStyleIdx="2" presStyleCnt="4" custAng="7869253" custFlipVert="1" custScaleY="15496"/>
      <dgm:spPr/>
      <dgm:t>
        <a:bodyPr/>
        <a:lstStyle/>
        <a:p>
          <a:endParaRPr lang="lv-LV"/>
        </a:p>
      </dgm:t>
    </dgm:pt>
    <dgm:pt modelId="{0E893AD3-7926-4D10-8CB9-F87F312318A2}" type="pres">
      <dgm:prSet presAssocID="{3D22E6A4-DF04-4E51-BA9B-F9119DF079DB}" presName="node" presStyleLbl="node1" presStyleIdx="2" presStyleCnt="4">
        <dgm:presLayoutVars>
          <dgm:bulletEnabled val="1"/>
        </dgm:presLayoutVars>
      </dgm:prSet>
      <dgm:spPr/>
      <dgm:t>
        <a:bodyPr/>
        <a:lstStyle/>
        <a:p>
          <a:endParaRPr lang="lv-LV"/>
        </a:p>
      </dgm:t>
    </dgm:pt>
    <dgm:pt modelId="{B06454B9-D96B-43FE-B125-6B64808518BA}" type="pres">
      <dgm:prSet presAssocID="{2DBB33DF-D7AC-471C-B87B-C25D84CC660B}" presName="parTrans" presStyleLbl="bgSibTrans2D1" presStyleIdx="3" presStyleCnt="4" custScaleY="15129"/>
      <dgm:spPr/>
      <dgm:t>
        <a:bodyPr/>
        <a:lstStyle/>
        <a:p>
          <a:endParaRPr lang="lv-LV"/>
        </a:p>
      </dgm:t>
    </dgm:pt>
    <dgm:pt modelId="{95EB42B3-ED0B-454A-8C49-0585D6897AE6}" type="pres">
      <dgm:prSet presAssocID="{925AD024-65BB-45A3-BC56-BBB8677E57C1}" presName="node" presStyleLbl="node1" presStyleIdx="3" presStyleCnt="4" custRadScaleRad="97062" custRadScaleInc="16399">
        <dgm:presLayoutVars>
          <dgm:bulletEnabled val="1"/>
        </dgm:presLayoutVars>
      </dgm:prSet>
      <dgm:spPr/>
      <dgm:t>
        <a:bodyPr/>
        <a:lstStyle/>
        <a:p>
          <a:endParaRPr lang="lv-LV"/>
        </a:p>
      </dgm:t>
    </dgm:pt>
  </dgm:ptLst>
  <dgm:cxnLst>
    <dgm:cxn modelId="{C40D558E-0B01-4FC9-8BA0-E4782246AC17}" srcId="{70419163-799A-438D-821A-9284BEBE6E4A}" destId="{CCF6D339-4081-4790-B56A-6E11E8CFC1F0}" srcOrd="0" destOrd="0" parTransId="{556668F2-ED74-4456-B3AF-AF0D1AA64EAA}" sibTransId="{D782A371-0191-4498-B212-0DDDB9C3C3FA}"/>
    <dgm:cxn modelId="{596AA4EF-987B-4B70-84B1-716BB0FC0415}" type="presOf" srcId="{70419163-799A-438D-821A-9284BEBE6E4A}" destId="{AEE14F2A-EFE6-4DDA-9B81-CE4FFC3801BA}" srcOrd="0" destOrd="0" presId="urn:microsoft.com/office/officeart/2005/8/layout/radial4"/>
    <dgm:cxn modelId="{B2C222FD-9259-4A40-8865-8BF9F8E62358}" type="presOf" srcId="{2DBB33DF-D7AC-471C-B87B-C25D84CC660B}" destId="{B06454B9-D96B-43FE-B125-6B64808518BA}" srcOrd="0" destOrd="0" presId="urn:microsoft.com/office/officeart/2005/8/layout/radial4"/>
    <dgm:cxn modelId="{90CFB911-F2E3-49E8-BFA0-4CB896378CC8}" srcId="{BEDA25A8-D28E-4EAE-A93C-CAA3D5103C2F}" destId="{70419163-799A-438D-821A-9284BEBE6E4A}" srcOrd="0" destOrd="0" parTransId="{B92C457B-0EA7-4DB7-BECD-34D4AA00C995}" sibTransId="{82B7A998-9152-4A74-94D5-B66AEECB7F10}"/>
    <dgm:cxn modelId="{90DBC071-B4A5-4311-8B21-EFCF17791104}" type="presOf" srcId="{2D014A4A-D77C-4468-8AE9-2BBC1AEECAD3}" destId="{82AC1C25-CDA2-41EB-AD4A-6421FFEC4EC8}" srcOrd="0" destOrd="0" presId="urn:microsoft.com/office/officeart/2005/8/layout/radial4"/>
    <dgm:cxn modelId="{B63939EC-DFEC-42F3-9E13-8C97989AACEF}" type="presOf" srcId="{3D22E6A4-DF04-4E51-BA9B-F9119DF079DB}" destId="{0E893AD3-7926-4D10-8CB9-F87F312318A2}" srcOrd="0" destOrd="0" presId="urn:microsoft.com/office/officeart/2005/8/layout/radial4"/>
    <dgm:cxn modelId="{C6C70B8C-B6B4-415D-A3D5-A96FE22B7ADA}" type="presOf" srcId="{BEDA25A8-D28E-4EAE-A93C-CAA3D5103C2F}" destId="{0DE4B0C9-AC79-48D8-9ECE-69F77FCEEB21}" srcOrd="0" destOrd="0" presId="urn:microsoft.com/office/officeart/2005/8/layout/radial4"/>
    <dgm:cxn modelId="{3DA7C7C6-CB69-4D19-864A-E9A94BB684BF}" type="presOf" srcId="{556668F2-ED74-4456-B3AF-AF0D1AA64EAA}" destId="{9B131FDD-9458-4DAD-AF0F-109980CEA843}" srcOrd="0" destOrd="0" presId="urn:microsoft.com/office/officeart/2005/8/layout/radial4"/>
    <dgm:cxn modelId="{813C493B-8DF5-47FA-8322-6CBF029AEFDF}" type="presOf" srcId="{EEE0DF9A-EF76-49F1-8803-B5B0F7014651}" destId="{9AA973CF-EEE0-4CD0-9382-1833FBA601D2}" srcOrd="0" destOrd="0" presId="urn:microsoft.com/office/officeart/2005/8/layout/radial4"/>
    <dgm:cxn modelId="{B7748D68-43E6-4119-84FB-2A4F3D8DC208}" srcId="{70419163-799A-438D-821A-9284BEBE6E4A}" destId="{98DFB423-B8C3-45CA-818D-2916A605D8A7}" srcOrd="1" destOrd="0" parTransId="{EEE0DF9A-EF76-49F1-8803-B5B0F7014651}" sibTransId="{02254E86-E966-4245-96B5-F7D1FCB742A2}"/>
    <dgm:cxn modelId="{009AA85D-E62B-427D-99FF-88657DB7A3D1}" srcId="{70419163-799A-438D-821A-9284BEBE6E4A}" destId="{3D22E6A4-DF04-4E51-BA9B-F9119DF079DB}" srcOrd="2" destOrd="0" parTransId="{2D014A4A-D77C-4468-8AE9-2BBC1AEECAD3}" sibTransId="{9F22C44B-E300-4811-90AB-62205A5210B8}"/>
    <dgm:cxn modelId="{3EBD7F9A-B30A-45F1-9D53-75975B3E0C20}" srcId="{70419163-799A-438D-821A-9284BEBE6E4A}" destId="{925AD024-65BB-45A3-BC56-BBB8677E57C1}" srcOrd="3" destOrd="0" parTransId="{2DBB33DF-D7AC-471C-B87B-C25D84CC660B}" sibTransId="{F0F20BA4-29FB-4E63-B2BE-5AA085BA1C3D}"/>
    <dgm:cxn modelId="{D3D87C77-8A69-4666-B9BC-3D1D79543858}" type="presOf" srcId="{925AD024-65BB-45A3-BC56-BBB8677E57C1}" destId="{95EB42B3-ED0B-454A-8C49-0585D6897AE6}" srcOrd="0" destOrd="0" presId="urn:microsoft.com/office/officeart/2005/8/layout/radial4"/>
    <dgm:cxn modelId="{16BA1E03-DEE2-46E8-9BBF-2FC193DDB6A8}" type="presOf" srcId="{CCF6D339-4081-4790-B56A-6E11E8CFC1F0}" destId="{D8B314C9-DAB3-4EDE-9CC4-64A874D279D2}" srcOrd="0" destOrd="0" presId="urn:microsoft.com/office/officeart/2005/8/layout/radial4"/>
    <dgm:cxn modelId="{4B84CBD7-8F33-4C9B-92E4-165D816CB255}" type="presOf" srcId="{98DFB423-B8C3-45CA-818D-2916A605D8A7}" destId="{50C833C9-9778-4BB2-8FBC-77927FEAF3A0}" srcOrd="0" destOrd="0" presId="urn:microsoft.com/office/officeart/2005/8/layout/radial4"/>
    <dgm:cxn modelId="{E5730AC0-F2E8-4827-B05F-92C081820C7D}" type="presParOf" srcId="{0DE4B0C9-AC79-48D8-9ECE-69F77FCEEB21}" destId="{AEE14F2A-EFE6-4DDA-9B81-CE4FFC3801BA}" srcOrd="0" destOrd="0" presId="urn:microsoft.com/office/officeart/2005/8/layout/radial4"/>
    <dgm:cxn modelId="{0978F917-62AD-4C73-B5A9-5E2A9173A0BF}" type="presParOf" srcId="{0DE4B0C9-AC79-48D8-9ECE-69F77FCEEB21}" destId="{9B131FDD-9458-4DAD-AF0F-109980CEA843}" srcOrd="1" destOrd="0" presId="urn:microsoft.com/office/officeart/2005/8/layout/radial4"/>
    <dgm:cxn modelId="{D8D3BCAA-8744-485C-8581-01CC650977E1}" type="presParOf" srcId="{0DE4B0C9-AC79-48D8-9ECE-69F77FCEEB21}" destId="{D8B314C9-DAB3-4EDE-9CC4-64A874D279D2}" srcOrd="2" destOrd="0" presId="urn:microsoft.com/office/officeart/2005/8/layout/radial4"/>
    <dgm:cxn modelId="{C465131C-F514-4057-8066-EADD1C63DD27}" type="presParOf" srcId="{0DE4B0C9-AC79-48D8-9ECE-69F77FCEEB21}" destId="{9AA973CF-EEE0-4CD0-9382-1833FBA601D2}" srcOrd="3" destOrd="0" presId="urn:microsoft.com/office/officeart/2005/8/layout/radial4"/>
    <dgm:cxn modelId="{C20014E1-BB5A-4551-8D4D-2EC97EC1A52B}" type="presParOf" srcId="{0DE4B0C9-AC79-48D8-9ECE-69F77FCEEB21}" destId="{50C833C9-9778-4BB2-8FBC-77927FEAF3A0}" srcOrd="4" destOrd="0" presId="urn:microsoft.com/office/officeart/2005/8/layout/radial4"/>
    <dgm:cxn modelId="{237B84B2-9158-494E-828C-CF467C71160D}" type="presParOf" srcId="{0DE4B0C9-AC79-48D8-9ECE-69F77FCEEB21}" destId="{82AC1C25-CDA2-41EB-AD4A-6421FFEC4EC8}" srcOrd="5" destOrd="0" presId="urn:microsoft.com/office/officeart/2005/8/layout/radial4"/>
    <dgm:cxn modelId="{4E71E293-6221-4F2C-9D82-69219A3E7A02}" type="presParOf" srcId="{0DE4B0C9-AC79-48D8-9ECE-69F77FCEEB21}" destId="{0E893AD3-7926-4D10-8CB9-F87F312318A2}" srcOrd="6" destOrd="0" presId="urn:microsoft.com/office/officeart/2005/8/layout/radial4"/>
    <dgm:cxn modelId="{34529AA5-C5B8-4F5D-921E-946BD60DB1A9}" type="presParOf" srcId="{0DE4B0C9-AC79-48D8-9ECE-69F77FCEEB21}" destId="{B06454B9-D96B-43FE-B125-6B64808518BA}" srcOrd="7" destOrd="0" presId="urn:microsoft.com/office/officeart/2005/8/layout/radial4"/>
    <dgm:cxn modelId="{FF30B6F6-41A9-4679-B899-4BE8300BA66E}" type="presParOf" srcId="{0DE4B0C9-AC79-48D8-9ECE-69F77FCEEB21}" destId="{95EB42B3-ED0B-454A-8C49-0585D6897AE6}" srcOrd="8" destOrd="0" presId="urn:microsoft.com/office/officeart/2005/8/layout/radial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E14F2A-EFE6-4DDA-9B81-CE4FFC3801BA}">
      <dsp:nvSpPr>
        <dsp:cNvPr id="0" name=""/>
        <dsp:cNvSpPr/>
      </dsp:nvSpPr>
      <dsp:spPr>
        <a:xfrm>
          <a:off x="2137820" y="1136835"/>
          <a:ext cx="1085664" cy="1085664"/>
        </a:xfrm>
        <a:prstGeom prst="ellipse">
          <a:avLst/>
        </a:prstGeom>
        <a:solidFill>
          <a:srgbClr val="B9CDE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lv-LV" sz="1000" b="1" kern="1200">
              <a:solidFill>
                <a:srgbClr val="17365D"/>
              </a:solidFill>
              <a:latin typeface="Times New Roman" panose="02020603050405020304" pitchFamily="18" charset="0"/>
              <a:cs typeface="Times New Roman" panose="02020603050405020304" pitchFamily="18" charset="0"/>
            </a:rPr>
            <a:t>Uzturēšanas izdevumi - </a:t>
          </a:r>
        </a:p>
        <a:p>
          <a:pPr lvl="0" algn="ctr" defTabSz="444500">
            <a:lnSpc>
              <a:spcPct val="90000"/>
            </a:lnSpc>
            <a:spcBef>
              <a:spcPct val="0"/>
            </a:spcBef>
            <a:spcAft>
              <a:spcPct val="35000"/>
            </a:spcAft>
          </a:pPr>
          <a:r>
            <a:rPr lang="lv-LV" sz="1000" b="1" kern="1200" baseline="0">
              <a:solidFill>
                <a:srgbClr val="17365D"/>
              </a:solidFill>
              <a:latin typeface="Times New Roman" panose="02020603050405020304" pitchFamily="18" charset="0"/>
              <a:cs typeface="Times New Roman" panose="02020603050405020304" pitchFamily="18" charset="0"/>
            </a:rPr>
            <a:t>14 438 </a:t>
          </a:r>
        </a:p>
        <a:p>
          <a:pPr lvl="0" algn="ctr" defTabSz="444500">
            <a:lnSpc>
              <a:spcPct val="90000"/>
            </a:lnSpc>
            <a:spcBef>
              <a:spcPct val="0"/>
            </a:spcBef>
            <a:spcAft>
              <a:spcPct val="35000"/>
            </a:spcAft>
          </a:pPr>
          <a:r>
            <a:rPr lang="lv-LV" sz="1000" b="1" kern="1200">
              <a:solidFill>
                <a:srgbClr val="17365D"/>
              </a:solidFill>
              <a:latin typeface="Times New Roman" panose="02020603050405020304" pitchFamily="18" charset="0"/>
              <a:cs typeface="Times New Roman" panose="02020603050405020304" pitchFamily="18" charset="0"/>
            </a:rPr>
            <a:t>milj. </a:t>
          </a:r>
          <a:r>
            <a:rPr lang="lv-LV" sz="1000" b="1" i="1" kern="1200">
              <a:solidFill>
                <a:srgbClr val="17365D"/>
              </a:solidFill>
              <a:latin typeface="Times New Roman" panose="02020603050405020304" pitchFamily="18" charset="0"/>
              <a:cs typeface="Times New Roman" panose="02020603050405020304" pitchFamily="18" charset="0"/>
            </a:rPr>
            <a:t>euro</a:t>
          </a:r>
          <a:endParaRPr lang="lv-LV" sz="1000" b="1" kern="1200">
            <a:solidFill>
              <a:srgbClr val="17365D"/>
            </a:solidFill>
            <a:latin typeface="Times New Roman" panose="02020603050405020304" pitchFamily="18" charset="0"/>
            <a:cs typeface="Times New Roman" panose="02020603050405020304" pitchFamily="18" charset="0"/>
          </a:endParaRPr>
        </a:p>
      </dsp:txBody>
      <dsp:txXfrm>
        <a:off x="2296812" y="1295827"/>
        <a:ext cx="767680" cy="767680"/>
      </dsp:txXfrm>
    </dsp:sp>
    <dsp:sp modelId="{9B131FDD-9458-4DAD-AF0F-109980CEA843}">
      <dsp:nvSpPr>
        <dsp:cNvPr id="0" name=""/>
        <dsp:cNvSpPr/>
      </dsp:nvSpPr>
      <dsp:spPr>
        <a:xfrm rot="11282202">
          <a:off x="1326369" y="1519820"/>
          <a:ext cx="775878" cy="4681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8B314C9-DAB3-4EDE-9CC4-64A874D279D2}">
      <dsp:nvSpPr>
        <dsp:cNvPr id="0" name=""/>
        <dsp:cNvSpPr/>
      </dsp:nvSpPr>
      <dsp:spPr>
        <a:xfrm>
          <a:off x="814489" y="1076436"/>
          <a:ext cx="1031381" cy="825104"/>
        </a:xfrm>
        <a:prstGeom prst="roundRect">
          <a:avLst>
            <a:gd name="adj" fmla="val 10000"/>
          </a:avLst>
        </a:prstGeom>
        <a:solidFill>
          <a:srgbClr val="B9CDE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lv-LV" sz="1000" b="1" kern="1200">
              <a:solidFill>
                <a:srgbClr val="17365D"/>
              </a:solidFill>
              <a:latin typeface="Times New Roman" panose="02020603050405020304" pitchFamily="18" charset="0"/>
              <a:cs typeface="Times New Roman" panose="02020603050405020304" pitchFamily="18" charset="0"/>
            </a:rPr>
            <a:t>Kārtējie izdevumi</a:t>
          </a:r>
        </a:p>
      </dsp:txBody>
      <dsp:txXfrm>
        <a:off x="838655" y="1100602"/>
        <a:ext cx="983049" cy="776772"/>
      </dsp:txXfrm>
    </dsp:sp>
    <dsp:sp modelId="{9AA973CF-EEE0-4CD0-9382-1833FBA601D2}">
      <dsp:nvSpPr>
        <dsp:cNvPr id="0" name=""/>
        <dsp:cNvSpPr/>
      </dsp:nvSpPr>
      <dsp:spPr>
        <a:xfrm rot="14700000">
          <a:off x="1856456" y="754833"/>
          <a:ext cx="808234" cy="47946"/>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0C833C9-9778-4BB2-8FBC-77927FEAF3A0}">
      <dsp:nvSpPr>
        <dsp:cNvPr id="0" name=""/>
        <dsp:cNvSpPr/>
      </dsp:nvSpPr>
      <dsp:spPr>
        <a:xfrm>
          <a:off x="1574096" y="0"/>
          <a:ext cx="1031381" cy="825104"/>
        </a:xfrm>
        <a:prstGeom prst="roundRect">
          <a:avLst>
            <a:gd name="adj" fmla="val 10000"/>
          </a:avLst>
        </a:prstGeom>
        <a:solidFill>
          <a:srgbClr val="B9CDE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lv-LV" sz="1000" b="1" kern="1200">
              <a:solidFill>
                <a:srgbClr val="17365D"/>
              </a:solidFill>
              <a:latin typeface="Times New Roman" panose="02020603050405020304" pitchFamily="18" charset="0"/>
              <a:cs typeface="Times New Roman" panose="02020603050405020304" pitchFamily="18" charset="0"/>
            </a:rPr>
            <a:t>Procentu izdevumi</a:t>
          </a:r>
        </a:p>
      </dsp:txBody>
      <dsp:txXfrm>
        <a:off x="1598262" y="24166"/>
        <a:ext cx="983049" cy="776772"/>
      </dsp:txXfrm>
    </dsp:sp>
    <dsp:sp modelId="{82AC1C25-CDA2-41EB-AD4A-6421FFEC4EC8}">
      <dsp:nvSpPr>
        <dsp:cNvPr id="0" name=""/>
        <dsp:cNvSpPr/>
      </dsp:nvSpPr>
      <dsp:spPr>
        <a:xfrm rot="17630747" flipV="1">
          <a:off x="2696613" y="754833"/>
          <a:ext cx="808234" cy="47946"/>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893AD3-7926-4D10-8CB9-F87F312318A2}">
      <dsp:nvSpPr>
        <dsp:cNvPr id="0" name=""/>
        <dsp:cNvSpPr/>
      </dsp:nvSpPr>
      <dsp:spPr>
        <a:xfrm>
          <a:off x="2755827" y="0"/>
          <a:ext cx="1031381" cy="825104"/>
        </a:xfrm>
        <a:prstGeom prst="roundRect">
          <a:avLst>
            <a:gd name="adj" fmla="val 10000"/>
          </a:avLst>
        </a:prstGeom>
        <a:solidFill>
          <a:srgbClr val="B9CDE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lv-LV" sz="1000" b="1" kern="1200">
              <a:solidFill>
                <a:srgbClr val="17365D"/>
              </a:solidFill>
              <a:latin typeface="Times New Roman" panose="02020603050405020304" pitchFamily="18" charset="0"/>
              <a:cs typeface="Times New Roman" panose="02020603050405020304" pitchFamily="18" charset="0"/>
            </a:rPr>
            <a:t>Subsīdijas, dotācijas un sociālie pabalsti</a:t>
          </a:r>
        </a:p>
      </dsp:txBody>
      <dsp:txXfrm>
        <a:off x="2779993" y="24166"/>
        <a:ext cx="983049" cy="776772"/>
      </dsp:txXfrm>
    </dsp:sp>
    <dsp:sp modelId="{B06454B9-D96B-43FE-B125-6B64808518BA}">
      <dsp:nvSpPr>
        <dsp:cNvPr id="0" name=""/>
        <dsp:cNvSpPr/>
      </dsp:nvSpPr>
      <dsp:spPr>
        <a:xfrm rot="21142773">
          <a:off x="3259678" y="1527322"/>
          <a:ext cx="769417" cy="46811"/>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5EB42B3-ED0B-454A-8C49-0585D6897AE6}">
      <dsp:nvSpPr>
        <dsp:cNvPr id="0" name=""/>
        <dsp:cNvSpPr/>
      </dsp:nvSpPr>
      <dsp:spPr>
        <a:xfrm>
          <a:off x="3510007" y="1087159"/>
          <a:ext cx="1031381" cy="825104"/>
        </a:xfrm>
        <a:prstGeom prst="roundRect">
          <a:avLst>
            <a:gd name="adj" fmla="val 10000"/>
          </a:avLst>
        </a:prstGeom>
        <a:solidFill>
          <a:srgbClr val="B9CDE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lv-LV" sz="1000" b="1" kern="1200">
              <a:solidFill>
                <a:srgbClr val="17365D"/>
              </a:solidFill>
              <a:latin typeface="Times New Roman" panose="02020603050405020304" pitchFamily="18" charset="0"/>
              <a:cs typeface="Times New Roman" panose="02020603050405020304" pitchFamily="18" charset="0"/>
            </a:rPr>
            <a:t>Kārtējie maksājumi EK budžetā un starptautiskā sadarbība </a:t>
          </a:r>
        </a:p>
      </dsp:txBody>
      <dsp:txXfrm>
        <a:off x="3534173" y="1111325"/>
        <a:ext cx="983049" cy="776772"/>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B9D4-3B06-4B3D-8781-FA3E374AF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7</Pages>
  <Words>6836</Words>
  <Characters>3897</Characters>
  <Application>Microsoft Office Word</Application>
  <DocSecurity>2</DocSecurity>
  <Lines>32</Lines>
  <Paragraphs>21</Paragraphs>
  <ScaleCrop>false</ScaleCrop>
  <HeadingPairs>
    <vt:vector size="2" baseType="variant">
      <vt:variant>
        <vt:lpstr>Title</vt:lpstr>
      </vt:variant>
      <vt:variant>
        <vt:i4>1</vt:i4>
      </vt:variant>
    </vt:vector>
  </HeadingPairs>
  <TitlesOfParts>
    <vt:vector size="1" baseType="lpstr">
      <vt:lpstr>Latvijas Republikas 2022. gada pārskats par valsts budžeta izpildi un par pašvaldību budžetiem</vt:lpstr>
    </vt:vector>
  </TitlesOfParts>
  <Company>Valsts kase</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2022. gada pārskats par valsts budžeta izpildi un par pašvaldību budžetiem</dc:title>
  <dc:subject>Skaidrojums</dc:subject>
  <dc:creator>Atbildīgā amatpersona: Vineta Parfenkova, 67094248, Vineta.Parfenkova@kase.gov.lv</dc:creator>
  <cp:lastModifiedBy>Ēriks Tamanis</cp:lastModifiedBy>
  <cp:revision>19</cp:revision>
  <cp:lastPrinted>2022-06-15T11:08:00Z</cp:lastPrinted>
  <dcterms:created xsi:type="dcterms:W3CDTF">2023-05-26T06:14:00Z</dcterms:created>
  <dcterms:modified xsi:type="dcterms:W3CDTF">2023-06-15T08:15:00Z</dcterms:modified>
</cp:coreProperties>
</file>