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A7320" w14:textId="1779A4BB" w:rsidR="00954F0C" w:rsidRPr="00A27896" w:rsidRDefault="00954F0C" w:rsidP="002B196D">
      <w:pPr>
        <w:pStyle w:val="Heading1"/>
        <w:rPr>
          <w:color w:val="17365D"/>
        </w:rPr>
      </w:pPr>
      <w:r w:rsidRPr="00A27896">
        <w:rPr>
          <w:color w:val="17365D"/>
        </w:rPr>
        <w:t>Finanšu pārskata pielikums</w:t>
      </w:r>
    </w:p>
    <w:p w14:paraId="2E55EC01" w14:textId="4C892AEF" w:rsidR="00954F0C" w:rsidRPr="00A27896" w:rsidRDefault="00954F0C" w:rsidP="008E6DF7">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20</w:t>
      </w:r>
      <w:r w:rsidR="00640280" w:rsidRPr="00A27896">
        <w:rPr>
          <w:rFonts w:eastAsiaTheme="minorHAnsi"/>
          <w:noProof w:val="0"/>
          <w:color w:val="17365D"/>
          <w:szCs w:val="22"/>
          <w:lang w:eastAsia="en-US"/>
        </w:rPr>
        <w:t>2</w:t>
      </w:r>
      <w:r w:rsidR="000465A1">
        <w:rPr>
          <w:rFonts w:eastAsiaTheme="minorHAnsi"/>
          <w:noProof w:val="0"/>
          <w:color w:val="17365D"/>
          <w:szCs w:val="22"/>
          <w:lang w:eastAsia="en-US"/>
        </w:rPr>
        <w:t>3</w:t>
      </w:r>
      <w:r w:rsidR="00640280" w:rsidRPr="00A27896">
        <w:rPr>
          <w:rFonts w:eastAsiaTheme="minorHAnsi"/>
          <w:noProof w:val="0"/>
          <w:color w:val="17365D"/>
          <w:szCs w:val="22"/>
          <w:lang w:eastAsia="en-US"/>
        </w:rPr>
        <w:t>. gada</w:t>
      </w:r>
      <w:r w:rsidRPr="00A27896">
        <w:rPr>
          <w:rFonts w:eastAsiaTheme="minorHAnsi"/>
          <w:noProof w:val="0"/>
          <w:color w:val="17365D"/>
          <w:szCs w:val="22"/>
          <w:lang w:eastAsia="en-US"/>
        </w:rPr>
        <w:t xml:space="preserve"> finanšu pārskats sagatavots atbilstoši likumam “Par grāmatvedību”, Likumam par budžetu un finanšu vadību, likumam “Par valsts budžetu 20</w:t>
      </w:r>
      <w:r w:rsidR="00640280" w:rsidRPr="00A27896">
        <w:rPr>
          <w:rFonts w:eastAsiaTheme="minorHAnsi"/>
          <w:noProof w:val="0"/>
          <w:color w:val="17365D"/>
          <w:szCs w:val="22"/>
          <w:lang w:eastAsia="en-US"/>
        </w:rPr>
        <w:t>2</w:t>
      </w:r>
      <w:r w:rsidR="000465A1">
        <w:rPr>
          <w:rFonts w:eastAsiaTheme="minorHAnsi"/>
          <w:noProof w:val="0"/>
          <w:color w:val="17365D"/>
          <w:szCs w:val="22"/>
          <w:lang w:eastAsia="en-US"/>
        </w:rPr>
        <w:t>3</w:t>
      </w:r>
      <w:r w:rsidRPr="00A27896">
        <w:rPr>
          <w:rFonts w:eastAsiaTheme="minorHAnsi"/>
          <w:noProof w:val="0"/>
          <w:color w:val="17365D"/>
          <w:szCs w:val="22"/>
          <w:lang w:eastAsia="en-US"/>
        </w:rPr>
        <w:t>. gadam”, likumam “Par pašvaldību budžetiem” un citiem normatīviem aktiem, kas nosaka budžeta iestāžu grāmatvedības uzskaiti un pārskatu sagatavošanu.</w:t>
      </w:r>
    </w:p>
    <w:p w14:paraId="314BA833" w14:textId="2E5CAA86" w:rsidR="00954F0C" w:rsidRPr="00A27896" w:rsidRDefault="00954F0C" w:rsidP="008E6DF7">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Finanšu pārskats sagatavots</w:t>
      </w:r>
      <w:r w:rsidR="00B7141A" w:rsidRPr="00A27896">
        <w:rPr>
          <w:rFonts w:eastAsiaTheme="minorHAnsi"/>
          <w:noProof w:val="0"/>
          <w:color w:val="17365D"/>
          <w:szCs w:val="22"/>
          <w:lang w:eastAsia="en-US"/>
        </w:rPr>
        <w:t>,</w:t>
      </w:r>
      <w:r w:rsidRPr="00A27896">
        <w:rPr>
          <w:rFonts w:eastAsiaTheme="minorHAnsi"/>
          <w:noProof w:val="0"/>
          <w:color w:val="17365D"/>
          <w:szCs w:val="22"/>
          <w:lang w:eastAsia="en-US"/>
        </w:rPr>
        <w:t xml:space="preserve"> ievērojot uzkrāšanas, naudas plūsmas</w:t>
      </w:r>
      <w:r w:rsidR="00E6638C" w:rsidRPr="00A27896">
        <w:rPr>
          <w:rFonts w:eastAsiaTheme="minorHAnsi"/>
          <w:noProof w:val="0"/>
          <w:color w:val="17365D"/>
          <w:szCs w:val="22"/>
          <w:lang w:eastAsia="en-US"/>
        </w:rPr>
        <w:t xml:space="preserve"> (piemēram, attiecībā uz naudas plūsmas pārskatu)</w:t>
      </w:r>
      <w:r w:rsidRPr="00A27896">
        <w:rPr>
          <w:rFonts w:eastAsiaTheme="minorHAnsi"/>
          <w:noProof w:val="0"/>
          <w:color w:val="17365D"/>
          <w:szCs w:val="22"/>
          <w:lang w:eastAsia="en-US"/>
        </w:rPr>
        <w:t>, piesardzības un darbības turpināšanas principus. Finanšu un nefinanšu informācija sagatavota atbilstoši vispārpieņemtām pārskatu kvalitātes prasībām – patiesums, nozīmīgums, saprotamība, savlaicīgums, salīdzināmība un pārbaudāmība.</w:t>
      </w:r>
    </w:p>
    <w:p w14:paraId="3E806B18" w14:textId="31E459D9" w:rsidR="00954F0C" w:rsidRPr="00A27896" w:rsidRDefault="00954F0C" w:rsidP="008E6DF7">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Finanšu pārskatā konsolidēti ministriju, centrālo valsts iestāžu un pašvaldību (turpmāk – budžeta iestādes) konsolidētie gada pārskati</w:t>
      </w:r>
      <w:r w:rsidR="003F6C71" w:rsidRPr="00A27896">
        <w:rPr>
          <w:rFonts w:eastAsiaTheme="minorHAnsi"/>
          <w:noProof w:val="0"/>
          <w:color w:val="17365D"/>
          <w:szCs w:val="22"/>
          <w:lang w:eastAsia="en-US"/>
        </w:rPr>
        <w:t xml:space="preserve">, ikgadējais pārskats par Valsts ieņēmumu dienesta </w:t>
      </w:r>
      <w:r w:rsidR="00141376" w:rsidRPr="00A27896">
        <w:rPr>
          <w:rFonts w:eastAsiaTheme="minorHAnsi"/>
          <w:noProof w:val="0"/>
          <w:color w:val="17365D"/>
          <w:szCs w:val="22"/>
          <w:lang w:eastAsia="en-US"/>
        </w:rPr>
        <w:t xml:space="preserve">(turpmāk – VID) </w:t>
      </w:r>
      <w:r w:rsidR="003F6C71" w:rsidRPr="00A27896">
        <w:rPr>
          <w:rFonts w:eastAsiaTheme="minorHAnsi"/>
          <w:noProof w:val="0"/>
          <w:color w:val="17365D"/>
          <w:szCs w:val="22"/>
          <w:lang w:eastAsia="en-US"/>
        </w:rPr>
        <w:t>administrētajiem nodokļiem, nodevām un citiem tā administrētajiem uz valsts budžetu attiecināmiem maksājumiem</w:t>
      </w:r>
      <w:r w:rsidRPr="00A27896">
        <w:rPr>
          <w:rFonts w:eastAsiaTheme="minorHAnsi"/>
          <w:noProof w:val="0"/>
          <w:color w:val="17365D"/>
          <w:szCs w:val="22"/>
          <w:lang w:eastAsia="en-US"/>
        </w:rPr>
        <w:t xml:space="preserve"> </w:t>
      </w:r>
      <w:r w:rsidR="00F30120">
        <w:rPr>
          <w:rFonts w:eastAsiaTheme="minorHAnsi"/>
          <w:noProof w:val="0"/>
          <w:color w:val="17365D"/>
          <w:szCs w:val="22"/>
          <w:lang w:eastAsia="en-US"/>
        </w:rPr>
        <w:t xml:space="preserve">(turpmāk – </w:t>
      </w:r>
      <w:r w:rsidR="00CB3465" w:rsidRPr="00B252E1">
        <w:rPr>
          <w:bCs/>
          <w:iCs/>
          <w:color w:val="17365D"/>
        </w:rPr>
        <w:t xml:space="preserve">VID </w:t>
      </w:r>
      <w:r w:rsidR="00F30120" w:rsidRPr="00B252E1">
        <w:rPr>
          <w:bCs/>
          <w:iCs/>
          <w:color w:val="17365D"/>
        </w:rPr>
        <w:t>administrēto</w:t>
      </w:r>
      <w:r w:rsidR="00F30120" w:rsidRPr="00E72168">
        <w:rPr>
          <w:bCs/>
          <w:iCs/>
          <w:color w:val="17365D"/>
        </w:rPr>
        <w:t xml:space="preserve"> valsts budžeta ieņēmumu uzskait</w:t>
      </w:r>
      <w:r w:rsidR="00F30120">
        <w:rPr>
          <w:bCs/>
          <w:iCs/>
          <w:color w:val="17365D"/>
        </w:rPr>
        <w:t xml:space="preserve">e) </w:t>
      </w:r>
      <w:r w:rsidRPr="00A27896">
        <w:rPr>
          <w:rFonts w:eastAsiaTheme="minorHAnsi"/>
          <w:noProof w:val="0"/>
          <w:color w:val="17365D"/>
          <w:szCs w:val="22"/>
          <w:lang w:eastAsia="en-US"/>
        </w:rPr>
        <w:t>un</w:t>
      </w:r>
      <w:r w:rsidR="003F6C71" w:rsidRPr="00A27896">
        <w:rPr>
          <w:rFonts w:eastAsiaTheme="minorHAnsi"/>
          <w:noProof w:val="0"/>
          <w:color w:val="17365D"/>
          <w:szCs w:val="22"/>
          <w:lang w:eastAsia="en-US"/>
        </w:rPr>
        <w:t xml:space="preserve"> ikgadējais pārskats</w:t>
      </w:r>
      <w:r w:rsidRPr="00A27896">
        <w:rPr>
          <w:rFonts w:eastAsiaTheme="minorHAnsi"/>
          <w:noProof w:val="0"/>
          <w:color w:val="17365D"/>
          <w:szCs w:val="22"/>
          <w:lang w:eastAsia="en-US"/>
        </w:rPr>
        <w:t xml:space="preserve"> </w:t>
      </w:r>
      <w:r w:rsidR="003F6C71" w:rsidRPr="00A27896">
        <w:rPr>
          <w:rFonts w:eastAsiaTheme="minorHAnsi"/>
          <w:noProof w:val="0"/>
          <w:color w:val="17365D"/>
          <w:szCs w:val="22"/>
          <w:lang w:eastAsia="en-US"/>
        </w:rPr>
        <w:t>par</w:t>
      </w:r>
      <w:r w:rsidRPr="00A27896">
        <w:rPr>
          <w:rFonts w:eastAsiaTheme="minorHAnsi"/>
          <w:noProof w:val="0"/>
          <w:color w:val="17365D"/>
          <w:szCs w:val="22"/>
          <w:lang w:eastAsia="en-US"/>
        </w:rPr>
        <w:t xml:space="preserve"> valsts budžeta finanšu uzskait</w:t>
      </w:r>
      <w:r w:rsidR="003F6C71" w:rsidRPr="00A27896">
        <w:rPr>
          <w:rFonts w:eastAsiaTheme="minorHAnsi"/>
          <w:noProof w:val="0"/>
          <w:color w:val="17365D"/>
          <w:szCs w:val="22"/>
          <w:lang w:eastAsia="en-US"/>
        </w:rPr>
        <w:t>i</w:t>
      </w:r>
      <w:r w:rsidR="00F30120">
        <w:rPr>
          <w:rFonts w:eastAsiaTheme="minorHAnsi"/>
          <w:noProof w:val="0"/>
          <w:color w:val="17365D"/>
          <w:szCs w:val="22"/>
          <w:lang w:eastAsia="en-US"/>
        </w:rPr>
        <w:t xml:space="preserve"> (turpmāk – valsts budžeta finanšu uzskaite)</w:t>
      </w:r>
      <w:r w:rsidRPr="00A27896">
        <w:rPr>
          <w:rFonts w:eastAsiaTheme="minorHAnsi"/>
          <w:noProof w:val="0"/>
          <w:color w:val="17365D"/>
          <w:szCs w:val="22"/>
          <w:lang w:eastAsia="en-US"/>
        </w:rPr>
        <w:t>.</w:t>
      </w:r>
    </w:p>
    <w:p w14:paraId="5F9944E5" w14:textId="035C003A" w:rsidR="00954F0C" w:rsidRPr="00A27896" w:rsidRDefault="00954F0C" w:rsidP="008E6DF7">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Ministriju un centrālo valsts iestāžu konsolidētajos gada pārskatos ir iekļauti valsts budžeta iestāžu, no valsts budžeta daļēji finansētu atvasinātu publisku personu un budžeta nefinansētu iestāžu</w:t>
      </w:r>
      <w:r w:rsidR="000A74E9">
        <w:rPr>
          <w:rFonts w:eastAsiaTheme="minorHAnsi"/>
          <w:noProof w:val="0"/>
          <w:color w:val="17365D"/>
          <w:szCs w:val="22"/>
          <w:lang w:eastAsia="en-US"/>
        </w:rPr>
        <w:t xml:space="preserve"> (turpmāk – valsts budžeta iestādes)</w:t>
      </w:r>
      <w:r w:rsidRPr="00A27896">
        <w:rPr>
          <w:rFonts w:eastAsiaTheme="minorHAnsi"/>
          <w:noProof w:val="0"/>
          <w:color w:val="17365D"/>
          <w:szCs w:val="22"/>
          <w:lang w:eastAsia="en-US"/>
        </w:rPr>
        <w:t xml:space="preserve"> gada pārskati.</w:t>
      </w:r>
    </w:p>
    <w:p w14:paraId="15F4E27B" w14:textId="47DAD604" w:rsidR="00954F0C" w:rsidRPr="00A27896" w:rsidRDefault="00954F0C" w:rsidP="008E6DF7">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Pašvaldību konsolidētajos gada pārskatos ir iekļauti pašvaldību budžeta iestāžu un kopīgo iestāžu</w:t>
      </w:r>
      <w:r w:rsidR="000A74E9">
        <w:rPr>
          <w:rFonts w:eastAsiaTheme="minorHAnsi"/>
          <w:noProof w:val="0"/>
          <w:color w:val="17365D"/>
          <w:szCs w:val="22"/>
          <w:lang w:eastAsia="en-US"/>
        </w:rPr>
        <w:t xml:space="preserve"> (turpmāk – pašvaldību budžeta iestāžu)</w:t>
      </w:r>
      <w:r w:rsidRPr="00A27896">
        <w:rPr>
          <w:rFonts w:eastAsiaTheme="minorHAnsi"/>
          <w:noProof w:val="0"/>
          <w:color w:val="17365D"/>
          <w:szCs w:val="22"/>
          <w:lang w:eastAsia="en-US"/>
        </w:rPr>
        <w:t xml:space="preserve"> gada pārskati. </w:t>
      </w:r>
    </w:p>
    <w:p w14:paraId="6EA141A0" w14:textId="5613297E" w:rsidR="00954F0C" w:rsidRPr="00A27896" w:rsidRDefault="00954F0C" w:rsidP="008E6DF7">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20</w:t>
      </w:r>
      <w:r w:rsidR="00640280" w:rsidRPr="00A27896">
        <w:rPr>
          <w:rFonts w:eastAsiaTheme="minorHAnsi"/>
          <w:noProof w:val="0"/>
          <w:color w:val="17365D"/>
          <w:szCs w:val="22"/>
          <w:lang w:eastAsia="en-US"/>
        </w:rPr>
        <w:t>2</w:t>
      </w:r>
      <w:r w:rsidR="000465A1">
        <w:rPr>
          <w:rFonts w:eastAsiaTheme="minorHAnsi"/>
          <w:noProof w:val="0"/>
          <w:color w:val="17365D"/>
          <w:szCs w:val="22"/>
          <w:lang w:eastAsia="en-US"/>
        </w:rPr>
        <w:t>3</w:t>
      </w:r>
      <w:r w:rsidRPr="00A27896">
        <w:rPr>
          <w:rFonts w:eastAsiaTheme="minorHAnsi"/>
          <w:noProof w:val="0"/>
          <w:color w:val="17365D"/>
          <w:szCs w:val="22"/>
          <w:lang w:eastAsia="en-US"/>
        </w:rPr>
        <w:t>. gadā budžeta iestādes grāmatvedības uzskaiti kārtoja un gada pārskatus sagatavoja atbilstoši 2018.</w:t>
      </w:r>
      <w:r w:rsidR="003021FC" w:rsidRPr="00A27896">
        <w:rPr>
          <w:rFonts w:eastAsiaTheme="minorHAnsi"/>
          <w:noProof w:val="0"/>
          <w:color w:val="17365D"/>
          <w:szCs w:val="22"/>
          <w:lang w:eastAsia="en-US"/>
        </w:rPr>
        <w:t> </w:t>
      </w:r>
      <w:r w:rsidRPr="00A27896">
        <w:rPr>
          <w:rFonts w:eastAsiaTheme="minorHAnsi"/>
          <w:noProof w:val="0"/>
          <w:color w:val="17365D"/>
          <w:szCs w:val="22"/>
          <w:lang w:eastAsia="en-US"/>
        </w:rPr>
        <w:t>gada 13.</w:t>
      </w:r>
      <w:r w:rsidR="003021FC" w:rsidRPr="00A27896">
        <w:rPr>
          <w:rFonts w:eastAsiaTheme="minorHAnsi"/>
          <w:noProof w:val="0"/>
          <w:color w:val="17365D"/>
          <w:szCs w:val="22"/>
          <w:lang w:eastAsia="en-US"/>
        </w:rPr>
        <w:t> </w:t>
      </w:r>
      <w:r w:rsidRPr="00A27896">
        <w:rPr>
          <w:rFonts w:eastAsiaTheme="minorHAnsi"/>
          <w:noProof w:val="0"/>
          <w:color w:val="17365D"/>
          <w:szCs w:val="22"/>
          <w:lang w:eastAsia="en-US"/>
        </w:rPr>
        <w:t>februāra noteikumiem Nr.</w:t>
      </w:r>
      <w:r w:rsidR="003021FC" w:rsidRPr="00A27896">
        <w:rPr>
          <w:rFonts w:eastAsiaTheme="minorHAnsi"/>
          <w:noProof w:val="0"/>
          <w:color w:val="17365D"/>
          <w:szCs w:val="22"/>
          <w:lang w:eastAsia="en-US"/>
        </w:rPr>
        <w:t> </w:t>
      </w:r>
      <w:r w:rsidRPr="00A27896">
        <w:rPr>
          <w:rFonts w:eastAsiaTheme="minorHAnsi"/>
          <w:noProof w:val="0"/>
          <w:color w:val="17365D"/>
          <w:szCs w:val="22"/>
          <w:lang w:eastAsia="en-US"/>
        </w:rPr>
        <w:t>87 “Grāmatvedības uzskaites kārtība budžeta iestādēs” (turpmāk – MK noteikumi Nr. 87) un Ministru kabineta 20</w:t>
      </w:r>
      <w:r w:rsidR="00045EA9">
        <w:rPr>
          <w:rFonts w:eastAsiaTheme="minorHAnsi"/>
          <w:noProof w:val="0"/>
          <w:color w:val="17365D"/>
          <w:szCs w:val="22"/>
          <w:lang w:eastAsia="en-US"/>
        </w:rPr>
        <w:t>21</w:t>
      </w:r>
      <w:r w:rsidRPr="00A27896">
        <w:rPr>
          <w:rFonts w:eastAsiaTheme="minorHAnsi"/>
          <w:noProof w:val="0"/>
          <w:color w:val="17365D"/>
          <w:szCs w:val="22"/>
          <w:lang w:eastAsia="en-US"/>
        </w:rPr>
        <w:t>. gada </w:t>
      </w:r>
      <w:r w:rsidR="00045EA9">
        <w:rPr>
          <w:rFonts w:eastAsiaTheme="minorHAnsi"/>
          <w:noProof w:val="0"/>
          <w:color w:val="17365D"/>
          <w:szCs w:val="22"/>
          <w:lang w:eastAsia="en-US"/>
        </w:rPr>
        <w:t>28</w:t>
      </w:r>
      <w:r w:rsidRPr="00A27896">
        <w:rPr>
          <w:rFonts w:eastAsiaTheme="minorHAnsi"/>
          <w:noProof w:val="0"/>
          <w:color w:val="17365D"/>
          <w:szCs w:val="22"/>
          <w:lang w:eastAsia="en-US"/>
        </w:rPr>
        <w:t>. </w:t>
      </w:r>
      <w:r w:rsidR="00045EA9">
        <w:rPr>
          <w:rFonts w:eastAsiaTheme="minorHAnsi"/>
          <w:noProof w:val="0"/>
          <w:color w:val="17365D"/>
          <w:szCs w:val="22"/>
          <w:lang w:eastAsia="en-US"/>
        </w:rPr>
        <w:t>septembra</w:t>
      </w:r>
      <w:r w:rsidRPr="00A27896">
        <w:rPr>
          <w:rFonts w:eastAsiaTheme="minorHAnsi"/>
          <w:noProof w:val="0"/>
          <w:color w:val="17365D"/>
          <w:szCs w:val="22"/>
          <w:lang w:eastAsia="en-US"/>
        </w:rPr>
        <w:t xml:space="preserve"> noteikumiem Nr. </w:t>
      </w:r>
      <w:r w:rsidR="000465A1">
        <w:rPr>
          <w:rFonts w:eastAsiaTheme="minorHAnsi"/>
          <w:noProof w:val="0"/>
          <w:color w:val="17365D"/>
          <w:szCs w:val="22"/>
          <w:lang w:eastAsia="en-US"/>
        </w:rPr>
        <w:t>652</w:t>
      </w:r>
      <w:r w:rsidRPr="00A27896">
        <w:rPr>
          <w:rFonts w:eastAsiaTheme="minorHAnsi"/>
          <w:noProof w:val="0"/>
          <w:color w:val="17365D"/>
          <w:szCs w:val="22"/>
          <w:lang w:eastAsia="en-US"/>
        </w:rPr>
        <w:t xml:space="preserve"> “Gada pārskata sagatavošanas kārtība” (turpmāk – MK noteikumi Nr. </w:t>
      </w:r>
      <w:r w:rsidR="000465A1">
        <w:rPr>
          <w:rFonts w:eastAsiaTheme="minorHAnsi"/>
          <w:noProof w:val="0"/>
          <w:color w:val="17365D"/>
          <w:szCs w:val="22"/>
          <w:lang w:eastAsia="en-US"/>
        </w:rPr>
        <w:t>652</w:t>
      </w:r>
      <w:r w:rsidRPr="00A27896">
        <w:rPr>
          <w:rFonts w:eastAsiaTheme="minorHAnsi"/>
          <w:noProof w:val="0"/>
          <w:color w:val="17365D"/>
          <w:szCs w:val="22"/>
          <w:lang w:eastAsia="en-US"/>
        </w:rPr>
        <w:t xml:space="preserve">). </w:t>
      </w:r>
    </w:p>
    <w:p w14:paraId="342A2804" w14:textId="637316A8" w:rsidR="007C6DFF" w:rsidRDefault="008B6424" w:rsidP="007C6DFF">
      <w:pPr>
        <w:pStyle w:val="Pamatteksts1"/>
        <w:spacing w:before="120"/>
        <w:ind w:firstLine="284"/>
        <w:rPr>
          <w:rFonts w:eastAsiaTheme="minorHAnsi"/>
          <w:noProof w:val="0"/>
          <w:color w:val="17365D"/>
          <w:szCs w:val="22"/>
          <w:lang w:eastAsia="en-US"/>
        </w:rPr>
      </w:pPr>
      <w:r w:rsidRPr="008B6424">
        <w:rPr>
          <w:rFonts w:eastAsiaTheme="minorHAnsi"/>
          <w:noProof w:val="0"/>
          <w:color w:val="17365D"/>
          <w:szCs w:val="22"/>
          <w:lang w:eastAsia="en-US"/>
        </w:rPr>
        <w:t>Normatīvie akti valsts un pašvaldību budžeta iestāžu grāmatvedības uzskaites un pārskatu sagatavošanas jomā izstrādāti, piemērojot Starptautisko publiskā sektora grāmatvedības standartu (turpmāk – SPSGS) prasības atbilstoši Latvijas situācijai un prasību atbilstība konkrētām SGSPS 2015.</w:t>
      </w:r>
      <w:r>
        <w:rPr>
          <w:rFonts w:eastAsiaTheme="minorHAnsi"/>
          <w:noProof w:val="0"/>
          <w:color w:val="17365D"/>
          <w:szCs w:val="22"/>
          <w:lang w:eastAsia="en-US"/>
        </w:rPr>
        <w:t> </w:t>
      </w:r>
      <w:r w:rsidRPr="008B6424">
        <w:rPr>
          <w:rFonts w:eastAsiaTheme="minorHAnsi"/>
          <w:noProof w:val="0"/>
          <w:color w:val="17365D"/>
          <w:szCs w:val="22"/>
          <w:lang w:eastAsia="en-US"/>
        </w:rPr>
        <w:t>gada redakcijām apkopota tabulā. Atbilstoši Valsts kases pašnovērtējumam normat</w:t>
      </w:r>
      <w:r>
        <w:rPr>
          <w:rFonts w:eastAsiaTheme="minorHAnsi"/>
          <w:noProof w:val="0"/>
          <w:color w:val="17365D"/>
          <w:szCs w:val="22"/>
          <w:lang w:eastAsia="en-US"/>
        </w:rPr>
        <w:t>īvo aktu atbilstība SPSGS 2023. </w:t>
      </w:r>
      <w:r w:rsidRPr="008B6424">
        <w:rPr>
          <w:rFonts w:eastAsiaTheme="minorHAnsi"/>
          <w:noProof w:val="0"/>
          <w:color w:val="17365D"/>
          <w:szCs w:val="22"/>
          <w:lang w:eastAsia="en-US"/>
        </w:rPr>
        <w:t>gadā bija 90,1 %. Latvijas normatīvo aktu atbilstību SPSGS 2020. gadā  vērtēja arī EUROSTAT un šis novērtējums sasniedza 93 %, kas pārsniedz Valsts kases novērtēto atbilstību.</w:t>
      </w:r>
    </w:p>
    <w:tbl>
      <w:tblPr>
        <w:tblW w:w="9356" w:type="dxa"/>
        <w:tblBorders>
          <w:insideH w:val="single" w:sz="4" w:space="0" w:color="17365D"/>
        </w:tblBorders>
        <w:tblLook w:val="04A0" w:firstRow="1" w:lastRow="0" w:firstColumn="1" w:lastColumn="0" w:noHBand="0" w:noVBand="1"/>
      </w:tblPr>
      <w:tblGrid>
        <w:gridCol w:w="6379"/>
        <w:gridCol w:w="2977"/>
      </w:tblGrid>
      <w:tr w:rsidR="008C0961" w:rsidRPr="00A27896" w14:paraId="45AB9649" w14:textId="77777777" w:rsidTr="003E0991">
        <w:trPr>
          <w:trHeight w:val="344"/>
          <w:tblHeader/>
        </w:trPr>
        <w:tc>
          <w:tcPr>
            <w:tcW w:w="6379" w:type="dxa"/>
            <w:tcBorders>
              <w:bottom w:val="single" w:sz="4" w:space="0" w:color="17365D"/>
            </w:tcBorders>
            <w:shd w:val="clear" w:color="000000" w:fill="B9CDE5"/>
            <w:vAlign w:val="center"/>
            <w:hideMark/>
          </w:tcPr>
          <w:p w14:paraId="0979D7FC" w14:textId="07E975E7" w:rsidR="008C0961" w:rsidRPr="00A27896" w:rsidRDefault="003E0991" w:rsidP="008C0961">
            <w:pPr>
              <w:spacing w:after="0" w:line="240" w:lineRule="auto"/>
              <w:jc w:val="center"/>
              <w:rPr>
                <w:rFonts w:eastAsia="Times New Roman" w:cs="Times New Roman"/>
                <w:b/>
                <w:bCs/>
                <w:color w:val="17365D"/>
                <w:sz w:val="18"/>
                <w:szCs w:val="18"/>
                <w:lang w:eastAsia="lv-LV"/>
              </w:rPr>
            </w:pPr>
            <w:r w:rsidRPr="003E0991">
              <w:rPr>
                <w:rFonts w:eastAsia="Times New Roman" w:cs="Times New Roman"/>
                <w:b/>
                <w:bCs/>
                <w:color w:val="17365D"/>
                <w:sz w:val="18"/>
                <w:szCs w:val="18"/>
                <w:lang w:eastAsia="lv-LV"/>
              </w:rPr>
              <w:t>SPSGS nosaukums</w:t>
            </w:r>
          </w:p>
        </w:tc>
        <w:tc>
          <w:tcPr>
            <w:tcW w:w="2977" w:type="dxa"/>
            <w:tcBorders>
              <w:bottom w:val="single" w:sz="4" w:space="0" w:color="17365D"/>
            </w:tcBorders>
            <w:shd w:val="clear" w:color="000000" w:fill="B9CDE5"/>
            <w:vAlign w:val="center"/>
            <w:hideMark/>
          </w:tcPr>
          <w:p w14:paraId="225F8630" w14:textId="4E745563" w:rsidR="008C0961" w:rsidRPr="00A27896" w:rsidRDefault="00BC78B5" w:rsidP="00BC78B5">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Normatīvo aktu</w:t>
            </w:r>
            <w:r w:rsidR="00281879">
              <w:rPr>
                <w:rFonts w:eastAsia="Times New Roman" w:cs="Times New Roman"/>
                <w:b/>
                <w:bCs/>
                <w:color w:val="17365D"/>
                <w:sz w:val="18"/>
                <w:szCs w:val="18"/>
                <w:lang w:eastAsia="lv-LV"/>
              </w:rPr>
              <w:t xml:space="preserve"> </w:t>
            </w:r>
            <w:r w:rsidR="003E0991" w:rsidRPr="003E0991">
              <w:rPr>
                <w:rFonts w:eastAsia="Times New Roman" w:cs="Times New Roman"/>
                <w:b/>
                <w:bCs/>
                <w:color w:val="17365D"/>
                <w:sz w:val="18"/>
                <w:szCs w:val="18"/>
                <w:lang w:eastAsia="lv-LV"/>
              </w:rPr>
              <w:t>atbilstība SPSGS 2015.gada redakcijai</w:t>
            </w:r>
          </w:p>
        </w:tc>
      </w:tr>
      <w:tr w:rsidR="003C248A" w:rsidRPr="003C248A" w14:paraId="4F2A481F" w14:textId="77777777" w:rsidTr="007C0999">
        <w:trPr>
          <w:trHeight w:val="266"/>
        </w:trPr>
        <w:tc>
          <w:tcPr>
            <w:tcW w:w="6379" w:type="dxa"/>
            <w:tcBorders>
              <w:top w:val="single" w:sz="4" w:space="0" w:color="17365D"/>
              <w:bottom w:val="single" w:sz="4" w:space="0" w:color="17365D"/>
            </w:tcBorders>
            <w:shd w:val="clear" w:color="auto" w:fill="auto"/>
            <w:vAlign w:val="center"/>
          </w:tcPr>
          <w:p w14:paraId="76094157" w14:textId="4ED1E281"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“Publiskā sektora vienību vispārīgo finanšu ziņojumu sniegšanas konceptuālās pamatnostādnes”</w:t>
            </w:r>
          </w:p>
        </w:tc>
        <w:tc>
          <w:tcPr>
            <w:tcW w:w="2977" w:type="dxa"/>
            <w:tcBorders>
              <w:top w:val="single" w:sz="4" w:space="0" w:color="17365D"/>
              <w:bottom w:val="single" w:sz="4" w:space="0" w:color="17365D"/>
            </w:tcBorders>
            <w:shd w:val="clear" w:color="auto" w:fill="auto"/>
            <w:noWrap/>
            <w:vAlign w:val="center"/>
          </w:tcPr>
          <w:p w14:paraId="5C1C926D" w14:textId="306594BC"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3C248A" w:rsidRPr="003C248A" w14:paraId="1B8ACFE2" w14:textId="77777777" w:rsidTr="007C0999">
        <w:trPr>
          <w:trHeight w:val="266"/>
        </w:trPr>
        <w:tc>
          <w:tcPr>
            <w:tcW w:w="6379" w:type="dxa"/>
            <w:tcBorders>
              <w:top w:val="single" w:sz="4" w:space="0" w:color="17365D"/>
              <w:bottom w:val="single" w:sz="4" w:space="0" w:color="17365D"/>
            </w:tcBorders>
            <w:shd w:val="clear" w:color="auto" w:fill="auto"/>
            <w:vAlign w:val="center"/>
          </w:tcPr>
          <w:p w14:paraId="1E9F61BB" w14:textId="4407AD97"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1 “Finanšu pārskatu sniegšana”</w:t>
            </w:r>
          </w:p>
        </w:tc>
        <w:tc>
          <w:tcPr>
            <w:tcW w:w="2977" w:type="dxa"/>
            <w:tcBorders>
              <w:top w:val="single" w:sz="4" w:space="0" w:color="17365D"/>
              <w:bottom w:val="single" w:sz="4" w:space="0" w:color="17365D"/>
            </w:tcBorders>
            <w:shd w:val="clear" w:color="auto" w:fill="auto"/>
            <w:noWrap/>
            <w:vAlign w:val="center"/>
          </w:tcPr>
          <w:p w14:paraId="63750698" w14:textId="759B43A8"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3C248A" w:rsidRPr="003C248A" w14:paraId="534B711F" w14:textId="77777777" w:rsidTr="007C0999">
        <w:trPr>
          <w:trHeight w:val="266"/>
        </w:trPr>
        <w:tc>
          <w:tcPr>
            <w:tcW w:w="6379" w:type="dxa"/>
            <w:tcBorders>
              <w:top w:val="single" w:sz="4" w:space="0" w:color="17365D"/>
              <w:bottom w:val="single" w:sz="4" w:space="0" w:color="17365D"/>
            </w:tcBorders>
            <w:shd w:val="clear" w:color="auto" w:fill="auto"/>
            <w:vAlign w:val="center"/>
          </w:tcPr>
          <w:p w14:paraId="3755E2B3" w14:textId="607F8103"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2 “Naudas plūsmas pārskats”</w:t>
            </w:r>
          </w:p>
        </w:tc>
        <w:tc>
          <w:tcPr>
            <w:tcW w:w="2977" w:type="dxa"/>
            <w:tcBorders>
              <w:top w:val="single" w:sz="4" w:space="0" w:color="17365D"/>
              <w:bottom w:val="single" w:sz="4" w:space="0" w:color="17365D"/>
            </w:tcBorders>
            <w:shd w:val="clear" w:color="auto" w:fill="auto"/>
            <w:noWrap/>
            <w:vAlign w:val="center"/>
          </w:tcPr>
          <w:p w14:paraId="74E6BF72" w14:textId="16852908"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3C248A" w:rsidRPr="003C248A" w14:paraId="63931C4C" w14:textId="77777777" w:rsidTr="007C0999">
        <w:trPr>
          <w:trHeight w:val="266"/>
        </w:trPr>
        <w:tc>
          <w:tcPr>
            <w:tcW w:w="6379" w:type="dxa"/>
            <w:tcBorders>
              <w:top w:val="single" w:sz="4" w:space="0" w:color="17365D"/>
              <w:bottom w:val="single" w:sz="4" w:space="0" w:color="17365D"/>
            </w:tcBorders>
            <w:shd w:val="clear" w:color="auto" w:fill="auto"/>
            <w:vAlign w:val="center"/>
          </w:tcPr>
          <w:p w14:paraId="103FA415" w14:textId="0D83E2B0"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3 “Grāmatvedības politika, izmaiņas grāmatvedības aplēsēs un kļūdas”</w:t>
            </w:r>
          </w:p>
        </w:tc>
        <w:tc>
          <w:tcPr>
            <w:tcW w:w="2977" w:type="dxa"/>
            <w:tcBorders>
              <w:top w:val="single" w:sz="4" w:space="0" w:color="17365D"/>
              <w:bottom w:val="single" w:sz="4" w:space="0" w:color="17365D"/>
            </w:tcBorders>
            <w:shd w:val="clear" w:color="auto" w:fill="auto"/>
            <w:noWrap/>
            <w:vAlign w:val="center"/>
          </w:tcPr>
          <w:p w14:paraId="748669BB" w14:textId="179C380E"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3C248A" w:rsidRPr="003C248A" w14:paraId="54D9CD07" w14:textId="77777777" w:rsidTr="007C0999">
        <w:trPr>
          <w:trHeight w:val="266"/>
        </w:trPr>
        <w:tc>
          <w:tcPr>
            <w:tcW w:w="6379" w:type="dxa"/>
            <w:tcBorders>
              <w:top w:val="single" w:sz="4" w:space="0" w:color="17365D"/>
              <w:bottom w:val="single" w:sz="4" w:space="0" w:color="17365D"/>
            </w:tcBorders>
            <w:shd w:val="clear" w:color="auto" w:fill="auto"/>
            <w:vAlign w:val="center"/>
          </w:tcPr>
          <w:p w14:paraId="1DB18912" w14:textId="5F1F3AD0"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4 “Ārvalstu valūtas kursu izmaiņu ietekme”</w:t>
            </w:r>
          </w:p>
        </w:tc>
        <w:tc>
          <w:tcPr>
            <w:tcW w:w="2977" w:type="dxa"/>
            <w:tcBorders>
              <w:top w:val="single" w:sz="4" w:space="0" w:color="17365D"/>
              <w:bottom w:val="single" w:sz="4" w:space="0" w:color="17365D"/>
            </w:tcBorders>
            <w:shd w:val="clear" w:color="auto" w:fill="auto"/>
            <w:noWrap/>
            <w:vAlign w:val="center"/>
          </w:tcPr>
          <w:p w14:paraId="3EE43BE0" w14:textId="4C203393"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3C248A" w:rsidRPr="003C248A" w14:paraId="5BC752FC" w14:textId="77777777" w:rsidTr="007C0999">
        <w:trPr>
          <w:trHeight w:val="266"/>
        </w:trPr>
        <w:tc>
          <w:tcPr>
            <w:tcW w:w="6379" w:type="dxa"/>
            <w:tcBorders>
              <w:top w:val="single" w:sz="4" w:space="0" w:color="17365D"/>
              <w:bottom w:val="single" w:sz="4" w:space="0" w:color="17365D"/>
            </w:tcBorders>
            <w:shd w:val="clear" w:color="auto" w:fill="auto"/>
            <w:vAlign w:val="center"/>
          </w:tcPr>
          <w:p w14:paraId="429B586A" w14:textId="0A676B78"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5 “Aizņēmumu izmaksas”</w:t>
            </w:r>
          </w:p>
        </w:tc>
        <w:tc>
          <w:tcPr>
            <w:tcW w:w="2977" w:type="dxa"/>
            <w:tcBorders>
              <w:top w:val="single" w:sz="4" w:space="0" w:color="17365D"/>
              <w:bottom w:val="single" w:sz="4" w:space="0" w:color="17365D"/>
            </w:tcBorders>
            <w:shd w:val="clear" w:color="auto" w:fill="auto"/>
            <w:noWrap/>
            <w:vAlign w:val="center"/>
          </w:tcPr>
          <w:p w14:paraId="5C9BB04D" w14:textId="3C927EA3"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3C248A" w:rsidRPr="003C248A" w14:paraId="0AB4EC70" w14:textId="77777777" w:rsidTr="007C0999">
        <w:trPr>
          <w:trHeight w:val="266"/>
        </w:trPr>
        <w:tc>
          <w:tcPr>
            <w:tcW w:w="6379" w:type="dxa"/>
            <w:tcBorders>
              <w:top w:val="single" w:sz="4" w:space="0" w:color="17365D"/>
              <w:bottom w:val="single" w:sz="4" w:space="0" w:color="17365D"/>
            </w:tcBorders>
            <w:shd w:val="clear" w:color="auto" w:fill="auto"/>
            <w:vAlign w:val="center"/>
          </w:tcPr>
          <w:p w14:paraId="08C785A9" w14:textId="5B10F4DA"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6 “Konsolidētie un atsevišķie finanšu pārskati”</w:t>
            </w:r>
          </w:p>
        </w:tc>
        <w:tc>
          <w:tcPr>
            <w:tcW w:w="2977" w:type="dxa"/>
            <w:tcBorders>
              <w:top w:val="single" w:sz="4" w:space="0" w:color="17365D"/>
              <w:bottom w:val="single" w:sz="4" w:space="0" w:color="17365D"/>
            </w:tcBorders>
            <w:shd w:val="clear" w:color="auto" w:fill="auto"/>
            <w:noWrap/>
            <w:vAlign w:val="center"/>
          </w:tcPr>
          <w:p w14:paraId="695F5E63" w14:textId="348E2D88"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Daļēji atbilst</w:t>
            </w:r>
          </w:p>
        </w:tc>
      </w:tr>
      <w:tr w:rsidR="003C248A" w:rsidRPr="003C248A" w14:paraId="178EF5DD" w14:textId="77777777" w:rsidTr="007C0999">
        <w:trPr>
          <w:trHeight w:val="266"/>
        </w:trPr>
        <w:tc>
          <w:tcPr>
            <w:tcW w:w="6379" w:type="dxa"/>
            <w:tcBorders>
              <w:top w:val="single" w:sz="4" w:space="0" w:color="17365D"/>
              <w:bottom w:val="single" w:sz="4" w:space="0" w:color="17365D"/>
            </w:tcBorders>
            <w:shd w:val="clear" w:color="auto" w:fill="auto"/>
            <w:vAlign w:val="center"/>
          </w:tcPr>
          <w:p w14:paraId="59DF2A73" w14:textId="4D75882E"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7 “Ieguldījumi asociētajās kapitālsabiedrībās”</w:t>
            </w:r>
          </w:p>
        </w:tc>
        <w:tc>
          <w:tcPr>
            <w:tcW w:w="2977" w:type="dxa"/>
            <w:tcBorders>
              <w:top w:val="single" w:sz="4" w:space="0" w:color="17365D"/>
              <w:bottom w:val="single" w:sz="4" w:space="0" w:color="17365D"/>
            </w:tcBorders>
            <w:shd w:val="clear" w:color="auto" w:fill="auto"/>
            <w:noWrap/>
            <w:vAlign w:val="center"/>
          </w:tcPr>
          <w:p w14:paraId="616C6C98" w14:textId="30F63B62"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3C248A" w:rsidRPr="003C248A" w14:paraId="13B3F803" w14:textId="77777777" w:rsidTr="007C0999">
        <w:trPr>
          <w:trHeight w:val="266"/>
        </w:trPr>
        <w:tc>
          <w:tcPr>
            <w:tcW w:w="6379" w:type="dxa"/>
            <w:tcBorders>
              <w:top w:val="single" w:sz="4" w:space="0" w:color="17365D"/>
              <w:bottom w:val="single" w:sz="4" w:space="0" w:color="17365D"/>
            </w:tcBorders>
            <w:shd w:val="clear" w:color="auto" w:fill="auto"/>
            <w:vAlign w:val="center"/>
          </w:tcPr>
          <w:p w14:paraId="627ACF50" w14:textId="7150DCF0"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8 “Ieguldījumi kopīgi kontrolētajos pasākumos”</w:t>
            </w:r>
          </w:p>
        </w:tc>
        <w:tc>
          <w:tcPr>
            <w:tcW w:w="2977" w:type="dxa"/>
            <w:tcBorders>
              <w:top w:val="single" w:sz="4" w:space="0" w:color="17365D"/>
              <w:bottom w:val="single" w:sz="4" w:space="0" w:color="17365D"/>
            </w:tcBorders>
            <w:shd w:val="clear" w:color="auto" w:fill="auto"/>
            <w:noWrap/>
            <w:vAlign w:val="center"/>
          </w:tcPr>
          <w:p w14:paraId="1C701A77" w14:textId="4638E82F"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Nav attiecināms</w:t>
            </w:r>
          </w:p>
        </w:tc>
      </w:tr>
      <w:tr w:rsidR="003C248A" w:rsidRPr="003C248A" w14:paraId="7D0241E8" w14:textId="77777777" w:rsidTr="007C0999">
        <w:trPr>
          <w:trHeight w:val="266"/>
        </w:trPr>
        <w:tc>
          <w:tcPr>
            <w:tcW w:w="6379" w:type="dxa"/>
            <w:tcBorders>
              <w:top w:val="single" w:sz="4" w:space="0" w:color="17365D"/>
              <w:bottom w:val="single" w:sz="4" w:space="0" w:color="17365D"/>
            </w:tcBorders>
            <w:shd w:val="clear" w:color="auto" w:fill="auto"/>
            <w:vAlign w:val="center"/>
          </w:tcPr>
          <w:p w14:paraId="7A3E4814" w14:textId="10303CCD"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9 “Ieņēmumi no apmaiņas darījumiem”</w:t>
            </w:r>
          </w:p>
        </w:tc>
        <w:tc>
          <w:tcPr>
            <w:tcW w:w="2977" w:type="dxa"/>
            <w:tcBorders>
              <w:top w:val="single" w:sz="4" w:space="0" w:color="17365D"/>
              <w:bottom w:val="single" w:sz="4" w:space="0" w:color="17365D"/>
            </w:tcBorders>
            <w:shd w:val="clear" w:color="auto" w:fill="auto"/>
            <w:noWrap/>
            <w:vAlign w:val="center"/>
          </w:tcPr>
          <w:p w14:paraId="426021EC" w14:textId="25994344"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3C248A" w:rsidRPr="003C248A" w14:paraId="7C9D4287" w14:textId="77777777" w:rsidTr="007C0999">
        <w:trPr>
          <w:trHeight w:val="266"/>
        </w:trPr>
        <w:tc>
          <w:tcPr>
            <w:tcW w:w="6379" w:type="dxa"/>
            <w:tcBorders>
              <w:top w:val="single" w:sz="4" w:space="0" w:color="17365D"/>
              <w:bottom w:val="single" w:sz="4" w:space="0" w:color="17365D"/>
            </w:tcBorders>
            <w:shd w:val="clear" w:color="auto" w:fill="auto"/>
            <w:vAlign w:val="center"/>
          </w:tcPr>
          <w:p w14:paraId="241DB603" w14:textId="64EB3C6A"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11 “Būvlīgumi”</w:t>
            </w:r>
          </w:p>
        </w:tc>
        <w:tc>
          <w:tcPr>
            <w:tcW w:w="2977" w:type="dxa"/>
            <w:tcBorders>
              <w:top w:val="single" w:sz="4" w:space="0" w:color="17365D"/>
              <w:bottom w:val="single" w:sz="4" w:space="0" w:color="17365D"/>
            </w:tcBorders>
            <w:shd w:val="clear" w:color="auto" w:fill="auto"/>
            <w:noWrap/>
            <w:vAlign w:val="center"/>
          </w:tcPr>
          <w:p w14:paraId="22DC6862" w14:textId="02455729"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Nav attiecināms</w:t>
            </w:r>
          </w:p>
        </w:tc>
      </w:tr>
      <w:tr w:rsidR="003C248A" w:rsidRPr="003C248A" w14:paraId="08B3A255" w14:textId="77777777" w:rsidTr="007C0999">
        <w:trPr>
          <w:trHeight w:val="266"/>
        </w:trPr>
        <w:tc>
          <w:tcPr>
            <w:tcW w:w="6379" w:type="dxa"/>
            <w:tcBorders>
              <w:top w:val="single" w:sz="4" w:space="0" w:color="17365D"/>
              <w:bottom w:val="single" w:sz="4" w:space="0" w:color="17365D"/>
            </w:tcBorders>
            <w:shd w:val="clear" w:color="auto" w:fill="auto"/>
            <w:vAlign w:val="center"/>
          </w:tcPr>
          <w:p w14:paraId="380E2776" w14:textId="2F798846"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12 “Krājumi”</w:t>
            </w:r>
          </w:p>
        </w:tc>
        <w:tc>
          <w:tcPr>
            <w:tcW w:w="2977" w:type="dxa"/>
            <w:tcBorders>
              <w:top w:val="single" w:sz="4" w:space="0" w:color="17365D"/>
              <w:bottom w:val="single" w:sz="4" w:space="0" w:color="17365D"/>
            </w:tcBorders>
            <w:shd w:val="clear" w:color="auto" w:fill="auto"/>
            <w:noWrap/>
            <w:vAlign w:val="center"/>
          </w:tcPr>
          <w:p w14:paraId="120C9B6F" w14:textId="20ACC9CF"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3C248A" w:rsidRPr="003C248A" w14:paraId="2A6AA7AC" w14:textId="77777777" w:rsidTr="007C0999">
        <w:trPr>
          <w:trHeight w:val="266"/>
        </w:trPr>
        <w:tc>
          <w:tcPr>
            <w:tcW w:w="6379" w:type="dxa"/>
            <w:tcBorders>
              <w:top w:val="single" w:sz="4" w:space="0" w:color="17365D"/>
              <w:bottom w:val="single" w:sz="4" w:space="0" w:color="17365D"/>
            </w:tcBorders>
            <w:shd w:val="clear" w:color="auto" w:fill="auto"/>
            <w:vAlign w:val="center"/>
          </w:tcPr>
          <w:p w14:paraId="7CFCB1B5" w14:textId="1FC6C2D9"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13 “Noma”</w:t>
            </w:r>
          </w:p>
        </w:tc>
        <w:tc>
          <w:tcPr>
            <w:tcW w:w="2977" w:type="dxa"/>
            <w:tcBorders>
              <w:top w:val="single" w:sz="4" w:space="0" w:color="17365D"/>
              <w:bottom w:val="single" w:sz="4" w:space="0" w:color="17365D"/>
            </w:tcBorders>
            <w:shd w:val="clear" w:color="auto" w:fill="auto"/>
            <w:noWrap/>
            <w:vAlign w:val="center"/>
          </w:tcPr>
          <w:p w14:paraId="053A58BB" w14:textId="272DBE99"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3C248A" w:rsidRPr="00A27896" w14:paraId="7DA7004A" w14:textId="77777777" w:rsidTr="009C5215">
        <w:trPr>
          <w:trHeight w:val="266"/>
        </w:trPr>
        <w:tc>
          <w:tcPr>
            <w:tcW w:w="6379" w:type="dxa"/>
            <w:tcBorders>
              <w:top w:val="single" w:sz="4" w:space="0" w:color="17365D"/>
              <w:bottom w:val="single" w:sz="4" w:space="0" w:color="17365D"/>
            </w:tcBorders>
            <w:shd w:val="clear" w:color="auto" w:fill="auto"/>
            <w:vAlign w:val="center"/>
          </w:tcPr>
          <w:p w14:paraId="58AF2BA1" w14:textId="20F5BD2A" w:rsidR="003C248A" w:rsidRPr="00045EA9" w:rsidRDefault="003C248A"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14 “Notikumi pēc bilances datuma”</w:t>
            </w:r>
          </w:p>
        </w:tc>
        <w:tc>
          <w:tcPr>
            <w:tcW w:w="2977" w:type="dxa"/>
            <w:tcBorders>
              <w:top w:val="single" w:sz="4" w:space="0" w:color="17365D"/>
              <w:bottom w:val="single" w:sz="4" w:space="0" w:color="17365D"/>
            </w:tcBorders>
            <w:shd w:val="clear" w:color="auto" w:fill="auto"/>
            <w:noWrap/>
            <w:vAlign w:val="center"/>
          </w:tcPr>
          <w:p w14:paraId="53299787" w14:textId="0E66B5F9" w:rsidR="003C248A" w:rsidRPr="00045EA9" w:rsidRDefault="003C248A"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3F87EC38" w14:textId="77777777" w:rsidTr="009C5215">
        <w:trPr>
          <w:trHeight w:val="266"/>
        </w:trPr>
        <w:tc>
          <w:tcPr>
            <w:tcW w:w="6379" w:type="dxa"/>
            <w:tcBorders>
              <w:top w:val="single" w:sz="4" w:space="0" w:color="17365D"/>
              <w:bottom w:val="single" w:sz="4" w:space="0" w:color="17365D"/>
            </w:tcBorders>
            <w:vAlign w:val="center"/>
          </w:tcPr>
          <w:p w14:paraId="6B495C69" w14:textId="062A1F14"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16 “Ieguldījuma īpašumi”</w:t>
            </w:r>
          </w:p>
        </w:tc>
        <w:tc>
          <w:tcPr>
            <w:tcW w:w="2977" w:type="dxa"/>
            <w:tcBorders>
              <w:top w:val="single" w:sz="4" w:space="0" w:color="17365D"/>
              <w:bottom w:val="single" w:sz="4" w:space="0" w:color="17365D"/>
            </w:tcBorders>
            <w:noWrap/>
            <w:vAlign w:val="center"/>
          </w:tcPr>
          <w:p w14:paraId="786B1816" w14:textId="18F6F9DD"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3266E31B" w14:textId="77777777" w:rsidTr="009C5215">
        <w:trPr>
          <w:trHeight w:val="266"/>
        </w:trPr>
        <w:tc>
          <w:tcPr>
            <w:tcW w:w="6379" w:type="dxa"/>
            <w:tcBorders>
              <w:top w:val="single" w:sz="4" w:space="0" w:color="17365D"/>
            </w:tcBorders>
            <w:vAlign w:val="center"/>
          </w:tcPr>
          <w:p w14:paraId="27B5EB72" w14:textId="55DC6495"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lastRenderedPageBreak/>
              <w:t>SPSGS 17 “Pamatlīdzekļi”</w:t>
            </w:r>
          </w:p>
        </w:tc>
        <w:tc>
          <w:tcPr>
            <w:tcW w:w="2977" w:type="dxa"/>
            <w:tcBorders>
              <w:top w:val="single" w:sz="4" w:space="0" w:color="17365D"/>
            </w:tcBorders>
            <w:noWrap/>
            <w:vAlign w:val="center"/>
          </w:tcPr>
          <w:p w14:paraId="09162A71" w14:textId="030B850B"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43B9941A" w14:textId="77777777" w:rsidTr="007C0999">
        <w:trPr>
          <w:trHeight w:val="266"/>
        </w:trPr>
        <w:tc>
          <w:tcPr>
            <w:tcW w:w="6379" w:type="dxa"/>
            <w:vAlign w:val="center"/>
          </w:tcPr>
          <w:p w14:paraId="0A7883F6" w14:textId="6BFBB376"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18 “Informācijas sniegšana pa segmentiem”</w:t>
            </w:r>
          </w:p>
        </w:tc>
        <w:tc>
          <w:tcPr>
            <w:tcW w:w="2977" w:type="dxa"/>
            <w:noWrap/>
            <w:vAlign w:val="center"/>
          </w:tcPr>
          <w:p w14:paraId="4C6B1962" w14:textId="3220A61D"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Nav plānots ieviest</w:t>
            </w:r>
          </w:p>
        </w:tc>
      </w:tr>
      <w:tr w:rsidR="00045EA9" w:rsidRPr="00A27896" w14:paraId="48955FD3" w14:textId="77777777" w:rsidTr="007C0999">
        <w:trPr>
          <w:trHeight w:val="266"/>
        </w:trPr>
        <w:tc>
          <w:tcPr>
            <w:tcW w:w="6379" w:type="dxa"/>
            <w:vAlign w:val="center"/>
          </w:tcPr>
          <w:p w14:paraId="41737892" w14:textId="299174D6"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19 “Uzkrājumi, iespējamās saistības un iespējamie aktīvi”</w:t>
            </w:r>
          </w:p>
        </w:tc>
        <w:tc>
          <w:tcPr>
            <w:tcW w:w="2977" w:type="dxa"/>
            <w:noWrap/>
            <w:vAlign w:val="center"/>
          </w:tcPr>
          <w:p w14:paraId="05E54BB0" w14:textId="4C3C0876"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1D34BBF8" w14:textId="77777777" w:rsidTr="007C0999">
        <w:trPr>
          <w:trHeight w:val="266"/>
        </w:trPr>
        <w:tc>
          <w:tcPr>
            <w:tcW w:w="6379" w:type="dxa"/>
            <w:vAlign w:val="center"/>
          </w:tcPr>
          <w:p w14:paraId="258A0708" w14:textId="361D8516"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20 “Informācijas uzrādīšana par saistītajām pusēm”</w:t>
            </w:r>
          </w:p>
        </w:tc>
        <w:tc>
          <w:tcPr>
            <w:tcW w:w="2977" w:type="dxa"/>
            <w:noWrap/>
            <w:vAlign w:val="center"/>
          </w:tcPr>
          <w:p w14:paraId="3B3C8E88" w14:textId="25877E40"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Nav plānots ieviest</w:t>
            </w:r>
          </w:p>
        </w:tc>
      </w:tr>
      <w:tr w:rsidR="00045EA9" w:rsidRPr="00A27896" w14:paraId="6DF2903E" w14:textId="77777777" w:rsidTr="007C0999">
        <w:trPr>
          <w:trHeight w:val="266"/>
        </w:trPr>
        <w:tc>
          <w:tcPr>
            <w:tcW w:w="6379" w:type="dxa"/>
            <w:vAlign w:val="center"/>
          </w:tcPr>
          <w:p w14:paraId="0B1BD44A" w14:textId="5A032E3F"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21 “Naudas līdzekļus neienesošu aktīvu vērtības samazināšanās”</w:t>
            </w:r>
          </w:p>
        </w:tc>
        <w:tc>
          <w:tcPr>
            <w:tcW w:w="2977" w:type="dxa"/>
            <w:noWrap/>
            <w:vAlign w:val="center"/>
          </w:tcPr>
          <w:p w14:paraId="45ABE164" w14:textId="47120E4A"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4EB75B67" w14:textId="77777777" w:rsidTr="007C0999">
        <w:trPr>
          <w:trHeight w:val="266"/>
        </w:trPr>
        <w:tc>
          <w:tcPr>
            <w:tcW w:w="6379" w:type="dxa"/>
            <w:vAlign w:val="center"/>
          </w:tcPr>
          <w:p w14:paraId="0D948F57" w14:textId="1ABAF9D6"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22 “Finanšu informācijas uzrādīšana par vispārējās valdības sektoru”</w:t>
            </w:r>
          </w:p>
        </w:tc>
        <w:tc>
          <w:tcPr>
            <w:tcW w:w="2977" w:type="dxa"/>
            <w:noWrap/>
            <w:vAlign w:val="center"/>
          </w:tcPr>
          <w:p w14:paraId="174BB6FA" w14:textId="120F4F20"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Nav plānots ieviest</w:t>
            </w:r>
          </w:p>
        </w:tc>
      </w:tr>
      <w:tr w:rsidR="00045EA9" w:rsidRPr="00A27896" w14:paraId="7FE4E8C9" w14:textId="77777777" w:rsidTr="007C0999">
        <w:trPr>
          <w:trHeight w:val="266"/>
        </w:trPr>
        <w:tc>
          <w:tcPr>
            <w:tcW w:w="6379" w:type="dxa"/>
            <w:vAlign w:val="center"/>
          </w:tcPr>
          <w:p w14:paraId="6B3A5C4D" w14:textId="705B43EE"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23 “Ieņēmumi no darījumiem bez apmaiņas (nodokļi un pārvedumi)”</w:t>
            </w:r>
          </w:p>
        </w:tc>
        <w:tc>
          <w:tcPr>
            <w:tcW w:w="2977" w:type="dxa"/>
            <w:noWrap/>
            <w:vAlign w:val="center"/>
          </w:tcPr>
          <w:p w14:paraId="38F3E6AA" w14:textId="784A0256"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7FA3FECB" w14:textId="77777777" w:rsidTr="007C0999">
        <w:trPr>
          <w:trHeight w:val="266"/>
        </w:trPr>
        <w:tc>
          <w:tcPr>
            <w:tcW w:w="6379" w:type="dxa"/>
            <w:vAlign w:val="center"/>
          </w:tcPr>
          <w:p w14:paraId="0BC36FD8" w14:textId="4A488744"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24 “Budžeta informācijas sniegšana finanšu pārskatos”</w:t>
            </w:r>
          </w:p>
        </w:tc>
        <w:tc>
          <w:tcPr>
            <w:tcW w:w="2977" w:type="dxa"/>
            <w:noWrap/>
            <w:vAlign w:val="center"/>
          </w:tcPr>
          <w:p w14:paraId="63A658A8" w14:textId="5B7A1671"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7602FD9F" w14:textId="77777777" w:rsidTr="007C0999">
        <w:trPr>
          <w:trHeight w:val="266"/>
        </w:trPr>
        <w:tc>
          <w:tcPr>
            <w:tcW w:w="6379" w:type="dxa"/>
            <w:vAlign w:val="center"/>
          </w:tcPr>
          <w:p w14:paraId="5172A2D0" w14:textId="75BBC59D"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25 “Darbinieku labumi”</w:t>
            </w:r>
          </w:p>
        </w:tc>
        <w:tc>
          <w:tcPr>
            <w:tcW w:w="2977" w:type="dxa"/>
            <w:noWrap/>
            <w:vAlign w:val="center"/>
          </w:tcPr>
          <w:p w14:paraId="35DCE326" w14:textId="3F990CB3"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0B561330" w14:textId="77777777" w:rsidTr="007C0999">
        <w:trPr>
          <w:trHeight w:val="266"/>
        </w:trPr>
        <w:tc>
          <w:tcPr>
            <w:tcW w:w="6379" w:type="dxa"/>
            <w:vAlign w:val="center"/>
          </w:tcPr>
          <w:p w14:paraId="6BC8AE47" w14:textId="6D8901D2"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26 “Naudas līdzekļus ienesošu aktīvu vērtības samazināšanās”</w:t>
            </w:r>
          </w:p>
        </w:tc>
        <w:tc>
          <w:tcPr>
            <w:tcW w:w="2977" w:type="dxa"/>
            <w:noWrap/>
            <w:vAlign w:val="center"/>
          </w:tcPr>
          <w:p w14:paraId="0CD2BAD4" w14:textId="3C17CA7A"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537C3795" w14:textId="77777777" w:rsidTr="007C0999">
        <w:trPr>
          <w:trHeight w:val="266"/>
        </w:trPr>
        <w:tc>
          <w:tcPr>
            <w:tcW w:w="6379" w:type="dxa"/>
            <w:vAlign w:val="center"/>
          </w:tcPr>
          <w:p w14:paraId="002AC673" w14:textId="77BF8774"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27 “Lauksaimniecība”</w:t>
            </w:r>
          </w:p>
        </w:tc>
        <w:tc>
          <w:tcPr>
            <w:tcW w:w="2977" w:type="dxa"/>
            <w:noWrap/>
            <w:vAlign w:val="center"/>
          </w:tcPr>
          <w:p w14:paraId="040BCB20" w14:textId="09BC64E1"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70C0F990" w14:textId="77777777" w:rsidTr="007C0999">
        <w:trPr>
          <w:trHeight w:val="266"/>
        </w:trPr>
        <w:tc>
          <w:tcPr>
            <w:tcW w:w="6379" w:type="dxa"/>
            <w:vAlign w:val="center"/>
          </w:tcPr>
          <w:p w14:paraId="5F6D36BD" w14:textId="1B76C968"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28 “Finanšu instrumenti: informācijas sniegšana”</w:t>
            </w:r>
          </w:p>
        </w:tc>
        <w:tc>
          <w:tcPr>
            <w:tcW w:w="2977" w:type="dxa"/>
            <w:noWrap/>
            <w:vAlign w:val="center"/>
          </w:tcPr>
          <w:p w14:paraId="7BD9E206" w14:textId="37196111"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25543663" w14:textId="77777777" w:rsidTr="007C0999">
        <w:trPr>
          <w:trHeight w:val="266"/>
        </w:trPr>
        <w:tc>
          <w:tcPr>
            <w:tcW w:w="6379" w:type="dxa"/>
            <w:vAlign w:val="center"/>
          </w:tcPr>
          <w:p w14:paraId="3023432C" w14:textId="63AD8B30"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29 “Finanšu instrumenti: atzīšana un novērtēšana”</w:t>
            </w:r>
          </w:p>
        </w:tc>
        <w:tc>
          <w:tcPr>
            <w:tcW w:w="2977" w:type="dxa"/>
            <w:noWrap/>
            <w:vAlign w:val="center"/>
          </w:tcPr>
          <w:p w14:paraId="53D4C9F2" w14:textId="13C18B41"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5D25C67E" w14:textId="77777777" w:rsidTr="007C0999">
        <w:trPr>
          <w:trHeight w:val="266"/>
        </w:trPr>
        <w:tc>
          <w:tcPr>
            <w:tcW w:w="6379" w:type="dxa"/>
            <w:vAlign w:val="center"/>
          </w:tcPr>
          <w:p w14:paraId="2AB735E7" w14:textId="0307F5CA"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30 “Finanšu instrumenti: informācijas uzrādīšana”</w:t>
            </w:r>
          </w:p>
        </w:tc>
        <w:tc>
          <w:tcPr>
            <w:tcW w:w="2977" w:type="dxa"/>
            <w:noWrap/>
            <w:vAlign w:val="center"/>
          </w:tcPr>
          <w:p w14:paraId="519BB2C3" w14:textId="636CEA32"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7EC8E58F" w14:textId="77777777" w:rsidTr="007C0999">
        <w:trPr>
          <w:trHeight w:val="266"/>
        </w:trPr>
        <w:tc>
          <w:tcPr>
            <w:tcW w:w="6379" w:type="dxa"/>
            <w:vAlign w:val="center"/>
          </w:tcPr>
          <w:p w14:paraId="0D3CBFF2" w14:textId="646179A0"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31 “Nemateriālie aktīvi”</w:t>
            </w:r>
          </w:p>
        </w:tc>
        <w:tc>
          <w:tcPr>
            <w:tcW w:w="2977" w:type="dxa"/>
            <w:noWrap/>
            <w:vAlign w:val="center"/>
          </w:tcPr>
          <w:p w14:paraId="6E9C572A" w14:textId="0A83CA77"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061D7350" w14:textId="77777777" w:rsidTr="007C0999">
        <w:trPr>
          <w:trHeight w:val="266"/>
        </w:trPr>
        <w:tc>
          <w:tcPr>
            <w:tcW w:w="6379" w:type="dxa"/>
            <w:vAlign w:val="center"/>
          </w:tcPr>
          <w:p w14:paraId="7C1B902A" w14:textId="7CFAFAD0" w:rsidR="00045EA9" w:rsidRPr="00045EA9" w:rsidRDefault="00045EA9" w:rsidP="00045EA9">
            <w:pPr>
              <w:pStyle w:val="Pamatteksts1"/>
              <w:spacing w:after="0"/>
              <w:ind w:left="599" w:firstLine="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SPSGS 32 “Vienošanās par pakalpojumu koncesiju: Koncesijas devējs”</w:t>
            </w:r>
          </w:p>
        </w:tc>
        <w:tc>
          <w:tcPr>
            <w:tcW w:w="2977" w:type="dxa"/>
            <w:noWrap/>
            <w:vAlign w:val="center"/>
          </w:tcPr>
          <w:p w14:paraId="487686C8" w14:textId="4374F79F" w:rsidR="00045EA9" w:rsidRPr="00045EA9" w:rsidRDefault="00045EA9" w:rsidP="00045EA9">
            <w:pPr>
              <w:pStyle w:val="Pamatteksts1"/>
              <w:spacing w:after="0"/>
              <w:jc w:val="left"/>
              <w:rPr>
                <w:rFonts w:eastAsiaTheme="minorHAnsi"/>
                <w:noProof w:val="0"/>
                <w:color w:val="17365D"/>
                <w:sz w:val="20"/>
                <w:szCs w:val="22"/>
                <w:lang w:eastAsia="en-US"/>
              </w:rPr>
            </w:pPr>
            <w:r w:rsidRPr="00045EA9">
              <w:rPr>
                <w:rFonts w:eastAsiaTheme="minorHAnsi"/>
                <w:noProof w:val="0"/>
                <w:color w:val="17365D"/>
                <w:sz w:val="20"/>
                <w:szCs w:val="22"/>
                <w:lang w:eastAsia="en-US"/>
              </w:rPr>
              <w:t>Atbilst</w:t>
            </w:r>
          </w:p>
        </w:tc>
      </w:tr>
      <w:tr w:rsidR="00045EA9" w:rsidRPr="00A27896" w14:paraId="1A15E1C4" w14:textId="77777777" w:rsidTr="003E0991">
        <w:trPr>
          <w:trHeight w:val="50"/>
        </w:trPr>
        <w:tc>
          <w:tcPr>
            <w:tcW w:w="6379" w:type="dxa"/>
            <w:tcBorders>
              <w:top w:val="single" w:sz="4" w:space="0" w:color="17365D"/>
            </w:tcBorders>
            <w:shd w:val="clear" w:color="000000" w:fill="B9CDE5"/>
            <w:noWrap/>
            <w:vAlign w:val="center"/>
            <w:hideMark/>
          </w:tcPr>
          <w:p w14:paraId="4ADA00CA" w14:textId="77777777" w:rsidR="00045EA9" w:rsidRPr="00A27896" w:rsidRDefault="00045EA9" w:rsidP="00045EA9">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977" w:type="dxa"/>
            <w:tcBorders>
              <w:top w:val="single" w:sz="4" w:space="0" w:color="17365D"/>
            </w:tcBorders>
            <w:shd w:val="clear" w:color="000000" w:fill="B9CDE5"/>
            <w:noWrap/>
            <w:vAlign w:val="center"/>
            <w:hideMark/>
          </w:tcPr>
          <w:p w14:paraId="285D3062" w14:textId="77777777" w:rsidR="00045EA9" w:rsidRPr="00A27896" w:rsidRDefault="00045EA9" w:rsidP="00045EA9">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664A5A7A" w14:textId="77777777" w:rsidR="008C0961" w:rsidRPr="00A27896" w:rsidRDefault="008C0961" w:rsidP="007C6DFF">
      <w:pPr>
        <w:pStyle w:val="Pamatteksts1"/>
        <w:spacing w:before="120"/>
        <w:ind w:firstLine="284"/>
        <w:rPr>
          <w:rFonts w:eastAsiaTheme="minorHAnsi"/>
          <w:noProof w:val="0"/>
          <w:color w:val="17365D"/>
          <w:szCs w:val="22"/>
          <w:lang w:eastAsia="en-US"/>
        </w:rPr>
      </w:pPr>
    </w:p>
    <w:p w14:paraId="5D824028" w14:textId="2D86DADE" w:rsidR="00954F0C" w:rsidRPr="00A27896" w:rsidRDefault="00954F0C" w:rsidP="006D7BEC">
      <w:pPr>
        <w:pStyle w:val="Pamatteksts1"/>
        <w:ind w:firstLine="284"/>
        <w:rPr>
          <w:rFonts w:eastAsiaTheme="minorHAnsi"/>
          <w:noProof w:val="0"/>
          <w:color w:val="17365D"/>
          <w:szCs w:val="22"/>
          <w:lang w:eastAsia="en-US"/>
        </w:rPr>
      </w:pPr>
      <w:r w:rsidRPr="00A27896">
        <w:rPr>
          <w:rFonts w:eastAsiaTheme="minorHAnsi"/>
          <w:noProof w:val="0"/>
          <w:color w:val="17365D"/>
          <w:szCs w:val="22"/>
          <w:lang w:eastAsia="en-US"/>
        </w:rPr>
        <w:t>Atbilstoši Likumam par budžetu un finanšu vadību 20</w:t>
      </w:r>
      <w:r w:rsidR="00640280" w:rsidRPr="00A27896">
        <w:rPr>
          <w:rFonts w:eastAsiaTheme="minorHAnsi"/>
          <w:noProof w:val="0"/>
          <w:color w:val="17365D"/>
          <w:szCs w:val="22"/>
          <w:lang w:eastAsia="en-US"/>
        </w:rPr>
        <w:t>2</w:t>
      </w:r>
      <w:r w:rsidR="000465A1">
        <w:rPr>
          <w:rFonts w:eastAsiaTheme="minorHAnsi"/>
          <w:noProof w:val="0"/>
          <w:color w:val="17365D"/>
          <w:szCs w:val="22"/>
          <w:lang w:eastAsia="en-US"/>
        </w:rPr>
        <w:t>3</w:t>
      </w:r>
      <w:r w:rsidRPr="00A27896">
        <w:rPr>
          <w:rFonts w:eastAsiaTheme="minorHAnsi"/>
          <w:noProof w:val="0"/>
          <w:color w:val="17365D"/>
          <w:szCs w:val="22"/>
          <w:lang w:eastAsia="en-US"/>
        </w:rPr>
        <w:t xml:space="preserve">. gada finanšu pārskatā ir apkopoti </w:t>
      </w:r>
      <w:r w:rsidR="0044706E" w:rsidRPr="000A1710">
        <w:rPr>
          <w:rFonts w:eastAsiaTheme="minorHAnsi"/>
          <w:color w:val="17365D"/>
          <w:szCs w:val="22"/>
          <w:lang w:eastAsia="en-US"/>
        </w:rPr>
        <w:t>1</w:t>
      </w:r>
      <w:r w:rsidR="0044706E" w:rsidRPr="0044706E">
        <w:rPr>
          <w:rFonts w:eastAsiaTheme="minorHAnsi"/>
          <w:color w:val="17365D"/>
          <w:szCs w:val="22"/>
          <w:lang w:eastAsia="en-US"/>
        </w:rPr>
        <w:t>4</w:t>
      </w:r>
      <w:r w:rsidR="0044706E" w:rsidRPr="00A27896">
        <w:rPr>
          <w:rFonts w:eastAsiaTheme="minorHAnsi"/>
          <w:noProof w:val="0"/>
          <w:color w:val="17365D"/>
          <w:szCs w:val="22"/>
          <w:lang w:eastAsia="en-US"/>
        </w:rPr>
        <w:t> </w:t>
      </w:r>
      <w:r w:rsidRPr="00A27896">
        <w:rPr>
          <w:rFonts w:eastAsiaTheme="minorHAnsi"/>
          <w:noProof w:val="0"/>
          <w:color w:val="17365D"/>
          <w:szCs w:val="22"/>
          <w:lang w:eastAsia="en-US"/>
        </w:rPr>
        <w:t xml:space="preserve">ministriju, </w:t>
      </w:r>
      <w:r w:rsidR="00683457" w:rsidRPr="000A1710">
        <w:rPr>
          <w:rFonts w:eastAsiaTheme="minorHAnsi"/>
          <w:color w:val="17365D"/>
          <w:szCs w:val="22"/>
          <w:lang w:eastAsia="en-US"/>
        </w:rPr>
        <w:t>1</w:t>
      </w:r>
      <w:r w:rsidR="00366AB5">
        <w:rPr>
          <w:rFonts w:eastAsiaTheme="minorHAnsi"/>
          <w:color w:val="17365D"/>
          <w:szCs w:val="22"/>
          <w:lang w:eastAsia="en-US"/>
        </w:rPr>
        <w:t>4</w:t>
      </w:r>
      <w:r w:rsidR="00683457" w:rsidRPr="00A27896">
        <w:rPr>
          <w:rFonts w:eastAsiaTheme="minorHAnsi"/>
          <w:noProof w:val="0"/>
          <w:color w:val="17365D"/>
          <w:szCs w:val="22"/>
          <w:lang w:eastAsia="en-US"/>
        </w:rPr>
        <w:t xml:space="preserve"> </w:t>
      </w:r>
      <w:r w:rsidRPr="00A27896">
        <w:rPr>
          <w:rFonts w:eastAsiaTheme="minorHAnsi"/>
          <w:noProof w:val="0"/>
          <w:color w:val="17365D"/>
          <w:szCs w:val="22"/>
          <w:lang w:eastAsia="en-US"/>
        </w:rPr>
        <w:t xml:space="preserve">centrālo valsts iestāžu un </w:t>
      </w:r>
      <w:r w:rsidR="00DE0029" w:rsidRPr="000A1710">
        <w:rPr>
          <w:rFonts w:eastAsiaTheme="minorHAnsi"/>
          <w:noProof w:val="0"/>
          <w:color w:val="17365D"/>
          <w:szCs w:val="22"/>
          <w:lang w:eastAsia="en-US"/>
        </w:rPr>
        <w:t>4</w:t>
      </w:r>
      <w:r w:rsidR="001F12AE" w:rsidRPr="000A1710">
        <w:rPr>
          <w:rFonts w:eastAsiaTheme="minorHAnsi"/>
          <w:noProof w:val="0"/>
          <w:color w:val="17365D"/>
          <w:szCs w:val="22"/>
          <w:lang w:eastAsia="en-US"/>
        </w:rPr>
        <w:t>3</w:t>
      </w:r>
      <w:r w:rsidR="00DE0029" w:rsidRPr="00A27896">
        <w:rPr>
          <w:rFonts w:eastAsiaTheme="minorHAnsi"/>
          <w:noProof w:val="0"/>
          <w:color w:val="17365D"/>
          <w:szCs w:val="22"/>
          <w:lang w:eastAsia="en-US"/>
        </w:rPr>
        <w:t xml:space="preserve"> </w:t>
      </w:r>
      <w:r w:rsidRPr="00A27896">
        <w:rPr>
          <w:rFonts w:eastAsiaTheme="minorHAnsi"/>
          <w:noProof w:val="0"/>
          <w:color w:val="17365D"/>
          <w:szCs w:val="22"/>
          <w:lang w:eastAsia="en-US"/>
        </w:rPr>
        <w:t>pašvaldību 20</w:t>
      </w:r>
      <w:r w:rsidR="00640280" w:rsidRPr="00A27896">
        <w:rPr>
          <w:rFonts w:eastAsiaTheme="minorHAnsi"/>
          <w:noProof w:val="0"/>
          <w:color w:val="17365D"/>
          <w:szCs w:val="22"/>
          <w:lang w:eastAsia="en-US"/>
        </w:rPr>
        <w:t>2</w:t>
      </w:r>
      <w:r w:rsidR="000465A1">
        <w:rPr>
          <w:rFonts w:eastAsiaTheme="minorHAnsi"/>
          <w:noProof w:val="0"/>
          <w:color w:val="17365D"/>
          <w:szCs w:val="22"/>
          <w:lang w:eastAsia="en-US"/>
        </w:rPr>
        <w:t>3</w:t>
      </w:r>
      <w:r w:rsidRPr="00A27896">
        <w:rPr>
          <w:rFonts w:eastAsiaTheme="minorHAnsi"/>
          <w:noProof w:val="0"/>
          <w:color w:val="17365D"/>
          <w:szCs w:val="22"/>
          <w:lang w:eastAsia="en-US"/>
        </w:rPr>
        <w:t>. gada konsolidētie gada pārskati</w:t>
      </w:r>
      <w:r w:rsidR="005A1903" w:rsidRPr="00A27896">
        <w:rPr>
          <w:rFonts w:eastAsiaTheme="minorHAnsi"/>
          <w:noProof w:val="0"/>
          <w:color w:val="17365D"/>
          <w:szCs w:val="22"/>
          <w:lang w:eastAsia="en-US"/>
        </w:rPr>
        <w:t xml:space="preserve"> </w:t>
      </w:r>
      <w:r w:rsidR="005A1903" w:rsidRPr="00A27896">
        <w:rPr>
          <w:color w:val="17365D"/>
        </w:rPr>
        <w:t>un divi ikgadējie pārskati</w:t>
      </w:r>
      <w:r w:rsidRPr="00A27896">
        <w:rPr>
          <w:rFonts w:eastAsiaTheme="minorHAnsi"/>
          <w:noProof w:val="0"/>
          <w:color w:val="17365D"/>
          <w:szCs w:val="22"/>
          <w:lang w:eastAsia="en-US"/>
        </w:rPr>
        <w:t>.</w:t>
      </w:r>
    </w:p>
    <w:p w14:paraId="68E42F12" w14:textId="77777777" w:rsidR="00954F0C" w:rsidRPr="00A27896" w:rsidRDefault="00954F0C" w:rsidP="006D7BEC">
      <w:pPr>
        <w:pStyle w:val="Pamatteksts1"/>
        <w:ind w:firstLine="284"/>
        <w:contextualSpacing/>
        <w:rPr>
          <w:rFonts w:eastAsiaTheme="minorHAnsi"/>
          <w:noProof w:val="0"/>
          <w:color w:val="17365D"/>
          <w:szCs w:val="22"/>
          <w:lang w:eastAsia="en-US"/>
        </w:rPr>
      </w:pPr>
      <w:r w:rsidRPr="00A27896">
        <w:rPr>
          <w:rFonts w:eastAsiaTheme="minorHAnsi"/>
          <w:noProof w:val="0"/>
          <w:color w:val="17365D"/>
          <w:szCs w:val="22"/>
          <w:lang w:eastAsia="en-US"/>
        </w:rPr>
        <w:t>Finanšu pārskata sagatavošanā izmantoti šādi konsolidācijas veidi:</w:t>
      </w:r>
    </w:p>
    <w:p w14:paraId="14EEBF00"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pārskatu apvienošana, summējot visus pārskatos minētos rādītājus un veidojot pārskatu kopsavilkumus;</w:t>
      </w:r>
    </w:p>
    <w:p w14:paraId="57B79769" w14:textId="01139A9D" w:rsidR="0089409E" w:rsidRDefault="0089409E" w:rsidP="004E5915">
      <w:pPr>
        <w:pStyle w:val="tv2131"/>
        <w:numPr>
          <w:ilvl w:val="0"/>
          <w:numId w:val="10"/>
        </w:numPr>
        <w:spacing w:after="120" w:line="240" w:lineRule="auto"/>
        <w:ind w:left="851"/>
        <w:jc w:val="both"/>
        <w:rPr>
          <w:color w:val="17365D"/>
          <w:sz w:val="24"/>
          <w:szCs w:val="24"/>
        </w:rPr>
      </w:pPr>
      <w:r w:rsidRPr="0089409E">
        <w:rPr>
          <w:color w:val="17365D"/>
          <w:sz w:val="24"/>
          <w:szCs w:val="24"/>
        </w:rPr>
        <w:t>finanšu pārskatu datus koriģē</w:t>
      </w:r>
      <w:r>
        <w:rPr>
          <w:color w:val="17365D"/>
          <w:sz w:val="24"/>
          <w:szCs w:val="24"/>
        </w:rPr>
        <w:t>šana</w:t>
      </w:r>
      <w:r w:rsidRPr="0089409E">
        <w:rPr>
          <w:color w:val="17365D"/>
          <w:sz w:val="24"/>
          <w:szCs w:val="24"/>
        </w:rPr>
        <w:t xml:space="preserve">, piemērojot </w:t>
      </w:r>
      <w:r>
        <w:rPr>
          <w:color w:val="17365D"/>
          <w:sz w:val="24"/>
          <w:szCs w:val="24"/>
        </w:rPr>
        <w:t>vienādas</w:t>
      </w:r>
      <w:r w:rsidRPr="0089409E">
        <w:rPr>
          <w:color w:val="17365D"/>
          <w:sz w:val="24"/>
          <w:szCs w:val="24"/>
        </w:rPr>
        <w:t xml:space="preserve"> grāmatvedības uzskaites metodes un novērtēšanas principus</w:t>
      </w:r>
      <w:r>
        <w:rPr>
          <w:color w:val="17365D"/>
          <w:sz w:val="24"/>
          <w:szCs w:val="24"/>
        </w:rPr>
        <w:t>;</w:t>
      </w:r>
    </w:p>
    <w:p w14:paraId="26222756" w14:textId="0C328F5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savstarpējo darījumu rezultāta vai atlikumu (pēc uzkrāšanas principa) izslēgšana, kas veikta s</w:t>
      </w:r>
      <w:r w:rsidR="005B508B" w:rsidRPr="00A27896">
        <w:rPr>
          <w:color w:val="17365D"/>
          <w:sz w:val="24"/>
          <w:szCs w:val="24"/>
        </w:rPr>
        <w:t>tarp konsolidācijā iesaistītaj</w:t>
      </w:r>
      <w:r w:rsidRPr="00A27896">
        <w:rPr>
          <w:color w:val="17365D"/>
          <w:sz w:val="24"/>
          <w:szCs w:val="24"/>
        </w:rPr>
        <w:t>ām institucionālo sektoru struktūrām</w:t>
      </w:r>
      <w:r w:rsidR="0089409E">
        <w:rPr>
          <w:color w:val="17365D"/>
          <w:sz w:val="24"/>
          <w:szCs w:val="24"/>
        </w:rPr>
        <w:t>.</w:t>
      </w:r>
    </w:p>
    <w:p w14:paraId="04195611" w14:textId="7BAC7697" w:rsidR="00954F0C" w:rsidRPr="00A27896" w:rsidRDefault="00954F0C" w:rsidP="006D7BEC">
      <w:pPr>
        <w:pStyle w:val="Pamatteksts1"/>
        <w:ind w:firstLine="284"/>
        <w:rPr>
          <w:rFonts w:eastAsiaTheme="minorHAnsi"/>
          <w:noProof w:val="0"/>
          <w:color w:val="17365D"/>
          <w:szCs w:val="22"/>
          <w:lang w:eastAsia="en-US"/>
        </w:rPr>
      </w:pPr>
      <w:r w:rsidRPr="00A27896">
        <w:rPr>
          <w:rFonts w:eastAsiaTheme="minorHAnsi"/>
          <w:noProof w:val="0"/>
          <w:color w:val="17365D"/>
          <w:szCs w:val="22"/>
          <w:lang w:eastAsia="en-US"/>
        </w:rPr>
        <w:t>Finanšu pārskatā iekļauta šāda finanšu informācija:</w:t>
      </w:r>
      <w:r w:rsidR="00D50D19" w:rsidRPr="00A27896">
        <w:rPr>
          <w:rFonts w:eastAsiaTheme="minorHAnsi"/>
          <w:noProof w:val="0"/>
          <w:color w:val="17365D"/>
          <w:szCs w:val="22"/>
          <w:lang w:eastAsia="en-US"/>
        </w:rPr>
        <w:t xml:space="preserve"> </w:t>
      </w:r>
    </w:p>
    <w:p w14:paraId="5B07799B" w14:textId="0AB1AD50"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konsolidētā grāmatvedības bilance;</w:t>
      </w:r>
    </w:p>
    <w:p w14:paraId="48D10853"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konsolidētais pārskats par darbības finansiālajiem rezultātiem;</w:t>
      </w:r>
    </w:p>
    <w:p w14:paraId="163929E7"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konsolidētais pašu kapitāla izmaiņu pārskats;</w:t>
      </w:r>
    </w:p>
    <w:p w14:paraId="2A093CEA"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konsolidētais naudas plūsmas pārskats;</w:t>
      </w:r>
    </w:p>
    <w:p w14:paraId="3F72A71D"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finanšu pārskata pielikums, kurā sniegti skaidrojumi par:</w:t>
      </w:r>
    </w:p>
    <w:p w14:paraId="2C81CFAA" w14:textId="77777777" w:rsidR="00954F0C" w:rsidRPr="00A27896" w:rsidRDefault="00954F0C" w:rsidP="004E5915">
      <w:pPr>
        <w:pStyle w:val="Pamatteksts1"/>
        <w:numPr>
          <w:ilvl w:val="1"/>
          <w:numId w:val="20"/>
        </w:numPr>
        <w:ind w:left="1134" w:hanging="284"/>
        <w:rPr>
          <w:rFonts w:eastAsiaTheme="minorHAnsi"/>
          <w:noProof w:val="0"/>
          <w:color w:val="17365D"/>
          <w:szCs w:val="22"/>
          <w:lang w:eastAsia="en-US"/>
        </w:rPr>
      </w:pPr>
      <w:r w:rsidRPr="00A27896">
        <w:rPr>
          <w:rFonts w:eastAsiaTheme="minorHAnsi"/>
          <w:noProof w:val="0"/>
          <w:color w:val="17365D"/>
          <w:szCs w:val="22"/>
          <w:lang w:eastAsia="en-US"/>
        </w:rPr>
        <w:t>grāmatvedības uzskaites principiem;</w:t>
      </w:r>
    </w:p>
    <w:p w14:paraId="0B087538" w14:textId="77777777" w:rsidR="00954F0C" w:rsidRPr="00A27896" w:rsidRDefault="00954F0C" w:rsidP="004E5915">
      <w:pPr>
        <w:pStyle w:val="Pamatteksts1"/>
        <w:numPr>
          <w:ilvl w:val="1"/>
          <w:numId w:val="20"/>
        </w:numPr>
        <w:ind w:left="1134" w:hanging="284"/>
        <w:rPr>
          <w:rFonts w:eastAsiaTheme="minorHAnsi"/>
          <w:noProof w:val="0"/>
          <w:color w:val="17365D"/>
          <w:szCs w:val="22"/>
          <w:lang w:eastAsia="en-US"/>
        </w:rPr>
      </w:pPr>
      <w:r w:rsidRPr="00A27896">
        <w:rPr>
          <w:rFonts w:eastAsiaTheme="minorHAnsi"/>
          <w:noProof w:val="0"/>
          <w:color w:val="17365D"/>
          <w:szCs w:val="22"/>
          <w:lang w:eastAsia="en-US"/>
        </w:rPr>
        <w:t>pārskata sagatavošanas principiem;</w:t>
      </w:r>
    </w:p>
    <w:p w14:paraId="5E858B42" w14:textId="77777777" w:rsidR="00954F0C" w:rsidRPr="00A27896" w:rsidRDefault="00954F0C" w:rsidP="004E5915">
      <w:pPr>
        <w:pStyle w:val="Pamatteksts1"/>
        <w:numPr>
          <w:ilvl w:val="1"/>
          <w:numId w:val="20"/>
        </w:numPr>
        <w:ind w:left="1134" w:hanging="284"/>
        <w:rPr>
          <w:rFonts w:eastAsiaTheme="minorHAnsi"/>
          <w:noProof w:val="0"/>
          <w:color w:val="17365D"/>
          <w:szCs w:val="22"/>
          <w:lang w:eastAsia="en-US"/>
        </w:rPr>
      </w:pPr>
      <w:r w:rsidRPr="00A27896">
        <w:rPr>
          <w:rFonts w:eastAsiaTheme="minorHAnsi"/>
          <w:noProof w:val="0"/>
          <w:color w:val="17365D"/>
          <w:szCs w:val="22"/>
          <w:lang w:eastAsia="en-US"/>
        </w:rPr>
        <w:t>finanšu instrumentu risku pārvaldīšanu;</w:t>
      </w:r>
    </w:p>
    <w:p w14:paraId="443C395E" w14:textId="77777777" w:rsidR="00954F0C" w:rsidRPr="00A27896" w:rsidRDefault="00954F0C" w:rsidP="004E5915">
      <w:pPr>
        <w:pStyle w:val="Pamatteksts1"/>
        <w:numPr>
          <w:ilvl w:val="1"/>
          <w:numId w:val="20"/>
        </w:numPr>
        <w:ind w:left="1134" w:hanging="284"/>
        <w:rPr>
          <w:rFonts w:eastAsiaTheme="minorHAnsi"/>
          <w:noProof w:val="0"/>
          <w:color w:val="17365D"/>
          <w:szCs w:val="22"/>
          <w:lang w:eastAsia="en-US"/>
        </w:rPr>
      </w:pPr>
      <w:r w:rsidRPr="00A27896">
        <w:rPr>
          <w:rFonts w:eastAsiaTheme="minorHAnsi"/>
          <w:noProof w:val="0"/>
          <w:color w:val="17365D"/>
          <w:szCs w:val="22"/>
          <w:lang w:eastAsia="en-US"/>
        </w:rPr>
        <w:t>finanšu pārskata posteņiem.</w:t>
      </w:r>
    </w:p>
    <w:p w14:paraId="1FD30A58" w14:textId="4048C92A" w:rsidR="00DE0029" w:rsidRDefault="00DE0029" w:rsidP="006D7BEC">
      <w:pPr>
        <w:pStyle w:val="Pamatteksts1"/>
        <w:ind w:left="851" w:firstLine="0"/>
        <w:rPr>
          <w:noProof w:val="0"/>
          <w:color w:val="17365D"/>
        </w:rPr>
      </w:pPr>
    </w:p>
    <w:p w14:paraId="63DE6EE3" w14:textId="45898F41" w:rsidR="00683457" w:rsidRPr="00A27896" w:rsidRDefault="00683457" w:rsidP="004957AA">
      <w:pPr>
        <w:pStyle w:val="Heading3"/>
      </w:pPr>
      <w:r w:rsidRPr="00A27896">
        <w:lastRenderedPageBreak/>
        <w:t>Str</w:t>
      </w:r>
      <w:r w:rsidR="00B30E2D" w:rsidRPr="00A27896">
        <w:t>u</w:t>
      </w:r>
      <w:r w:rsidRPr="00A27896">
        <w:t>kturālās izmaiņas</w:t>
      </w:r>
    </w:p>
    <w:p w14:paraId="2E18144D" w14:textId="13F92A07" w:rsidR="00ED437E" w:rsidRDefault="00D24A69" w:rsidP="006D7BEC">
      <w:pPr>
        <w:pStyle w:val="Pamatteksts1"/>
        <w:ind w:firstLine="284"/>
        <w:rPr>
          <w:noProof w:val="0"/>
          <w:color w:val="17365D"/>
        </w:rPr>
      </w:pPr>
      <w:r w:rsidRPr="00E2102D">
        <w:rPr>
          <w:noProof w:val="0"/>
          <w:color w:val="17365D"/>
        </w:rPr>
        <w:t>202</w:t>
      </w:r>
      <w:r w:rsidR="00E2102D" w:rsidRPr="00E2102D">
        <w:rPr>
          <w:noProof w:val="0"/>
          <w:color w:val="17365D"/>
        </w:rPr>
        <w:t>3</w:t>
      </w:r>
      <w:r w:rsidRPr="00E2102D">
        <w:rPr>
          <w:noProof w:val="0"/>
          <w:color w:val="17365D"/>
        </w:rPr>
        <w:t>.</w:t>
      </w:r>
      <w:r w:rsidR="0057470D" w:rsidRPr="00E2102D">
        <w:rPr>
          <w:noProof w:val="0"/>
          <w:color w:val="17365D"/>
        </w:rPr>
        <w:t xml:space="preserve"> </w:t>
      </w:r>
      <w:r w:rsidRPr="00E2102D">
        <w:rPr>
          <w:noProof w:val="0"/>
          <w:color w:val="17365D"/>
        </w:rPr>
        <w:t>gadā turpinājās pašvaldību reorganizācija Administratīvi teritoriālās reformas ietvaros. Pašvaldības samazināja budžeta iestāžu skaitu, apvienojo</w:t>
      </w:r>
      <w:r w:rsidR="00C64FB7" w:rsidRPr="00E2102D">
        <w:rPr>
          <w:noProof w:val="0"/>
          <w:color w:val="17365D"/>
        </w:rPr>
        <w:t>t</w:t>
      </w:r>
      <w:r w:rsidRPr="00E2102D">
        <w:rPr>
          <w:noProof w:val="0"/>
          <w:color w:val="17365D"/>
        </w:rPr>
        <w:t xml:space="preserve"> iestādes kā vienu nodokļu maksātāju</w:t>
      </w:r>
      <w:r w:rsidR="00360EBA" w:rsidRPr="00E2102D">
        <w:rPr>
          <w:noProof w:val="0"/>
          <w:color w:val="17365D"/>
        </w:rPr>
        <w:t>, piemēram</w:t>
      </w:r>
      <w:r w:rsidR="004925EC" w:rsidRPr="00E2102D">
        <w:rPr>
          <w:noProof w:val="0"/>
          <w:color w:val="17365D"/>
        </w:rPr>
        <w:t>,</w:t>
      </w:r>
      <w:r w:rsidR="00360EBA" w:rsidRPr="00E2102D">
        <w:rPr>
          <w:noProof w:val="0"/>
          <w:color w:val="17365D"/>
        </w:rPr>
        <w:t xml:space="preserve"> reorganizētas izglītības iestādes un paga</w:t>
      </w:r>
      <w:r w:rsidR="00542F01" w:rsidRPr="00E2102D">
        <w:rPr>
          <w:noProof w:val="0"/>
          <w:color w:val="17365D"/>
        </w:rPr>
        <w:t>stu</w:t>
      </w:r>
      <w:r w:rsidR="00360EBA" w:rsidRPr="00E2102D">
        <w:rPr>
          <w:noProof w:val="0"/>
          <w:color w:val="17365D"/>
        </w:rPr>
        <w:t xml:space="preserve"> pārvaldes</w:t>
      </w:r>
      <w:r w:rsidRPr="00E2102D">
        <w:rPr>
          <w:noProof w:val="0"/>
          <w:color w:val="17365D"/>
        </w:rPr>
        <w:t>.</w:t>
      </w:r>
      <w:r w:rsidR="00542F01" w:rsidRPr="00E2102D">
        <w:rPr>
          <w:noProof w:val="0"/>
          <w:color w:val="17365D"/>
        </w:rPr>
        <w:t xml:space="preserve"> Pārskata gadā turpinājās arī pašvaldību administratīvo funkciju centralizācija.</w:t>
      </w:r>
    </w:p>
    <w:p w14:paraId="160C4164" w14:textId="19C027F8" w:rsidR="0044706E" w:rsidRPr="0044706E" w:rsidRDefault="0044706E" w:rsidP="006D7BEC">
      <w:pPr>
        <w:pStyle w:val="Pamatteksts1"/>
        <w:rPr>
          <w:color w:val="17365D"/>
        </w:rPr>
      </w:pPr>
      <w:r w:rsidRPr="0044706E">
        <w:rPr>
          <w:color w:val="17365D"/>
        </w:rPr>
        <w:t xml:space="preserve">Lai nodrošinātu valsts pārvaldes institucionālās sistēmas pilnveidošanu un darbības efektivitāti </w:t>
      </w:r>
      <w:r>
        <w:rPr>
          <w:color w:val="17365D"/>
        </w:rPr>
        <w:t xml:space="preserve">ar </w:t>
      </w:r>
      <w:r w:rsidRPr="0044706E">
        <w:rPr>
          <w:color w:val="17365D"/>
        </w:rPr>
        <w:t>Ministru kabinet</w:t>
      </w:r>
      <w:r>
        <w:rPr>
          <w:color w:val="17365D"/>
        </w:rPr>
        <w:t>a</w:t>
      </w:r>
      <w:r w:rsidRPr="0044706E">
        <w:rPr>
          <w:color w:val="17365D"/>
        </w:rPr>
        <w:t xml:space="preserve"> rīkojumu ar 2023.</w:t>
      </w:r>
      <w:r w:rsidR="00595FEE">
        <w:rPr>
          <w:color w:val="17365D"/>
        </w:rPr>
        <w:t> </w:t>
      </w:r>
      <w:r w:rsidRPr="0044706E">
        <w:rPr>
          <w:color w:val="17365D"/>
        </w:rPr>
        <w:t>gada 1.</w:t>
      </w:r>
      <w:r w:rsidR="00595FEE">
        <w:rPr>
          <w:color w:val="17365D"/>
        </w:rPr>
        <w:t> </w:t>
      </w:r>
      <w:r w:rsidRPr="0044706E">
        <w:rPr>
          <w:color w:val="17365D"/>
        </w:rPr>
        <w:t>martu likvidēt</w:t>
      </w:r>
      <w:r w:rsidR="00595FEE">
        <w:rPr>
          <w:color w:val="17365D"/>
        </w:rPr>
        <w:t>s</w:t>
      </w:r>
      <w:r w:rsidRPr="0044706E">
        <w:rPr>
          <w:color w:val="17365D"/>
        </w:rPr>
        <w:t xml:space="preserve"> Mini</w:t>
      </w:r>
      <w:r>
        <w:rPr>
          <w:color w:val="17365D"/>
        </w:rPr>
        <w:t>stru prezidenta pakļautībā esošais</w:t>
      </w:r>
      <w:r w:rsidRPr="0044706E">
        <w:rPr>
          <w:color w:val="17365D"/>
        </w:rPr>
        <w:t xml:space="preserve"> Pārresoru koordinācijas centr</w:t>
      </w:r>
      <w:r>
        <w:rPr>
          <w:color w:val="17365D"/>
        </w:rPr>
        <w:t>s</w:t>
      </w:r>
      <w:r w:rsidRPr="0044706E">
        <w:rPr>
          <w:color w:val="17365D"/>
        </w:rPr>
        <w:t xml:space="preserve"> (PKC), pievienojot to Valsts kancelejai. Valsts kanceleja </w:t>
      </w:r>
      <w:r>
        <w:rPr>
          <w:color w:val="17365D"/>
        </w:rPr>
        <w:t>ir</w:t>
      </w:r>
      <w:r w:rsidRPr="0044706E">
        <w:rPr>
          <w:color w:val="17365D"/>
        </w:rPr>
        <w:t xml:space="preserve"> PKC funkciju, pārvaldes uzdevumu, tiesību, saistību, prasību, informācijas sistēmu, mantas, finanšu līdzekļu, lietvedības un arhīva pārņēmēja.</w:t>
      </w:r>
    </w:p>
    <w:p w14:paraId="6F35636E" w14:textId="14F56B80" w:rsidR="0044706E" w:rsidRPr="0044706E" w:rsidRDefault="0044706E" w:rsidP="006D7BEC">
      <w:pPr>
        <w:pStyle w:val="Pamatteksts1"/>
        <w:rPr>
          <w:color w:val="17365D"/>
        </w:rPr>
      </w:pPr>
      <w:r w:rsidRPr="0044706E">
        <w:rPr>
          <w:color w:val="17365D"/>
        </w:rPr>
        <w:t>Pamatojoties uz Ministru kabineta 2022.</w:t>
      </w:r>
      <w:r w:rsidR="00595FEE">
        <w:rPr>
          <w:color w:val="17365D"/>
        </w:rPr>
        <w:t> gada 23. </w:t>
      </w:r>
      <w:r w:rsidRPr="0044706E">
        <w:rPr>
          <w:color w:val="17365D"/>
        </w:rPr>
        <w:t>decembra rīkojumu Nr.</w:t>
      </w:r>
      <w:r w:rsidR="00595FEE">
        <w:rPr>
          <w:color w:val="17365D"/>
        </w:rPr>
        <w:t> </w:t>
      </w:r>
      <w:r w:rsidRPr="0044706E">
        <w:rPr>
          <w:color w:val="17365D"/>
        </w:rPr>
        <w:t>968 “Par Ekonomikas ministrijas un Vides aizsardzības un reģionālās attīstības ministrijas reorganizāciju un Klimata un enerģētikas ministrijas izveidošanu” ar 2023. gada 1. janvāri reorganizēta Ekonomikas ministrija un Vides aizsardzības un reģionālās attīstības ministrija un izveidota Klimata un enerģētikas ministrija.</w:t>
      </w:r>
    </w:p>
    <w:p w14:paraId="064E9301" w14:textId="77777777" w:rsidR="00954F0C" w:rsidRPr="00A27896" w:rsidRDefault="00954F0C" w:rsidP="00FD10CC">
      <w:pPr>
        <w:pStyle w:val="Heading3"/>
      </w:pPr>
      <w:bookmarkStart w:id="0" w:name="_Toc42846488"/>
      <w:r w:rsidRPr="00A27896">
        <w:t>Naudas vienība</w:t>
      </w:r>
      <w:bookmarkEnd w:id="0"/>
    </w:p>
    <w:p w14:paraId="0F6A4A5C" w14:textId="32E922AE" w:rsidR="00954F0C" w:rsidRPr="00A27896" w:rsidRDefault="00954F0C" w:rsidP="008E6DF7">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Grāmatvedības uzskaitē par vērtības mēru lietota naudas vienība </w:t>
      </w:r>
      <w:r w:rsidRPr="00A27896">
        <w:rPr>
          <w:rFonts w:eastAsiaTheme="minorHAnsi"/>
          <w:i/>
          <w:noProof w:val="0"/>
          <w:color w:val="17365D"/>
          <w:szCs w:val="22"/>
          <w:lang w:eastAsia="en-US"/>
        </w:rPr>
        <w:t>euro</w:t>
      </w:r>
      <w:r w:rsidRPr="00A27896">
        <w:rPr>
          <w:rFonts w:eastAsiaTheme="minorHAnsi"/>
          <w:noProof w:val="0"/>
          <w:color w:val="17365D"/>
          <w:szCs w:val="22"/>
          <w:lang w:eastAsia="en-US"/>
        </w:rPr>
        <w:t xml:space="preserve">. </w:t>
      </w:r>
      <w:r w:rsidR="005C6B50">
        <w:rPr>
          <w:rFonts w:eastAsiaTheme="minorHAnsi"/>
          <w:noProof w:val="0"/>
          <w:color w:val="17365D"/>
          <w:szCs w:val="22"/>
          <w:lang w:eastAsia="en-US"/>
        </w:rPr>
        <w:t>Finanšu</w:t>
      </w:r>
      <w:r w:rsidRPr="00A27896">
        <w:rPr>
          <w:rFonts w:eastAsiaTheme="minorHAnsi"/>
          <w:noProof w:val="0"/>
          <w:color w:val="17365D"/>
          <w:szCs w:val="22"/>
          <w:lang w:eastAsia="en-US"/>
        </w:rPr>
        <w:t xml:space="preserve"> pārskat</w:t>
      </w:r>
      <w:r w:rsidR="005C6B50">
        <w:rPr>
          <w:rFonts w:eastAsiaTheme="minorHAnsi"/>
          <w:noProof w:val="0"/>
          <w:color w:val="17365D"/>
          <w:szCs w:val="22"/>
          <w:lang w:eastAsia="en-US"/>
        </w:rPr>
        <w:t xml:space="preserve">i  sagatavoti </w:t>
      </w:r>
      <w:r w:rsidR="005C6B50" w:rsidRPr="00CA5460">
        <w:rPr>
          <w:rFonts w:eastAsiaTheme="minorHAnsi"/>
          <w:noProof w:val="0"/>
          <w:color w:val="17365D"/>
          <w:szCs w:val="22"/>
          <w:lang w:eastAsia="en-US"/>
        </w:rPr>
        <w:t>tūkst</w:t>
      </w:r>
      <w:r w:rsidR="00CA5460">
        <w:rPr>
          <w:rFonts w:eastAsiaTheme="minorHAnsi"/>
          <w:noProof w:val="0"/>
          <w:color w:val="17365D"/>
          <w:szCs w:val="22"/>
          <w:lang w:eastAsia="en-US"/>
        </w:rPr>
        <w:t>ošos</w:t>
      </w:r>
      <w:r w:rsidR="005C6B50">
        <w:rPr>
          <w:rFonts w:eastAsiaTheme="minorHAnsi"/>
          <w:noProof w:val="0"/>
          <w:color w:val="17365D"/>
          <w:szCs w:val="22"/>
          <w:lang w:eastAsia="en-US"/>
        </w:rPr>
        <w:t xml:space="preserve"> </w:t>
      </w:r>
      <w:r w:rsidR="005C6B50" w:rsidRPr="005C6B50">
        <w:rPr>
          <w:rFonts w:eastAsiaTheme="minorHAnsi"/>
          <w:i/>
          <w:iCs/>
          <w:noProof w:val="0"/>
          <w:color w:val="17365D"/>
          <w:szCs w:val="22"/>
          <w:lang w:eastAsia="en-US"/>
        </w:rPr>
        <w:t>euro</w:t>
      </w:r>
      <w:r w:rsidR="005C6B50">
        <w:rPr>
          <w:rFonts w:eastAsiaTheme="minorHAnsi"/>
          <w:i/>
          <w:iCs/>
          <w:noProof w:val="0"/>
          <w:color w:val="17365D"/>
          <w:szCs w:val="22"/>
          <w:lang w:eastAsia="en-US"/>
        </w:rPr>
        <w:t xml:space="preserve">, </w:t>
      </w:r>
      <w:r w:rsidR="005C6B50">
        <w:rPr>
          <w:rFonts w:eastAsiaTheme="minorHAnsi"/>
          <w:noProof w:val="0"/>
          <w:color w:val="17365D"/>
          <w:szCs w:val="22"/>
          <w:lang w:eastAsia="en-US"/>
        </w:rPr>
        <w:t xml:space="preserve">bet </w:t>
      </w:r>
      <w:r w:rsidRPr="00A27896">
        <w:rPr>
          <w:rFonts w:eastAsiaTheme="minorHAnsi"/>
          <w:noProof w:val="0"/>
          <w:color w:val="17365D"/>
          <w:szCs w:val="22"/>
          <w:lang w:eastAsia="en-US"/>
        </w:rPr>
        <w:t xml:space="preserve">skaidrojumi sagatavoti </w:t>
      </w:r>
      <w:r w:rsidRPr="00A27896">
        <w:rPr>
          <w:rFonts w:eastAsiaTheme="minorHAnsi"/>
          <w:i/>
          <w:noProof w:val="0"/>
          <w:color w:val="17365D"/>
          <w:szCs w:val="22"/>
          <w:lang w:eastAsia="en-US"/>
        </w:rPr>
        <w:t>euro</w:t>
      </w:r>
      <w:r w:rsidRPr="00A27896">
        <w:rPr>
          <w:rFonts w:eastAsiaTheme="minorHAnsi"/>
          <w:noProof w:val="0"/>
          <w:color w:val="17365D"/>
          <w:szCs w:val="22"/>
          <w:lang w:eastAsia="en-US"/>
        </w:rPr>
        <w:t xml:space="preserve"> un uzrādītie skaitļi noapaļoti līdz veseliem skaitļiem.</w:t>
      </w:r>
    </w:p>
    <w:p w14:paraId="7BB35959" w14:textId="77777777" w:rsidR="00954F0C" w:rsidRPr="00A27896" w:rsidRDefault="00954F0C" w:rsidP="00FD10CC">
      <w:pPr>
        <w:pStyle w:val="Heading3"/>
      </w:pPr>
      <w:bookmarkStart w:id="1" w:name="_Toc42846489"/>
      <w:r w:rsidRPr="00A27896">
        <w:t>Ārvalstu valūtu pārvērtēšana</w:t>
      </w:r>
      <w:bookmarkEnd w:id="1"/>
    </w:p>
    <w:p w14:paraId="2A77B8CC" w14:textId="77777777" w:rsidR="00954F0C" w:rsidRPr="00A27896" w:rsidRDefault="00954F0C" w:rsidP="008E6DF7">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Budžeta iestādēs visi darījumi ārvalstu valūtās pārvērtēti </w:t>
      </w:r>
      <w:r w:rsidRPr="00A27896">
        <w:rPr>
          <w:rFonts w:eastAsiaTheme="minorHAnsi"/>
          <w:i/>
          <w:noProof w:val="0"/>
          <w:color w:val="17365D"/>
          <w:szCs w:val="22"/>
          <w:lang w:eastAsia="en-US"/>
        </w:rPr>
        <w:t>euro</w:t>
      </w:r>
      <w:r w:rsidRPr="00A27896">
        <w:rPr>
          <w:rFonts w:eastAsiaTheme="minorHAnsi"/>
          <w:noProof w:val="0"/>
          <w:color w:val="17365D"/>
          <w:szCs w:val="22"/>
          <w:lang w:eastAsia="en-US"/>
        </w:rPr>
        <w:t xml:space="preserve">, izmantojot Eiropas Centrālās bankas publicēto </w:t>
      </w:r>
      <w:r w:rsidRPr="00A27896">
        <w:rPr>
          <w:rFonts w:eastAsiaTheme="minorHAnsi"/>
          <w:i/>
          <w:noProof w:val="0"/>
          <w:color w:val="17365D"/>
          <w:szCs w:val="22"/>
          <w:lang w:eastAsia="en-US"/>
        </w:rPr>
        <w:t>euro</w:t>
      </w:r>
      <w:r w:rsidRPr="00A27896">
        <w:rPr>
          <w:rFonts w:eastAsiaTheme="minorHAnsi"/>
          <w:noProof w:val="0"/>
          <w:color w:val="17365D"/>
          <w:szCs w:val="22"/>
          <w:lang w:eastAsia="en-US"/>
        </w:rPr>
        <w:t xml:space="preserve"> atsauces kursus, bet, ja konkrētai ārvalstu valūtai nav Eiropas Centrālās bankas publicētā </w:t>
      </w:r>
      <w:r w:rsidRPr="00A27896">
        <w:rPr>
          <w:rFonts w:eastAsiaTheme="minorHAnsi"/>
          <w:i/>
          <w:noProof w:val="0"/>
          <w:color w:val="17365D"/>
          <w:szCs w:val="22"/>
          <w:lang w:eastAsia="en-US"/>
        </w:rPr>
        <w:t>euro</w:t>
      </w:r>
      <w:r w:rsidRPr="00A27896">
        <w:rPr>
          <w:rFonts w:eastAsiaTheme="minorHAnsi"/>
          <w:noProof w:val="0"/>
          <w:color w:val="17365D"/>
          <w:szCs w:val="22"/>
          <w:lang w:eastAsia="en-US"/>
        </w:rPr>
        <w:t xml:space="preserve"> atsauces kursa, tad izmantota pasaules finanšu tirgus atzīta finanšu informācijas sniedzēja periodiskajā izdevumā vai tā tīmekļa vietnē publicēto valūtas tirgus kursu attiecība pret </w:t>
      </w:r>
      <w:r w:rsidRPr="00A27896">
        <w:rPr>
          <w:rFonts w:eastAsiaTheme="minorHAnsi"/>
          <w:i/>
          <w:noProof w:val="0"/>
          <w:color w:val="17365D"/>
          <w:szCs w:val="22"/>
          <w:lang w:eastAsia="en-US"/>
        </w:rPr>
        <w:t>euro</w:t>
      </w:r>
      <w:r w:rsidRPr="00A27896">
        <w:rPr>
          <w:rFonts w:eastAsiaTheme="minorHAnsi"/>
          <w:noProof w:val="0"/>
          <w:color w:val="17365D"/>
          <w:szCs w:val="22"/>
          <w:lang w:eastAsia="en-US"/>
        </w:rPr>
        <w:t xml:space="preserve">, piemēram “The Financial Times” publicētie ārvalstu valūtu kursi, (turpmāk – grāmatvedībā izmantotais ārvalstu valūtas kurss), kas ir spēkā darījuma dienas sākumā. </w:t>
      </w:r>
    </w:p>
    <w:p w14:paraId="4DF9418D" w14:textId="77777777" w:rsidR="00954F0C" w:rsidRPr="00A27896" w:rsidRDefault="00954F0C" w:rsidP="008E6DF7">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Ieņēmumus vai izdevumus, kas rodas no valūtas kursa svārstībām starp ieņēmumu vai izdevumu atzīšanas dienu un naudas saņemšanas vai samaksāšanas dienu, atzīst attiecīgā pārskata perioda finanšu ieņēmumos vai izdevumos. </w:t>
      </w:r>
    </w:p>
    <w:p w14:paraId="6E549716" w14:textId="77777777" w:rsidR="00954F0C" w:rsidRPr="00A27896" w:rsidRDefault="00954F0C" w:rsidP="008E6DF7">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Monetāro posteņu – naudas līdzekļu ārvalstu valūtā, prasību un saistību, kas saņemamas vai maksājamas ārvalstu valūtā, atlikumi pārrēķināti </w:t>
      </w:r>
      <w:r w:rsidRPr="00A27896">
        <w:rPr>
          <w:rFonts w:eastAsiaTheme="minorHAnsi"/>
          <w:i/>
          <w:noProof w:val="0"/>
          <w:color w:val="17365D"/>
          <w:szCs w:val="22"/>
          <w:lang w:eastAsia="en-US"/>
        </w:rPr>
        <w:t>euro</w:t>
      </w:r>
      <w:r w:rsidRPr="00A27896">
        <w:rPr>
          <w:rFonts w:eastAsiaTheme="minorHAnsi"/>
          <w:noProof w:val="0"/>
          <w:color w:val="17365D"/>
          <w:szCs w:val="22"/>
          <w:lang w:eastAsia="en-US"/>
        </w:rPr>
        <w:t xml:space="preserve"> atbilstoši grāmatvedībā izmantotajam ārvalstu valūtas kursam, kas ir spēkā pārskata gada pēdējās darba dienas beigās. Atlikumu izmaiņas no valūtas kursa svārstībām atzītas pārskata perioda finanšu ieņēmumos vai izdevumos.</w:t>
      </w:r>
    </w:p>
    <w:p w14:paraId="3E35112B" w14:textId="18E59A34" w:rsidR="00954F0C" w:rsidRPr="00A27896" w:rsidRDefault="00CA5D9A" w:rsidP="00815152">
      <w:pPr>
        <w:pStyle w:val="Tabulasnosaukums1"/>
        <w:rPr>
          <w:rFonts w:cs="Times New Roman"/>
          <w:i/>
          <w:color w:val="17365D"/>
          <w:szCs w:val="22"/>
        </w:rPr>
      </w:pPr>
      <w:r>
        <w:rPr>
          <w:rFonts w:cs="Times New Roman"/>
          <w:i/>
          <w:color w:val="17365D"/>
          <w:szCs w:val="22"/>
        </w:rPr>
        <w:t>1.</w:t>
      </w:r>
      <w:r w:rsidR="00954F0C" w:rsidRPr="00A27896">
        <w:rPr>
          <w:rFonts w:cs="Times New Roman"/>
          <w:i/>
          <w:color w:val="17365D"/>
          <w:szCs w:val="22"/>
        </w:rPr>
        <w:t>1. tabula. Grāmatvedībā izmantotie ārvalstu valūtas kursi (euro)</w:t>
      </w:r>
    </w:p>
    <w:tbl>
      <w:tblPr>
        <w:tblW w:w="4999" w:type="pct"/>
        <w:jc w:val="center"/>
        <w:tblLook w:val="01E0" w:firstRow="1" w:lastRow="1" w:firstColumn="1" w:lastColumn="1" w:noHBand="0" w:noVBand="0"/>
      </w:tblPr>
      <w:tblGrid>
        <w:gridCol w:w="3118"/>
        <w:gridCol w:w="3118"/>
        <w:gridCol w:w="3116"/>
      </w:tblGrid>
      <w:tr w:rsidR="000C1009" w:rsidRPr="00A27896" w14:paraId="6253664F" w14:textId="77777777" w:rsidTr="00905AEC">
        <w:trPr>
          <w:jc w:val="center"/>
        </w:trPr>
        <w:tc>
          <w:tcPr>
            <w:tcW w:w="1667" w:type="pct"/>
            <w:tcBorders>
              <w:bottom w:val="single" w:sz="4" w:space="0" w:color="17365D"/>
            </w:tcBorders>
            <w:shd w:val="clear" w:color="auto" w:fill="B9CDE5"/>
            <w:vAlign w:val="center"/>
          </w:tcPr>
          <w:p w14:paraId="14E060F0" w14:textId="77777777" w:rsidR="00640280" w:rsidRPr="00A27896" w:rsidRDefault="00640280" w:rsidP="00640280">
            <w:pPr>
              <w:pStyle w:val="Pamatteksts1"/>
              <w:spacing w:after="0"/>
              <w:jc w:val="left"/>
              <w:rPr>
                <w:rFonts w:eastAsiaTheme="minorHAnsi"/>
                <w:b/>
                <w:noProof w:val="0"/>
                <w:color w:val="17365D"/>
                <w:sz w:val="20"/>
                <w:szCs w:val="22"/>
                <w:lang w:eastAsia="en-US"/>
              </w:rPr>
            </w:pPr>
            <w:r w:rsidRPr="00A27896">
              <w:rPr>
                <w:rFonts w:eastAsiaTheme="minorHAnsi"/>
                <w:b/>
                <w:noProof w:val="0"/>
                <w:color w:val="17365D"/>
                <w:sz w:val="20"/>
                <w:szCs w:val="22"/>
                <w:lang w:eastAsia="en-US"/>
              </w:rPr>
              <w:t>Valūta</w:t>
            </w:r>
          </w:p>
        </w:tc>
        <w:tc>
          <w:tcPr>
            <w:tcW w:w="1667" w:type="pct"/>
            <w:tcBorders>
              <w:bottom w:val="single" w:sz="4" w:space="0" w:color="17365D"/>
            </w:tcBorders>
            <w:shd w:val="clear" w:color="auto" w:fill="B9CDE5"/>
            <w:vAlign w:val="center"/>
          </w:tcPr>
          <w:p w14:paraId="7EF38125" w14:textId="7C0BB4D4" w:rsidR="00640280" w:rsidRPr="00A27896" w:rsidRDefault="00640280" w:rsidP="00640280">
            <w:pPr>
              <w:pStyle w:val="Pamatteksts1"/>
              <w:spacing w:after="0"/>
              <w:jc w:val="left"/>
              <w:rPr>
                <w:rFonts w:eastAsiaTheme="minorHAnsi"/>
                <w:b/>
                <w:noProof w:val="0"/>
                <w:color w:val="17365D"/>
                <w:sz w:val="20"/>
                <w:szCs w:val="22"/>
                <w:lang w:eastAsia="en-US"/>
              </w:rPr>
            </w:pPr>
            <w:r w:rsidRPr="00A27896">
              <w:rPr>
                <w:rFonts w:eastAsiaTheme="minorHAnsi"/>
                <w:b/>
                <w:noProof w:val="0"/>
                <w:color w:val="17365D"/>
                <w:sz w:val="20"/>
                <w:szCs w:val="22"/>
                <w:lang w:eastAsia="en-US"/>
              </w:rPr>
              <w:t>31.12.202</w:t>
            </w:r>
            <w:r w:rsidR="000465A1">
              <w:rPr>
                <w:rFonts w:eastAsiaTheme="minorHAnsi"/>
                <w:b/>
                <w:noProof w:val="0"/>
                <w:color w:val="17365D"/>
                <w:sz w:val="20"/>
                <w:szCs w:val="22"/>
                <w:lang w:eastAsia="en-US"/>
              </w:rPr>
              <w:t>3</w:t>
            </w:r>
            <w:r w:rsidRPr="00A27896">
              <w:rPr>
                <w:rFonts w:eastAsiaTheme="minorHAnsi"/>
                <w:b/>
                <w:noProof w:val="0"/>
                <w:color w:val="17365D"/>
                <w:sz w:val="20"/>
                <w:szCs w:val="22"/>
                <w:lang w:eastAsia="en-US"/>
              </w:rPr>
              <w:t>.</w:t>
            </w:r>
          </w:p>
        </w:tc>
        <w:tc>
          <w:tcPr>
            <w:tcW w:w="1666" w:type="pct"/>
            <w:tcBorders>
              <w:bottom w:val="single" w:sz="4" w:space="0" w:color="17365D"/>
            </w:tcBorders>
            <w:shd w:val="clear" w:color="auto" w:fill="B9CDE5"/>
            <w:vAlign w:val="center"/>
          </w:tcPr>
          <w:p w14:paraId="5EAE5DDA" w14:textId="68252565" w:rsidR="00640280" w:rsidRPr="00A27896" w:rsidRDefault="00640280" w:rsidP="00640280">
            <w:pPr>
              <w:pStyle w:val="Pamatteksts1"/>
              <w:spacing w:after="0"/>
              <w:jc w:val="left"/>
              <w:rPr>
                <w:rFonts w:eastAsiaTheme="minorHAnsi"/>
                <w:b/>
                <w:noProof w:val="0"/>
                <w:color w:val="17365D"/>
                <w:sz w:val="20"/>
                <w:szCs w:val="22"/>
                <w:lang w:eastAsia="en-US"/>
              </w:rPr>
            </w:pPr>
            <w:r w:rsidRPr="00A27896">
              <w:rPr>
                <w:rFonts w:eastAsiaTheme="minorHAnsi"/>
                <w:b/>
                <w:noProof w:val="0"/>
                <w:color w:val="17365D"/>
                <w:sz w:val="20"/>
                <w:szCs w:val="22"/>
                <w:lang w:eastAsia="en-US"/>
              </w:rPr>
              <w:t>31.12.20</w:t>
            </w:r>
            <w:r w:rsidR="00B15B87" w:rsidRPr="00A27896">
              <w:rPr>
                <w:rFonts w:eastAsiaTheme="minorHAnsi"/>
                <w:b/>
                <w:noProof w:val="0"/>
                <w:color w:val="17365D"/>
                <w:sz w:val="20"/>
                <w:szCs w:val="22"/>
                <w:lang w:eastAsia="en-US"/>
              </w:rPr>
              <w:t>2</w:t>
            </w:r>
            <w:r w:rsidR="000465A1">
              <w:rPr>
                <w:rFonts w:eastAsiaTheme="minorHAnsi"/>
                <w:b/>
                <w:noProof w:val="0"/>
                <w:color w:val="17365D"/>
                <w:sz w:val="20"/>
                <w:szCs w:val="22"/>
                <w:lang w:eastAsia="en-US"/>
              </w:rPr>
              <w:t>2</w:t>
            </w:r>
            <w:r w:rsidRPr="00A27896">
              <w:rPr>
                <w:rFonts w:eastAsiaTheme="minorHAnsi"/>
                <w:b/>
                <w:noProof w:val="0"/>
                <w:color w:val="17365D"/>
                <w:sz w:val="20"/>
                <w:szCs w:val="22"/>
                <w:lang w:eastAsia="en-US"/>
              </w:rPr>
              <w:t>.</w:t>
            </w:r>
          </w:p>
        </w:tc>
      </w:tr>
      <w:tr w:rsidR="00A27896" w:rsidRPr="00A27896" w14:paraId="6BED3699" w14:textId="77777777" w:rsidTr="00905AEC">
        <w:trPr>
          <w:trHeight w:val="58"/>
          <w:jc w:val="center"/>
        </w:trPr>
        <w:tc>
          <w:tcPr>
            <w:tcW w:w="1667" w:type="pct"/>
            <w:tcBorders>
              <w:top w:val="single" w:sz="4" w:space="0" w:color="17365D"/>
              <w:bottom w:val="single" w:sz="4" w:space="0" w:color="17365D"/>
            </w:tcBorders>
            <w:vAlign w:val="center"/>
          </w:tcPr>
          <w:p w14:paraId="3488D70A" w14:textId="77777777" w:rsidR="00AA3540" w:rsidRPr="00A27896" w:rsidRDefault="00AA3540" w:rsidP="00AA3540">
            <w:pPr>
              <w:pStyle w:val="Pamatteksts1"/>
              <w:spacing w:after="0"/>
              <w:rPr>
                <w:rFonts w:eastAsiaTheme="minorHAnsi"/>
                <w:noProof w:val="0"/>
                <w:color w:val="17365D"/>
                <w:sz w:val="20"/>
                <w:szCs w:val="22"/>
                <w:lang w:eastAsia="en-US"/>
              </w:rPr>
            </w:pPr>
            <w:r w:rsidRPr="00A27896">
              <w:rPr>
                <w:rFonts w:eastAsiaTheme="minorHAnsi"/>
                <w:noProof w:val="0"/>
                <w:color w:val="17365D"/>
                <w:sz w:val="20"/>
                <w:szCs w:val="22"/>
                <w:lang w:eastAsia="en-US"/>
              </w:rPr>
              <w:t>USD</w:t>
            </w:r>
          </w:p>
        </w:tc>
        <w:tc>
          <w:tcPr>
            <w:tcW w:w="1667" w:type="pct"/>
            <w:tcBorders>
              <w:top w:val="single" w:sz="4" w:space="0" w:color="17365D"/>
              <w:bottom w:val="single" w:sz="4" w:space="0" w:color="17365D"/>
            </w:tcBorders>
            <w:vAlign w:val="center"/>
          </w:tcPr>
          <w:p w14:paraId="00AE7B85" w14:textId="7418819C" w:rsidR="00AA3540" w:rsidRPr="00A27896" w:rsidRDefault="00AA3540" w:rsidP="00AA3540">
            <w:pPr>
              <w:pStyle w:val="Pamatteksts1"/>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1.</w:t>
            </w:r>
            <w:r w:rsidR="00C0732F">
              <w:rPr>
                <w:rFonts w:eastAsiaTheme="minorHAnsi"/>
                <w:noProof w:val="0"/>
                <w:color w:val="17365D"/>
                <w:sz w:val="20"/>
                <w:szCs w:val="22"/>
                <w:lang w:eastAsia="en-US"/>
              </w:rPr>
              <w:t>10500</w:t>
            </w:r>
          </w:p>
        </w:tc>
        <w:tc>
          <w:tcPr>
            <w:tcW w:w="1666" w:type="pct"/>
            <w:tcBorders>
              <w:top w:val="single" w:sz="4" w:space="0" w:color="17365D"/>
              <w:bottom w:val="single" w:sz="4" w:space="0" w:color="17365D"/>
            </w:tcBorders>
            <w:vAlign w:val="center"/>
          </w:tcPr>
          <w:p w14:paraId="40C54B79" w14:textId="6B31296B" w:rsidR="00AA3540" w:rsidRPr="00A27896" w:rsidRDefault="00AA3540" w:rsidP="00AA3540">
            <w:pPr>
              <w:pStyle w:val="Pamatteksts1"/>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1.</w:t>
            </w:r>
            <w:r w:rsidR="000465A1">
              <w:rPr>
                <w:rFonts w:eastAsiaTheme="minorHAnsi"/>
                <w:noProof w:val="0"/>
                <w:color w:val="17365D"/>
                <w:sz w:val="20"/>
                <w:szCs w:val="22"/>
                <w:lang w:eastAsia="en-US"/>
              </w:rPr>
              <w:t>0666</w:t>
            </w:r>
          </w:p>
        </w:tc>
      </w:tr>
      <w:tr w:rsidR="00A27896" w:rsidRPr="00A27896" w14:paraId="02DC9FA6" w14:textId="77777777" w:rsidTr="00905AEC">
        <w:trPr>
          <w:jc w:val="center"/>
        </w:trPr>
        <w:tc>
          <w:tcPr>
            <w:tcW w:w="1667" w:type="pct"/>
            <w:tcBorders>
              <w:top w:val="single" w:sz="4" w:space="0" w:color="17365D"/>
              <w:bottom w:val="single" w:sz="4" w:space="0" w:color="17365D"/>
            </w:tcBorders>
            <w:vAlign w:val="center"/>
          </w:tcPr>
          <w:p w14:paraId="0654887E" w14:textId="77777777" w:rsidR="00AA3540" w:rsidRPr="00A27896" w:rsidRDefault="00AA3540" w:rsidP="00AA3540">
            <w:pPr>
              <w:pStyle w:val="Pamatteksts1"/>
              <w:spacing w:after="0"/>
              <w:rPr>
                <w:rFonts w:eastAsiaTheme="minorHAnsi"/>
                <w:noProof w:val="0"/>
                <w:color w:val="17365D"/>
                <w:sz w:val="20"/>
                <w:szCs w:val="22"/>
                <w:lang w:eastAsia="en-US"/>
              </w:rPr>
            </w:pPr>
            <w:r w:rsidRPr="00A27896">
              <w:rPr>
                <w:rFonts w:eastAsiaTheme="minorHAnsi"/>
                <w:noProof w:val="0"/>
                <w:color w:val="17365D"/>
                <w:sz w:val="20"/>
                <w:szCs w:val="22"/>
                <w:lang w:eastAsia="en-US"/>
              </w:rPr>
              <w:t>CHF</w:t>
            </w:r>
          </w:p>
        </w:tc>
        <w:tc>
          <w:tcPr>
            <w:tcW w:w="1667" w:type="pct"/>
            <w:tcBorders>
              <w:top w:val="single" w:sz="4" w:space="0" w:color="17365D"/>
              <w:bottom w:val="single" w:sz="4" w:space="0" w:color="17365D"/>
            </w:tcBorders>
            <w:vAlign w:val="center"/>
          </w:tcPr>
          <w:p w14:paraId="7404F574" w14:textId="0D002098" w:rsidR="00AA3540" w:rsidRPr="00A27896" w:rsidRDefault="00191E54" w:rsidP="00C0732F">
            <w:pPr>
              <w:pStyle w:val="Pamatteksts1"/>
              <w:spacing w:after="0"/>
              <w:jc w:val="left"/>
              <w:rPr>
                <w:rFonts w:eastAsiaTheme="minorHAnsi"/>
                <w:noProof w:val="0"/>
                <w:color w:val="17365D"/>
                <w:sz w:val="20"/>
                <w:szCs w:val="22"/>
                <w:lang w:eastAsia="en-US"/>
              </w:rPr>
            </w:pPr>
            <w:r>
              <w:rPr>
                <w:rFonts w:eastAsiaTheme="minorHAnsi"/>
                <w:noProof w:val="0"/>
                <w:color w:val="17365D"/>
                <w:sz w:val="20"/>
                <w:szCs w:val="22"/>
                <w:lang w:eastAsia="en-US"/>
              </w:rPr>
              <w:t>0</w:t>
            </w:r>
            <w:r w:rsidR="00AA3540" w:rsidRPr="00A27896">
              <w:rPr>
                <w:rFonts w:eastAsiaTheme="minorHAnsi"/>
                <w:noProof w:val="0"/>
                <w:color w:val="17365D"/>
                <w:sz w:val="20"/>
                <w:szCs w:val="22"/>
                <w:lang w:eastAsia="en-US"/>
              </w:rPr>
              <w:t>.</w:t>
            </w:r>
            <w:r w:rsidR="00C0732F">
              <w:rPr>
                <w:rFonts w:eastAsiaTheme="minorHAnsi"/>
                <w:noProof w:val="0"/>
                <w:color w:val="17365D"/>
                <w:sz w:val="20"/>
                <w:szCs w:val="22"/>
                <w:lang w:eastAsia="en-US"/>
              </w:rPr>
              <w:t>926</w:t>
            </w:r>
          </w:p>
        </w:tc>
        <w:tc>
          <w:tcPr>
            <w:tcW w:w="1666" w:type="pct"/>
            <w:tcBorders>
              <w:top w:val="single" w:sz="4" w:space="0" w:color="17365D"/>
              <w:bottom w:val="single" w:sz="4" w:space="0" w:color="17365D"/>
            </w:tcBorders>
            <w:vAlign w:val="center"/>
          </w:tcPr>
          <w:p w14:paraId="7D495F5E" w14:textId="58EF252F" w:rsidR="00AA3540" w:rsidRPr="00A27896" w:rsidRDefault="00191E54" w:rsidP="00AA3540">
            <w:pPr>
              <w:pStyle w:val="Pamatteksts1"/>
              <w:spacing w:after="0"/>
              <w:jc w:val="left"/>
              <w:rPr>
                <w:rFonts w:eastAsiaTheme="minorHAnsi"/>
                <w:noProof w:val="0"/>
                <w:color w:val="17365D"/>
                <w:sz w:val="20"/>
                <w:szCs w:val="22"/>
                <w:lang w:eastAsia="en-US"/>
              </w:rPr>
            </w:pPr>
            <w:r>
              <w:rPr>
                <w:rFonts w:eastAsiaTheme="minorHAnsi"/>
                <w:noProof w:val="0"/>
                <w:color w:val="17365D"/>
                <w:sz w:val="20"/>
                <w:szCs w:val="22"/>
                <w:lang w:eastAsia="en-US"/>
              </w:rPr>
              <w:t>0</w:t>
            </w:r>
            <w:r w:rsidR="00AA3540" w:rsidRPr="00A27896">
              <w:rPr>
                <w:rFonts w:eastAsiaTheme="minorHAnsi"/>
                <w:noProof w:val="0"/>
                <w:color w:val="17365D"/>
                <w:sz w:val="20"/>
                <w:szCs w:val="22"/>
                <w:lang w:eastAsia="en-US"/>
              </w:rPr>
              <w:t>.</w:t>
            </w:r>
            <w:r w:rsidR="000465A1" w:rsidRPr="00A27896">
              <w:rPr>
                <w:rFonts w:eastAsiaTheme="minorHAnsi"/>
                <w:noProof w:val="0"/>
                <w:color w:val="17365D"/>
                <w:sz w:val="20"/>
                <w:szCs w:val="22"/>
                <w:lang w:eastAsia="en-US"/>
              </w:rPr>
              <w:t>9847</w:t>
            </w:r>
          </w:p>
        </w:tc>
      </w:tr>
      <w:tr w:rsidR="00A27896" w:rsidRPr="00A27896" w14:paraId="33E62AAC" w14:textId="77777777" w:rsidTr="00905AEC">
        <w:trPr>
          <w:jc w:val="center"/>
        </w:trPr>
        <w:tc>
          <w:tcPr>
            <w:tcW w:w="1667" w:type="pct"/>
            <w:tcBorders>
              <w:top w:val="single" w:sz="4" w:space="0" w:color="17365D"/>
              <w:bottom w:val="single" w:sz="4" w:space="0" w:color="17365D"/>
            </w:tcBorders>
            <w:vAlign w:val="center"/>
          </w:tcPr>
          <w:p w14:paraId="64E55894" w14:textId="77777777" w:rsidR="00AA3540" w:rsidRPr="00A27896" w:rsidRDefault="00AA3540" w:rsidP="00AA3540">
            <w:pPr>
              <w:pStyle w:val="Pamatteksts1"/>
              <w:spacing w:after="0"/>
              <w:rPr>
                <w:rFonts w:eastAsiaTheme="minorHAnsi"/>
                <w:noProof w:val="0"/>
                <w:color w:val="17365D"/>
                <w:sz w:val="20"/>
                <w:szCs w:val="22"/>
                <w:lang w:eastAsia="en-US"/>
              </w:rPr>
            </w:pPr>
            <w:r w:rsidRPr="00A27896">
              <w:rPr>
                <w:rFonts w:eastAsiaTheme="minorHAnsi"/>
                <w:noProof w:val="0"/>
                <w:color w:val="17365D"/>
                <w:sz w:val="20"/>
                <w:szCs w:val="22"/>
                <w:lang w:eastAsia="en-US"/>
              </w:rPr>
              <w:t>GBP</w:t>
            </w:r>
          </w:p>
        </w:tc>
        <w:tc>
          <w:tcPr>
            <w:tcW w:w="1667" w:type="pct"/>
            <w:tcBorders>
              <w:top w:val="single" w:sz="4" w:space="0" w:color="17365D"/>
              <w:bottom w:val="single" w:sz="4" w:space="0" w:color="17365D"/>
            </w:tcBorders>
            <w:vAlign w:val="center"/>
          </w:tcPr>
          <w:p w14:paraId="4D84053A" w14:textId="3E489D46" w:rsidR="00AA3540" w:rsidRPr="00A27896" w:rsidRDefault="00AA3540" w:rsidP="00C0732F">
            <w:pPr>
              <w:pStyle w:val="Pamatteksts1"/>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0.</w:t>
            </w:r>
            <w:r w:rsidR="00C0732F">
              <w:rPr>
                <w:rFonts w:eastAsiaTheme="minorHAnsi"/>
                <w:noProof w:val="0"/>
                <w:color w:val="17365D"/>
                <w:sz w:val="20"/>
                <w:szCs w:val="22"/>
                <w:lang w:eastAsia="en-US"/>
              </w:rPr>
              <w:t>86905</w:t>
            </w:r>
          </w:p>
        </w:tc>
        <w:tc>
          <w:tcPr>
            <w:tcW w:w="1666" w:type="pct"/>
            <w:tcBorders>
              <w:top w:val="single" w:sz="4" w:space="0" w:color="17365D"/>
              <w:bottom w:val="single" w:sz="4" w:space="0" w:color="17365D"/>
            </w:tcBorders>
            <w:vAlign w:val="center"/>
          </w:tcPr>
          <w:p w14:paraId="5CC95C48" w14:textId="02C65123" w:rsidR="00AA3540" w:rsidRPr="00A27896" w:rsidRDefault="00AA3540" w:rsidP="00AA3540">
            <w:pPr>
              <w:pStyle w:val="Pamatteksts1"/>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0.</w:t>
            </w:r>
            <w:r w:rsidR="000465A1" w:rsidRPr="00A27896">
              <w:rPr>
                <w:rFonts w:eastAsiaTheme="minorHAnsi"/>
                <w:noProof w:val="0"/>
                <w:color w:val="17365D"/>
                <w:sz w:val="20"/>
                <w:szCs w:val="22"/>
                <w:lang w:eastAsia="en-US"/>
              </w:rPr>
              <w:t>88693</w:t>
            </w:r>
          </w:p>
        </w:tc>
      </w:tr>
      <w:tr w:rsidR="00A27896" w:rsidRPr="00A27896" w14:paraId="2EA2763F" w14:textId="77777777" w:rsidTr="00905AEC">
        <w:trPr>
          <w:jc w:val="center"/>
        </w:trPr>
        <w:tc>
          <w:tcPr>
            <w:tcW w:w="1667" w:type="pct"/>
            <w:tcBorders>
              <w:top w:val="single" w:sz="4" w:space="0" w:color="17365D"/>
              <w:bottom w:val="single" w:sz="4" w:space="0" w:color="17365D"/>
            </w:tcBorders>
            <w:vAlign w:val="center"/>
          </w:tcPr>
          <w:p w14:paraId="1FFFCD45" w14:textId="77777777" w:rsidR="00AA3540" w:rsidRPr="00A27896" w:rsidRDefault="00AA3540" w:rsidP="00AA3540">
            <w:pPr>
              <w:pStyle w:val="Pamatteksts1"/>
              <w:spacing w:after="0"/>
              <w:rPr>
                <w:rFonts w:eastAsiaTheme="minorHAnsi"/>
                <w:noProof w:val="0"/>
                <w:color w:val="17365D"/>
                <w:sz w:val="20"/>
                <w:szCs w:val="22"/>
                <w:lang w:eastAsia="en-US"/>
              </w:rPr>
            </w:pPr>
            <w:r w:rsidRPr="00A27896">
              <w:rPr>
                <w:rFonts w:eastAsiaTheme="minorHAnsi"/>
                <w:noProof w:val="0"/>
                <w:color w:val="17365D"/>
                <w:sz w:val="20"/>
                <w:szCs w:val="22"/>
                <w:lang w:eastAsia="en-US"/>
              </w:rPr>
              <w:t>DKK</w:t>
            </w:r>
          </w:p>
        </w:tc>
        <w:tc>
          <w:tcPr>
            <w:tcW w:w="1667" w:type="pct"/>
            <w:tcBorders>
              <w:top w:val="single" w:sz="4" w:space="0" w:color="17365D"/>
              <w:bottom w:val="single" w:sz="4" w:space="0" w:color="17365D"/>
            </w:tcBorders>
            <w:vAlign w:val="center"/>
          </w:tcPr>
          <w:p w14:paraId="3372A02A" w14:textId="21948624" w:rsidR="00AA3540" w:rsidRPr="00A27896" w:rsidRDefault="00AA3540" w:rsidP="00AA3540">
            <w:pPr>
              <w:pStyle w:val="Pamatteksts1"/>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7.</w:t>
            </w:r>
            <w:r w:rsidR="00C0732F">
              <w:rPr>
                <w:rFonts w:eastAsiaTheme="minorHAnsi"/>
                <w:noProof w:val="0"/>
                <w:color w:val="17365D"/>
                <w:sz w:val="20"/>
                <w:szCs w:val="22"/>
                <w:lang w:eastAsia="en-US"/>
              </w:rPr>
              <w:t>4529</w:t>
            </w:r>
          </w:p>
        </w:tc>
        <w:tc>
          <w:tcPr>
            <w:tcW w:w="1666" w:type="pct"/>
            <w:tcBorders>
              <w:top w:val="single" w:sz="4" w:space="0" w:color="17365D"/>
              <w:bottom w:val="single" w:sz="4" w:space="0" w:color="17365D"/>
            </w:tcBorders>
            <w:vAlign w:val="center"/>
          </w:tcPr>
          <w:p w14:paraId="4F774BC4" w14:textId="59EAD2FB" w:rsidR="00AA3540" w:rsidRPr="00A27896" w:rsidRDefault="00AA3540" w:rsidP="00AA3540">
            <w:pPr>
              <w:pStyle w:val="Pamatteksts1"/>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7.</w:t>
            </w:r>
            <w:r w:rsidR="000465A1" w:rsidRPr="00A27896">
              <w:rPr>
                <w:rFonts w:eastAsiaTheme="minorHAnsi"/>
                <w:noProof w:val="0"/>
                <w:color w:val="17365D"/>
                <w:sz w:val="20"/>
                <w:szCs w:val="22"/>
                <w:lang w:eastAsia="en-US"/>
              </w:rPr>
              <w:t>4365</w:t>
            </w:r>
          </w:p>
        </w:tc>
      </w:tr>
      <w:tr w:rsidR="00A27896" w:rsidRPr="00A27896" w14:paraId="01108BD4" w14:textId="77777777" w:rsidTr="00905AEC">
        <w:trPr>
          <w:jc w:val="center"/>
        </w:trPr>
        <w:tc>
          <w:tcPr>
            <w:tcW w:w="1667" w:type="pct"/>
            <w:tcBorders>
              <w:top w:val="single" w:sz="4" w:space="0" w:color="17365D"/>
              <w:bottom w:val="single" w:sz="4" w:space="0" w:color="17365D"/>
            </w:tcBorders>
            <w:vAlign w:val="center"/>
          </w:tcPr>
          <w:p w14:paraId="299F12C6" w14:textId="77777777" w:rsidR="00AA3540" w:rsidRPr="00A27896" w:rsidRDefault="00AA3540" w:rsidP="00AA3540">
            <w:pPr>
              <w:pStyle w:val="Pamatteksts1"/>
              <w:spacing w:after="0"/>
              <w:rPr>
                <w:rFonts w:eastAsiaTheme="minorHAnsi"/>
                <w:noProof w:val="0"/>
                <w:color w:val="17365D"/>
                <w:sz w:val="20"/>
                <w:szCs w:val="22"/>
                <w:lang w:eastAsia="en-US"/>
              </w:rPr>
            </w:pPr>
            <w:r w:rsidRPr="00A27896">
              <w:rPr>
                <w:rFonts w:eastAsiaTheme="minorHAnsi"/>
                <w:noProof w:val="0"/>
                <w:color w:val="17365D"/>
                <w:sz w:val="20"/>
                <w:szCs w:val="22"/>
                <w:lang w:eastAsia="en-US"/>
              </w:rPr>
              <w:t>SEK</w:t>
            </w:r>
          </w:p>
        </w:tc>
        <w:tc>
          <w:tcPr>
            <w:tcW w:w="1667" w:type="pct"/>
            <w:tcBorders>
              <w:top w:val="single" w:sz="4" w:space="0" w:color="17365D"/>
              <w:bottom w:val="single" w:sz="4" w:space="0" w:color="17365D"/>
            </w:tcBorders>
            <w:vAlign w:val="center"/>
          </w:tcPr>
          <w:p w14:paraId="569FFF22" w14:textId="21938101" w:rsidR="00AA3540" w:rsidRPr="00A27896" w:rsidRDefault="005D330D" w:rsidP="00AA3540">
            <w:pPr>
              <w:pStyle w:val="Pamatteksts1"/>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11.</w:t>
            </w:r>
            <w:r w:rsidR="00822D19">
              <w:rPr>
                <w:rFonts w:eastAsiaTheme="minorHAnsi"/>
                <w:noProof w:val="0"/>
                <w:color w:val="17365D"/>
                <w:sz w:val="20"/>
                <w:szCs w:val="22"/>
                <w:lang w:eastAsia="en-US"/>
              </w:rPr>
              <w:t>096</w:t>
            </w:r>
          </w:p>
        </w:tc>
        <w:tc>
          <w:tcPr>
            <w:tcW w:w="1666" w:type="pct"/>
            <w:tcBorders>
              <w:top w:val="single" w:sz="4" w:space="0" w:color="17365D"/>
              <w:bottom w:val="single" w:sz="4" w:space="0" w:color="17365D"/>
            </w:tcBorders>
            <w:vAlign w:val="center"/>
          </w:tcPr>
          <w:p w14:paraId="530BA6F3" w14:textId="32C8C12E" w:rsidR="00AA3540" w:rsidRPr="00A27896" w:rsidRDefault="000465A1" w:rsidP="00AA3540">
            <w:pPr>
              <w:pStyle w:val="Pamatteksts1"/>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11.1218</w:t>
            </w:r>
          </w:p>
        </w:tc>
      </w:tr>
      <w:tr w:rsidR="00A27896" w:rsidRPr="00A27896" w14:paraId="215C8C27" w14:textId="77777777" w:rsidTr="00905AEC">
        <w:trPr>
          <w:jc w:val="center"/>
        </w:trPr>
        <w:tc>
          <w:tcPr>
            <w:tcW w:w="1667" w:type="pct"/>
            <w:tcBorders>
              <w:top w:val="single" w:sz="4" w:space="0" w:color="17365D"/>
              <w:bottom w:val="single" w:sz="4" w:space="0" w:color="17365D"/>
            </w:tcBorders>
            <w:vAlign w:val="center"/>
          </w:tcPr>
          <w:p w14:paraId="72D0E56E" w14:textId="77777777" w:rsidR="00AA3540" w:rsidRPr="00A27896" w:rsidRDefault="00AA3540" w:rsidP="00AA3540">
            <w:pPr>
              <w:pStyle w:val="Pamatteksts1"/>
              <w:spacing w:after="0"/>
              <w:rPr>
                <w:rFonts w:eastAsiaTheme="minorHAnsi"/>
                <w:noProof w:val="0"/>
                <w:color w:val="17365D"/>
                <w:sz w:val="20"/>
                <w:szCs w:val="22"/>
                <w:lang w:eastAsia="en-US"/>
              </w:rPr>
            </w:pPr>
            <w:r w:rsidRPr="00A27896">
              <w:rPr>
                <w:rFonts w:eastAsiaTheme="minorHAnsi"/>
                <w:noProof w:val="0"/>
                <w:color w:val="17365D"/>
                <w:sz w:val="20"/>
                <w:szCs w:val="22"/>
                <w:lang w:eastAsia="en-US"/>
              </w:rPr>
              <w:t>XDR</w:t>
            </w:r>
          </w:p>
        </w:tc>
        <w:tc>
          <w:tcPr>
            <w:tcW w:w="1667" w:type="pct"/>
            <w:tcBorders>
              <w:top w:val="single" w:sz="4" w:space="0" w:color="17365D"/>
              <w:bottom w:val="single" w:sz="4" w:space="0" w:color="17365D"/>
            </w:tcBorders>
            <w:vAlign w:val="center"/>
          </w:tcPr>
          <w:p w14:paraId="52FEAD9D" w14:textId="5AA7D5EE" w:rsidR="00AA3540" w:rsidRPr="00A27896" w:rsidRDefault="00AA3540" w:rsidP="00AA3540">
            <w:pPr>
              <w:pStyle w:val="Pamatteksts1"/>
              <w:spacing w:after="0"/>
              <w:jc w:val="left"/>
              <w:rPr>
                <w:rFonts w:eastAsiaTheme="minorHAnsi"/>
                <w:noProof w:val="0"/>
                <w:color w:val="17365D"/>
                <w:sz w:val="20"/>
                <w:szCs w:val="22"/>
                <w:highlight w:val="yellow"/>
                <w:lang w:eastAsia="en-US"/>
              </w:rPr>
            </w:pPr>
            <w:r w:rsidRPr="00A27896">
              <w:rPr>
                <w:rFonts w:eastAsiaTheme="minorHAnsi"/>
                <w:noProof w:val="0"/>
                <w:color w:val="17365D"/>
                <w:sz w:val="20"/>
                <w:szCs w:val="22"/>
                <w:lang w:eastAsia="en-US"/>
              </w:rPr>
              <w:t>0.</w:t>
            </w:r>
            <w:r w:rsidR="005C0C7F">
              <w:rPr>
                <w:rFonts w:eastAsiaTheme="minorHAnsi"/>
                <w:noProof w:val="0"/>
                <w:color w:val="17365D"/>
                <w:sz w:val="20"/>
                <w:szCs w:val="22"/>
                <w:lang w:eastAsia="en-US"/>
              </w:rPr>
              <w:t>820766</w:t>
            </w:r>
            <w:r w:rsidRPr="00A27896" w:rsidDel="00384D96">
              <w:rPr>
                <w:rFonts w:eastAsiaTheme="minorHAnsi"/>
                <w:noProof w:val="0"/>
                <w:color w:val="17365D"/>
                <w:sz w:val="20"/>
                <w:szCs w:val="22"/>
                <w:lang w:eastAsia="en-US"/>
              </w:rPr>
              <w:t xml:space="preserve"> </w:t>
            </w:r>
          </w:p>
        </w:tc>
        <w:tc>
          <w:tcPr>
            <w:tcW w:w="1666" w:type="pct"/>
            <w:tcBorders>
              <w:top w:val="single" w:sz="4" w:space="0" w:color="17365D"/>
              <w:bottom w:val="single" w:sz="4" w:space="0" w:color="17365D"/>
            </w:tcBorders>
            <w:vAlign w:val="center"/>
          </w:tcPr>
          <w:p w14:paraId="0F5740C5" w14:textId="73C6EB97" w:rsidR="00AA3540" w:rsidRPr="00A27896" w:rsidRDefault="00AA3540" w:rsidP="00AA3540">
            <w:pPr>
              <w:pStyle w:val="Pamatteksts1"/>
              <w:spacing w:after="0"/>
              <w:jc w:val="left"/>
              <w:rPr>
                <w:rFonts w:eastAsiaTheme="minorHAnsi"/>
                <w:noProof w:val="0"/>
                <w:color w:val="17365D"/>
                <w:sz w:val="20"/>
                <w:szCs w:val="22"/>
                <w:lang w:eastAsia="en-US"/>
              </w:rPr>
            </w:pPr>
            <w:r w:rsidRPr="00A27896">
              <w:rPr>
                <w:rFonts w:eastAsiaTheme="minorHAnsi"/>
                <w:noProof w:val="0"/>
                <w:color w:val="17365D"/>
                <w:sz w:val="20"/>
                <w:szCs w:val="22"/>
                <w:lang w:eastAsia="en-US"/>
              </w:rPr>
              <w:t>0.</w:t>
            </w:r>
            <w:r w:rsidR="000465A1" w:rsidRPr="00A27896">
              <w:rPr>
                <w:rFonts w:eastAsiaTheme="minorHAnsi"/>
                <w:noProof w:val="0"/>
                <w:color w:val="17365D"/>
                <w:sz w:val="20"/>
                <w:szCs w:val="22"/>
                <w:lang w:eastAsia="en-US"/>
              </w:rPr>
              <w:t>801601</w:t>
            </w:r>
            <w:r w:rsidRPr="00A27896" w:rsidDel="00384D96">
              <w:rPr>
                <w:rFonts w:eastAsiaTheme="minorHAnsi"/>
                <w:noProof w:val="0"/>
                <w:color w:val="17365D"/>
                <w:sz w:val="20"/>
                <w:szCs w:val="22"/>
                <w:lang w:eastAsia="en-US"/>
              </w:rPr>
              <w:t xml:space="preserve"> </w:t>
            </w:r>
          </w:p>
        </w:tc>
      </w:tr>
      <w:tr w:rsidR="000C1009" w:rsidRPr="00A27896" w14:paraId="5A9D14C5" w14:textId="77777777" w:rsidTr="00905AEC">
        <w:trPr>
          <w:trHeight w:val="58"/>
          <w:jc w:val="center"/>
        </w:trPr>
        <w:tc>
          <w:tcPr>
            <w:tcW w:w="1667" w:type="pct"/>
            <w:tcBorders>
              <w:top w:val="single" w:sz="4" w:space="0" w:color="17365D"/>
            </w:tcBorders>
            <w:shd w:val="clear" w:color="auto" w:fill="B9CDE5"/>
          </w:tcPr>
          <w:p w14:paraId="76796BB0" w14:textId="77777777" w:rsidR="00954F0C" w:rsidRPr="00A27896" w:rsidRDefault="00954F0C" w:rsidP="00B732C5">
            <w:pPr>
              <w:pStyle w:val="Pamatteksts1"/>
              <w:spacing w:after="0"/>
              <w:jc w:val="center"/>
              <w:rPr>
                <w:rFonts w:eastAsiaTheme="minorHAnsi"/>
                <w:noProof w:val="0"/>
                <w:color w:val="17365D"/>
                <w:sz w:val="20"/>
                <w:szCs w:val="22"/>
                <w:lang w:eastAsia="en-US"/>
              </w:rPr>
            </w:pPr>
          </w:p>
        </w:tc>
        <w:tc>
          <w:tcPr>
            <w:tcW w:w="1667" w:type="pct"/>
            <w:tcBorders>
              <w:top w:val="single" w:sz="4" w:space="0" w:color="17365D"/>
            </w:tcBorders>
            <w:shd w:val="clear" w:color="auto" w:fill="B9CDE5"/>
          </w:tcPr>
          <w:p w14:paraId="2B252FA2" w14:textId="77777777" w:rsidR="00954F0C" w:rsidRPr="00A27896" w:rsidRDefault="00954F0C" w:rsidP="00815152">
            <w:pPr>
              <w:pStyle w:val="Pamatteksts1"/>
              <w:spacing w:after="0"/>
              <w:rPr>
                <w:rFonts w:eastAsiaTheme="minorHAnsi"/>
                <w:noProof w:val="0"/>
                <w:color w:val="17365D"/>
                <w:sz w:val="20"/>
                <w:szCs w:val="22"/>
                <w:lang w:eastAsia="en-US"/>
              </w:rPr>
            </w:pPr>
          </w:p>
        </w:tc>
        <w:tc>
          <w:tcPr>
            <w:tcW w:w="1666" w:type="pct"/>
            <w:tcBorders>
              <w:top w:val="single" w:sz="4" w:space="0" w:color="17365D"/>
            </w:tcBorders>
            <w:shd w:val="clear" w:color="auto" w:fill="B9CDE5"/>
          </w:tcPr>
          <w:p w14:paraId="4CA11485" w14:textId="77777777" w:rsidR="00954F0C" w:rsidRPr="00A27896" w:rsidRDefault="00954F0C" w:rsidP="00815152">
            <w:pPr>
              <w:pStyle w:val="Pamatteksts1"/>
              <w:spacing w:after="0"/>
              <w:rPr>
                <w:rFonts w:eastAsiaTheme="minorHAnsi"/>
                <w:noProof w:val="0"/>
                <w:color w:val="17365D"/>
                <w:sz w:val="20"/>
                <w:szCs w:val="22"/>
                <w:lang w:eastAsia="en-US"/>
              </w:rPr>
            </w:pPr>
          </w:p>
        </w:tc>
      </w:tr>
    </w:tbl>
    <w:p w14:paraId="2CC94D55" w14:textId="3D12CA68" w:rsidR="00E2102D" w:rsidRDefault="00E2102D" w:rsidP="00E2102D">
      <w:pPr>
        <w:pStyle w:val="Pamatteksts1"/>
      </w:pPr>
      <w:bookmarkStart w:id="2" w:name="_Toc42846490"/>
    </w:p>
    <w:p w14:paraId="14EBCCAE" w14:textId="1C635137" w:rsidR="00706C04" w:rsidRDefault="00706C04" w:rsidP="00E2102D">
      <w:pPr>
        <w:pStyle w:val="Pamatteksts1"/>
      </w:pPr>
    </w:p>
    <w:p w14:paraId="292F7EE7" w14:textId="77777777" w:rsidR="00706C04" w:rsidRDefault="00706C04" w:rsidP="00E2102D">
      <w:pPr>
        <w:pStyle w:val="Pamatteksts1"/>
      </w:pPr>
    </w:p>
    <w:p w14:paraId="5732BD54" w14:textId="12F9A6DF" w:rsidR="00954F0C" w:rsidRPr="00A27896" w:rsidRDefault="00954F0C" w:rsidP="00FD10CC">
      <w:pPr>
        <w:pStyle w:val="Heading3"/>
      </w:pPr>
      <w:r w:rsidRPr="00A27896">
        <w:lastRenderedPageBreak/>
        <w:t>Aplēšu izmantošana</w:t>
      </w:r>
      <w:bookmarkEnd w:id="2"/>
    </w:p>
    <w:p w14:paraId="509631B5" w14:textId="77777777" w:rsidR="00954F0C" w:rsidRPr="00A27896" w:rsidRDefault="00954F0C" w:rsidP="00E83900">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Sagatavojot finanšu pārskatu, ņemtas vērā aplēses un pieņēmumi, kas ietekmējuši atsevišķu posteņu atlikumus, kā arī iespējamo aktīvu un saistību novērtējumu. Iespējamie nākotnes notikumi var ietekmēt pieņēmumus, pamatojoties uz kuriem veiktas attiecīgās aplēses.</w:t>
      </w:r>
    </w:p>
    <w:p w14:paraId="2CFDBFB3" w14:textId="56F08ADA" w:rsidR="00954F0C" w:rsidRPr="00A27896" w:rsidRDefault="00954F0C" w:rsidP="00E83900">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Finanšu pārskata posteņu novērtēšanā izmantotās aplēses un pieņēmumi aprakstīti sadaļā “Grāmatvedības uzskaites principu apraksts” pie katra attiecīgā posteņa.</w:t>
      </w:r>
      <w:r w:rsidR="00560E2F" w:rsidRPr="00A27896">
        <w:rPr>
          <w:rFonts w:eastAsiaTheme="minorHAnsi"/>
          <w:noProof w:val="0"/>
          <w:color w:val="17365D"/>
          <w:szCs w:val="22"/>
          <w:lang w:eastAsia="en-US"/>
        </w:rPr>
        <w:t xml:space="preserve"> Pārskata gadā aplēšu metodes maiņa nav veikta.</w:t>
      </w:r>
    </w:p>
    <w:p w14:paraId="1DB012CA" w14:textId="2C290B83" w:rsidR="00954F0C" w:rsidRPr="00A27896" w:rsidRDefault="00954F0C" w:rsidP="00292A3B">
      <w:pPr>
        <w:pStyle w:val="Heading3"/>
        <w:tabs>
          <w:tab w:val="left" w:pos="7263"/>
        </w:tabs>
      </w:pPr>
      <w:bookmarkStart w:id="3" w:name="_Toc42846491"/>
      <w:r w:rsidRPr="00A27896">
        <w:t>Būtiskuma līmenis</w:t>
      </w:r>
      <w:bookmarkEnd w:id="3"/>
      <w:r w:rsidRPr="00A27896">
        <w:t xml:space="preserve"> </w:t>
      </w:r>
    </w:p>
    <w:p w14:paraId="06CDA448" w14:textId="1728F588" w:rsidR="00954F0C" w:rsidRPr="00A27896" w:rsidRDefault="00954F0C" w:rsidP="006D7BEC">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Finanšu pārskata pielikums sagatavots, ņemot vērā </w:t>
      </w:r>
      <w:r w:rsidR="00D057A1">
        <w:rPr>
          <w:rFonts w:eastAsiaTheme="minorHAnsi"/>
          <w:noProof w:val="0"/>
          <w:color w:val="17365D"/>
          <w:szCs w:val="22"/>
          <w:lang w:eastAsia="en-US"/>
        </w:rPr>
        <w:t>konsolidētajam s</w:t>
      </w:r>
      <w:r w:rsidRPr="00A27896">
        <w:rPr>
          <w:rFonts w:eastAsiaTheme="minorHAnsi"/>
          <w:noProof w:val="0"/>
          <w:color w:val="17365D"/>
          <w:szCs w:val="22"/>
          <w:lang w:eastAsia="en-US"/>
        </w:rPr>
        <w:t>aimnieciskā gada pārskatam noteikto būtiskuma līmeni, kā arī Valsts kases noteikto būtiskuma līmeni budžeta iestāžu 20</w:t>
      </w:r>
      <w:r w:rsidR="00640280" w:rsidRPr="00A27896">
        <w:rPr>
          <w:rFonts w:eastAsiaTheme="minorHAnsi"/>
          <w:noProof w:val="0"/>
          <w:color w:val="17365D"/>
          <w:szCs w:val="22"/>
          <w:lang w:eastAsia="en-US"/>
        </w:rPr>
        <w:t>2</w:t>
      </w:r>
      <w:r w:rsidR="00822D19">
        <w:rPr>
          <w:rFonts w:eastAsiaTheme="minorHAnsi"/>
          <w:noProof w:val="0"/>
          <w:color w:val="17365D"/>
          <w:szCs w:val="22"/>
          <w:lang w:eastAsia="en-US"/>
        </w:rPr>
        <w:t>3</w:t>
      </w:r>
      <w:r w:rsidRPr="00A27896">
        <w:rPr>
          <w:rFonts w:eastAsiaTheme="minorHAnsi"/>
          <w:noProof w:val="0"/>
          <w:color w:val="17365D"/>
          <w:szCs w:val="22"/>
          <w:lang w:eastAsia="en-US"/>
        </w:rPr>
        <w:t>. gada konsolidēto gada pārskatu</w:t>
      </w:r>
      <w:r w:rsidR="00E14669">
        <w:rPr>
          <w:rFonts w:eastAsiaTheme="minorHAnsi"/>
          <w:noProof w:val="0"/>
          <w:color w:val="17365D"/>
          <w:szCs w:val="22"/>
          <w:lang w:eastAsia="en-US"/>
        </w:rPr>
        <w:t xml:space="preserve"> vai gada pārskatu</w:t>
      </w:r>
      <w:r w:rsidRPr="00A27896">
        <w:rPr>
          <w:rFonts w:eastAsiaTheme="minorHAnsi"/>
          <w:noProof w:val="0"/>
          <w:color w:val="17365D"/>
          <w:szCs w:val="22"/>
          <w:lang w:eastAsia="en-US"/>
        </w:rPr>
        <w:t xml:space="preserve"> </w:t>
      </w:r>
      <w:r w:rsidR="00202CF6" w:rsidRPr="00A27896">
        <w:rPr>
          <w:rFonts w:eastAsiaTheme="minorHAnsi"/>
          <w:noProof w:val="0"/>
          <w:color w:val="17365D"/>
          <w:szCs w:val="22"/>
          <w:lang w:eastAsia="en-US"/>
        </w:rPr>
        <w:t xml:space="preserve">un Valsts kases un </w:t>
      </w:r>
      <w:r w:rsidR="00141376" w:rsidRPr="00A27896">
        <w:rPr>
          <w:rFonts w:eastAsiaTheme="minorHAnsi"/>
          <w:noProof w:val="0"/>
          <w:color w:val="17365D"/>
          <w:szCs w:val="22"/>
          <w:lang w:eastAsia="en-US"/>
        </w:rPr>
        <w:t>VID</w:t>
      </w:r>
      <w:r w:rsidR="00202CF6" w:rsidRPr="00A27896">
        <w:rPr>
          <w:rFonts w:eastAsiaTheme="minorHAnsi"/>
          <w:noProof w:val="0"/>
          <w:color w:val="17365D"/>
          <w:szCs w:val="22"/>
          <w:lang w:eastAsia="en-US"/>
        </w:rPr>
        <w:t xml:space="preserve"> ikgadējo pārskatu </w:t>
      </w:r>
      <w:r w:rsidRPr="00A27896">
        <w:rPr>
          <w:rFonts w:eastAsiaTheme="minorHAnsi"/>
          <w:noProof w:val="0"/>
          <w:color w:val="17365D"/>
          <w:szCs w:val="22"/>
          <w:lang w:eastAsia="en-US"/>
        </w:rPr>
        <w:t xml:space="preserve">posteņu izmaiņu skaidrojumiem, kas publicēts </w:t>
      </w:r>
      <w:hyperlink r:id="rId11" w:history="1">
        <w:r w:rsidR="00FF3900" w:rsidRPr="00A27896">
          <w:rPr>
            <w:rStyle w:val="Hyperlink"/>
            <w:rFonts w:eastAsiaTheme="minorHAnsi"/>
            <w:noProof w:val="0"/>
            <w:color w:val="17365D"/>
            <w:szCs w:val="22"/>
            <w:lang w:eastAsia="en-US"/>
          </w:rPr>
          <w:t>Valsts kases tīmekļa vietnē</w:t>
        </w:r>
      </w:hyperlink>
      <w:r w:rsidRPr="00A27896">
        <w:rPr>
          <w:rFonts w:eastAsiaTheme="minorHAnsi"/>
          <w:noProof w:val="0"/>
          <w:color w:val="17365D"/>
          <w:szCs w:val="22"/>
          <w:lang w:eastAsia="en-US"/>
        </w:rPr>
        <w:t xml:space="preserve">. </w:t>
      </w:r>
    </w:p>
    <w:p w14:paraId="1A2409EB" w14:textId="77777777" w:rsidR="00954F0C" w:rsidRPr="00A27896" w:rsidRDefault="00954F0C" w:rsidP="006D7BEC">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 xml:space="preserve">Budžeta iestādes grāmatvedības uzskaitē piemēro attiecīgās ministrijas, centrālās valsts iestādes un pašvaldības noteikto būtiskuma līmeni saskaņā ar tās vienoto grāmatvedības uzskaites kārtību, ko ievēro visas finanšu pārskatu konsolidācijā iesaistītās iestādes. </w:t>
      </w:r>
    </w:p>
    <w:p w14:paraId="739D32D7" w14:textId="71674A3C" w:rsidR="00954F0C" w:rsidRPr="00A27896" w:rsidRDefault="00954F0C" w:rsidP="00FD10CC">
      <w:pPr>
        <w:pStyle w:val="Heading3"/>
      </w:pPr>
      <w:r w:rsidRPr="00A27896">
        <w:t xml:space="preserve">Iepriekšējo periodu kļūdu labojumi </w:t>
      </w:r>
    </w:p>
    <w:p w14:paraId="70B46454" w14:textId="4F197621" w:rsidR="00954F0C" w:rsidRPr="00A27896" w:rsidRDefault="00954F0C" w:rsidP="00815152">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Būtiski iepriekšējo pārskata periodu kļūdu labojumi budžeta iestāžu grāmatvedības uzskaitē veikti, pamatojoties uz Valsts kases noteikto būtiskuma līmeni 20</w:t>
      </w:r>
      <w:r w:rsidR="00640280" w:rsidRPr="00A27896">
        <w:rPr>
          <w:rFonts w:eastAsiaTheme="minorHAnsi"/>
          <w:noProof w:val="0"/>
          <w:color w:val="17365D"/>
          <w:szCs w:val="22"/>
          <w:lang w:eastAsia="en-US"/>
        </w:rPr>
        <w:t>2</w:t>
      </w:r>
      <w:r w:rsidR="00822D19">
        <w:rPr>
          <w:rFonts w:eastAsiaTheme="minorHAnsi"/>
          <w:noProof w:val="0"/>
          <w:color w:val="17365D"/>
          <w:szCs w:val="22"/>
          <w:lang w:eastAsia="en-US"/>
        </w:rPr>
        <w:t>3</w:t>
      </w:r>
      <w:r w:rsidRPr="00A27896">
        <w:rPr>
          <w:rFonts w:eastAsiaTheme="minorHAnsi"/>
          <w:noProof w:val="0"/>
          <w:color w:val="17365D"/>
          <w:szCs w:val="22"/>
          <w:lang w:eastAsia="en-US"/>
        </w:rPr>
        <w:t>. gadam katrai budžeta iestādei,</w:t>
      </w:r>
      <w:r w:rsidR="00A319DC" w:rsidRPr="00A27896">
        <w:rPr>
          <w:rFonts w:eastAsiaTheme="minorHAnsi"/>
          <w:noProof w:val="0"/>
          <w:color w:val="17365D"/>
          <w:szCs w:val="22"/>
          <w:lang w:eastAsia="en-US"/>
        </w:rPr>
        <w:t xml:space="preserve"> tai skaitā Valsts kases valsts budžeta finanšu uzskaites nodrošināšanai un </w:t>
      </w:r>
      <w:r w:rsidR="0089663F" w:rsidRPr="00A27896">
        <w:rPr>
          <w:rFonts w:eastAsiaTheme="minorHAnsi"/>
          <w:noProof w:val="0"/>
          <w:color w:val="17365D"/>
          <w:szCs w:val="22"/>
          <w:lang w:eastAsia="en-US"/>
        </w:rPr>
        <w:t>VID</w:t>
      </w:r>
      <w:r w:rsidR="00A319DC" w:rsidRPr="00A27896">
        <w:rPr>
          <w:rFonts w:eastAsiaTheme="minorHAnsi"/>
          <w:noProof w:val="0"/>
          <w:color w:val="17365D"/>
          <w:szCs w:val="22"/>
          <w:lang w:eastAsia="en-US"/>
        </w:rPr>
        <w:t xml:space="preserve"> administrēto valsts budžeta ieņēmumu grāmatvedības uzskaites nodrošināšanai,</w:t>
      </w:r>
      <w:r w:rsidRPr="00A27896">
        <w:rPr>
          <w:rFonts w:eastAsiaTheme="minorHAnsi"/>
          <w:noProof w:val="0"/>
          <w:color w:val="17365D"/>
          <w:szCs w:val="22"/>
          <w:lang w:eastAsia="en-US"/>
        </w:rPr>
        <w:t xml:space="preserve"> </w:t>
      </w:r>
      <w:r w:rsidR="00CB303F" w:rsidRPr="00A27896">
        <w:rPr>
          <w:rFonts w:eastAsiaTheme="minorHAnsi"/>
          <w:noProof w:val="0"/>
          <w:color w:val="17365D"/>
          <w:szCs w:val="22"/>
          <w:lang w:eastAsia="en-US"/>
        </w:rPr>
        <w:t xml:space="preserve">kas publicēts </w:t>
      </w:r>
      <w:hyperlink r:id="rId12" w:history="1">
        <w:r w:rsidR="00CB303F" w:rsidRPr="00A27896">
          <w:rPr>
            <w:rStyle w:val="Hyperlink"/>
            <w:rFonts w:eastAsiaTheme="minorHAnsi"/>
            <w:noProof w:val="0"/>
            <w:color w:val="17365D"/>
            <w:szCs w:val="22"/>
            <w:lang w:eastAsia="en-US"/>
          </w:rPr>
          <w:t>Valsts kases tīmekļa vietnē</w:t>
        </w:r>
      </w:hyperlink>
      <w:r w:rsidRPr="00A27896">
        <w:rPr>
          <w:rFonts w:eastAsiaTheme="minorHAnsi"/>
          <w:noProof w:val="0"/>
          <w:color w:val="17365D"/>
          <w:szCs w:val="22"/>
          <w:lang w:eastAsia="en-US"/>
        </w:rPr>
        <w:t>.</w:t>
      </w:r>
    </w:p>
    <w:p w14:paraId="3AB3A9FA" w14:textId="594A77AF" w:rsidR="007A1E6A" w:rsidRPr="00A27896" w:rsidRDefault="007A1E6A" w:rsidP="00815152">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Konsolidētajam finanšu pārskatam būtis</w:t>
      </w:r>
      <w:r w:rsidR="000C1009" w:rsidRPr="00A27896">
        <w:rPr>
          <w:rFonts w:eastAsiaTheme="minorHAnsi"/>
          <w:noProof w:val="0"/>
          <w:color w:val="17365D"/>
          <w:szCs w:val="22"/>
          <w:lang w:eastAsia="en-US"/>
        </w:rPr>
        <w:t>k</w:t>
      </w:r>
      <w:r w:rsidRPr="00A27896">
        <w:rPr>
          <w:rFonts w:eastAsiaTheme="minorHAnsi"/>
          <w:noProof w:val="0"/>
          <w:color w:val="17365D"/>
          <w:szCs w:val="22"/>
          <w:lang w:eastAsia="en-US"/>
        </w:rPr>
        <w:t xml:space="preserve">uma līmenis kļūdu labojumiem noteikts </w:t>
      </w:r>
      <w:r w:rsidR="0009550B" w:rsidRPr="0009550B">
        <w:rPr>
          <w:rFonts w:eastAsiaTheme="minorHAnsi"/>
          <w:noProof w:val="0"/>
          <w:color w:val="17365D"/>
          <w:szCs w:val="22"/>
          <w:lang w:eastAsia="en-US"/>
        </w:rPr>
        <w:t>8</w:t>
      </w:r>
      <w:r w:rsidR="00431446" w:rsidRPr="0009550B">
        <w:rPr>
          <w:rFonts w:eastAsiaTheme="minorHAnsi"/>
          <w:noProof w:val="0"/>
          <w:color w:val="17365D"/>
          <w:szCs w:val="22"/>
          <w:lang w:eastAsia="en-US"/>
        </w:rPr>
        <w:t> </w:t>
      </w:r>
      <w:r w:rsidR="0009550B" w:rsidRPr="0009550B">
        <w:rPr>
          <w:rFonts w:eastAsiaTheme="minorHAnsi"/>
          <w:noProof w:val="0"/>
          <w:color w:val="17365D"/>
          <w:szCs w:val="22"/>
          <w:lang w:eastAsia="en-US"/>
        </w:rPr>
        <w:t>12</w:t>
      </w:r>
      <w:r w:rsidR="00431446" w:rsidRPr="0009550B">
        <w:rPr>
          <w:rFonts w:eastAsiaTheme="minorHAnsi"/>
          <w:noProof w:val="0"/>
          <w:color w:val="17365D"/>
          <w:szCs w:val="22"/>
          <w:lang w:eastAsia="en-US"/>
        </w:rPr>
        <w:t>5 000 </w:t>
      </w:r>
      <w:r w:rsidRPr="0009550B">
        <w:rPr>
          <w:rFonts w:eastAsiaTheme="minorHAnsi"/>
          <w:i/>
          <w:noProof w:val="0"/>
          <w:color w:val="17365D"/>
          <w:szCs w:val="22"/>
          <w:lang w:eastAsia="en-US"/>
        </w:rPr>
        <w:t>euro</w:t>
      </w:r>
      <w:r w:rsidRPr="0009550B">
        <w:rPr>
          <w:rFonts w:eastAsiaTheme="minorHAnsi"/>
          <w:noProof w:val="0"/>
          <w:color w:val="17365D"/>
          <w:szCs w:val="22"/>
          <w:lang w:eastAsia="en-US"/>
        </w:rPr>
        <w:t>.</w:t>
      </w:r>
    </w:p>
    <w:p w14:paraId="5379DF07" w14:textId="77777777" w:rsidR="00954F0C" w:rsidRPr="00A27896" w:rsidRDefault="00954F0C" w:rsidP="00815152">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Ja ministriju, centrālo valsts iestāžu vai pašvaldību konsolidētajos gada pārskatos finanšu pārskatu posteņu atzīšanā, novērtējumā, izklāstā vai norādīšanā ir pieļautas būtiskas kļūdas, kas nav labotas auditētajos konsolidētajos gada pārskatos, tad Valsts kase koriģē finanšu pārskatu saskaņā ar Valsts kases iekšējos dokumentos noteikto būtiskuma līmeni par ministriju, centrālo valsts iestāžu un pašvaldību sniegtajiem būtiskiem koriģējošiem notikumiem pēc bilances datuma.</w:t>
      </w:r>
    </w:p>
    <w:p w14:paraId="056DFAC5" w14:textId="2297CA7F" w:rsidR="00954F0C" w:rsidRPr="00A27896" w:rsidRDefault="00954F0C" w:rsidP="00AD1BD1">
      <w:pPr>
        <w:pStyle w:val="Pamatteksts1"/>
        <w:ind w:firstLine="284"/>
        <w:rPr>
          <w:rFonts w:eastAsiaTheme="minorHAnsi"/>
          <w:noProof w:val="0"/>
          <w:color w:val="17365D"/>
          <w:szCs w:val="22"/>
          <w:lang w:eastAsia="en-US"/>
        </w:rPr>
      </w:pPr>
      <w:r w:rsidRPr="00A27896">
        <w:rPr>
          <w:rFonts w:eastAsiaTheme="minorHAnsi"/>
          <w:noProof w:val="0"/>
          <w:color w:val="17365D"/>
          <w:szCs w:val="22"/>
          <w:lang w:eastAsia="en-US"/>
        </w:rPr>
        <w:t>Finanšu pārskatā būtisku iepriekšējo periodu kļūdu labojumi uzrādīti</w:t>
      </w:r>
      <w:r w:rsidR="00772CF8" w:rsidRPr="00A27896">
        <w:rPr>
          <w:rFonts w:eastAsiaTheme="minorHAnsi"/>
          <w:noProof w:val="0"/>
          <w:color w:val="17365D"/>
          <w:szCs w:val="22"/>
          <w:lang w:eastAsia="en-US"/>
        </w:rPr>
        <w:t>, koriģējot salīdzināmo informāciju</w:t>
      </w:r>
      <w:r w:rsidRPr="00A27896">
        <w:rPr>
          <w:rFonts w:eastAsiaTheme="minorHAnsi"/>
          <w:noProof w:val="0"/>
          <w:color w:val="17365D"/>
          <w:szCs w:val="22"/>
          <w:lang w:eastAsia="en-US"/>
        </w:rPr>
        <w:t>, korekcijas veicot:</w:t>
      </w:r>
    </w:p>
    <w:p w14:paraId="673A0845"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iepriekšējo gadu budžeta izpildes rezultātā;</w:t>
      </w:r>
    </w:p>
    <w:p w14:paraId="385C1B74"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atbilstošajā bilances aktīva vai pasīva postenī.</w:t>
      </w:r>
    </w:p>
    <w:p w14:paraId="4096098E" w14:textId="77777777" w:rsidR="00954F0C" w:rsidRPr="00A27896" w:rsidRDefault="00954F0C" w:rsidP="00815152">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Pārējie iepriekšējo pārskata periodu kļūdu labojumi veikti pārskata gada ieņēmumos vai izdevumos un atbilstošajā bilances aktīva vai pasīva postenī.</w:t>
      </w:r>
    </w:p>
    <w:p w14:paraId="3AC99F07" w14:textId="565D435E" w:rsidR="00954F0C" w:rsidRPr="00A27896" w:rsidRDefault="00954F0C" w:rsidP="00FD10CC">
      <w:pPr>
        <w:pStyle w:val="Heading3"/>
      </w:pPr>
      <w:r w:rsidRPr="00A27896">
        <w:t xml:space="preserve">Notikumi pēc bilances datuma </w:t>
      </w:r>
    </w:p>
    <w:p w14:paraId="52EE47A9" w14:textId="1AED7B7D" w:rsidR="00F048F2" w:rsidRPr="00A27896" w:rsidRDefault="00F048F2" w:rsidP="00706C04">
      <w:pPr>
        <w:spacing w:after="120" w:line="240" w:lineRule="auto"/>
        <w:ind w:firstLine="284"/>
        <w:rPr>
          <w:rFonts w:cs="Times New Roman"/>
          <w:color w:val="17365D"/>
        </w:rPr>
      </w:pPr>
      <w:r w:rsidRPr="00A27896">
        <w:rPr>
          <w:rFonts w:cs="Times New Roman"/>
          <w:color w:val="17365D"/>
        </w:rPr>
        <w:t>Finanšu pārskatā uzrādīti tādi būtiski notikumi pēc pārskata gada beigām, kas ietekmē valsts un pašvaldību budžetu finansiālo stāvokli bilances datumā (koriģējošie notikumi).</w:t>
      </w:r>
    </w:p>
    <w:p w14:paraId="63E696A6" w14:textId="77777777" w:rsidR="00954F0C" w:rsidRPr="00A27896" w:rsidRDefault="00954F0C" w:rsidP="00815152">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Finanšu pārskata posteņu skaidrojuma sadaļā “Notikumi pēc bilances datuma” sniegta informācija par būtiskiem nekoriģējošiem notikumiem pēc pārskata gada beigām, kas liecina par apstākļiem, kas radušies pēc bilances datuma, neattiecas uz pārskata gadu, bet nākotnē varētu būtiski ietekmēt finanšu pārskata rādītājus.</w:t>
      </w:r>
    </w:p>
    <w:p w14:paraId="202E469B" w14:textId="77777777" w:rsidR="00954F0C" w:rsidRPr="00A27896" w:rsidRDefault="00954F0C" w:rsidP="00FD10CC">
      <w:pPr>
        <w:pStyle w:val="Heading3"/>
      </w:pPr>
      <w:r w:rsidRPr="00A27896">
        <w:lastRenderedPageBreak/>
        <w:t>Valsts kontroles un zvērinātu revidentu atzinumi</w:t>
      </w:r>
    </w:p>
    <w:p w14:paraId="2A577C28" w14:textId="3255CF35" w:rsidR="00954F0C" w:rsidRPr="00A27896" w:rsidRDefault="00954F0C" w:rsidP="00815152">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Valsts kontrole, veicot finanšu revīziju, sniedz atzinumu par pārskata sagatavošanas pareizību un par būtisku finanšu pārskatam pakārtotu darījumu atbilstību tiesību aktiem, plānošanas dokumentiem un valstiski (starptautiski) atzītai praksei. Atzinuma par būtisku finanšu pārskatam pakārtotu darījumu atbilstību tiesību aktiem, plānošanas dokumentiem un valstiski (starptautiski) atzītai praksei uzdevums ir sniegt izvērtējumu ministrijas vai centrālās valsts iestādes vadībai, vai revīzijas laikā ir gūta pārliecība, ka valsts pārvalde ievēro tiesību aktus un ar valsts resursiem rīkojas efektīvi.</w:t>
      </w:r>
      <w:r w:rsidR="006F12AB" w:rsidRPr="00A27896">
        <w:rPr>
          <w:noProof w:val="0"/>
          <w:color w:val="17365D"/>
        </w:rPr>
        <w:t xml:space="preserve"> </w:t>
      </w:r>
    </w:p>
    <w:p w14:paraId="7942C7D2" w14:textId="0909046F" w:rsidR="00954F0C" w:rsidRPr="00E2102D" w:rsidRDefault="00954F0C" w:rsidP="00815152">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Valsts kontroles atzinumus par 20</w:t>
      </w:r>
      <w:r w:rsidR="00915646" w:rsidRPr="00A27896">
        <w:rPr>
          <w:rFonts w:eastAsiaTheme="minorHAnsi"/>
          <w:noProof w:val="0"/>
          <w:color w:val="17365D"/>
          <w:szCs w:val="22"/>
          <w:lang w:eastAsia="en-US"/>
        </w:rPr>
        <w:t>2</w:t>
      </w:r>
      <w:r w:rsidR="00822D19">
        <w:rPr>
          <w:rFonts w:eastAsiaTheme="minorHAnsi"/>
          <w:noProof w:val="0"/>
          <w:color w:val="17365D"/>
          <w:szCs w:val="22"/>
          <w:lang w:eastAsia="en-US"/>
        </w:rPr>
        <w:t>3</w:t>
      </w:r>
      <w:r w:rsidRPr="00A27896">
        <w:rPr>
          <w:rFonts w:eastAsiaTheme="minorHAnsi"/>
          <w:noProof w:val="0"/>
          <w:color w:val="17365D"/>
          <w:szCs w:val="22"/>
          <w:lang w:eastAsia="en-US"/>
        </w:rPr>
        <w:t xml:space="preserve">. gada pārskata sagatavošanas pareizību saņēmušas </w:t>
      </w:r>
      <w:r w:rsidRPr="000A1710">
        <w:rPr>
          <w:rFonts w:eastAsiaTheme="minorHAnsi"/>
          <w:noProof w:val="0"/>
          <w:color w:val="17365D"/>
          <w:szCs w:val="22"/>
          <w:lang w:eastAsia="en-US"/>
        </w:rPr>
        <w:t>1</w:t>
      </w:r>
      <w:r w:rsidR="00595FEE" w:rsidRPr="00E2102D">
        <w:rPr>
          <w:rFonts w:eastAsiaTheme="minorHAnsi"/>
          <w:noProof w:val="0"/>
          <w:color w:val="17365D"/>
          <w:szCs w:val="22"/>
          <w:lang w:eastAsia="en-US"/>
        </w:rPr>
        <w:t>4</w:t>
      </w:r>
      <w:r w:rsidRPr="00E2102D">
        <w:rPr>
          <w:rFonts w:eastAsiaTheme="minorHAnsi"/>
          <w:noProof w:val="0"/>
          <w:color w:val="17365D"/>
          <w:szCs w:val="22"/>
          <w:lang w:eastAsia="en-US"/>
        </w:rPr>
        <w:t xml:space="preserve"> ministrijas un </w:t>
      </w:r>
      <w:r w:rsidR="00BB6E03" w:rsidRPr="000A1710">
        <w:rPr>
          <w:rFonts w:eastAsiaTheme="minorHAnsi"/>
          <w:noProof w:val="0"/>
          <w:color w:val="17365D"/>
          <w:szCs w:val="22"/>
          <w:lang w:eastAsia="en-US"/>
        </w:rPr>
        <w:t>1</w:t>
      </w:r>
      <w:r w:rsidR="00595FEE" w:rsidRPr="00E2102D">
        <w:rPr>
          <w:rFonts w:eastAsiaTheme="minorHAnsi"/>
          <w:noProof w:val="0"/>
          <w:color w:val="17365D"/>
          <w:szCs w:val="22"/>
          <w:lang w:eastAsia="en-US"/>
        </w:rPr>
        <w:t>2</w:t>
      </w:r>
      <w:r w:rsidR="00BB6E03" w:rsidRPr="00E2102D">
        <w:rPr>
          <w:rFonts w:eastAsiaTheme="minorHAnsi"/>
          <w:noProof w:val="0"/>
          <w:color w:val="17365D"/>
          <w:szCs w:val="22"/>
          <w:lang w:eastAsia="en-US"/>
        </w:rPr>
        <w:t xml:space="preserve"> </w:t>
      </w:r>
      <w:r w:rsidRPr="00E2102D">
        <w:rPr>
          <w:rFonts w:eastAsiaTheme="minorHAnsi"/>
          <w:noProof w:val="0"/>
          <w:color w:val="17365D"/>
          <w:szCs w:val="22"/>
          <w:lang w:eastAsia="en-US"/>
        </w:rPr>
        <w:t>centrālās valsts iestādes. Atbilstoši tiesību aktos noteiktajam 2 centrālās valsts iestādes</w:t>
      </w:r>
      <w:r w:rsidRPr="00E2102D">
        <w:rPr>
          <w:rFonts w:eastAsiaTheme="minorHAnsi"/>
          <w:noProof w:val="0"/>
          <w:color w:val="17365D"/>
          <w:szCs w:val="22"/>
          <w:vertAlign w:val="superscript"/>
          <w:lang w:eastAsia="en-US"/>
        </w:rPr>
        <w:footnoteReference w:id="2"/>
      </w:r>
      <w:r w:rsidRPr="00E2102D">
        <w:rPr>
          <w:rFonts w:eastAsiaTheme="minorHAnsi"/>
          <w:noProof w:val="0"/>
          <w:color w:val="17365D"/>
          <w:szCs w:val="22"/>
          <w:lang w:eastAsia="en-US"/>
        </w:rPr>
        <w:t xml:space="preserve"> saņēmušas zvērinātu revidentu atzinumus. </w:t>
      </w:r>
    </w:p>
    <w:p w14:paraId="11F8B376" w14:textId="77777777" w:rsidR="00954F0C" w:rsidRPr="00E2102D" w:rsidRDefault="00954F0C" w:rsidP="006D7BEC">
      <w:pPr>
        <w:pStyle w:val="Pamatteksts1"/>
        <w:spacing w:after="0"/>
        <w:ind w:firstLine="284"/>
        <w:rPr>
          <w:rFonts w:eastAsiaTheme="minorHAnsi"/>
          <w:noProof w:val="0"/>
          <w:color w:val="17365D"/>
          <w:szCs w:val="22"/>
          <w:lang w:eastAsia="en-US"/>
        </w:rPr>
      </w:pPr>
      <w:r w:rsidRPr="00E2102D">
        <w:rPr>
          <w:rFonts w:eastAsiaTheme="minorHAnsi"/>
          <w:noProof w:val="0"/>
          <w:color w:val="17365D"/>
          <w:szCs w:val="22"/>
          <w:lang w:eastAsia="en-US"/>
        </w:rPr>
        <w:t>Valsts kontroles vai zvērinātu revidentu atzinumus saņēmušas:</w:t>
      </w:r>
    </w:p>
    <w:p w14:paraId="0D096633" w14:textId="3FA852E2" w:rsidR="00954F0C" w:rsidRPr="00E2102D" w:rsidRDefault="00954F0C" w:rsidP="004E5915">
      <w:pPr>
        <w:pStyle w:val="tv2131"/>
        <w:numPr>
          <w:ilvl w:val="0"/>
          <w:numId w:val="10"/>
        </w:numPr>
        <w:spacing w:line="240" w:lineRule="auto"/>
        <w:ind w:left="850" w:hanging="357"/>
        <w:jc w:val="both"/>
        <w:rPr>
          <w:color w:val="17365D"/>
          <w:sz w:val="24"/>
          <w:szCs w:val="24"/>
        </w:rPr>
      </w:pPr>
      <w:r w:rsidRPr="00E2102D">
        <w:rPr>
          <w:color w:val="17365D"/>
          <w:sz w:val="24"/>
          <w:szCs w:val="24"/>
        </w:rPr>
        <w:t>bez iebildēm – </w:t>
      </w:r>
      <w:r w:rsidR="00595FEE" w:rsidRPr="00E2102D">
        <w:rPr>
          <w:color w:val="17365D"/>
          <w:sz w:val="24"/>
          <w:szCs w:val="24"/>
        </w:rPr>
        <w:t>1</w:t>
      </w:r>
      <w:r w:rsidR="002265AA">
        <w:rPr>
          <w:color w:val="17365D"/>
          <w:sz w:val="24"/>
          <w:szCs w:val="24"/>
        </w:rPr>
        <w:t>3</w:t>
      </w:r>
      <w:r w:rsidR="00595FEE" w:rsidRPr="00E2102D">
        <w:rPr>
          <w:color w:val="17365D"/>
          <w:sz w:val="24"/>
          <w:szCs w:val="24"/>
        </w:rPr>
        <w:t xml:space="preserve"> </w:t>
      </w:r>
      <w:r w:rsidRPr="00E2102D">
        <w:rPr>
          <w:color w:val="17365D"/>
          <w:sz w:val="24"/>
          <w:szCs w:val="24"/>
        </w:rPr>
        <w:t xml:space="preserve">ministrijas un </w:t>
      </w:r>
      <w:r w:rsidR="00595FEE" w:rsidRPr="000A1710">
        <w:rPr>
          <w:color w:val="17365D"/>
          <w:sz w:val="24"/>
          <w:szCs w:val="24"/>
        </w:rPr>
        <w:t>1</w:t>
      </w:r>
      <w:r w:rsidR="002265AA">
        <w:rPr>
          <w:color w:val="17365D"/>
          <w:sz w:val="24"/>
          <w:szCs w:val="24"/>
        </w:rPr>
        <w:t>3</w:t>
      </w:r>
      <w:r w:rsidR="00595FEE" w:rsidRPr="00E2102D">
        <w:rPr>
          <w:color w:val="17365D"/>
          <w:sz w:val="24"/>
          <w:szCs w:val="24"/>
        </w:rPr>
        <w:t xml:space="preserve"> </w:t>
      </w:r>
      <w:r w:rsidRPr="00E2102D">
        <w:rPr>
          <w:color w:val="17365D"/>
          <w:sz w:val="24"/>
          <w:szCs w:val="24"/>
        </w:rPr>
        <w:t>centrālās valsts iestādes;</w:t>
      </w:r>
    </w:p>
    <w:p w14:paraId="3E18DB8F" w14:textId="44424939" w:rsidR="00954F0C" w:rsidRPr="00E2102D" w:rsidRDefault="00954F0C" w:rsidP="004E5915">
      <w:pPr>
        <w:pStyle w:val="tv2131"/>
        <w:numPr>
          <w:ilvl w:val="0"/>
          <w:numId w:val="10"/>
        </w:numPr>
        <w:spacing w:after="120" w:line="240" w:lineRule="auto"/>
        <w:ind w:left="851"/>
        <w:jc w:val="both"/>
        <w:rPr>
          <w:color w:val="17365D"/>
          <w:sz w:val="24"/>
          <w:szCs w:val="24"/>
        </w:rPr>
      </w:pPr>
      <w:r w:rsidRPr="00E2102D">
        <w:rPr>
          <w:color w:val="17365D"/>
          <w:sz w:val="24"/>
          <w:szCs w:val="24"/>
        </w:rPr>
        <w:t xml:space="preserve">bez iebildēm ar norādītu apstākļu akcentējumu – </w:t>
      </w:r>
      <w:r w:rsidR="002265AA">
        <w:rPr>
          <w:color w:val="17365D"/>
          <w:sz w:val="24"/>
          <w:szCs w:val="24"/>
        </w:rPr>
        <w:t>1</w:t>
      </w:r>
      <w:r w:rsidR="00B14A28" w:rsidRPr="00E2102D">
        <w:rPr>
          <w:color w:val="17365D"/>
          <w:sz w:val="24"/>
          <w:szCs w:val="24"/>
        </w:rPr>
        <w:t xml:space="preserve"> ministrija</w:t>
      </w:r>
      <w:r w:rsidR="00264F6A" w:rsidRPr="00E2102D">
        <w:rPr>
          <w:color w:val="17365D"/>
          <w:sz w:val="24"/>
          <w:szCs w:val="24"/>
        </w:rPr>
        <w:t xml:space="preserve"> un </w:t>
      </w:r>
      <w:r w:rsidR="002265AA">
        <w:rPr>
          <w:color w:val="17365D"/>
          <w:sz w:val="24"/>
          <w:szCs w:val="24"/>
        </w:rPr>
        <w:t>1</w:t>
      </w:r>
      <w:r w:rsidR="00264F6A" w:rsidRPr="00E2102D">
        <w:rPr>
          <w:color w:val="17365D"/>
          <w:sz w:val="24"/>
          <w:szCs w:val="24"/>
        </w:rPr>
        <w:t xml:space="preserve"> centrālā valsts iestāde</w:t>
      </w:r>
      <w:r w:rsidRPr="00E2102D">
        <w:rPr>
          <w:color w:val="17365D"/>
          <w:sz w:val="24"/>
          <w:szCs w:val="24"/>
          <w:vertAlign w:val="superscript"/>
        </w:rPr>
        <w:footnoteReference w:id="3"/>
      </w:r>
      <w:r w:rsidR="00264F6A" w:rsidRPr="00E2102D">
        <w:rPr>
          <w:color w:val="17365D"/>
          <w:sz w:val="24"/>
          <w:szCs w:val="24"/>
        </w:rPr>
        <w:t>.</w:t>
      </w:r>
    </w:p>
    <w:p w14:paraId="5AABE1CD" w14:textId="382A69EE" w:rsidR="00954F0C" w:rsidRPr="00E2102D" w:rsidRDefault="00954F0C" w:rsidP="004C46B4">
      <w:pPr>
        <w:pStyle w:val="Pamatteksts1"/>
        <w:spacing w:after="0"/>
        <w:ind w:firstLine="284"/>
        <w:rPr>
          <w:rFonts w:eastAsiaTheme="minorHAnsi"/>
          <w:noProof w:val="0"/>
          <w:color w:val="17365D"/>
          <w:szCs w:val="22"/>
          <w:lang w:eastAsia="en-US"/>
        </w:rPr>
      </w:pPr>
      <w:r w:rsidRPr="00E2102D">
        <w:rPr>
          <w:rFonts w:eastAsiaTheme="minorHAnsi"/>
          <w:noProof w:val="0"/>
          <w:color w:val="17365D"/>
          <w:szCs w:val="22"/>
          <w:lang w:eastAsia="en-US"/>
        </w:rPr>
        <w:t xml:space="preserve">Atbilstoši normatīvo aktu prasībām zvērinātu revidentu atzinumus par gada pārskata sagatavošanas pareizību saņēmušas </w:t>
      </w:r>
      <w:r w:rsidR="00B14A28" w:rsidRPr="000A1710">
        <w:rPr>
          <w:rFonts w:eastAsiaTheme="minorHAnsi"/>
          <w:color w:val="17365D"/>
          <w:szCs w:val="22"/>
          <w:lang w:eastAsia="en-US"/>
        </w:rPr>
        <w:t>4</w:t>
      </w:r>
      <w:r w:rsidR="00264F6A" w:rsidRPr="00E2102D">
        <w:rPr>
          <w:rFonts w:eastAsiaTheme="minorHAnsi"/>
          <w:noProof w:val="0"/>
          <w:color w:val="17365D"/>
          <w:szCs w:val="22"/>
          <w:lang w:eastAsia="en-US"/>
        </w:rPr>
        <w:t>2</w:t>
      </w:r>
      <w:r w:rsidR="00B14A28" w:rsidRPr="00E2102D">
        <w:rPr>
          <w:rFonts w:eastAsiaTheme="minorHAnsi"/>
          <w:noProof w:val="0"/>
          <w:color w:val="17365D"/>
          <w:szCs w:val="22"/>
          <w:lang w:eastAsia="en-US"/>
        </w:rPr>
        <w:t xml:space="preserve"> </w:t>
      </w:r>
      <w:r w:rsidRPr="00E2102D">
        <w:rPr>
          <w:rFonts w:eastAsiaTheme="minorHAnsi"/>
          <w:noProof w:val="0"/>
          <w:color w:val="17365D"/>
          <w:szCs w:val="22"/>
          <w:lang w:eastAsia="en-US"/>
        </w:rPr>
        <w:t>pašvaldības, tai skaitā:</w:t>
      </w:r>
    </w:p>
    <w:p w14:paraId="0F02620C" w14:textId="334B116A" w:rsidR="00954F0C" w:rsidRPr="00E2102D" w:rsidRDefault="00954F0C" w:rsidP="004E5915">
      <w:pPr>
        <w:pStyle w:val="tv2131"/>
        <w:numPr>
          <w:ilvl w:val="0"/>
          <w:numId w:val="10"/>
        </w:numPr>
        <w:spacing w:line="240" w:lineRule="auto"/>
        <w:ind w:left="850" w:hanging="357"/>
        <w:jc w:val="both"/>
        <w:rPr>
          <w:color w:val="17365D"/>
          <w:sz w:val="24"/>
          <w:szCs w:val="24"/>
        </w:rPr>
      </w:pPr>
      <w:r w:rsidRPr="00E2102D">
        <w:rPr>
          <w:color w:val="17365D"/>
          <w:sz w:val="24"/>
          <w:szCs w:val="24"/>
        </w:rPr>
        <w:t>bez iebildēm – </w:t>
      </w:r>
      <w:r w:rsidR="00B14A28" w:rsidRPr="00E2102D">
        <w:rPr>
          <w:color w:val="17365D"/>
          <w:sz w:val="24"/>
          <w:szCs w:val="24"/>
        </w:rPr>
        <w:t>3</w:t>
      </w:r>
      <w:r w:rsidR="00264F6A" w:rsidRPr="00E2102D">
        <w:rPr>
          <w:color w:val="17365D"/>
          <w:sz w:val="24"/>
          <w:szCs w:val="24"/>
        </w:rPr>
        <w:t>0</w:t>
      </w:r>
      <w:r w:rsidR="00B14A28" w:rsidRPr="00E2102D">
        <w:rPr>
          <w:color w:val="17365D"/>
          <w:sz w:val="24"/>
          <w:szCs w:val="24"/>
        </w:rPr>
        <w:t xml:space="preserve"> </w:t>
      </w:r>
      <w:r w:rsidRPr="00E2102D">
        <w:rPr>
          <w:color w:val="17365D"/>
          <w:sz w:val="24"/>
          <w:szCs w:val="24"/>
        </w:rPr>
        <w:t>pašvaldība</w:t>
      </w:r>
      <w:r w:rsidR="00232772" w:rsidRPr="00E2102D">
        <w:rPr>
          <w:color w:val="17365D"/>
          <w:sz w:val="24"/>
          <w:szCs w:val="24"/>
        </w:rPr>
        <w:t>s</w:t>
      </w:r>
      <w:r w:rsidRPr="00E2102D">
        <w:rPr>
          <w:color w:val="17365D"/>
          <w:sz w:val="24"/>
          <w:szCs w:val="24"/>
        </w:rPr>
        <w:t>;</w:t>
      </w:r>
    </w:p>
    <w:p w14:paraId="69782167" w14:textId="511AA763" w:rsidR="00954F0C" w:rsidRPr="00E2102D" w:rsidRDefault="00954F0C" w:rsidP="004E5915">
      <w:pPr>
        <w:pStyle w:val="tv2131"/>
        <w:numPr>
          <w:ilvl w:val="0"/>
          <w:numId w:val="10"/>
        </w:numPr>
        <w:spacing w:line="240" w:lineRule="auto"/>
        <w:ind w:left="851"/>
        <w:jc w:val="both"/>
        <w:rPr>
          <w:color w:val="17365D"/>
          <w:sz w:val="24"/>
          <w:szCs w:val="24"/>
        </w:rPr>
      </w:pPr>
      <w:r w:rsidRPr="00E2102D">
        <w:rPr>
          <w:color w:val="17365D"/>
          <w:sz w:val="24"/>
          <w:szCs w:val="24"/>
        </w:rPr>
        <w:t>bez iebildēm ar norādītu apstākļu akcentējumu – </w:t>
      </w:r>
      <w:r w:rsidR="00264F6A" w:rsidRPr="00E2102D">
        <w:rPr>
          <w:color w:val="17365D"/>
          <w:sz w:val="24"/>
          <w:szCs w:val="24"/>
        </w:rPr>
        <w:t>7</w:t>
      </w:r>
      <w:r w:rsidR="00DC1ABF" w:rsidRPr="00E2102D">
        <w:rPr>
          <w:color w:val="17365D"/>
          <w:sz w:val="24"/>
          <w:szCs w:val="24"/>
        </w:rPr>
        <w:t> </w:t>
      </w:r>
      <w:r w:rsidRPr="00E2102D">
        <w:rPr>
          <w:color w:val="17365D"/>
          <w:sz w:val="24"/>
          <w:szCs w:val="24"/>
        </w:rPr>
        <w:t>pašvaldīb</w:t>
      </w:r>
      <w:r w:rsidR="00DC1ABF" w:rsidRPr="00E2102D">
        <w:rPr>
          <w:color w:val="17365D"/>
          <w:sz w:val="24"/>
          <w:szCs w:val="24"/>
        </w:rPr>
        <w:t>as</w:t>
      </w:r>
      <w:r w:rsidRPr="00E2102D">
        <w:rPr>
          <w:color w:val="17365D"/>
          <w:sz w:val="24"/>
          <w:szCs w:val="24"/>
          <w:vertAlign w:val="superscript"/>
        </w:rPr>
        <w:footnoteReference w:id="4"/>
      </w:r>
      <w:r w:rsidRPr="00E2102D">
        <w:rPr>
          <w:color w:val="17365D"/>
          <w:sz w:val="24"/>
          <w:szCs w:val="24"/>
        </w:rPr>
        <w:t>;</w:t>
      </w:r>
    </w:p>
    <w:p w14:paraId="40A64B5A" w14:textId="013DCFC0" w:rsidR="00954F0C" w:rsidRPr="00E2102D" w:rsidRDefault="00954F0C" w:rsidP="004E5915">
      <w:pPr>
        <w:pStyle w:val="tv2131"/>
        <w:numPr>
          <w:ilvl w:val="0"/>
          <w:numId w:val="10"/>
        </w:numPr>
        <w:spacing w:line="240" w:lineRule="auto"/>
        <w:ind w:left="851"/>
        <w:jc w:val="both"/>
        <w:rPr>
          <w:color w:val="17365D"/>
          <w:sz w:val="24"/>
          <w:szCs w:val="24"/>
        </w:rPr>
      </w:pPr>
      <w:r w:rsidRPr="00E2102D">
        <w:rPr>
          <w:color w:val="17365D"/>
          <w:sz w:val="24"/>
          <w:szCs w:val="24"/>
        </w:rPr>
        <w:t>ar iebildēm – </w:t>
      </w:r>
      <w:r w:rsidR="002E0893" w:rsidRPr="00E2102D">
        <w:rPr>
          <w:color w:val="17365D"/>
          <w:sz w:val="24"/>
          <w:szCs w:val="24"/>
        </w:rPr>
        <w:t>2</w:t>
      </w:r>
      <w:r w:rsidRPr="00E2102D">
        <w:rPr>
          <w:color w:val="17365D"/>
          <w:sz w:val="24"/>
          <w:szCs w:val="24"/>
        </w:rPr>
        <w:t xml:space="preserve"> pašvaldība</w:t>
      </w:r>
      <w:r w:rsidR="002E0893" w:rsidRPr="00E2102D">
        <w:rPr>
          <w:color w:val="17365D"/>
          <w:sz w:val="24"/>
          <w:szCs w:val="24"/>
        </w:rPr>
        <w:t>s</w:t>
      </w:r>
      <w:r w:rsidRPr="00E2102D">
        <w:rPr>
          <w:color w:val="17365D"/>
          <w:sz w:val="24"/>
          <w:szCs w:val="24"/>
          <w:vertAlign w:val="superscript"/>
        </w:rPr>
        <w:footnoteReference w:id="5"/>
      </w:r>
      <w:r w:rsidRPr="00E2102D">
        <w:rPr>
          <w:color w:val="17365D"/>
          <w:sz w:val="24"/>
          <w:szCs w:val="24"/>
        </w:rPr>
        <w:t>;</w:t>
      </w:r>
    </w:p>
    <w:p w14:paraId="46A59ADB" w14:textId="39CB59F7" w:rsidR="00954F0C" w:rsidRPr="00E2102D" w:rsidRDefault="00954F0C" w:rsidP="004E5915">
      <w:pPr>
        <w:pStyle w:val="tv2131"/>
        <w:numPr>
          <w:ilvl w:val="0"/>
          <w:numId w:val="10"/>
        </w:numPr>
        <w:spacing w:after="120" w:line="240" w:lineRule="auto"/>
        <w:ind w:left="851"/>
        <w:jc w:val="both"/>
        <w:rPr>
          <w:color w:val="17365D"/>
          <w:sz w:val="24"/>
          <w:szCs w:val="24"/>
        </w:rPr>
      </w:pPr>
      <w:r w:rsidRPr="00E2102D">
        <w:rPr>
          <w:color w:val="17365D"/>
          <w:sz w:val="24"/>
          <w:szCs w:val="24"/>
        </w:rPr>
        <w:t>ar iebildēm un ar norādītu apstākļu akcentējumu – </w:t>
      </w:r>
      <w:r w:rsidR="004C5ECB" w:rsidRPr="00E2102D">
        <w:rPr>
          <w:color w:val="17365D"/>
          <w:sz w:val="24"/>
          <w:szCs w:val="24"/>
        </w:rPr>
        <w:t>3</w:t>
      </w:r>
      <w:r w:rsidRPr="00E2102D">
        <w:rPr>
          <w:color w:val="17365D"/>
          <w:sz w:val="24"/>
          <w:szCs w:val="24"/>
        </w:rPr>
        <w:t xml:space="preserve"> pašvaldība</w:t>
      </w:r>
      <w:r w:rsidR="004C5ECB" w:rsidRPr="00E2102D">
        <w:rPr>
          <w:color w:val="17365D"/>
          <w:sz w:val="24"/>
          <w:szCs w:val="24"/>
        </w:rPr>
        <w:t>s</w:t>
      </w:r>
      <w:r w:rsidRPr="00E2102D">
        <w:rPr>
          <w:color w:val="17365D"/>
          <w:sz w:val="24"/>
          <w:szCs w:val="24"/>
          <w:vertAlign w:val="superscript"/>
        </w:rPr>
        <w:footnoteReference w:id="6"/>
      </w:r>
      <w:r w:rsidRPr="00E2102D">
        <w:rPr>
          <w:color w:val="17365D"/>
          <w:sz w:val="24"/>
          <w:szCs w:val="24"/>
        </w:rPr>
        <w:t xml:space="preserve">. </w:t>
      </w:r>
    </w:p>
    <w:p w14:paraId="20AD87E1" w14:textId="1649BF17" w:rsidR="00DC70AD" w:rsidRDefault="00DC70AD" w:rsidP="00B3174E">
      <w:pPr>
        <w:pStyle w:val="Pamatteksts1"/>
        <w:spacing w:before="120"/>
        <w:ind w:firstLine="284"/>
        <w:rPr>
          <w:rFonts w:eastAsiaTheme="minorHAnsi"/>
          <w:noProof w:val="0"/>
          <w:color w:val="17365D"/>
          <w:szCs w:val="22"/>
          <w:lang w:eastAsia="en-US"/>
        </w:rPr>
      </w:pPr>
      <w:r>
        <w:rPr>
          <w:rFonts w:eastAsiaTheme="minorHAnsi"/>
          <w:noProof w:val="0"/>
          <w:color w:val="17365D"/>
          <w:szCs w:val="22"/>
          <w:lang w:eastAsia="en-US"/>
        </w:rPr>
        <w:t xml:space="preserve">Rēzeknes </w:t>
      </w:r>
      <w:r w:rsidR="00B3174E">
        <w:rPr>
          <w:rFonts w:eastAsiaTheme="minorHAnsi"/>
          <w:noProof w:val="0"/>
          <w:color w:val="17365D"/>
          <w:szCs w:val="22"/>
          <w:lang w:eastAsia="en-US"/>
        </w:rPr>
        <w:t>valstspilsētas</w:t>
      </w:r>
      <w:r>
        <w:rPr>
          <w:rFonts w:eastAsiaTheme="minorHAnsi"/>
          <w:noProof w:val="0"/>
          <w:color w:val="17365D"/>
          <w:szCs w:val="22"/>
          <w:lang w:eastAsia="en-US"/>
        </w:rPr>
        <w:t xml:space="preserve"> pašvaldība nav saņēmusi zvērināta revidenta atzinumu par </w:t>
      </w:r>
      <w:r w:rsidRPr="00DC70AD">
        <w:rPr>
          <w:rFonts w:eastAsiaTheme="minorHAnsi"/>
          <w:noProof w:val="0"/>
          <w:color w:val="17365D"/>
          <w:szCs w:val="22"/>
          <w:lang w:eastAsia="en-US"/>
        </w:rPr>
        <w:t>gada pārskata sagatavošanas pareizību</w:t>
      </w:r>
      <w:r w:rsidR="00B3174E">
        <w:rPr>
          <w:rFonts w:eastAsiaTheme="minorHAnsi"/>
          <w:noProof w:val="0"/>
          <w:color w:val="17365D"/>
          <w:szCs w:val="22"/>
          <w:lang w:eastAsia="en-US"/>
        </w:rPr>
        <w:t>.</w:t>
      </w:r>
      <w:r w:rsidR="00B3174E" w:rsidRPr="00B3174E">
        <w:t xml:space="preserve"> </w:t>
      </w:r>
      <w:r w:rsidR="00B3174E" w:rsidRPr="00B3174E">
        <w:rPr>
          <w:rFonts w:eastAsiaTheme="minorHAnsi"/>
          <w:noProof w:val="0"/>
          <w:color w:val="17365D"/>
          <w:szCs w:val="22"/>
          <w:lang w:eastAsia="en-US"/>
        </w:rPr>
        <w:t>Valsts kontrole</w:t>
      </w:r>
      <w:r w:rsidR="00706C04">
        <w:rPr>
          <w:rFonts w:eastAsiaTheme="minorHAnsi"/>
          <w:noProof w:val="0"/>
          <w:color w:val="17365D"/>
          <w:szCs w:val="22"/>
          <w:lang w:eastAsia="en-US"/>
        </w:rPr>
        <w:t xml:space="preserve"> Latvijas Republikas konsolidētā 2023. </w:t>
      </w:r>
      <w:r w:rsidR="00B3174E" w:rsidRPr="00B3174E">
        <w:rPr>
          <w:rFonts w:eastAsiaTheme="minorHAnsi"/>
          <w:noProof w:val="0"/>
          <w:color w:val="17365D"/>
          <w:szCs w:val="22"/>
          <w:lang w:eastAsia="en-US"/>
        </w:rPr>
        <w:t xml:space="preserve">gada </w:t>
      </w:r>
      <w:r w:rsidR="00B3174E" w:rsidRPr="00706C04">
        <w:rPr>
          <w:rFonts w:eastAsiaTheme="minorHAnsi"/>
          <w:noProof w:val="0"/>
          <w:color w:val="17365D"/>
          <w:szCs w:val="22"/>
          <w:lang w:eastAsia="en-US"/>
        </w:rPr>
        <w:t>pārskata revīzijas</w:t>
      </w:r>
      <w:r w:rsidR="00B3174E" w:rsidRPr="00B3174E">
        <w:rPr>
          <w:rFonts w:eastAsiaTheme="minorHAnsi"/>
          <w:noProof w:val="0"/>
          <w:color w:val="17365D"/>
          <w:szCs w:val="22"/>
          <w:lang w:eastAsia="en-US"/>
        </w:rPr>
        <w:t xml:space="preserve"> apjomā kā atbilstības jautājumu iekļāva Rēzeknes val</w:t>
      </w:r>
      <w:r w:rsidR="00B3174E">
        <w:rPr>
          <w:rFonts w:eastAsiaTheme="minorHAnsi"/>
          <w:noProof w:val="0"/>
          <w:color w:val="17365D"/>
          <w:szCs w:val="22"/>
          <w:lang w:eastAsia="en-US"/>
        </w:rPr>
        <w:t xml:space="preserve">stspilsētas pašvaldību ar mērķi </w:t>
      </w:r>
      <w:r w:rsidR="00B3174E" w:rsidRPr="00B3174E">
        <w:rPr>
          <w:rFonts w:eastAsiaTheme="minorHAnsi"/>
          <w:noProof w:val="0"/>
          <w:color w:val="17365D"/>
          <w:szCs w:val="22"/>
          <w:lang w:eastAsia="en-US"/>
        </w:rPr>
        <w:t>vērtēt pašvaldības budžeta va</w:t>
      </w:r>
      <w:r w:rsidR="00B3174E">
        <w:rPr>
          <w:rFonts w:eastAsiaTheme="minorHAnsi"/>
          <w:noProof w:val="0"/>
          <w:color w:val="17365D"/>
          <w:szCs w:val="22"/>
          <w:lang w:eastAsia="en-US"/>
        </w:rPr>
        <w:t xml:space="preserve">dības atbilstību tiesību aktiem un uzņemto saistību pilnīgumu, </w:t>
      </w:r>
      <w:r w:rsidR="00B3174E" w:rsidRPr="00B3174E">
        <w:rPr>
          <w:rFonts w:eastAsiaTheme="minorHAnsi"/>
          <w:noProof w:val="0"/>
          <w:color w:val="17365D"/>
          <w:szCs w:val="22"/>
          <w:lang w:eastAsia="en-US"/>
        </w:rPr>
        <w:t>sniedzot par to ierobežotas pārliecības atzinumu.</w:t>
      </w:r>
    </w:p>
    <w:p w14:paraId="5A329142" w14:textId="4D40FF93" w:rsidR="00954F0C" w:rsidRPr="00A27896" w:rsidRDefault="00954F0C" w:rsidP="00815152">
      <w:pPr>
        <w:pStyle w:val="Pamatteksts1"/>
        <w:spacing w:before="120"/>
        <w:ind w:firstLine="284"/>
        <w:rPr>
          <w:rFonts w:eastAsiaTheme="minorHAnsi"/>
          <w:noProof w:val="0"/>
          <w:color w:val="17365D"/>
          <w:szCs w:val="22"/>
          <w:lang w:eastAsia="en-US"/>
        </w:rPr>
      </w:pPr>
      <w:r w:rsidRPr="00A27896">
        <w:rPr>
          <w:rFonts w:eastAsiaTheme="minorHAnsi"/>
          <w:noProof w:val="0"/>
          <w:color w:val="17365D"/>
          <w:szCs w:val="22"/>
          <w:lang w:eastAsia="en-US"/>
        </w:rPr>
        <w:t>Valsts kontroles sniegtie atzinumi par ministriju un centrālo valsts iestāžu 20</w:t>
      </w:r>
      <w:r w:rsidR="00915646" w:rsidRPr="00A27896">
        <w:rPr>
          <w:rFonts w:eastAsiaTheme="minorHAnsi"/>
          <w:noProof w:val="0"/>
          <w:color w:val="17365D"/>
          <w:szCs w:val="22"/>
          <w:lang w:eastAsia="en-US"/>
        </w:rPr>
        <w:t>2</w:t>
      </w:r>
      <w:r w:rsidR="00822D19">
        <w:rPr>
          <w:rFonts w:eastAsiaTheme="minorHAnsi"/>
          <w:noProof w:val="0"/>
          <w:color w:val="17365D"/>
          <w:szCs w:val="22"/>
          <w:lang w:eastAsia="en-US"/>
        </w:rPr>
        <w:t>3</w:t>
      </w:r>
      <w:r w:rsidRPr="00A27896">
        <w:rPr>
          <w:rFonts w:eastAsiaTheme="minorHAnsi"/>
          <w:noProof w:val="0"/>
          <w:color w:val="17365D"/>
          <w:szCs w:val="22"/>
          <w:lang w:eastAsia="en-US"/>
        </w:rPr>
        <w:t xml:space="preserve">. gada pārskatiem ir pieejami Valsts kontroles tīmekļvietnē. Valsts kases tīmekļvietnē ir pieejami ministriju, centrālo valsts iestāžu, pašvaldību, valsts budžeta iestāžu, no valsts budžeta daļēji finansētu atvasinātu publisku personu un budžeta nefinansētu iestāžu, pašvaldību budžeta iestāžu un kopīgo iestāžu gada pārskati ar pievienotiem Valsts kontroles </w:t>
      </w:r>
      <w:r w:rsidR="00537435">
        <w:rPr>
          <w:rFonts w:eastAsiaTheme="minorHAnsi"/>
          <w:noProof w:val="0"/>
          <w:color w:val="17365D"/>
          <w:szCs w:val="22"/>
          <w:lang w:eastAsia="en-US"/>
        </w:rPr>
        <w:t>vai</w:t>
      </w:r>
      <w:r w:rsidRPr="00A27896">
        <w:rPr>
          <w:rFonts w:eastAsiaTheme="minorHAnsi"/>
          <w:noProof w:val="0"/>
          <w:color w:val="17365D"/>
          <w:szCs w:val="22"/>
          <w:lang w:eastAsia="en-US"/>
        </w:rPr>
        <w:t xml:space="preserve"> zvērinātu revidentu atzinumiem.</w:t>
      </w:r>
    </w:p>
    <w:p w14:paraId="10E93DBF" w14:textId="11888604" w:rsidR="00954F0C" w:rsidRPr="00A27896" w:rsidRDefault="00954F0C" w:rsidP="004C5ECB">
      <w:pPr>
        <w:pStyle w:val="Pamatteksts1"/>
        <w:spacing w:after="0"/>
        <w:ind w:firstLine="284"/>
        <w:rPr>
          <w:color w:val="17365D"/>
        </w:rPr>
      </w:pPr>
      <w:r w:rsidRPr="00A27896">
        <w:rPr>
          <w:rFonts w:eastAsiaTheme="minorHAnsi"/>
          <w:noProof w:val="0"/>
          <w:color w:val="17365D"/>
          <w:szCs w:val="22"/>
          <w:lang w:eastAsia="en-US"/>
        </w:rPr>
        <w:t>Finanšu pārskata sagatavošanas ietvaros izvērtē</w:t>
      </w:r>
      <w:r w:rsidR="007A1E6A" w:rsidRPr="00A27896">
        <w:rPr>
          <w:rFonts w:eastAsiaTheme="minorHAnsi"/>
          <w:noProof w:val="0"/>
          <w:color w:val="17365D"/>
          <w:szCs w:val="22"/>
          <w:lang w:eastAsia="en-US"/>
        </w:rPr>
        <w:t>jot</w:t>
      </w:r>
      <w:r w:rsidRPr="00A27896">
        <w:rPr>
          <w:rFonts w:eastAsiaTheme="minorHAnsi"/>
          <w:noProof w:val="0"/>
          <w:color w:val="17365D"/>
          <w:szCs w:val="22"/>
          <w:lang w:eastAsia="en-US"/>
        </w:rPr>
        <w:t xml:space="preserve"> Valsts kontroles un</w:t>
      </w:r>
      <w:r w:rsidR="007A1E6A" w:rsidRPr="00A27896">
        <w:rPr>
          <w:rFonts w:eastAsiaTheme="minorHAnsi"/>
          <w:noProof w:val="0"/>
          <w:color w:val="17365D"/>
          <w:szCs w:val="22"/>
          <w:lang w:eastAsia="en-US"/>
        </w:rPr>
        <w:t xml:space="preserve"> zvērinātu revidentu sniegtos atzinumus</w:t>
      </w:r>
      <w:r w:rsidRPr="00A27896">
        <w:rPr>
          <w:rFonts w:eastAsiaTheme="minorHAnsi"/>
          <w:noProof w:val="0"/>
          <w:color w:val="17365D"/>
          <w:szCs w:val="22"/>
          <w:lang w:eastAsia="en-US"/>
        </w:rPr>
        <w:t xml:space="preserve"> par ministriju, centrālo valsts iestāžu un pašvaldību konsolidētajiem gada pārskatiem</w:t>
      </w:r>
      <w:r w:rsidR="007A1E6A" w:rsidRPr="00A27896">
        <w:rPr>
          <w:rFonts w:eastAsiaTheme="minorHAnsi"/>
          <w:noProof w:val="0"/>
          <w:color w:val="17365D"/>
          <w:szCs w:val="22"/>
          <w:lang w:eastAsia="en-US"/>
        </w:rPr>
        <w:t xml:space="preserve"> atbilstoši finanšu pārskatam noteiktajam būtiskuma līmenim kļūdu labojumiem</w:t>
      </w:r>
      <w:r w:rsidR="004C5ECB" w:rsidRPr="00A27896">
        <w:rPr>
          <w:rFonts w:eastAsiaTheme="minorHAnsi"/>
          <w:noProof w:val="0"/>
          <w:color w:val="17365D"/>
          <w:szCs w:val="22"/>
          <w:lang w:eastAsia="en-US"/>
        </w:rPr>
        <w:t>, k</w:t>
      </w:r>
      <w:r w:rsidRPr="00A27896">
        <w:rPr>
          <w:rFonts w:eastAsiaTheme="minorHAnsi"/>
          <w:noProof w:val="0"/>
          <w:color w:val="17365D"/>
          <w:szCs w:val="22"/>
          <w:lang w:eastAsia="en-US"/>
        </w:rPr>
        <w:t>orekcijas</w:t>
      </w:r>
      <w:r w:rsidR="004C5ECB" w:rsidRPr="00A27896">
        <w:rPr>
          <w:rFonts w:eastAsiaTheme="minorHAnsi"/>
          <w:noProof w:val="0"/>
          <w:color w:val="17365D"/>
          <w:szCs w:val="22"/>
          <w:lang w:eastAsia="en-US"/>
        </w:rPr>
        <w:t xml:space="preserve"> nav veiktas.</w:t>
      </w:r>
    </w:p>
    <w:p w14:paraId="1A6C3D98" w14:textId="4C1E6604" w:rsidR="00954F0C" w:rsidRPr="00A27896" w:rsidRDefault="004C46B4">
      <w:pPr>
        <w:pStyle w:val="Heading2"/>
        <w:rPr>
          <w:rFonts w:cs="Times New Roman"/>
        </w:rPr>
      </w:pPr>
      <w:r w:rsidRPr="00A27896">
        <w:rPr>
          <w:rFonts w:cs="Times New Roman"/>
        </w:rPr>
        <w:br w:type="page"/>
      </w:r>
      <w:bookmarkStart w:id="4" w:name="_Toc42846492"/>
      <w:r w:rsidR="00954F0C" w:rsidRPr="00A27896">
        <w:rPr>
          <w:rFonts w:cs="Times New Roman"/>
        </w:rPr>
        <w:lastRenderedPageBreak/>
        <w:t>Grāmatvedības uzskaites principu apraksts</w:t>
      </w:r>
      <w:bookmarkEnd w:id="4"/>
    </w:p>
    <w:p w14:paraId="4583AE2F" w14:textId="77777777" w:rsidR="00954F0C" w:rsidRPr="00A27896" w:rsidRDefault="00954F0C" w:rsidP="00FD10CC">
      <w:pPr>
        <w:pStyle w:val="Heading3"/>
      </w:pPr>
      <w:bookmarkStart w:id="5" w:name="_Toc42846493"/>
      <w:r w:rsidRPr="00A27896">
        <w:t>Grāmatvedības uzskaites pamatprincipu maiņa</w:t>
      </w:r>
      <w:bookmarkEnd w:id="5"/>
      <w:r w:rsidRPr="00A27896">
        <w:t xml:space="preserve"> </w:t>
      </w:r>
    </w:p>
    <w:p w14:paraId="1D16AD17" w14:textId="2E4EF1F9" w:rsidR="00151F5D" w:rsidRDefault="005C38FA" w:rsidP="00F9629B">
      <w:pPr>
        <w:spacing w:after="120" w:line="240" w:lineRule="auto"/>
        <w:ind w:firstLine="284"/>
        <w:jc w:val="both"/>
        <w:rPr>
          <w:rFonts w:cs="Times New Roman"/>
          <w:color w:val="17365D"/>
        </w:rPr>
      </w:pPr>
      <w:r w:rsidRPr="00A27896">
        <w:rPr>
          <w:rFonts w:cs="Times New Roman"/>
          <w:color w:val="17365D"/>
        </w:rPr>
        <w:t>202</w:t>
      </w:r>
      <w:r w:rsidR="00822D19">
        <w:rPr>
          <w:rFonts w:cs="Times New Roman"/>
          <w:color w:val="17365D"/>
        </w:rPr>
        <w:t>3</w:t>
      </w:r>
      <w:r w:rsidRPr="00A27896">
        <w:rPr>
          <w:rFonts w:cs="Times New Roman"/>
          <w:color w:val="17365D"/>
        </w:rPr>
        <w:t>. saimnieciskā gada laikā veikta</w:t>
      </w:r>
      <w:r w:rsidR="00151F5D">
        <w:rPr>
          <w:rFonts w:cs="Times New Roman"/>
          <w:color w:val="17365D"/>
        </w:rPr>
        <w:t xml:space="preserve"> šādu</w:t>
      </w:r>
      <w:r w:rsidRPr="00A27896">
        <w:rPr>
          <w:rFonts w:cs="Times New Roman"/>
          <w:color w:val="17365D"/>
        </w:rPr>
        <w:t xml:space="preserve"> </w:t>
      </w:r>
      <w:r w:rsidR="007207C3" w:rsidRPr="00A27896">
        <w:rPr>
          <w:rFonts w:cs="Times New Roman"/>
          <w:color w:val="17365D"/>
        </w:rPr>
        <w:t xml:space="preserve">grāmatvedības </w:t>
      </w:r>
      <w:r w:rsidRPr="00A27896">
        <w:rPr>
          <w:rFonts w:cs="Times New Roman"/>
          <w:color w:val="17365D"/>
        </w:rPr>
        <w:t>uzskaites pamatprincipu maiņa</w:t>
      </w:r>
      <w:r w:rsidR="00151F5D">
        <w:rPr>
          <w:rFonts w:cs="Times New Roman"/>
          <w:color w:val="17365D"/>
        </w:rPr>
        <w:t>:</w:t>
      </w:r>
    </w:p>
    <w:p w14:paraId="1218F2FD" w14:textId="45CD96E6" w:rsidR="005C38FA" w:rsidRDefault="00552663" w:rsidP="00552663">
      <w:pPr>
        <w:spacing w:after="120" w:line="240" w:lineRule="auto"/>
        <w:ind w:left="284"/>
        <w:jc w:val="both"/>
        <w:rPr>
          <w:rFonts w:cs="Times New Roman"/>
          <w:color w:val="17365D"/>
        </w:rPr>
      </w:pPr>
      <w:r>
        <w:rPr>
          <w:rFonts w:cs="Times New Roman"/>
          <w:color w:val="17365D"/>
        </w:rPr>
        <w:t>n</w:t>
      </w:r>
      <w:r w:rsidR="00D52CEA">
        <w:rPr>
          <w:rFonts w:cs="Times New Roman"/>
          <w:color w:val="17365D"/>
        </w:rPr>
        <w:t>o zembilances izslēgti b</w:t>
      </w:r>
      <w:r w:rsidR="00151F5D">
        <w:rPr>
          <w:rFonts w:cs="Times New Roman"/>
          <w:color w:val="17365D"/>
        </w:rPr>
        <w:t xml:space="preserve">udžeta iestāžu nomātie </w:t>
      </w:r>
      <w:r w:rsidR="00D52CEA">
        <w:rPr>
          <w:rFonts w:cs="Times New Roman"/>
          <w:color w:val="17365D"/>
        </w:rPr>
        <w:t>aktīvi saskaņā ar operatīvās nomas līgumiem</w:t>
      </w:r>
      <w:r w:rsidR="005C38FA" w:rsidRPr="00A27896">
        <w:rPr>
          <w:rFonts w:cs="Times New Roman"/>
          <w:color w:val="17365D"/>
        </w:rPr>
        <w:t>.</w:t>
      </w:r>
      <w:r w:rsidR="00D52CEA">
        <w:rPr>
          <w:rFonts w:cs="Times New Roman"/>
          <w:color w:val="17365D"/>
        </w:rPr>
        <w:t xml:space="preserve"> Informācija par iespējamām saistībām par minētajiem līgumiem uzrādīta Zembilances postenī “</w:t>
      </w:r>
      <w:r w:rsidR="00D52CEA" w:rsidRPr="00D52CEA">
        <w:rPr>
          <w:rFonts w:cs="Times New Roman"/>
          <w:color w:val="17365D"/>
        </w:rPr>
        <w:t>Nākotnes nomas maksājumi</w:t>
      </w:r>
      <w:r w:rsidR="00D52CEA">
        <w:rPr>
          <w:rFonts w:cs="Times New Roman"/>
          <w:color w:val="17365D"/>
        </w:rPr>
        <w:t xml:space="preserve">” un </w:t>
      </w:r>
      <w:r w:rsidR="00545E57">
        <w:rPr>
          <w:rFonts w:cs="Times New Roman"/>
          <w:color w:val="17365D"/>
        </w:rPr>
        <w:t>f</w:t>
      </w:r>
      <w:r w:rsidR="00D52CEA">
        <w:rPr>
          <w:rFonts w:cs="Times New Roman"/>
          <w:color w:val="17365D"/>
        </w:rPr>
        <w:t xml:space="preserve">inanšu pārskata </w:t>
      </w:r>
      <w:r>
        <w:rPr>
          <w:rFonts w:cs="Times New Roman"/>
          <w:color w:val="17365D"/>
        </w:rPr>
        <w:t>posteņu skaidrojuma</w:t>
      </w:r>
      <w:r w:rsidR="00D52CEA">
        <w:rPr>
          <w:rFonts w:cs="Times New Roman"/>
          <w:color w:val="17365D"/>
        </w:rPr>
        <w:t xml:space="preserve"> </w:t>
      </w:r>
      <w:r>
        <w:rPr>
          <w:rFonts w:cs="Times New Roman"/>
          <w:color w:val="17365D"/>
        </w:rPr>
        <w:t xml:space="preserve">vispārīgajā </w:t>
      </w:r>
      <w:r w:rsidR="00D52CEA">
        <w:rPr>
          <w:rFonts w:cs="Times New Roman"/>
          <w:color w:val="17365D"/>
        </w:rPr>
        <w:t>piezīmē</w:t>
      </w:r>
      <w:r w:rsidRPr="00552663">
        <w:rPr>
          <w:rFonts w:cs="Times New Roman"/>
          <w:color w:val="17365D"/>
        </w:rPr>
        <w:t xml:space="preserve"> </w:t>
      </w:r>
      <w:r w:rsidR="00FC27AC">
        <w:rPr>
          <w:rFonts w:cs="Times New Roman"/>
          <w:color w:val="17365D"/>
        </w:rPr>
        <w:t xml:space="preserve">Nr.V4. </w:t>
      </w:r>
      <w:r w:rsidR="00FD7932" w:rsidRPr="00FC27AC">
        <w:rPr>
          <w:rFonts w:cs="Times New Roman"/>
          <w:color w:val="17365D"/>
        </w:rPr>
        <w:t>“</w:t>
      </w:r>
      <w:r w:rsidR="00BC0EAF" w:rsidRPr="00FC27AC">
        <w:rPr>
          <w:rFonts w:cs="Times New Roman"/>
          <w:color w:val="17365D"/>
        </w:rPr>
        <w:t>Informācija par operatīvajā nomā saņemtajiem aktīviem un veicamajiem maksājumiem</w:t>
      </w:r>
      <w:r>
        <w:rPr>
          <w:rFonts w:cs="Times New Roman"/>
          <w:color w:val="17365D"/>
        </w:rPr>
        <w:t>”.</w:t>
      </w:r>
    </w:p>
    <w:p w14:paraId="6FC9CC5E" w14:textId="30C6AE55" w:rsidR="00954F0C" w:rsidRPr="00A27896" w:rsidRDefault="00954F0C" w:rsidP="00FD10CC">
      <w:pPr>
        <w:pStyle w:val="Heading3"/>
      </w:pPr>
      <w:bookmarkStart w:id="6" w:name="p-499762"/>
      <w:bookmarkStart w:id="7" w:name="p25"/>
      <w:bookmarkStart w:id="8" w:name="p-499766"/>
      <w:bookmarkStart w:id="9" w:name="p25.1"/>
      <w:bookmarkStart w:id="10" w:name="p-499772"/>
      <w:bookmarkStart w:id="11" w:name="p25.2"/>
      <w:bookmarkStart w:id="12" w:name="p-446701"/>
      <w:bookmarkStart w:id="13" w:name="p26"/>
      <w:bookmarkStart w:id="14" w:name="p-446741"/>
      <w:bookmarkStart w:id="15" w:name="p179.2"/>
      <w:bookmarkStart w:id="16" w:name="p-446742"/>
      <w:bookmarkStart w:id="17" w:name="p179.3"/>
      <w:bookmarkStart w:id="18" w:name="p-446743"/>
      <w:bookmarkStart w:id="19" w:name="p179.4"/>
      <w:bookmarkStart w:id="20" w:name="p-446744"/>
      <w:bookmarkStart w:id="21" w:name="p179.5"/>
      <w:bookmarkStart w:id="22" w:name="p-446745"/>
      <w:bookmarkStart w:id="23" w:name="p179.6"/>
      <w:bookmarkStart w:id="24" w:name="_Toc42846494"/>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A27896">
        <w:t>Aktīvu un saistību īstermiņa un ilgtermiņa daļas</w:t>
      </w:r>
      <w:bookmarkEnd w:id="24"/>
    </w:p>
    <w:p w14:paraId="2BB22EAE"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Finanšu pārskatā nodalītas aktīvu un saistību īstermiņa un ilgtermiņa daļas. </w:t>
      </w:r>
    </w:p>
    <w:p w14:paraId="6DB59EDA"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Par ilgtermiņa aktīviem grāmatvedībā atzīti aktīvi vai to daļa, kuru lietošana vai turēšana plānota ilgāk par vienu saimniecisko gadu vai apmaksa paredzēta vēlāk kā gadu pēc bilances datuma. Īstermiņa aktīvi ir aktīvi vai to daļa, kuru lietošana, turēšana vai apmaksa paredzēta nākamā saimnieciskā gada laikā pēc bilances datuma. Īstermiņa aktīvu sastāvā klasificēti arī tādi finanšu ieguldījumi, kurus iespējams realizēt jebkurā laikā.</w:t>
      </w:r>
    </w:p>
    <w:p w14:paraId="6B9C02A2"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Par ilgtermiņa saistībām grāmatvedībā atzītas saistības vai to daļa, kuru atmaksas termiņš iestājas vēlāk kā gadu pēc bilances datuma. Īstermiņa saistības ir saistības vai to daļa, kuru atmaksas termiņš iestājas nākamā saimnieciskā gada laikā pēc bilances datuma.</w:t>
      </w:r>
    </w:p>
    <w:p w14:paraId="5B1E015A" w14:textId="77777777" w:rsidR="00954F0C" w:rsidRPr="00A27896" w:rsidRDefault="00954F0C" w:rsidP="00FD10CC">
      <w:pPr>
        <w:pStyle w:val="Heading3"/>
      </w:pPr>
      <w:bookmarkStart w:id="25" w:name="_Toc42846495"/>
      <w:r w:rsidRPr="00A27896">
        <w:t>Nemateriālie ieguldījumi</w:t>
      </w:r>
      <w:bookmarkEnd w:id="25"/>
    </w:p>
    <w:p w14:paraId="2926C751"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Nemateriālie ieguldījumi ir ilgtermiņa ieguldījumi, kam nepiemīt lietiskā forma. Pārsvarā tās ir lietošanas tiesības, kurām paredzētais lietošanas laiks ir ilgāks par vienu saimniecisko gadu un kas paredzētas budžeta iestāžu funkciju izpildei.</w:t>
      </w:r>
    </w:p>
    <w:p w14:paraId="4FB93E4C" w14:textId="77777777" w:rsidR="00954F0C" w:rsidRPr="00A27896" w:rsidRDefault="00954F0C" w:rsidP="00954F0C">
      <w:pPr>
        <w:spacing w:after="120" w:line="240" w:lineRule="auto"/>
        <w:ind w:firstLine="284"/>
        <w:jc w:val="both"/>
        <w:rPr>
          <w:rFonts w:cs="Times New Roman"/>
          <w:b/>
          <w:color w:val="17365D"/>
        </w:rPr>
      </w:pPr>
      <w:r w:rsidRPr="00A27896">
        <w:rPr>
          <w:rFonts w:cs="Times New Roman"/>
          <w:color w:val="17365D"/>
        </w:rPr>
        <w:t>Nemateriālos ieguldījumus sākotnēji atzīst to iegādes vai izveidošanas vērtībā, kas ietver attiecīgā nemateriālā ieguldījuma pirkšanas cenu un visas izmaksas, kas tieši attiecas uz iegādāto vai izveidoto objektu līdz dienai, kad tas nodots lietošanā, piemēram, izmaksas par neatskaitāmiem nodokļiem, darba samaksu, kas tieši radusies nemateriālā ieguldījuma iegādes vai izveidošanas procesā, ieviešanas izmaksas.</w:t>
      </w:r>
    </w:p>
    <w:p w14:paraId="1097DB94"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 xml:space="preserve">Nemateriāliem ieguldījumiem amortizāciju (vērtības norakstīšanu) aprēķina atbilstoši to paredzamajam lietderīgās lietošanas laikam, sākotnējo vērtību sistemātiski sadalot pa periodiem (lineārā metode), uzskaita kā uzkrāto amortizāciju un atzīst pārskata perioda pamatdarbības izdevumos. </w:t>
      </w:r>
    </w:p>
    <w:p w14:paraId="2CCF7ACF" w14:textId="27EA6400"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Nemateriālajiem ieguldījumiem, kuru vērtība laika gaitā pieaug un kurus plāno lietot neierobežotu laika periodu, amortizāciju neaprēķina</w:t>
      </w:r>
      <w:r w:rsidR="00FF3900" w:rsidRPr="00A27896">
        <w:rPr>
          <w:rFonts w:cs="Times New Roman"/>
          <w:color w:val="17365D"/>
        </w:rPr>
        <w:t xml:space="preserve"> – pārskata gadā 1,</w:t>
      </w:r>
      <w:r w:rsidR="005463D4" w:rsidRPr="00A27896">
        <w:rPr>
          <w:rFonts w:cs="Times New Roman"/>
          <w:color w:val="17365D"/>
        </w:rPr>
        <w:t xml:space="preserve">8 </w:t>
      </w:r>
      <w:r w:rsidR="00FF3900" w:rsidRPr="00A27896">
        <w:rPr>
          <w:rFonts w:cs="Times New Roman"/>
          <w:color w:val="17365D"/>
        </w:rPr>
        <w:t>% nemateriāl</w:t>
      </w:r>
      <w:r w:rsidR="009F1ACB" w:rsidRPr="00A27896">
        <w:rPr>
          <w:rFonts w:cs="Times New Roman"/>
          <w:color w:val="17365D"/>
        </w:rPr>
        <w:t>iem</w:t>
      </w:r>
      <w:r w:rsidR="00FF3900" w:rsidRPr="00A27896">
        <w:rPr>
          <w:rFonts w:cs="Times New Roman"/>
          <w:color w:val="17365D"/>
        </w:rPr>
        <w:t xml:space="preserve"> aktīv</w:t>
      </w:r>
      <w:r w:rsidR="009F1ACB" w:rsidRPr="00A27896">
        <w:rPr>
          <w:rFonts w:cs="Times New Roman"/>
          <w:color w:val="17365D"/>
        </w:rPr>
        <w:t>iem</w:t>
      </w:r>
      <w:r w:rsidRPr="00A27896">
        <w:rPr>
          <w:rFonts w:cs="Times New Roman"/>
          <w:color w:val="17365D"/>
        </w:rPr>
        <w:t>.</w:t>
      </w:r>
    </w:p>
    <w:p w14:paraId="2EA719F6" w14:textId="77777777" w:rsidR="00954F0C" w:rsidRPr="00A27896" w:rsidRDefault="00954F0C" w:rsidP="00954F0C">
      <w:pPr>
        <w:pStyle w:val="tv2131"/>
        <w:spacing w:after="120" w:line="240" w:lineRule="auto"/>
        <w:ind w:firstLine="284"/>
        <w:jc w:val="both"/>
        <w:rPr>
          <w:color w:val="17365D"/>
          <w:sz w:val="24"/>
          <w:szCs w:val="24"/>
        </w:rPr>
      </w:pPr>
      <w:r w:rsidRPr="00A27896">
        <w:rPr>
          <w:color w:val="17365D"/>
          <w:sz w:val="24"/>
          <w:szCs w:val="24"/>
        </w:rPr>
        <w:t>Pārskata perioda beigās novērtē, vai nepastāv pazīmes, kas norāda uz nemateriālā ieguldījuma vērtības būtisku samazinājumu:</w:t>
      </w:r>
    </w:p>
    <w:p w14:paraId="5B9BC623"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vismaz par 90 procentiem samazinājies vai nepastāv pieprasījums pēc pakalpojuma, kuru sniedz budžeta iestāde, lietojot attiecīgo nemateriālo ieguldījumu;</w:t>
      </w:r>
    </w:p>
    <w:p w14:paraId="020D0968"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pieņemts valdības vai pašvaldības lēmums, kas rada būtiskas negatīvas izmaiņas budžeta iestādes darbībā;</w:t>
      </w:r>
    </w:p>
    <w:p w14:paraId="492E8258"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nemateriālais ieguldījums ir novecojis;</w:t>
      </w:r>
    </w:p>
    <w:p w14:paraId="184B4037"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lastRenderedPageBreak/>
        <w:t>budžeta iestādes darbībā notikušas vai tuvākajā laikā gaidāmas ilgtermiņa izmaiņas, kas negatīvi ietekmē nemateriālā ieguldījuma paredzēto lietojumu;</w:t>
      </w:r>
    </w:p>
    <w:p w14:paraId="19EB4B16"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pieņemts lēmums apturēt nemateriālā ieguldījuma izveidošanu pirms tā izveidošanas vai nodošanas lietošanā.</w:t>
      </w:r>
    </w:p>
    <w:p w14:paraId="72AC3AF2" w14:textId="667DD508"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Ja konstatē kādu no iepriekš minētajām pazīmēm, budžeta iestāde nosaka aktīva atgūstamo vērtību. Ja atgūstamo vērtību nav iespējams noteikt, aktīva vērtības samazinājumu nenosaka.</w:t>
      </w:r>
    </w:p>
    <w:p w14:paraId="545E3958"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 xml:space="preserve">Nemateriālie ieguldījumi, kas paredzēti nodošanai bez atlīdzības citai budžeta iestādei, uzskaitīti ilgtermiņa ieguldījumu sastāvā līdz to izslēgšanai no uzskaites. </w:t>
      </w:r>
    </w:p>
    <w:p w14:paraId="26405A49" w14:textId="520E01F0" w:rsidR="00954F0C" w:rsidRPr="00A27896" w:rsidRDefault="00954F0C">
      <w:pPr>
        <w:spacing w:after="120" w:line="240" w:lineRule="auto"/>
        <w:ind w:firstLine="284"/>
        <w:jc w:val="both"/>
        <w:rPr>
          <w:rFonts w:eastAsia="Times New Roman" w:cs="Times New Roman"/>
          <w:color w:val="17365D"/>
          <w:szCs w:val="24"/>
        </w:rPr>
      </w:pPr>
      <w:r w:rsidRPr="00A27896">
        <w:rPr>
          <w:rFonts w:cs="Times New Roman"/>
          <w:color w:val="17365D"/>
        </w:rPr>
        <w:t>Atsavināšanai (izņemot nodošanu bez atlīdzības budžeta iestādēm) paredzētie nemateriālie ieguldījumi uzskaitīti apgrozāmo līdzekļu sastāvā to atlikušajā uzskaites vērtībā.</w:t>
      </w:r>
    </w:p>
    <w:p w14:paraId="0DD47638" w14:textId="77777777" w:rsidR="00954F0C" w:rsidRPr="00A27896" w:rsidRDefault="00954F0C" w:rsidP="00FD10CC">
      <w:pPr>
        <w:pStyle w:val="Heading3"/>
      </w:pPr>
      <w:bookmarkStart w:id="26" w:name="_Toc42846496"/>
      <w:r w:rsidRPr="00A27896">
        <w:t>Pamatlīdzekļi</w:t>
      </w:r>
      <w:bookmarkEnd w:id="26"/>
    </w:p>
    <w:p w14:paraId="2AC7F1B3" w14:textId="77777777" w:rsidR="00954F0C" w:rsidRPr="00A27896" w:rsidRDefault="00954F0C" w:rsidP="00954F0C">
      <w:pPr>
        <w:pStyle w:val="Apakvirsraksti"/>
        <w:numPr>
          <w:ilvl w:val="0"/>
          <w:numId w:val="0"/>
        </w:numPr>
        <w:spacing w:before="0" w:after="120" w:line="240" w:lineRule="auto"/>
        <w:ind w:firstLine="284"/>
        <w:jc w:val="both"/>
        <w:rPr>
          <w:b w:val="0"/>
          <w:color w:val="17365D"/>
        </w:rPr>
      </w:pPr>
      <w:r w:rsidRPr="00A27896">
        <w:rPr>
          <w:b w:val="0"/>
          <w:color w:val="17365D"/>
        </w:rPr>
        <w:t>Pamatlīdzekļu sastāvā uzskaitīti ilgtermiņa materiāli lietiskie aktīvi, kas paredzēti budžeta iestāžu funkciju izpildes nodrošināšanai. Pamatlīdzekļu lietderīgās lietošanas laiks ir ilgāks par vienu saimniecisko gadu un vienības sākotnējās atzīšanas vērtība noteikta, ievērojot normatīvajos aktos budžeta izdevumu klasifikāciju jomā noteiktās prasības. Nekustamie īpašumi, bioloģiskie aktīvi, bibliotēku fondi, izklaides, literārie un mākslas oriģināldarbi, dārgakmeņi un dārgmetāli, antīkie un citi kultūras un mākslas priekšmeti, vērtslietas un muzeja krājumu priekšmeti uzskaitīti pamatlīdzekļu sastāvā neatkarīgi no vienas vienības atzīšanas vērtības.</w:t>
      </w:r>
    </w:p>
    <w:p w14:paraId="53903213" w14:textId="77777777" w:rsidR="00954F0C" w:rsidRPr="00A27896" w:rsidRDefault="00954F0C" w:rsidP="00954F0C">
      <w:pPr>
        <w:pStyle w:val="Apakvirsraksti"/>
        <w:numPr>
          <w:ilvl w:val="0"/>
          <w:numId w:val="0"/>
        </w:numPr>
        <w:spacing w:before="0" w:after="120" w:line="240" w:lineRule="auto"/>
        <w:ind w:firstLine="284"/>
        <w:jc w:val="both"/>
        <w:rPr>
          <w:b w:val="0"/>
          <w:iCs/>
          <w:color w:val="17365D"/>
        </w:rPr>
      </w:pPr>
      <w:r w:rsidRPr="00A27896">
        <w:rPr>
          <w:b w:val="0"/>
          <w:iCs/>
          <w:color w:val="17365D"/>
        </w:rPr>
        <w:t>Pamatlīdzekļi sākotnēji atzīti to iegādes vai izveidošanas izmaksu vērtībā, kas ietver attiecīgā aktīva pirkšanas cenu un visas izmaksas, kas tieši attiecas uz iegādāto vai izveidoto objektu līdz dienai, kad tas nodots lietošanā.</w:t>
      </w:r>
    </w:p>
    <w:p w14:paraId="5DDDD8C5" w14:textId="77777777" w:rsidR="00954F0C" w:rsidRPr="00A27896" w:rsidRDefault="00954F0C" w:rsidP="00954F0C">
      <w:pPr>
        <w:pStyle w:val="Apakvirsraksti"/>
        <w:numPr>
          <w:ilvl w:val="0"/>
          <w:numId w:val="0"/>
        </w:numPr>
        <w:spacing w:before="0" w:after="120" w:line="240" w:lineRule="auto"/>
        <w:ind w:firstLine="284"/>
        <w:jc w:val="both"/>
        <w:rPr>
          <w:b w:val="0"/>
          <w:iCs/>
          <w:color w:val="17365D"/>
        </w:rPr>
      </w:pPr>
      <w:r w:rsidRPr="00A27896">
        <w:rPr>
          <w:b w:val="0"/>
          <w:color w:val="17365D"/>
        </w:rPr>
        <w:t xml:space="preserve">Sākotnēji atzīstot līdz šim neuzskaitītus </w:t>
      </w:r>
      <w:r w:rsidRPr="00A27896">
        <w:rPr>
          <w:b w:val="0"/>
          <w:iCs/>
          <w:color w:val="17365D"/>
        </w:rPr>
        <w:t>pamatlīdzekļus</w:t>
      </w:r>
      <w:r w:rsidRPr="00A27896">
        <w:rPr>
          <w:b w:val="0"/>
          <w:color w:val="17365D"/>
        </w:rPr>
        <w:t xml:space="preserve">, tie novērtēti patiesajā vērtībā, zeme un būves – galvenokārt kadastrālajā vērtībā, mežaudzes – Meža valsts reģistrā norādītajā pilnajā vērtībā. </w:t>
      </w:r>
    </w:p>
    <w:p w14:paraId="22D1DD8D" w14:textId="77777777" w:rsidR="00954F0C" w:rsidRPr="00A27896" w:rsidRDefault="00954F0C" w:rsidP="00954F0C">
      <w:pPr>
        <w:pStyle w:val="tv2131"/>
        <w:spacing w:after="120" w:line="240" w:lineRule="auto"/>
        <w:ind w:firstLine="284"/>
        <w:jc w:val="both"/>
        <w:rPr>
          <w:color w:val="17365D"/>
          <w:sz w:val="24"/>
          <w:szCs w:val="24"/>
        </w:rPr>
      </w:pPr>
      <w:r w:rsidRPr="00A27896">
        <w:rPr>
          <w:iCs/>
          <w:color w:val="17365D"/>
          <w:sz w:val="24"/>
          <w:szCs w:val="24"/>
        </w:rPr>
        <w:t xml:space="preserve">Pamatlīdzekļu nolietojumu aprēķina atbilstoši to paredzamajam lietderīgās lietošanas laikam un ievērojot MK noteikumos Nr. 87 noteiktās pamatlīdzekļu nolietojuma normas, sākotnējo vērtību sadalot pa periodiem (lineārā metode), uzskaitot kā uzkrāto nolietojumu un </w:t>
      </w:r>
      <w:r w:rsidRPr="00A27896">
        <w:rPr>
          <w:color w:val="17365D"/>
          <w:sz w:val="24"/>
          <w:szCs w:val="24"/>
        </w:rPr>
        <w:t>atzīstot pārskata perioda pamatdarbības izdevumos. Ilgtermiņa ieguldījumiem nomātajos pamatlīdzekļos lietderīgās lietošanas laiks noteikts atbilstoši noslēgtā nomas, īres vai apsaimniekošanas līguma darbības termiņam.</w:t>
      </w:r>
    </w:p>
    <w:p w14:paraId="682D37D9"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Pārskata perioda beigās novērtē, vai nepastāv vismaz šādas pazīmes, kas norāda uz pamatlīdzekļu vērtības būtisku samazinājumu:</w:t>
      </w:r>
    </w:p>
    <w:p w14:paraId="29C46091" w14:textId="38DA6F48"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vismaz par 90 procentiem</w:t>
      </w:r>
      <w:r w:rsidR="00D50D19" w:rsidRPr="00A27896">
        <w:rPr>
          <w:color w:val="17365D"/>
          <w:sz w:val="24"/>
          <w:szCs w:val="24"/>
        </w:rPr>
        <w:t xml:space="preserve"> </w:t>
      </w:r>
      <w:r w:rsidRPr="00A27896">
        <w:rPr>
          <w:color w:val="17365D"/>
          <w:sz w:val="24"/>
          <w:szCs w:val="24"/>
        </w:rPr>
        <w:t xml:space="preserve">samazinājies vai nepastāv pieprasījums pēc pakalpojuma, kuru sniedz budžeta iestāde, lietojot attiecīgo pamatlīdzekli; </w:t>
      </w:r>
    </w:p>
    <w:p w14:paraId="6DB96141"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 xml:space="preserve">pieņemts valdības vai pašvaldības lēmums, kas rada būtiskas negatīvas izmaiņas budžeta iestādes darbībā; </w:t>
      </w:r>
    </w:p>
    <w:p w14:paraId="7BD4FEDC"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 xml:space="preserve">pamatlīdzeklis ir novecojis vai fiziski bojāts; </w:t>
      </w:r>
    </w:p>
    <w:p w14:paraId="35422EB1"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 xml:space="preserve">budžeta iestādes darbībā notikušas vai tuvākajā laikā gaidāmas ilgtermiņa izmaiņas, kas negatīvi ietekmē pamatlīdzekļa paredzēto lietojumu; </w:t>
      </w:r>
    </w:p>
    <w:p w14:paraId="4705FE03"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pieņemts lēmums apturēt pamatlīdzekļa izveidošanu pirms tā pabeigšanas vai nodošanas lietošanā.</w:t>
      </w:r>
    </w:p>
    <w:p w14:paraId="4BEE9E64" w14:textId="064EC990"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Ja konstatē kādu no iepriekš minētajām pazīmēm, budžeta iestāde nosaka aktīva atgūstamo vērtību. Ja atgūstamo vērtību nav iespējams noteikt, aktīva vērtības samazinājumu nenosaka.</w:t>
      </w:r>
    </w:p>
    <w:p w14:paraId="1C3F5259" w14:textId="77777777" w:rsidR="00954F0C" w:rsidRPr="00A27896" w:rsidRDefault="00954F0C" w:rsidP="00954F0C">
      <w:pPr>
        <w:pStyle w:val="Apakvirsraksti"/>
        <w:numPr>
          <w:ilvl w:val="0"/>
          <w:numId w:val="0"/>
        </w:numPr>
        <w:spacing w:before="0" w:after="120" w:line="240" w:lineRule="auto"/>
        <w:ind w:firstLine="284"/>
        <w:jc w:val="both"/>
        <w:rPr>
          <w:b w:val="0"/>
          <w:iCs/>
          <w:color w:val="17365D"/>
        </w:rPr>
      </w:pPr>
      <w:r w:rsidRPr="00A27896">
        <w:rPr>
          <w:b w:val="0"/>
          <w:iCs/>
          <w:color w:val="17365D"/>
        </w:rPr>
        <w:lastRenderedPageBreak/>
        <w:t>Zemei, bioloģiskiem un pazemes aktīviem, bibliotēku fondiem, kultūras un mākslas priekšmetiem, muzeju krājuma priekšmetiem,</w:t>
      </w:r>
      <w:r w:rsidRPr="00A27896">
        <w:rPr>
          <w:iCs/>
          <w:color w:val="17365D"/>
        </w:rPr>
        <w:t xml:space="preserve"> </w:t>
      </w:r>
      <w:r w:rsidRPr="00A27896">
        <w:rPr>
          <w:b w:val="0"/>
          <w:iCs/>
          <w:color w:val="17365D"/>
        </w:rPr>
        <w:t>dārgakmeņiem, dārgmetāliem un to izstrādājumiem, vērtslietām un valsts aizsargājamo kultūras pieminekļu sarakstā iekļautiem kultūras pieminekļiem, kurus nelieto ikdienā, nolietojumu neaprēķina.</w:t>
      </w:r>
    </w:p>
    <w:p w14:paraId="4446E903"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Finanšu nomas (līzinga), kā arī publiskās un privātās partnerības darījumos iegādātos pamatlīdzekļus uzskaita tāpat kā budžeta iestādes īpašumā vai valdījumā esošos pamatlīdzekļus un nolietojumu aprēķina atbilstoši tādiem pašiem noteikumiem, kādi piemērojami pārējiem īpašumā esošiem tās pašas grupas aktīviem.</w:t>
      </w:r>
    </w:p>
    <w:p w14:paraId="6F65F945" w14:textId="77777777" w:rsidR="00954F0C" w:rsidRPr="00A27896" w:rsidRDefault="00954F0C" w:rsidP="00954F0C">
      <w:pPr>
        <w:spacing w:after="120" w:line="240" w:lineRule="auto"/>
        <w:ind w:firstLine="284"/>
        <w:jc w:val="both"/>
        <w:rPr>
          <w:rFonts w:cs="Times New Roman"/>
          <w:iCs/>
          <w:color w:val="17365D"/>
        </w:rPr>
      </w:pPr>
      <w:r w:rsidRPr="00A27896">
        <w:rPr>
          <w:rFonts w:cs="Times New Roman"/>
          <w:iCs/>
          <w:color w:val="17365D"/>
        </w:rPr>
        <w:t>Likvidētie vai iznīcinātie pamatlīdzekļi izslēgti no uzskaites, atzīstot pārējos izdevumus.</w:t>
      </w:r>
    </w:p>
    <w:p w14:paraId="3618BC76" w14:textId="77777777" w:rsidR="00954F0C" w:rsidRPr="00A27896" w:rsidRDefault="00954F0C" w:rsidP="00954F0C">
      <w:pPr>
        <w:spacing w:after="120" w:line="240" w:lineRule="auto"/>
        <w:ind w:firstLine="284"/>
        <w:jc w:val="both"/>
        <w:rPr>
          <w:rFonts w:cs="Times New Roman"/>
          <w:iCs/>
          <w:color w:val="17365D"/>
        </w:rPr>
      </w:pPr>
      <w:r w:rsidRPr="00A27896">
        <w:rPr>
          <w:rFonts w:cs="Times New Roman"/>
          <w:iCs/>
          <w:color w:val="17365D"/>
        </w:rPr>
        <w:t>Atsavināšanai (izņemot nodošanu bez atlīdzības) paredzētie pamatlīdzekļi līdz to atsavināšanai uzskaitīti apgrozāmo līdzekļu sastāvā.</w:t>
      </w:r>
    </w:p>
    <w:p w14:paraId="6E02C006" w14:textId="77777777" w:rsidR="00954F0C" w:rsidRPr="00A27896" w:rsidRDefault="00954F0C" w:rsidP="00954F0C">
      <w:pPr>
        <w:spacing w:after="120" w:line="240" w:lineRule="auto"/>
        <w:ind w:firstLine="284"/>
        <w:jc w:val="both"/>
        <w:rPr>
          <w:rFonts w:eastAsia="Times New Roman" w:cs="Times New Roman"/>
          <w:iCs/>
          <w:color w:val="17365D"/>
          <w:szCs w:val="24"/>
        </w:rPr>
      </w:pPr>
      <w:r w:rsidRPr="00A27896">
        <w:rPr>
          <w:rFonts w:eastAsia="Times New Roman" w:cs="Times New Roman"/>
          <w:iCs/>
          <w:color w:val="17365D"/>
          <w:szCs w:val="24"/>
        </w:rPr>
        <w:t>Pamatlīdzekļus uzskaita kā atsavināšanai paredzētus, ja tie pašreizējā stāvoklī ir pieejami tūlītējai atsavināšanai un pakļauti normatīvajos aktos noteiktajiem atsavināšanas nosacījumiem, to lietderīgā lietošana ir pārtraukta un to atsavināšana ir ticama. Pamatlīdzekļu atsavināšanu uzskata par ticamu, ja ir spēkā šādi nosacījumi:</w:t>
      </w:r>
    </w:p>
    <w:p w14:paraId="7A8D991E"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atsavināšana ir pamatota ar normatīvo aktu vai iestādes vadības lēmumu;</w:t>
      </w:r>
    </w:p>
    <w:p w14:paraId="25380651"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atsavināšanas process ir uzsākts;</w:t>
      </w:r>
    </w:p>
    <w:p w14:paraId="715712FC"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ir pārliecība par atsavināšanas procesa pabeigšanu.</w:t>
      </w:r>
    </w:p>
    <w:p w14:paraId="34804B47"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Pamatlīdzekļus, kas paredzēti nodošanai bez atlīdzības citai budžeta iestādei, uzskaita ilgtermiņa ieguldījumu sastāvā līdz to izslēgšanai no uzskaites.</w:t>
      </w:r>
    </w:p>
    <w:p w14:paraId="38D4B4D7"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Budžeta iestāde, bez atlīdzības nododot pamatlīdzekli citai budžeta iestādei, atzīst pārējos izdevumus pamatlīdzekļa atlikušajā vērtībā, kas veidojas, no pamatlīdzekļa sākotnējās uzskaites vērtības atskaitot vērtības samazinājumu un nolietojumu.</w:t>
      </w:r>
    </w:p>
    <w:p w14:paraId="532A71F9" w14:textId="77777777" w:rsidR="00954F0C" w:rsidRPr="00A27896" w:rsidRDefault="00954F0C" w:rsidP="00954F0C">
      <w:pPr>
        <w:spacing w:after="120" w:line="240" w:lineRule="auto"/>
        <w:ind w:firstLine="284"/>
        <w:jc w:val="both"/>
        <w:rPr>
          <w:rFonts w:cs="Times New Roman"/>
          <w:color w:val="17365D"/>
          <w:szCs w:val="24"/>
        </w:rPr>
      </w:pPr>
      <w:r w:rsidRPr="00A27896">
        <w:rPr>
          <w:rFonts w:eastAsia="Times New Roman" w:cs="Times New Roman"/>
          <w:color w:val="17365D"/>
          <w:szCs w:val="24"/>
          <w:lang w:eastAsia="lv-LV"/>
        </w:rPr>
        <w:t xml:space="preserve">Budžeta iestādes īpašumā un valdījumā esošus valsts un pašvaldību īpašumus nododot turējumā valsts vai pašvaldību kapitālsabiedrībām, ostu pārvaldēm vai atvasinātām publiskām personām, uzskaita to sākotnējo vērtību un uzkrāto nolietojumu atsevišķos kontos pamatlīdzekļu sastāvā un turpina aprēķināt nolietojumu pamatlīdzekļu atlikušajā lietderīgās lietošanas laikā atbilstoši </w:t>
      </w:r>
      <w:r w:rsidRPr="00A27896">
        <w:rPr>
          <w:rFonts w:cs="Times New Roman"/>
          <w:iCs/>
          <w:color w:val="17365D"/>
          <w:szCs w:val="24"/>
        </w:rPr>
        <w:t>MK noteikumos Nr. 87</w:t>
      </w:r>
      <w:r w:rsidRPr="00A27896">
        <w:rPr>
          <w:rFonts w:eastAsia="Times New Roman" w:cs="Times New Roman"/>
          <w:color w:val="17365D"/>
          <w:szCs w:val="24"/>
          <w:lang w:eastAsia="lv-LV"/>
        </w:rPr>
        <w:t xml:space="preserve"> noteiktajām pamatlīdzekļu nolietojuma normām un to piemērošanas nosacījumiem.</w:t>
      </w:r>
    </w:p>
    <w:p w14:paraId="1E633D71"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Budžeta iestāde, veicot kapitālos ieguldījumus valsts un pašvaldību īpašumos, kas nodoti turējumā valsts vai pašvaldību kapitālsabiedrībām, ostu pārvaldēm vai atvasinātām publiskām personām, palielina to sākotnējo vērtību par valsts vai pašvaldību kapitālo ieguldījumu daļu. Budžeta iestāde savā uzskaitē neatzīst kapitālsabiedrību, ostu pārvalžu vai atvasināto publisko personu veiktos kapitālos ieguldījumus no budžeta iestādes turējumā saņemtajos īpašumos.</w:t>
      </w:r>
    </w:p>
    <w:p w14:paraId="6038E5AD" w14:textId="77777777" w:rsidR="00954F0C" w:rsidRPr="00A27896" w:rsidRDefault="00954F0C" w:rsidP="00FD10CC">
      <w:pPr>
        <w:pStyle w:val="Heading3"/>
      </w:pPr>
      <w:bookmarkStart w:id="27" w:name="_Toc42846497"/>
      <w:r w:rsidRPr="00A27896">
        <w:t>Ieguldījuma īpašumi</w:t>
      </w:r>
      <w:bookmarkEnd w:id="27"/>
    </w:p>
    <w:p w14:paraId="01CFFE96"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Ieguldījuma īpašumu sastāvā uzskaitīta zeme un būves, kas nav paredzētas budžeta iestāžu funkciju izpildes nodrošināšanai, bet tās iznomā ārpus vispārējās valdības institucionālā sektora struktūrām vai to lietošanas mērķis nav noteikts. Šo aktīvu lietderīgās lietošanas laiks ir ilgāks par vienu saimniecisko gadu.</w:t>
      </w:r>
    </w:p>
    <w:p w14:paraId="236660B7"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 xml:space="preserve">Ieguldījuma īpašumu uzskaite atbilst pamatlīdzekļu uzskaites pamatprincipiem. </w:t>
      </w:r>
    </w:p>
    <w:p w14:paraId="29990402"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Ieguldījuma īpašumu vērtības samazinājumu pārskata perioda beigās izvērtē, ja konstatētas vismaz šādas vērtības samazinājuma pazīmes:</w:t>
      </w:r>
    </w:p>
    <w:p w14:paraId="6E3B7BB1"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lastRenderedPageBreak/>
        <w:t>pārskata periodā tehnoloģiskajā, tirgus, ekonomiskajā vai juridiskajā vidē, kurā darbojas budžeta iestāde, vai tirgos, kuros aktīvs tiek izmantots, ir notikušas izmaiņas, kas nelabvēlīgi ietekmē budžeta iestādi;</w:t>
      </w:r>
    </w:p>
    <w:p w14:paraId="32639C08" w14:textId="7789B8AC" w:rsidR="00552663" w:rsidRDefault="00552663" w:rsidP="004E5915">
      <w:pPr>
        <w:pStyle w:val="tv2131"/>
        <w:numPr>
          <w:ilvl w:val="0"/>
          <w:numId w:val="10"/>
        </w:numPr>
        <w:spacing w:after="120" w:line="240" w:lineRule="auto"/>
        <w:ind w:left="851"/>
        <w:jc w:val="both"/>
        <w:rPr>
          <w:color w:val="17365D"/>
          <w:sz w:val="24"/>
          <w:szCs w:val="24"/>
        </w:rPr>
      </w:pPr>
      <w:r w:rsidRPr="00552663">
        <w:rPr>
          <w:color w:val="17365D"/>
          <w:sz w:val="24"/>
          <w:szCs w:val="24"/>
        </w:rPr>
        <w:t>pārskata periodā ir vismaz par vienu procentpunktu palielinājusies diskonta likme, kas lietota, lai aprēķinātu aktīva lietošanas vērtību;</w:t>
      </w:r>
    </w:p>
    <w:p w14:paraId="7B0533A0" w14:textId="167F72CB"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aktīvs ir novecojis vai fiziski bojāts;</w:t>
      </w:r>
    </w:p>
    <w:p w14:paraId="119A8AEC"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budžeta iestādes darbībā notikušas vai tuvākajā laikā gaidāmas ilgtermiņa izmaiņas, kas negatīvi ietekmē aktīva paredzēto lietojumu;</w:t>
      </w:r>
    </w:p>
    <w:p w14:paraId="70D034B5"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pieņemts lēmums apturēt aktīva izveidošanu pirms tā pabeigšanas vai nodošanas lietošanā;</w:t>
      </w:r>
    </w:p>
    <w:p w14:paraId="7E82EDB3"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ar aktīvu saistīto budžetā paredzēto ienākošo un izejošo naudas plūsmu kopsummas vai budžeta izpildes rezultāta samazināšanās vismaz par 50 procentiem.</w:t>
      </w:r>
    </w:p>
    <w:p w14:paraId="7FE5E63B" w14:textId="77777777" w:rsidR="00954F0C" w:rsidRPr="00A27896" w:rsidRDefault="00954F0C" w:rsidP="00FD10CC">
      <w:pPr>
        <w:pStyle w:val="Heading3"/>
      </w:pPr>
      <w:bookmarkStart w:id="28" w:name="_Toc42846498"/>
      <w:r w:rsidRPr="00A27896">
        <w:t>Bioloģiskie aktīvi lauksaimnieciskai darbībai</w:t>
      </w:r>
      <w:bookmarkEnd w:id="28"/>
    </w:p>
    <w:p w14:paraId="31BE6F87"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Bioloģiskie aktīvi lauksaimnieciskai darbībai paredzēti budžeta iestādes plānveida darbībai lauksaimniecībā, zivsaimniecībā un mežsaimniecībā ieņēmumu gūšanai. Šo aktīvu lietderīgās lietošanas laiks ir ilgāks par vienu saimniecisko gadu un tos klasificē ilgtermiņa ieguldījumu sastāvā neatkarīgi no normatīvajos aktos budžeta izdevumu klasifikāciju jomā noteiktās vienas aktīva vienības atzīšanas vērtības.</w:t>
      </w:r>
    </w:p>
    <w:p w14:paraId="71C95EE3"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Bioloģiskos aktīvus sākotnēji atzīst to iegādes vai izveidošanas izmaksu vērtībā. Sākotnēji atzīstot līdz šim neuzskaitītus bioloģiskos aktīvus, tie novērtēti patiesajā vērtībā, mežaudzes –Meža valsts reģistrā norādītajā pilnajā vērtībā.</w:t>
      </w:r>
    </w:p>
    <w:p w14:paraId="554A2A4B"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Pārskata gada beigās mežaudzes novērtētas aktuālajā Meža valsts reģistrā norādītajā pilnajā vērtībā, bet pārējie bioloģiskie aktīvi novērti patiesajā vērtībā, atskaitot atsavināšanas izmaksas.</w:t>
      </w:r>
    </w:p>
    <w:p w14:paraId="19455498"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Starpība starp bioloģisko aktīvu uzskaites vērtību pārskata gada beigās un sākotnējo vērtību vai uzskaites vērtību iepriekšējā pārskata gada beigās iekļauta pārskata perioda pamatdarbības ieņēmumos vai izdevumos.</w:t>
      </w:r>
    </w:p>
    <w:p w14:paraId="13CAFA6D" w14:textId="77777777" w:rsidR="00954F0C" w:rsidRPr="00A27896" w:rsidRDefault="00954F0C" w:rsidP="00FD10CC">
      <w:pPr>
        <w:pStyle w:val="Heading3"/>
      </w:pPr>
      <w:bookmarkStart w:id="29" w:name="_Toc42846499"/>
      <w:r w:rsidRPr="00A27896">
        <w:t>Finanšu ieguldījumi (ilgtermiņa un īstermiņa)</w:t>
      </w:r>
      <w:bookmarkEnd w:id="29"/>
    </w:p>
    <w:p w14:paraId="6CF5EBB4"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Finanšu ieguldījumu sastāvā uzskaita valsts un pašvaldību finanšu ieguldījumus kapitālsabiedrību, starptautisko un citu organizāciju kapitālā un vērtspapīros, aizdevumus, noguldījumus, samaksātos avansus par finanšu ieguldījumiem. Šajā postenī uzskaitīti arī valsts fondēto pensiju shēmas līdzekļi un pārņemtie valsts budžeta debitori, kas saistīti ar izsniegtajiem aizdevumiem.</w:t>
      </w:r>
    </w:p>
    <w:p w14:paraId="31605CDD"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Budžeta iestādes īpašumā un valdījumā esošus valsts un pašvaldību īpašumus nododot turējumā valsts vai pašvaldību kapitālsabiedrībām, ostu pārvaldēm vai atvasinātām publiskām personām, to vērtību uzskaita atsevišķos kontos finanšu ieguldījumu sastāvā. Šajā postenī uzrāda privatizācijai vai atsavināšanai nodotos valsts īpašumus un kapitāla daļas, kuru īpašuma tiesības zemesgrāmatā vai kapitālsabiedrības dalībnieku (akcionāru) reģistrā ir reģistrētas uz valsts vārda privatizāciju (atsavināšanu) veicošās institūcijas personā, un nekustamos īpašumus, kuri nodoti privatizācijai vai atsavināšanai un kurus privatizāciju (atsavināšanu) veicošā institūcija ir ņēmusi valdījumā, bet kuru īpašuma tiesības vēl nav nostiprinātas zemesgrāmatā.</w:t>
      </w:r>
    </w:p>
    <w:p w14:paraId="58D76985" w14:textId="77777777" w:rsidR="00954F0C" w:rsidRPr="00A27896" w:rsidRDefault="00954F0C" w:rsidP="00954F0C">
      <w:pPr>
        <w:pStyle w:val="tv2131"/>
        <w:spacing w:after="120" w:line="240" w:lineRule="auto"/>
        <w:ind w:firstLine="284"/>
        <w:jc w:val="both"/>
        <w:rPr>
          <w:color w:val="17365D"/>
          <w:sz w:val="24"/>
          <w:szCs w:val="24"/>
        </w:rPr>
      </w:pPr>
      <w:r w:rsidRPr="00A27896">
        <w:rPr>
          <w:color w:val="17365D"/>
          <w:sz w:val="24"/>
          <w:szCs w:val="24"/>
        </w:rPr>
        <w:t>Finanšu ieguldījumus sākotnēji atzīst to rašanās dienā un novērtē patiesajā vērtībā atbilstoši iegādes izmaksām.</w:t>
      </w:r>
    </w:p>
    <w:p w14:paraId="5AF7E7FC" w14:textId="77777777" w:rsidR="00954F0C" w:rsidRPr="00A27896" w:rsidRDefault="00954F0C" w:rsidP="00954F0C">
      <w:pPr>
        <w:pStyle w:val="tv2131"/>
        <w:spacing w:after="120" w:line="240" w:lineRule="auto"/>
        <w:ind w:firstLine="284"/>
        <w:jc w:val="both"/>
        <w:rPr>
          <w:color w:val="17365D"/>
          <w:sz w:val="24"/>
          <w:szCs w:val="24"/>
        </w:rPr>
      </w:pPr>
      <w:r w:rsidRPr="00A27896">
        <w:rPr>
          <w:color w:val="17365D"/>
          <w:sz w:val="24"/>
          <w:szCs w:val="24"/>
        </w:rPr>
        <w:lastRenderedPageBreak/>
        <w:t>Finanšu ieguldījumus, kas klasificēti kā finanšu instrumenti, pēc sākotnējās atzīšanas uzskaita atbilstoši finanšu instrumentu uzskaites pamatprincipiem, kas detalizētāk aprakstīti sadaļā “Finanšu instrumentu klasifikācija, uzskaite un novērtēšana”.</w:t>
      </w:r>
    </w:p>
    <w:p w14:paraId="738B9220" w14:textId="77777777" w:rsidR="00954F0C" w:rsidRPr="00A27896" w:rsidRDefault="00954F0C" w:rsidP="00954F0C">
      <w:pPr>
        <w:pStyle w:val="tv2131"/>
        <w:spacing w:after="120" w:line="240" w:lineRule="auto"/>
        <w:ind w:firstLine="284"/>
        <w:jc w:val="both"/>
        <w:rPr>
          <w:color w:val="17365D"/>
          <w:szCs w:val="24"/>
        </w:rPr>
      </w:pPr>
      <w:r w:rsidRPr="00A27896">
        <w:rPr>
          <w:color w:val="17365D"/>
          <w:sz w:val="24"/>
          <w:szCs w:val="24"/>
        </w:rPr>
        <w:t>Finanšu ieguldījumus, kas nav klasificēti kā finanšu instrumenti, pēc sākotnējās atzīšanas uzskaita izmaksu vērtībā un pārskata perioda beigās nosaka vērtības samazinājumu, ja pastāv attiecīgas pazīmes.</w:t>
      </w:r>
      <w:r w:rsidRPr="00A27896" w:rsidDel="005D39C9">
        <w:rPr>
          <w:color w:val="17365D"/>
          <w:szCs w:val="24"/>
        </w:rPr>
        <w:t xml:space="preserve"> </w:t>
      </w:r>
    </w:p>
    <w:p w14:paraId="4C71BED3" w14:textId="0B7FF02B" w:rsidR="00954F0C" w:rsidRPr="00A27896" w:rsidRDefault="00954F0C" w:rsidP="00FD10CC">
      <w:pPr>
        <w:pStyle w:val="Heading3"/>
      </w:pPr>
      <w:bookmarkStart w:id="30" w:name="_Toc42846500"/>
      <w:r w:rsidRPr="00A27896">
        <w:t>Ieguldījumu radniecīgo un asociēto kapitālsabiedrību kapitālā uzskaite un novērtēšana (ilgtermiņa un īstermiņa)</w:t>
      </w:r>
      <w:bookmarkEnd w:id="30"/>
    </w:p>
    <w:p w14:paraId="42B27F64" w14:textId="77777777" w:rsidR="00954F0C" w:rsidRPr="00A27896" w:rsidRDefault="00954F0C" w:rsidP="00954F0C">
      <w:pPr>
        <w:spacing w:after="120" w:line="240" w:lineRule="auto"/>
        <w:ind w:firstLine="284"/>
        <w:jc w:val="both"/>
        <w:rPr>
          <w:rFonts w:cs="Times New Roman"/>
          <w:b/>
          <w:iCs/>
          <w:color w:val="17365D"/>
        </w:rPr>
      </w:pPr>
      <w:r w:rsidRPr="00A27896">
        <w:rPr>
          <w:rFonts w:cs="Times New Roman"/>
          <w:color w:val="17365D"/>
          <w:szCs w:val="24"/>
        </w:rPr>
        <w:t>Finanšu ieguldījumus kapitālsabiedrību kapitālā klasificē kā līdzdalību radniecīgās kapitālsabiedrībās, ja valstij un pašvaldībām kopā pieder vairāk par 50 procentu balsstiesību, vai līdzdalību asociētās kapitālsabiedrībās, ja valstij un pašvaldībām kopā pieder 20-50 procentu balsstiesību. Līdzdalību radniecīgo un asociēto kapitālsabiedrību kapitālā novērtē un uzskaita saskaņā ar pašu kapitāla metodi.</w:t>
      </w:r>
      <w:r w:rsidRPr="00A27896">
        <w:rPr>
          <w:rFonts w:cs="Times New Roman"/>
          <w:b/>
          <w:iCs/>
          <w:color w:val="17365D"/>
        </w:rPr>
        <w:t xml:space="preserve"> </w:t>
      </w:r>
    </w:p>
    <w:p w14:paraId="54CDF7E4"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Budžeta iestāžu ilgtermiņa finanšu ieguldījumi pārējo kapitālsabiedrību kapitālā, kur budžeta iestādei pieder 20 procenti un mazāk balsstiesību, bet valstij un pašvaldībām kopā pieder vairāk par 20 procentiem balsstiesību, finanšu pārskatā pārskata perioda sākumā un beigās pārrēķināti, pielietojot pašu kapitāla metodi.</w:t>
      </w:r>
    </w:p>
    <w:p w14:paraId="7CABDA7D" w14:textId="3442F05C"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Pārskata gadā </w:t>
      </w:r>
      <w:r w:rsidR="00CB289A">
        <w:rPr>
          <w:rFonts w:cs="Times New Roman"/>
          <w:color w:val="17365D"/>
          <w:szCs w:val="24"/>
        </w:rPr>
        <w:t>paziņotās</w:t>
      </w:r>
      <w:r w:rsidRPr="00A27896">
        <w:rPr>
          <w:rFonts w:cs="Times New Roman"/>
          <w:color w:val="17365D"/>
          <w:szCs w:val="24"/>
        </w:rPr>
        <w:t xml:space="preserve">, bet nesaņemtās dividendes </w:t>
      </w:r>
      <w:r w:rsidR="00CB289A">
        <w:rPr>
          <w:rFonts w:cs="Times New Roman"/>
          <w:color w:val="17365D"/>
          <w:szCs w:val="24"/>
        </w:rPr>
        <w:t>uzskaitītas, samazinot ilgtermiņa ieguldījuma vērtību.</w:t>
      </w:r>
    </w:p>
    <w:p w14:paraId="67E9E67E" w14:textId="77777777" w:rsidR="00954F0C" w:rsidRPr="00A27896" w:rsidRDefault="00954F0C" w:rsidP="00FD10CC">
      <w:pPr>
        <w:pStyle w:val="Heading3"/>
      </w:pPr>
      <w:bookmarkStart w:id="31" w:name="_Toc42846501"/>
      <w:r w:rsidRPr="00A27896">
        <w:t>Aizdevumu uzskaite un novērtēšana (ilgtermiņa un īstermiņa)</w:t>
      </w:r>
      <w:bookmarkEnd w:id="31"/>
    </w:p>
    <w:p w14:paraId="133C5DFF"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Valsts un pašvaldību aizdevumi kapitālsabiedrībām, privātpersonām, biedrībām un nodibinājumiem klasificēti finanšu instrumentu kategorijā “Aizdevumi un prasības”. </w:t>
      </w:r>
    </w:p>
    <w:p w14:paraId="0DEEBA89" w14:textId="20D88779"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Finanšu pārskatā konsolidēti valsts budžeta finanšu uzskaitē iekļautie valsts aizdevumi pašvaldībām, studējošo un studiju kreditēšanas programmas izpildītājiem </w:t>
      </w:r>
      <w:r w:rsidR="007D18AF" w:rsidRPr="00A27896">
        <w:rPr>
          <w:rFonts w:cs="Times New Roman"/>
          <w:color w:val="17365D"/>
          <w:szCs w:val="24"/>
        </w:rPr>
        <w:t xml:space="preserve">un </w:t>
      </w:r>
      <w:r w:rsidRPr="00A27896">
        <w:rPr>
          <w:rFonts w:cs="Times New Roman"/>
          <w:color w:val="17365D"/>
          <w:szCs w:val="24"/>
        </w:rPr>
        <w:t>valsts budžeta daļēji finansētām atvasinātām publiskajām personām.</w:t>
      </w:r>
    </w:p>
    <w:p w14:paraId="1A76C468" w14:textId="77777777" w:rsidR="00954F0C" w:rsidRPr="00A27896" w:rsidRDefault="00954F0C" w:rsidP="00FD10CC">
      <w:pPr>
        <w:pStyle w:val="Heading3"/>
      </w:pPr>
      <w:bookmarkStart w:id="32" w:name="_Toc42846502"/>
      <w:r w:rsidRPr="00A27896">
        <w:t>Ieguldījumi vērtspapīros (ilgtermiņa un īstermiņa)</w:t>
      </w:r>
      <w:bookmarkEnd w:id="32"/>
    </w:p>
    <w:p w14:paraId="59598AD1" w14:textId="38F1F9A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Šajā bilances postenī uzskaita iegādātos ilgtermiņa un īstermiņa vērtspapīrus.</w:t>
      </w:r>
    </w:p>
    <w:p w14:paraId="5B2F673D"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Vērtspapīri klasificēti finanšu instrumentu kategorijā “Līdz termiņa beigām turēti ieguldījumi”. </w:t>
      </w:r>
    </w:p>
    <w:p w14:paraId="3CC1655F" w14:textId="77777777" w:rsidR="00954F0C" w:rsidRPr="00A27896" w:rsidRDefault="00954F0C" w:rsidP="00FD10CC">
      <w:pPr>
        <w:pStyle w:val="Heading3"/>
      </w:pPr>
      <w:bookmarkStart w:id="33" w:name="_Toc42846503"/>
      <w:r w:rsidRPr="00A27896">
        <w:t>Noguldījumu uzskaite (ilgtermiņa un īstermiņa)</w:t>
      </w:r>
      <w:bookmarkEnd w:id="33"/>
    </w:p>
    <w:p w14:paraId="625AB12C" w14:textId="2DF0C07E"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Noguldījumu sastāvā uzskaitīti Valsts kases uz laiku brīvo finanšu līdzekļu ieguldījumi depozītos Latvijas Bankā,</w:t>
      </w:r>
      <w:r w:rsidR="00D50D19" w:rsidRPr="00A27896">
        <w:rPr>
          <w:rFonts w:cs="Times New Roman"/>
          <w:color w:val="17365D"/>
          <w:szCs w:val="24"/>
        </w:rPr>
        <w:t xml:space="preserve"> </w:t>
      </w:r>
      <w:r w:rsidRPr="00A27896">
        <w:rPr>
          <w:rFonts w:cs="Times New Roman"/>
          <w:color w:val="17365D"/>
          <w:szCs w:val="24"/>
        </w:rPr>
        <w:t xml:space="preserve">kredītiestādēs un ārvalstu finanšu sabiedrībās, kā arī budžeta iestāžu noguldījumi kredītiestādēs un Valsts kasē, ja to sākotnējais termiņš ir lielāks par 90 dienām. </w:t>
      </w:r>
    </w:p>
    <w:p w14:paraId="4C4BBFA6"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Finanšu pārskatā konsolidēti budžeta iestāžu noguldījumi Valsts kasē.</w:t>
      </w:r>
    </w:p>
    <w:p w14:paraId="110414E8" w14:textId="1DCD3B31"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Noguldījumi klasificēti finanšu instrumentu kategorijā “Līdz termiņa beigām turēti ieguldījumi”.</w:t>
      </w:r>
    </w:p>
    <w:p w14:paraId="64A2B456" w14:textId="748B9A41" w:rsidR="00954F0C" w:rsidRPr="00A27896" w:rsidRDefault="00954F0C" w:rsidP="00FD10CC">
      <w:pPr>
        <w:pStyle w:val="Heading3"/>
      </w:pPr>
      <w:bookmarkStart w:id="34" w:name="_Toc42846504"/>
      <w:r w:rsidRPr="00A27896">
        <w:t>Finanšu ieguldījumu kapitālsabiedrību un starptautisko organizāciju kapitālā, kur valstij un pašvaldībām pieder 20 procenti un mazāk balsstiesību, uzskaite</w:t>
      </w:r>
      <w:bookmarkEnd w:id="34"/>
    </w:p>
    <w:p w14:paraId="50ED3FF3" w14:textId="67BBEA8B" w:rsidR="00954F0C" w:rsidRDefault="00954F0C" w:rsidP="00954F0C">
      <w:pPr>
        <w:spacing w:after="120" w:line="240" w:lineRule="auto"/>
        <w:ind w:firstLine="284"/>
        <w:jc w:val="both"/>
        <w:rPr>
          <w:rFonts w:cs="Times New Roman"/>
          <w:color w:val="17365D"/>
        </w:rPr>
      </w:pPr>
      <w:r w:rsidRPr="00A27896">
        <w:rPr>
          <w:rFonts w:cs="Times New Roman"/>
          <w:color w:val="17365D"/>
        </w:rPr>
        <w:t>Finanšu ieguldījumi kapitālsabiedrību un starptautisko organizāciju kapitālā, kur valstij un pašvaldībām pieder 20 procenti un mazāk balsstiesību, klasificēti finanšu instrumentu kategorijā “Pārdošanai pieejami finanšu aktīvi”.</w:t>
      </w:r>
    </w:p>
    <w:p w14:paraId="38BB3F05" w14:textId="783BF4BC" w:rsidR="00954F0C" w:rsidRPr="00A27896" w:rsidRDefault="00954F0C" w:rsidP="00FD10CC">
      <w:pPr>
        <w:pStyle w:val="Heading3"/>
      </w:pPr>
      <w:r w:rsidRPr="00A27896">
        <w:lastRenderedPageBreak/>
        <w:t>Valsts fondēto pensiju shēmas līdzekļi</w:t>
      </w:r>
    </w:p>
    <w:p w14:paraId="026D7252" w14:textId="45C53A0C"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Valsts fondēto pensiju shēmas dalībnieka ieguldījuma plāna līdzekļus un uzkrāto kapitālu uzskaita pārējo ilgtermiņa finanšu ieguldījumu sastāvā, atbilstoši to vērtībai ieguldīšanas brīdī, vērtības izmaiņām, dzēšot ieguldījuma plāna daļu pensijas pieprasīšanas vai shēmas dalībnieka nāves un citos gadījumos, un pārskata gada beigās atbilstoši līdzekļu pārvaldītāju sniegtai informācijai.</w:t>
      </w:r>
    </w:p>
    <w:p w14:paraId="3BC75C8D" w14:textId="77777777" w:rsidR="00954F0C" w:rsidRPr="00A27896" w:rsidRDefault="00954F0C" w:rsidP="00FD10CC">
      <w:pPr>
        <w:pStyle w:val="Heading3"/>
      </w:pPr>
      <w:bookmarkStart w:id="35" w:name="_Toc42846505"/>
      <w:r w:rsidRPr="00A27896">
        <w:t>Krājumi</w:t>
      </w:r>
      <w:bookmarkEnd w:id="35"/>
    </w:p>
    <w:p w14:paraId="6A365FDE" w14:textId="5FCE6069"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Krājumos uzskaitīti budžeta iestāžu īstermiņa materiāli lietiskie aktīvi, kas paredzēti to darbības nodrošināšanai, atsavināšanai un materiālu vai izejvielu veidā iesaistīti vai tiks izlietoti saimnieciskās darbības procesā. Krājumu sastāvā uzskaita arī inventāru, kura vērtība ir līdz 500 </w:t>
      </w:r>
      <w:r w:rsidRPr="00A27896">
        <w:rPr>
          <w:rFonts w:cs="Times New Roman"/>
          <w:i/>
          <w:color w:val="17365D"/>
          <w:szCs w:val="24"/>
        </w:rPr>
        <w:t>euro</w:t>
      </w:r>
      <w:r w:rsidRPr="00A27896">
        <w:rPr>
          <w:rFonts w:cs="Times New Roman"/>
          <w:color w:val="17365D"/>
          <w:szCs w:val="24"/>
        </w:rPr>
        <w:t xml:space="preserve"> par vienību, ieskaitot ar pirkuma iegādi, piegādi un ar uzstādīšanu saistītos izdevumus, neatkarīgi no tā kalpošanas ilguma, atsavināšanai paredzētos ilgtermiņa ieguldījumus </w:t>
      </w:r>
      <w:r w:rsidRPr="00A27896">
        <w:rPr>
          <w:rFonts w:cs="Times New Roman"/>
          <w:iCs/>
          <w:color w:val="17365D"/>
          <w:szCs w:val="24"/>
        </w:rPr>
        <w:t>(izņemot nodošanu bez atlīdzības</w:t>
      </w:r>
      <w:r w:rsidRPr="00A27896">
        <w:rPr>
          <w:rFonts w:cs="Times New Roman"/>
          <w:color w:val="17365D"/>
          <w:szCs w:val="24"/>
        </w:rPr>
        <w:t xml:space="preserve"> </w:t>
      </w:r>
      <w:r w:rsidRPr="00A27896">
        <w:rPr>
          <w:rFonts w:cs="Times New Roman"/>
          <w:iCs/>
          <w:color w:val="17365D"/>
          <w:szCs w:val="24"/>
        </w:rPr>
        <w:t xml:space="preserve">citai budžeta iestādei), </w:t>
      </w:r>
      <w:r w:rsidRPr="00A27896">
        <w:rPr>
          <w:rFonts w:cs="Times New Roman"/>
          <w:color w:val="17365D"/>
          <w:szCs w:val="24"/>
        </w:rPr>
        <w:t xml:space="preserve">valsts </w:t>
      </w:r>
      <w:r w:rsidR="00CB289A">
        <w:rPr>
          <w:rFonts w:cs="Times New Roman"/>
          <w:color w:val="17365D"/>
          <w:szCs w:val="24"/>
        </w:rPr>
        <w:t>materiālās</w:t>
      </w:r>
      <w:r w:rsidR="00CB289A" w:rsidRPr="00A27896">
        <w:rPr>
          <w:rFonts w:cs="Times New Roman"/>
          <w:color w:val="17365D"/>
          <w:szCs w:val="24"/>
        </w:rPr>
        <w:t xml:space="preserve"> </w:t>
      </w:r>
      <w:r w:rsidRPr="00A27896">
        <w:rPr>
          <w:rFonts w:cs="Times New Roman"/>
          <w:color w:val="17365D"/>
          <w:szCs w:val="24"/>
        </w:rPr>
        <w:t>rezerves un militāro inventāru Nacionālo bruņoto spēku militāro uzdevumu un ar tiem saistīto apmācību izpildes nodrošināšanai un militāro spēju attīstīšanai</w:t>
      </w:r>
      <w:r w:rsidR="00706534" w:rsidRPr="00A27896">
        <w:rPr>
          <w:rFonts w:cs="Times New Roman"/>
          <w:color w:val="17365D"/>
          <w:szCs w:val="24"/>
        </w:rPr>
        <w:t xml:space="preserve">, kā arī valstij piekritīgo mantu (nekustamo īpašumu), kuras uzskaiti veic </w:t>
      </w:r>
      <w:r w:rsidR="00980588">
        <w:rPr>
          <w:rFonts w:cs="Times New Roman"/>
          <w:color w:val="17365D"/>
          <w:szCs w:val="24"/>
        </w:rPr>
        <w:t>VID</w:t>
      </w:r>
      <w:r w:rsidR="00706534" w:rsidRPr="00A27896">
        <w:rPr>
          <w:rFonts w:cs="Times New Roman"/>
          <w:color w:val="17365D"/>
          <w:szCs w:val="24"/>
        </w:rPr>
        <w:t xml:space="preserve"> un kurai ir zināma īpašuma kadastrālā vērtība</w:t>
      </w:r>
      <w:r w:rsidRPr="00A27896">
        <w:rPr>
          <w:rFonts w:cs="Times New Roman"/>
          <w:color w:val="17365D"/>
          <w:szCs w:val="24"/>
        </w:rPr>
        <w:t>.</w:t>
      </w:r>
      <w:r w:rsidR="00706534" w:rsidRPr="00A27896">
        <w:rPr>
          <w:rFonts w:cs="Times New Roman"/>
          <w:color w:val="17365D"/>
          <w:szCs w:val="24"/>
        </w:rPr>
        <w:t xml:space="preserve"> Pārējās valstij piekritīgās mantas uzskaiti </w:t>
      </w:r>
      <w:r w:rsidR="00980588">
        <w:rPr>
          <w:rFonts w:cs="Times New Roman"/>
          <w:color w:val="17365D"/>
          <w:szCs w:val="24"/>
        </w:rPr>
        <w:t>VID</w:t>
      </w:r>
      <w:r w:rsidR="00706534" w:rsidRPr="00A27896">
        <w:rPr>
          <w:rFonts w:cs="Times New Roman"/>
          <w:color w:val="17365D"/>
          <w:szCs w:val="24"/>
        </w:rPr>
        <w:t xml:space="preserve"> veic daudzuma vienībās.</w:t>
      </w:r>
    </w:p>
    <w:p w14:paraId="4308C5E7" w14:textId="01248E85"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Budžeta iestādes krājumus sākotnēji novērtē iegādes vai ražošanas pašizmaksā. Bioloģisko aktīvu produktus, kurus budžeta iestāde ieguvusi no saviem bioloģiskajiem aktīviem, sākotnēji novērtē patiesajā vērtībā, atskaitot atsavināšanas izmaksas, krājumu iegūšanas dienā.</w:t>
      </w:r>
      <w:r w:rsidR="00706534" w:rsidRPr="00A27896">
        <w:rPr>
          <w:rFonts w:cs="Times New Roman"/>
          <w:color w:val="17365D"/>
          <w:szCs w:val="24"/>
        </w:rPr>
        <w:t xml:space="preserve"> Valstij piekritīgo nekustamo īpašumu, kurš ir uzskaitē pārskata gada beigās, uzskaita kadastrālajā vērtībā. </w:t>
      </w:r>
    </w:p>
    <w:p w14:paraId="429D0B3B"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Pārskata gada beigās nosaka aizstāšanas izmaksas krājumiem, kas paredzēti iestāžu funkciju nodrošināšanai (izņemot inventāru), izplatīšanai bez maksas vai par minimālu samaksu, kā arī šādu krājumu izgatavošanai, ja tie nav nodoti lietošanā vai izlietoti. Krājumu vērtību koriģē atbilstoši zemākajai vērtībai, salīdzinot krājumu aizstāšanas izmaksas ar šo krājumu iegādes (izmaksu) vērtību. Atsavināšanai trešām personām (izņemot inventāru, izplatīšanai bez maksas vai par minimālu samaksu) paredzētos krājumus saimnieciskā gada beigās novērtē neto pārdošanas vērtībā, ja tā ir zemāka par šo krājumu iegādes (izmaksu) vērtību. Starpību, kas rodas starp iegādes (izmaksu) vērtību un aizstāšanas izmaksām vai neto pārdošanas vērtību, atzīst budžeta iestāžu pārējos izdevumos. Krājumiem, kuri pēc savām funkcijām neatšķiras no pamatlīdzekļiem, bet neatbilst pamatlīdzekļu sākotnējās vērtības atzīšanas kritērijiem (inventārs) un kuri nav nodoti lietošanā, vērtības samazinājumu aprēķina un uzskaita atbilstoši budžeta iestāžu pamatlīdzekļu vērtības samazinājuma noteikšanas nosacījumiem.</w:t>
      </w:r>
    </w:p>
    <w:p w14:paraId="1DC4A7E2"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rPr>
        <w:t>Krājumus noraksta, pielietojot metodi “pirmais iekšā – pirmais ārā” (FIFO). Norakstot izlietoto krājumu vērtību, to atzīst budžeta iestādes pamatdarbības izdevumos periodā, kad tos nodod lietošanā vai faktiski izlieto.</w:t>
      </w:r>
    </w:p>
    <w:p w14:paraId="0ED24E15" w14:textId="025E1E56"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szCs w:val="24"/>
        </w:rPr>
        <w:t>Krājumus atsavinot, likvidējot vai konstatējot to iztrūkumu, to uzskaites vērtību noraksta pārējos izdevumos.</w:t>
      </w:r>
    </w:p>
    <w:p w14:paraId="66362884" w14:textId="60B897F1" w:rsidR="00954F0C" w:rsidRPr="00A27896" w:rsidRDefault="00954F0C" w:rsidP="00BF4C61">
      <w:pPr>
        <w:spacing w:after="120" w:line="240" w:lineRule="auto"/>
        <w:ind w:firstLine="284"/>
        <w:jc w:val="both"/>
        <w:rPr>
          <w:iCs/>
          <w:color w:val="17365D"/>
        </w:rPr>
      </w:pPr>
      <w:r w:rsidRPr="00A27896">
        <w:rPr>
          <w:rFonts w:cs="Times New Roman"/>
          <w:color w:val="17365D"/>
        </w:rPr>
        <w:t>Budžeta iestāžu īpašumā un valdījumā esošo valsts un pašvaldību krājumu, kas nodoti turējumā valsts vai pašvaldību kapitālsabiedrībām, ostu pārvaldēm vai atvasinātām publiskām personām, vērtība uzskaitīta atsevišķos kontos krājumu sastāvā.</w:t>
      </w:r>
    </w:p>
    <w:p w14:paraId="46BD484A" w14:textId="7521B542" w:rsidR="00954F0C" w:rsidRPr="00A27896" w:rsidRDefault="00954F0C" w:rsidP="00FD10CC">
      <w:pPr>
        <w:pStyle w:val="Heading3"/>
      </w:pPr>
      <w:bookmarkStart w:id="36" w:name="_Toc42846506"/>
      <w:r w:rsidRPr="00A27896">
        <w:t>Prasības (norēķini ar debitoriem)</w:t>
      </w:r>
      <w:bookmarkEnd w:id="36"/>
    </w:p>
    <w:p w14:paraId="668B0DC8" w14:textId="42150E50"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Prasību grupā budžeta iestādes uzskaita norēķinus ar debitoriem – juridiskām un fiziskām personām, pret kurām budžeta iestādei vai valsts budžetam ir radušās ilgtermiņa vai īstermiņa prasības, tai skaitā par ārvalstu finanšu palīdzības un E</w:t>
      </w:r>
      <w:r w:rsidR="00813384" w:rsidRPr="00A27896">
        <w:rPr>
          <w:rFonts w:cs="Times New Roman"/>
          <w:color w:val="17365D"/>
          <w:szCs w:val="24"/>
        </w:rPr>
        <w:t xml:space="preserve">iropas </w:t>
      </w:r>
      <w:r w:rsidRPr="00A27896">
        <w:rPr>
          <w:rFonts w:cs="Times New Roman"/>
          <w:color w:val="17365D"/>
          <w:szCs w:val="24"/>
        </w:rPr>
        <w:t>S</w:t>
      </w:r>
      <w:r w:rsidR="00813384" w:rsidRPr="00A27896">
        <w:rPr>
          <w:rFonts w:cs="Times New Roman"/>
          <w:color w:val="17365D"/>
          <w:szCs w:val="24"/>
        </w:rPr>
        <w:t>avienības (turpmāk – ES)</w:t>
      </w:r>
      <w:r w:rsidRPr="00A27896">
        <w:rPr>
          <w:rFonts w:cs="Times New Roman"/>
          <w:color w:val="17365D"/>
          <w:szCs w:val="24"/>
        </w:rPr>
        <w:t xml:space="preserve"> politiku instrumentu finansētajiem projektiem (pasākumiem)</w:t>
      </w:r>
      <w:r w:rsidR="00706534" w:rsidRPr="00A27896">
        <w:rPr>
          <w:rFonts w:cs="Times New Roman"/>
          <w:color w:val="17365D"/>
          <w:szCs w:val="24"/>
        </w:rPr>
        <w:t xml:space="preserve"> un </w:t>
      </w:r>
      <w:r w:rsidR="002A3E4A" w:rsidRPr="00A27896">
        <w:rPr>
          <w:rFonts w:cs="Times New Roman"/>
          <w:color w:val="17365D"/>
          <w:szCs w:val="24"/>
        </w:rPr>
        <w:t xml:space="preserve">par </w:t>
      </w:r>
      <w:r w:rsidR="00451B7B" w:rsidRPr="00A27896">
        <w:rPr>
          <w:rFonts w:cs="Times New Roman"/>
          <w:color w:val="17365D"/>
          <w:szCs w:val="24"/>
        </w:rPr>
        <w:t>VID</w:t>
      </w:r>
      <w:r w:rsidR="00706534" w:rsidRPr="00A27896">
        <w:rPr>
          <w:rFonts w:cs="Times New Roman"/>
          <w:color w:val="17365D"/>
          <w:szCs w:val="24"/>
        </w:rPr>
        <w:t xml:space="preserve"> administrētiem valsts budžeta </w:t>
      </w:r>
      <w:r w:rsidR="00706534" w:rsidRPr="00A27896">
        <w:rPr>
          <w:rFonts w:cs="Times New Roman"/>
          <w:color w:val="17365D"/>
          <w:szCs w:val="24"/>
        </w:rPr>
        <w:lastRenderedPageBreak/>
        <w:t>ieņēmumiem</w:t>
      </w:r>
      <w:r w:rsidRPr="00A27896">
        <w:rPr>
          <w:rFonts w:cs="Times New Roman"/>
          <w:color w:val="17365D"/>
          <w:szCs w:val="24"/>
        </w:rPr>
        <w:t xml:space="preserve">. </w:t>
      </w:r>
      <w:r w:rsidR="00706534" w:rsidRPr="00A27896">
        <w:rPr>
          <w:rFonts w:cs="Times New Roman"/>
          <w:color w:val="17365D"/>
          <w:szCs w:val="24"/>
        </w:rPr>
        <w:t xml:space="preserve">Ņemot vērā </w:t>
      </w:r>
      <w:r w:rsidR="00047F5E" w:rsidRPr="00A27896">
        <w:rPr>
          <w:rFonts w:cs="Times New Roman"/>
          <w:color w:val="17365D"/>
          <w:szCs w:val="24"/>
        </w:rPr>
        <w:t>Ministru kabineta 2018.</w:t>
      </w:r>
      <w:r w:rsidR="00C04542" w:rsidRPr="00A27896">
        <w:rPr>
          <w:rFonts w:cs="Times New Roman"/>
          <w:color w:val="17365D"/>
          <w:szCs w:val="24"/>
        </w:rPr>
        <w:t> </w:t>
      </w:r>
      <w:r w:rsidR="00047F5E" w:rsidRPr="00A27896">
        <w:rPr>
          <w:rFonts w:cs="Times New Roman"/>
          <w:color w:val="17365D"/>
          <w:szCs w:val="24"/>
        </w:rPr>
        <w:t>gada 30.</w:t>
      </w:r>
      <w:r w:rsidR="00C04542" w:rsidRPr="00A27896">
        <w:rPr>
          <w:rFonts w:cs="Times New Roman"/>
          <w:color w:val="17365D"/>
          <w:szCs w:val="24"/>
        </w:rPr>
        <w:t> </w:t>
      </w:r>
      <w:r w:rsidR="00047F5E" w:rsidRPr="00A27896">
        <w:rPr>
          <w:rFonts w:cs="Times New Roman"/>
          <w:color w:val="17365D"/>
          <w:szCs w:val="24"/>
        </w:rPr>
        <w:t>oktobra noteikumos Nr.</w:t>
      </w:r>
      <w:r w:rsidR="0095764C" w:rsidRPr="00A27896">
        <w:rPr>
          <w:rFonts w:cs="Times New Roman"/>
          <w:color w:val="17365D"/>
          <w:szCs w:val="24"/>
        </w:rPr>
        <w:t> </w:t>
      </w:r>
      <w:r w:rsidR="00640256" w:rsidRPr="00A27896">
        <w:rPr>
          <w:rFonts w:cs="Times New Roman"/>
          <w:color w:val="17365D"/>
          <w:szCs w:val="24"/>
        </w:rPr>
        <w:t>661 “</w:t>
      </w:r>
      <w:r w:rsidR="00047F5E" w:rsidRPr="00A27896">
        <w:rPr>
          <w:rFonts w:cs="Times New Roman"/>
          <w:color w:val="17365D"/>
          <w:szCs w:val="24"/>
        </w:rPr>
        <w:t>Kārtība, kādā maksā nodokļus, nodevas, citus valsts noteiktos maksājumus un ar tiem saistītos maksājumus un</w:t>
      </w:r>
      <w:r w:rsidR="00640256" w:rsidRPr="00A27896">
        <w:rPr>
          <w:rFonts w:cs="Times New Roman"/>
          <w:color w:val="17365D"/>
          <w:szCs w:val="24"/>
        </w:rPr>
        <w:t xml:space="preserve"> novirza tos saistību segšanai”</w:t>
      </w:r>
      <w:r w:rsidR="00706534" w:rsidRPr="00A27896">
        <w:rPr>
          <w:rFonts w:cs="Times New Roman"/>
          <w:color w:val="17365D"/>
          <w:szCs w:val="24"/>
        </w:rPr>
        <w:t>, kas izdoti uz likuma “Par nodokļiem un nodevām” 23</w:t>
      </w:r>
      <w:r w:rsidR="00552663">
        <w:rPr>
          <w:rFonts w:cs="Times New Roman"/>
          <w:color w:val="17365D"/>
          <w:szCs w:val="24"/>
        </w:rPr>
        <w:t>.</w:t>
      </w:r>
      <w:r w:rsidR="00706534" w:rsidRPr="00A27896">
        <w:rPr>
          <w:rFonts w:cs="Times New Roman"/>
          <w:color w:val="17365D"/>
          <w:szCs w:val="24"/>
          <w:vertAlign w:val="superscript"/>
        </w:rPr>
        <w:t>1</w:t>
      </w:r>
      <w:r w:rsidR="00706534" w:rsidRPr="00A27896">
        <w:rPr>
          <w:rFonts w:cs="Times New Roman"/>
          <w:color w:val="17365D"/>
          <w:szCs w:val="24"/>
        </w:rPr>
        <w:t>panta pamata</w:t>
      </w:r>
      <w:r w:rsidR="00047F5E" w:rsidRPr="00A27896">
        <w:rPr>
          <w:rFonts w:cs="Times New Roman"/>
          <w:color w:val="17365D"/>
          <w:szCs w:val="24"/>
        </w:rPr>
        <w:t>, noteikto kārtību vienotajā nodokļu kontā saņemtos maksājumus attiecina ar datumu, kurā iestājas maksājumu saistības maksāšanas termiņš, līdz tam saņemtos neattiecinātos maksājumus</w:t>
      </w:r>
      <w:r w:rsidR="00451B7B" w:rsidRPr="00A27896">
        <w:rPr>
          <w:rFonts w:cs="Times New Roman"/>
          <w:color w:val="17365D"/>
          <w:szCs w:val="24"/>
        </w:rPr>
        <w:t xml:space="preserve"> VID administrēto valsts budžeta ieņēmumu</w:t>
      </w:r>
      <w:r w:rsidR="00047F5E" w:rsidRPr="00A27896">
        <w:rPr>
          <w:rFonts w:cs="Times New Roman"/>
          <w:color w:val="17365D"/>
          <w:szCs w:val="24"/>
        </w:rPr>
        <w:t xml:space="preserve"> grāmatvedīb</w:t>
      </w:r>
      <w:r w:rsidR="00451B7B" w:rsidRPr="00A27896">
        <w:rPr>
          <w:rFonts w:cs="Times New Roman"/>
          <w:color w:val="17365D"/>
          <w:szCs w:val="24"/>
        </w:rPr>
        <w:t>as uzskaitē</w:t>
      </w:r>
      <w:r w:rsidR="00047F5E" w:rsidRPr="00A27896">
        <w:rPr>
          <w:rFonts w:cs="Times New Roman"/>
          <w:color w:val="17365D"/>
          <w:szCs w:val="24"/>
        </w:rPr>
        <w:t xml:space="preserve"> klasificējot kā </w:t>
      </w:r>
      <w:r w:rsidR="00C06EE5" w:rsidRPr="00A27896">
        <w:rPr>
          <w:rFonts w:cs="Times New Roman"/>
          <w:color w:val="17365D"/>
          <w:szCs w:val="24"/>
        </w:rPr>
        <w:t xml:space="preserve">saistības par </w:t>
      </w:r>
      <w:r w:rsidR="00047F5E" w:rsidRPr="00A27896">
        <w:rPr>
          <w:rFonts w:cs="Times New Roman"/>
          <w:color w:val="17365D"/>
          <w:szCs w:val="24"/>
        </w:rPr>
        <w:t>avansā saņemt</w:t>
      </w:r>
      <w:r w:rsidR="00C06EE5" w:rsidRPr="00A27896">
        <w:rPr>
          <w:rFonts w:cs="Times New Roman"/>
          <w:color w:val="17365D"/>
          <w:szCs w:val="24"/>
        </w:rPr>
        <w:t>iem</w:t>
      </w:r>
      <w:r w:rsidR="00047F5E" w:rsidRPr="00A27896">
        <w:rPr>
          <w:rFonts w:cs="Times New Roman"/>
          <w:color w:val="17365D"/>
          <w:szCs w:val="24"/>
        </w:rPr>
        <w:t xml:space="preserve"> naudas līdzekļ</w:t>
      </w:r>
      <w:r w:rsidR="00C06EE5" w:rsidRPr="00A27896">
        <w:rPr>
          <w:rFonts w:cs="Times New Roman"/>
          <w:color w:val="17365D"/>
          <w:szCs w:val="24"/>
        </w:rPr>
        <w:t>iem</w:t>
      </w:r>
      <w:r w:rsidR="00047F5E" w:rsidRPr="00A27896">
        <w:rPr>
          <w:rFonts w:cs="Times New Roman"/>
          <w:color w:val="17365D"/>
          <w:szCs w:val="24"/>
        </w:rPr>
        <w:t>.</w:t>
      </w:r>
    </w:p>
    <w:p w14:paraId="7F9C95C2"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Prasības sākotnēji atzīst atbilstoši darījuma patiesai vērtībai.</w:t>
      </w:r>
    </w:p>
    <w:p w14:paraId="352A2718"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Prasības, kas klasificētas kā finanšu instruments kategorijā “Aizdevumi un prasības”, pēc sākotnējās atzīšanas uzskaita atbilstoši finanšu instrumentu uzskaites pamatprincipiem, kas detalizētāk aprakstīti sadaļā “Finanšu instrumentu klasifikācija, uzskaite un novērtēšana”.</w:t>
      </w:r>
    </w:p>
    <w:p w14:paraId="2D2A81B0"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Pārējām prasībām nosaka vērtības samazinājumu, ja konstatētas vērtības samazinājuma pazīmes.</w:t>
      </w:r>
    </w:p>
    <w:p w14:paraId="52BDF8BB"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Vērtības samazinājumu prasībām veido budžeta iestāžu grāmatvedības uzskaitē: </w:t>
      </w:r>
    </w:p>
    <w:p w14:paraId="5CFBF5D3"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atbilstoši prasību apmaksas vai izpildes kavējuma dienu skaitam, vērtības samazinājuma apmēru nosakot proporcionāli no prasību vērtības;</w:t>
      </w:r>
    </w:p>
    <w:p w14:paraId="49127BF7"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apšaubāmās summas apmērā, ja pastāv strīds par prasību apmaksu vai līguma izpildi, par kuru veikts avansa maksājums, pret darījuma partneri ir ierosināta lieta par maksātnespēju, kā arī citos gadījumos, kad ir pamatots iemesls apšaubīt prasības atgūšanu;</w:t>
      </w:r>
    </w:p>
    <w:p w14:paraId="652A842D"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Finanšu pārskatā prasību sastāvā uzskaita arī uzkrātos ieņēmumus. Uzkrāto ieņēmumu postenī uzskaita skaidri zināmas norēķinu summas, kas saskaņā ar noslēgtiem līgumiem attiecas uz pārskata gadu vai iepriekšējiem gadiem, attiecībā uz kuriem līdz pārskata gada beigām nav sagatavots maksāšanai paredzētais attaisnojuma dokuments. Šīs norēķinu summas aprēķina saskaņā ar attiecīgā darījuma līguma nosacījumiem. </w:t>
      </w:r>
    </w:p>
    <w:p w14:paraId="2B1D9D32" w14:textId="77777777" w:rsidR="00954F0C" w:rsidRPr="00A27896" w:rsidRDefault="00954F0C" w:rsidP="00FD10CC">
      <w:pPr>
        <w:pStyle w:val="Heading3"/>
      </w:pPr>
      <w:bookmarkStart w:id="37" w:name="_Toc42846507"/>
      <w:r w:rsidRPr="00A27896">
        <w:t>Nākamo periodu izdevumi un avansa maksājumi par pakalpojumiem un projektiem</w:t>
      </w:r>
      <w:bookmarkEnd w:id="37"/>
      <w:r w:rsidRPr="00A27896">
        <w:t xml:space="preserve"> </w:t>
      </w:r>
    </w:p>
    <w:p w14:paraId="2A2461C1"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Šajā bilances postenī uzskaita ar budžeta iestāžu darbību saistītos izdevumus, kas apmaksāti pārskata gadā, bet attiecas uz nākamajiem periodiem pēc bilances datuma, kā arī veiktos avansa maksājumus par pakalpojumiem un projektiem. </w:t>
      </w:r>
    </w:p>
    <w:p w14:paraId="50C6F3BE"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Nākamo periodu izdevumus budžeta iestādes atzīst izdevumos pārskata gadā, kurā ir saņemti / izlietoti iepriekš apmaksātie pakalpojumi. </w:t>
      </w:r>
    </w:p>
    <w:p w14:paraId="7B819690" w14:textId="62BF8A09"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Budžeta iestādes šajā postenī uzskaita arī avansā pārskaitītos tran</w:t>
      </w:r>
      <w:r w:rsidR="000C1009" w:rsidRPr="00A27896">
        <w:rPr>
          <w:rFonts w:cs="Times New Roman"/>
          <w:color w:val="17365D"/>
          <w:szCs w:val="24"/>
        </w:rPr>
        <w:t>s</w:t>
      </w:r>
      <w:r w:rsidRPr="00A27896">
        <w:rPr>
          <w:rFonts w:cs="Times New Roman"/>
          <w:color w:val="17365D"/>
          <w:szCs w:val="24"/>
        </w:rPr>
        <w:t>fertus, tai skaitā par ES politiku instrumentu un pārējās ārvalstu finanšu palīdzības finansētajiem projektiem (pasākumiem), kurus atzīst izdevumos pārskata periodā, kad apstiprināts transferta izlietojums.</w:t>
      </w:r>
    </w:p>
    <w:p w14:paraId="357A0AA6" w14:textId="77777777" w:rsidR="00954F0C" w:rsidRPr="00A27896" w:rsidRDefault="00954F0C" w:rsidP="00FD10CC">
      <w:pPr>
        <w:pStyle w:val="Heading3"/>
      </w:pPr>
      <w:bookmarkStart w:id="38" w:name="_Toc42846508"/>
      <w:r w:rsidRPr="00A27896">
        <w:t>Naudas līdzekļi</w:t>
      </w:r>
      <w:bookmarkEnd w:id="38"/>
    </w:p>
    <w:p w14:paraId="25F7515B" w14:textId="0387AA7C"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Naudas līdzekļu sastāvā uzskaitīti budžeta iestāžu naudas līdzekļi kasēs un norēķinu kontos kredītiestādēs, naudas ekvivalenti, kā arī Valsts kases kontu atlikumi Latvijas Bankā, kredītiestādēs un ārvalstu finanšu sabiedrībās</w:t>
      </w:r>
      <w:r w:rsidR="007F068B" w:rsidRPr="00A27896">
        <w:rPr>
          <w:rFonts w:cs="Times New Roman"/>
          <w:color w:val="17365D"/>
          <w:szCs w:val="24"/>
        </w:rPr>
        <w:t>.</w:t>
      </w:r>
    </w:p>
    <w:p w14:paraId="1BF8DBBD" w14:textId="33795814" w:rsidR="00954F0C" w:rsidRPr="00A27896" w:rsidRDefault="00954F0C" w:rsidP="00FD10CC">
      <w:pPr>
        <w:pStyle w:val="Heading3"/>
      </w:pPr>
      <w:bookmarkStart w:id="39" w:name="_Toc42846509"/>
      <w:r w:rsidRPr="00A27896">
        <w:t>Pašu kapitāls</w:t>
      </w:r>
      <w:bookmarkEnd w:id="39"/>
    </w:p>
    <w:p w14:paraId="3512A6AC"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Pašu kapitāla sastāvā uzskaita budžeta iestāžu rezerves, iepriekšējo pārskata gadu budžeta izpildes rezultātu un pārskata gada budžeta izpildes rezultātu.</w:t>
      </w:r>
    </w:p>
    <w:p w14:paraId="2790D320" w14:textId="212E776D" w:rsidR="00954F0C" w:rsidRPr="00A27896" w:rsidRDefault="00954F0C" w:rsidP="00AA7198">
      <w:pPr>
        <w:spacing w:after="120" w:line="240" w:lineRule="auto"/>
        <w:ind w:firstLine="284"/>
        <w:jc w:val="both"/>
        <w:rPr>
          <w:rFonts w:cs="Times New Roman"/>
          <w:color w:val="17365D"/>
          <w:szCs w:val="24"/>
        </w:rPr>
      </w:pPr>
      <w:r w:rsidRPr="00A27896">
        <w:rPr>
          <w:rFonts w:cs="Times New Roman"/>
          <w:color w:val="17365D"/>
          <w:szCs w:val="24"/>
        </w:rPr>
        <w:t xml:space="preserve">Rezerves atzīst, ja finanšu ieguldījumi radniecīgās un asociētās kapitālsabiedrībās novērtēti saskaņā ar pašu kapitāla metodi un kapitālsabiedrībai pašu kapitālā ir bijušas izmaiņas, kas nav </w:t>
      </w:r>
      <w:r w:rsidRPr="00A27896">
        <w:rPr>
          <w:rFonts w:cs="Times New Roman"/>
          <w:color w:val="17365D"/>
          <w:szCs w:val="24"/>
        </w:rPr>
        <w:lastRenderedPageBreak/>
        <w:t>norādītas kapitālsabiedrības peļņas un zaudējumu aprēķinā, pārdošanai pieejamu finanšu instrumentu patiesās vērtības izmaiņas</w:t>
      </w:r>
      <w:r w:rsidR="00AA7198" w:rsidRPr="00A27896">
        <w:rPr>
          <w:rFonts w:cs="Times New Roman"/>
          <w:color w:val="17365D"/>
          <w:szCs w:val="24"/>
        </w:rPr>
        <w:t>,</w:t>
      </w:r>
      <w:r w:rsidR="00400118" w:rsidRPr="00A27896">
        <w:rPr>
          <w:rFonts w:cs="Times New Roman"/>
          <w:color w:val="17365D"/>
          <w:szCs w:val="24"/>
        </w:rPr>
        <w:t xml:space="preserve"> kā arī </w:t>
      </w:r>
      <w:r w:rsidR="00AA7198" w:rsidRPr="00A27896">
        <w:rPr>
          <w:rFonts w:cs="Times New Roman"/>
          <w:color w:val="17365D"/>
          <w:szCs w:val="24"/>
        </w:rPr>
        <w:t xml:space="preserve">naudas plūsmas </w:t>
      </w:r>
      <w:r w:rsidR="00400118" w:rsidRPr="00A27896">
        <w:rPr>
          <w:rFonts w:cs="Times New Roman"/>
          <w:color w:val="17365D"/>
          <w:szCs w:val="24"/>
        </w:rPr>
        <w:t>riska ierobežošanas uzskaitē</w:t>
      </w:r>
      <w:r w:rsidR="00441B8B" w:rsidRPr="00A27896">
        <w:rPr>
          <w:rFonts w:cs="Times New Roman"/>
          <w:color w:val="17365D"/>
          <w:szCs w:val="24"/>
        </w:rPr>
        <w:t xml:space="preserve"> </w:t>
      </w:r>
      <w:r w:rsidR="00400118" w:rsidRPr="00A27896">
        <w:rPr>
          <w:rFonts w:cs="Times New Roman"/>
          <w:color w:val="17365D"/>
          <w:szCs w:val="24"/>
        </w:rPr>
        <w:t>atzīt</w:t>
      </w:r>
      <w:r w:rsidR="00441B8B" w:rsidRPr="00A27896">
        <w:rPr>
          <w:rFonts w:cs="Times New Roman"/>
          <w:color w:val="17365D"/>
          <w:szCs w:val="24"/>
        </w:rPr>
        <w:t xml:space="preserve">o </w:t>
      </w:r>
      <w:r w:rsidR="00AA7198" w:rsidRPr="00A27896">
        <w:rPr>
          <w:rFonts w:cs="Times New Roman"/>
          <w:color w:val="17365D"/>
          <w:szCs w:val="24"/>
        </w:rPr>
        <w:t xml:space="preserve">atvasināto </w:t>
      </w:r>
      <w:r w:rsidR="00441B8B" w:rsidRPr="00A27896">
        <w:rPr>
          <w:rFonts w:cs="Times New Roman"/>
          <w:color w:val="17365D"/>
          <w:szCs w:val="24"/>
        </w:rPr>
        <w:t>finanšu instrumentu</w:t>
      </w:r>
      <w:r w:rsidR="00400118" w:rsidRPr="00A27896">
        <w:rPr>
          <w:rFonts w:cs="Times New Roman"/>
          <w:color w:val="17365D"/>
          <w:szCs w:val="24"/>
        </w:rPr>
        <w:t xml:space="preserve"> patiesās vērtības izmaiņas, kas novērtētas</w:t>
      </w:r>
      <w:r w:rsidR="00441B8B" w:rsidRPr="00A27896">
        <w:rPr>
          <w:rFonts w:cs="Times New Roman"/>
          <w:color w:val="17365D"/>
          <w:szCs w:val="24"/>
        </w:rPr>
        <w:t xml:space="preserve"> kā</w:t>
      </w:r>
      <w:r w:rsidR="00400118" w:rsidRPr="00A27896">
        <w:rPr>
          <w:rFonts w:cs="Times New Roman"/>
          <w:color w:val="17365D"/>
          <w:szCs w:val="24"/>
        </w:rPr>
        <w:t xml:space="preserve"> efektīva riska ierobežošana</w:t>
      </w:r>
      <w:r w:rsidRPr="00A27896">
        <w:rPr>
          <w:rFonts w:cs="Times New Roman"/>
          <w:color w:val="17365D"/>
          <w:szCs w:val="24"/>
        </w:rPr>
        <w:t>.</w:t>
      </w:r>
    </w:p>
    <w:p w14:paraId="7A0046C4" w14:textId="77777777" w:rsidR="00954F0C" w:rsidRPr="00A27896" w:rsidRDefault="00954F0C" w:rsidP="00FD10CC">
      <w:pPr>
        <w:pStyle w:val="Heading3"/>
      </w:pPr>
      <w:bookmarkStart w:id="40" w:name="_Toc42846510"/>
      <w:r w:rsidRPr="00A27896">
        <w:t>Uzkrājumi</w:t>
      </w:r>
      <w:bookmarkEnd w:id="40"/>
    </w:p>
    <w:p w14:paraId="77A7CCBA"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Uzkrājumi atzīti valsts budžeta un budžeta iestāžu saistību segšanai, kas attiecas uz pārskata gada vai iepriekšējo gadu darījumiem un pārskata sagatavošanas laikā ir paredzamas vai zināmas, bet to vērtība, izpildes vai apmaksas datums nav precīzi zināms – ierosināto tiesvedību spriedumu izpildei, izdienas pensiju izmaksai, citu normatīvos aktos noteikto pabalstu un piešķirto kompensāciju un grantu izmaksai.</w:t>
      </w:r>
    </w:p>
    <w:p w14:paraId="7B6601C3" w14:textId="77777777" w:rsidR="00954F0C" w:rsidRPr="00A27896" w:rsidRDefault="00954F0C" w:rsidP="00954F0C">
      <w:pPr>
        <w:spacing w:after="0" w:line="240" w:lineRule="auto"/>
        <w:ind w:firstLine="284"/>
        <w:jc w:val="both"/>
        <w:rPr>
          <w:rFonts w:cs="Times New Roman"/>
          <w:color w:val="17365D"/>
          <w:szCs w:val="24"/>
        </w:rPr>
      </w:pPr>
      <w:r w:rsidRPr="00A27896">
        <w:rPr>
          <w:rFonts w:cs="Times New Roman"/>
          <w:color w:val="17365D"/>
          <w:szCs w:val="24"/>
        </w:rPr>
        <w:t>Uzkrājumus izveido paredzamām saistībām saskaņā ar uzkrāšanas principu atbilstoši šādiem nosacījumiem:</w:t>
      </w:r>
    </w:p>
    <w:p w14:paraId="135EA255"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pastāv pašreizējs pienākums (juridisks vai prakses radīts), kuru izraisījis pagātnes notikums, ņemot vērā visus pieejamos pierādījumus pārskata perioda beigās. Uzkrājumus veido tikai tādām paredzamām saistībām, kas pastāv neatkarīgi no vienības rīcības nākotnē;</w:t>
      </w:r>
    </w:p>
    <w:p w14:paraId="30866089"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ir ticams (pastāv pietiekami liela varbūtība), ka šā pienākuma izpildei būs nepieciešams resursu izlietojums;</w:t>
      </w:r>
    </w:p>
    <w:p w14:paraId="2E323074"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pienākuma izpildei nepieciešamās summas var ticami novērtēt.</w:t>
      </w:r>
    </w:p>
    <w:p w14:paraId="56798CF5" w14:textId="77777777" w:rsidR="00954F0C" w:rsidRPr="00A27896" w:rsidRDefault="00954F0C" w:rsidP="00954F0C">
      <w:pPr>
        <w:pStyle w:val="ListParagraph"/>
        <w:spacing w:after="120" w:line="240" w:lineRule="auto"/>
        <w:ind w:left="0" w:firstLine="284"/>
        <w:contextualSpacing w:val="0"/>
        <w:jc w:val="both"/>
        <w:rPr>
          <w:rFonts w:cs="Times New Roman"/>
          <w:color w:val="17365D"/>
          <w:szCs w:val="24"/>
        </w:rPr>
      </w:pPr>
      <w:r w:rsidRPr="00A27896">
        <w:rPr>
          <w:rFonts w:cs="Times New Roman"/>
          <w:color w:val="17365D"/>
          <w:szCs w:val="24"/>
        </w:rPr>
        <w:t>Uzkrājumus iespējamiem izdevumiem, kas radīsies no galvojumu saistību izpildes pirms galvojumā noteiktā notikuma iestāšanās, atzīst vērtībā, kas atbilst galvojuma iespējami precīzākajai pašreizējās vērtības aplēsei (patiesajā vērtībā).</w:t>
      </w:r>
    </w:p>
    <w:p w14:paraId="70BAA536" w14:textId="5F244DAE" w:rsidR="00954F0C" w:rsidRPr="00A27896" w:rsidRDefault="00954F0C" w:rsidP="00954F0C">
      <w:pPr>
        <w:pStyle w:val="ListParagraph"/>
        <w:spacing w:after="120" w:line="240" w:lineRule="auto"/>
        <w:ind w:left="0" w:firstLine="284"/>
        <w:contextualSpacing w:val="0"/>
        <w:jc w:val="both"/>
        <w:rPr>
          <w:rFonts w:eastAsia="Times New Roman" w:cs="Times New Roman"/>
          <w:bCs/>
          <w:color w:val="17365D"/>
          <w:szCs w:val="24"/>
        </w:rPr>
      </w:pPr>
      <w:r w:rsidRPr="006D7AD8">
        <w:rPr>
          <w:rFonts w:eastAsia="Times New Roman" w:cs="Times New Roman"/>
          <w:color w:val="17365D"/>
          <w:szCs w:val="24"/>
          <w:lang w:eastAsia="lv-LV"/>
        </w:rPr>
        <w:t xml:space="preserve">Valsts budžeta finanšu uzskaitē </w:t>
      </w:r>
      <w:r w:rsidRPr="006D7AD8">
        <w:rPr>
          <w:rFonts w:eastAsia="Times New Roman" w:cs="Times New Roman"/>
          <w:bCs/>
          <w:color w:val="17365D"/>
          <w:szCs w:val="24"/>
        </w:rPr>
        <w:t xml:space="preserve">uzkrājumu apjoms noteikts aizņēmējam individuāli </w:t>
      </w:r>
      <w:r w:rsidRPr="006D7AD8">
        <w:rPr>
          <w:rFonts w:cs="Times New Roman"/>
          <w:color w:val="17365D"/>
          <w:szCs w:val="24"/>
        </w:rPr>
        <w:t>(individuāli vērtējamo aizņēmēju grupā)</w:t>
      </w:r>
      <w:r w:rsidRPr="006D7AD8">
        <w:rPr>
          <w:rFonts w:eastAsia="Times New Roman" w:cs="Times New Roman"/>
          <w:bCs/>
          <w:color w:val="17365D"/>
          <w:szCs w:val="24"/>
        </w:rPr>
        <w:t>, izvērtējot kredītriska notikumu (Starptautisko finanšu pārskatu standartu (turpmāk – SFPS) izpratnē) un nākotnē iespējamo maksājamo naudas plūsmu, lai izpildītu valsts uzņemtās saistības.</w:t>
      </w:r>
    </w:p>
    <w:p w14:paraId="4360FB8F" w14:textId="77777777" w:rsidR="00954F0C" w:rsidRPr="00A27896" w:rsidRDefault="00954F0C" w:rsidP="00954F0C">
      <w:pPr>
        <w:pStyle w:val="ListParagraph"/>
        <w:spacing w:after="120" w:line="240" w:lineRule="auto"/>
        <w:ind w:left="0" w:firstLine="284"/>
        <w:contextualSpacing w:val="0"/>
        <w:jc w:val="both"/>
        <w:rPr>
          <w:rFonts w:eastAsia="Times New Roman" w:cs="Times New Roman"/>
          <w:bCs/>
          <w:color w:val="17365D"/>
          <w:szCs w:val="24"/>
        </w:rPr>
      </w:pPr>
      <w:r w:rsidRPr="00A27896">
        <w:rPr>
          <w:rFonts w:eastAsia="Times New Roman" w:cs="Times New Roman"/>
          <w:bCs/>
          <w:color w:val="17365D"/>
          <w:szCs w:val="24"/>
        </w:rPr>
        <w:t>Uzkrājumus ierosināto tiesvedību spriedumu izpildei veido, izvērtējot katru gadījumu atsevišķi atbilstoši izdevumu iespējami precīzākajai pašreizējās vērtības aplēsei, ņemot vērā ar izmaksu saistītos riskus un nenoteiktības.</w:t>
      </w:r>
    </w:p>
    <w:p w14:paraId="7A9F6900" w14:textId="77777777" w:rsidR="00954F0C" w:rsidRPr="00A27896" w:rsidRDefault="00954F0C" w:rsidP="00954F0C">
      <w:pPr>
        <w:pStyle w:val="ListParagraph"/>
        <w:spacing w:after="120" w:line="240" w:lineRule="auto"/>
        <w:ind w:left="0" w:firstLine="284"/>
        <w:contextualSpacing w:val="0"/>
        <w:jc w:val="both"/>
        <w:rPr>
          <w:rFonts w:eastAsia="Times New Roman" w:cs="Times New Roman"/>
          <w:bCs/>
          <w:color w:val="17365D"/>
          <w:szCs w:val="24"/>
        </w:rPr>
      </w:pPr>
      <w:r w:rsidRPr="00A27896">
        <w:rPr>
          <w:rFonts w:eastAsia="Times New Roman" w:cs="Times New Roman"/>
          <w:bCs/>
          <w:color w:val="17365D"/>
          <w:szCs w:val="24"/>
        </w:rPr>
        <w:t>Uzkrājumus izdienas pensiju izmaksai aprēķina:</w:t>
      </w:r>
    </w:p>
    <w:p w14:paraId="508C0CDA" w14:textId="6F399976"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 xml:space="preserve">pārskata gada beigās attiecīgajā profesijā nodarbinātām personām, kurām ir tiesības pieprasīt izdienas pensiju pēc normatīvos aktos noteikto kritēriju izpildes. Uzkrājumus aprēķina par katrai personai atbilstoši minēto kritēriju izpildes pakāpei pārskata gada beigās izmaksājamo summu laika periodā no normatīvos aktos noteiktā izdienas pensijas piešķiršanas termiņa līdz vispārējā pensionēšanās vecuma sasniegšanai. </w:t>
      </w:r>
    </w:p>
    <w:p w14:paraId="27D5D7BF" w14:textId="5D6516D6"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 xml:space="preserve">personām, kam līdz pārskata gada beigām piešķirta izdienas pensija. </w:t>
      </w:r>
      <w:r w:rsidR="00AE3C87" w:rsidRPr="00A27896">
        <w:rPr>
          <w:color w:val="17365D"/>
          <w:sz w:val="24"/>
          <w:szCs w:val="24"/>
        </w:rPr>
        <w:t>Uzkrājumus aprēķina par katrai personai izmaksājamo izdienas pensiju vai piemaksu pie vecuma pensijas laika periodā no n</w:t>
      </w:r>
      <w:r w:rsidR="000C1009" w:rsidRPr="00A27896">
        <w:rPr>
          <w:color w:val="17365D"/>
          <w:sz w:val="24"/>
          <w:szCs w:val="24"/>
        </w:rPr>
        <w:t>ākamā pārskata gada līdz statist</w:t>
      </w:r>
      <w:r w:rsidR="00AE3C87" w:rsidRPr="00A27896">
        <w:rPr>
          <w:color w:val="17365D"/>
          <w:sz w:val="24"/>
          <w:szCs w:val="24"/>
        </w:rPr>
        <w:t>iski noteiktam vidējam mūža ilgumam</w:t>
      </w:r>
      <w:r w:rsidRPr="00A27896">
        <w:rPr>
          <w:color w:val="17365D"/>
          <w:sz w:val="24"/>
          <w:szCs w:val="24"/>
        </w:rPr>
        <w:t>.</w:t>
      </w:r>
    </w:p>
    <w:p w14:paraId="51C277FA" w14:textId="5BE869BF" w:rsidR="00954F0C" w:rsidRPr="00A27896" w:rsidRDefault="00954F0C" w:rsidP="00954F0C">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t xml:space="preserve">Uzkrājumus citu normatīvos aktos noteikto pabalstu un piešķirto grantu </w:t>
      </w:r>
      <w:r w:rsidR="00F048F2" w:rsidRPr="00A27896">
        <w:rPr>
          <w:rFonts w:eastAsia="Times New Roman" w:cs="Times New Roman"/>
          <w:bCs/>
          <w:color w:val="17365D"/>
          <w:szCs w:val="24"/>
        </w:rPr>
        <w:t xml:space="preserve">un </w:t>
      </w:r>
      <w:r w:rsidRPr="00A27896">
        <w:rPr>
          <w:rFonts w:eastAsia="Times New Roman" w:cs="Times New Roman"/>
          <w:bCs/>
          <w:color w:val="17365D"/>
          <w:szCs w:val="24"/>
        </w:rPr>
        <w:t>kompensāciju izmaksai aprēķina katrai personai atsevišķi, ņemot vērā tiesību aktos noteikto pabalsta, kompensācijas vai granta apmēru un izmaksas nosacījumus.</w:t>
      </w:r>
    </w:p>
    <w:p w14:paraId="2C819780" w14:textId="1C542F6B" w:rsidR="00954F0C" w:rsidRPr="00A27896" w:rsidRDefault="00954F0C" w:rsidP="00954F0C">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t xml:space="preserve">Uzkrājumu daļa, kuru paredzēts izmaksāt vēlāk nekā vienu gadu pēc pārskata gada beigām, diskontēta ar Valsts kases noteikto diskonta likmi uzkrājumiem </w:t>
      </w:r>
      <w:r w:rsidR="007972FA" w:rsidRPr="00BF4C61">
        <w:rPr>
          <w:rFonts w:eastAsia="Times New Roman" w:cs="Times New Roman"/>
          <w:bCs/>
          <w:color w:val="17365D"/>
          <w:szCs w:val="24"/>
        </w:rPr>
        <w:t>2</w:t>
      </w:r>
      <w:r w:rsidR="005463D4" w:rsidRPr="00BF4C61">
        <w:rPr>
          <w:rFonts w:eastAsia="Times New Roman" w:cs="Times New Roman"/>
          <w:bCs/>
          <w:color w:val="17365D"/>
          <w:szCs w:val="24"/>
        </w:rPr>
        <w:t>,</w:t>
      </w:r>
      <w:r w:rsidR="00CE39BC">
        <w:rPr>
          <w:rFonts w:eastAsia="Times New Roman" w:cs="Times New Roman"/>
          <w:bCs/>
          <w:color w:val="17365D"/>
          <w:szCs w:val="24"/>
        </w:rPr>
        <w:t>84</w:t>
      </w:r>
      <w:r w:rsidRPr="00A27896">
        <w:rPr>
          <w:rFonts w:eastAsia="Times New Roman" w:cs="Times New Roman"/>
          <w:bCs/>
          <w:color w:val="17365D"/>
          <w:szCs w:val="24"/>
        </w:rPr>
        <w:t xml:space="preserve"> % gadā, ja bija iespējams </w:t>
      </w:r>
      <w:r w:rsidRPr="00A27896">
        <w:rPr>
          <w:rFonts w:eastAsia="Times New Roman" w:cs="Times New Roman"/>
          <w:bCs/>
          <w:color w:val="17365D"/>
          <w:szCs w:val="24"/>
        </w:rPr>
        <w:lastRenderedPageBreak/>
        <w:t>noteikt aptuveno maksāšanas termiņu.</w:t>
      </w:r>
      <w:r w:rsidR="00AE3C87" w:rsidRPr="00A27896">
        <w:rPr>
          <w:rFonts w:eastAsia="Times New Roman" w:cs="Times New Roman"/>
          <w:bCs/>
          <w:color w:val="17365D"/>
          <w:szCs w:val="24"/>
        </w:rPr>
        <w:t xml:space="preserve"> Diskontēšanas rezultātā atzīto uzkrājumu </w:t>
      </w:r>
      <w:r w:rsidR="00CE39BC">
        <w:rPr>
          <w:rFonts w:eastAsia="Times New Roman" w:cs="Times New Roman"/>
          <w:bCs/>
          <w:color w:val="17365D"/>
          <w:szCs w:val="24"/>
        </w:rPr>
        <w:t>palielinājumu</w:t>
      </w:r>
      <w:r w:rsidR="00CE39BC" w:rsidRPr="00A27896">
        <w:rPr>
          <w:rFonts w:eastAsia="Times New Roman" w:cs="Times New Roman"/>
          <w:bCs/>
          <w:color w:val="17365D"/>
          <w:szCs w:val="24"/>
        </w:rPr>
        <w:t xml:space="preserve"> </w:t>
      </w:r>
      <w:r w:rsidR="005463D4" w:rsidRPr="00A27896">
        <w:rPr>
          <w:rFonts w:eastAsia="Times New Roman" w:cs="Times New Roman"/>
          <w:bCs/>
          <w:color w:val="17365D"/>
          <w:szCs w:val="24"/>
        </w:rPr>
        <w:t xml:space="preserve">saistībā ar iepriekšējā gadā piemēroto diskonta likmi </w:t>
      </w:r>
      <w:r w:rsidR="00CE39BC">
        <w:rPr>
          <w:rFonts w:eastAsia="Times New Roman" w:cs="Times New Roman"/>
          <w:bCs/>
          <w:color w:val="17365D"/>
          <w:szCs w:val="24"/>
        </w:rPr>
        <w:t>2,11</w:t>
      </w:r>
      <w:r w:rsidR="005463D4" w:rsidRPr="00A27896">
        <w:rPr>
          <w:rFonts w:eastAsia="Times New Roman" w:cs="Times New Roman"/>
          <w:bCs/>
          <w:color w:val="17365D"/>
          <w:szCs w:val="24"/>
        </w:rPr>
        <w:t xml:space="preserve"> % </w:t>
      </w:r>
      <w:r w:rsidR="00AE3C87" w:rsidRPr="00A27896">
        <w:rPr>
          <w:rFonts w:eastAsia="Times New Roman" w:cs="Times New Roman"/>
          <w:bCs/>
          <w:color w:val="17365D"/>
          <w:szCs w:val="24"/>
        </w:rPr>
        <w:t xml:space="preserve">uzrāda procentu </w:t>
      </w:r>
      <w:r w:rsidR="00CE39BC">
        <w:rPr>
          <w:rFonts w:eastAsia="Times New Roman" w:cs="Times New Roman"/>
          <w:bCs/>
          <w:color w:val="17365D"/>
          <w:szCs w:val="24"/>
        </w:rPr>
        <w:t>izdevumu</w:t>
      </w:r>
      <w:r w:rsidR="00CE39BC" w:rsidRPr="00A27896">
        <w:rPr>
          <w:rFonts w:eastAsia="Times New Roman" w:cs="Times New Roman"/>
          <w:bCs/>
          <w:color w:val="17365D"/>
          <w:szCs w:val="24"/>
        </w:rPr>
        <w:t xml:space="preserve"> </w:t>
      </w:r>
      <w:r w:rsidR="00AE3C87" w:rsidRPr="00A27896">
        <w:rPr>
          <w:rFonts w:eastAsia="Times New Roman" w:cs="Times New Roman"/>
          <w:bCs/>
          <w:color w:val="17365D"/>
          <w:szCs w:val="24"/>
        </w:rPr>
        <w:t>sastāvā.</w:t>
      </w:r>
    </w:p>
    <w:p w14:paraId="029DCFA3" w14:textId="6A9C208F" w:rsidR="00954F0C" w:rsidRPr="00A27896" w:rsidRDefault="00954F0C" w:rsidP="00FD10CC">
      <w:pPr>
        <w:pStyle w:val="Heading3"/>
      </w:pPr>
      <w:bookmarkStart w:id="41" w:name="_Toc42846511"/>
      <w:r w:rsidRPr="00A27896">
        <w:t>Saistības (norēķini ar kreditoriem)</w:t>
      </w:r>
      <w:bookmarkEnd w:id="41"/>
    </w:p>
    <w:p w14:paraId="7B335449" w14:textId="4DB9A929"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Saistību sastāvā uzskaita budžeta iestāžu pašreizējās saistības (pienākumi), kas radušās pagātnes notikumu (darījumu) rezultātā un kuru izpildei nepieciešamo valsts vai pašvaldību budžetu resursu apjoms un pienākuma izpildes laiks ir precīzi zināmi. </w:t>
      </w:r>
    </w:p>
    <w:p w14:paraId="7B357DF0"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Saistības, kas klasificētas kā finanšu instrumenti, pēc sākotnējās atzīšanas turpmāk uzskaita atbilstoši finanšu instrumentu uzskaites pamatprincipiem,</w:t>
      </w:r>
      <w:r w:rsidRPr="00A27896">
        <w:rPr>
          <w:rFonts w:cs="Times New Roman"/>
          <w:color w:val="17365D"/>
        </w:rPr>
        <w:t xml:space="preserve"> </w:t>
      </w:r>
      <w:r w:rsidRPr="00A27896">
        <w:rPr>
          <w:rFonts w:cs="Times New Roman"/>
          <w:color w:val="17365D"/>
          <w:szCs w:val="24"/>
        </w:rPr>
        <w:t>kas detalizētāk aprakstīti sadaļā “Finanšu instrumentu klasifikācija, uzskaite un novērtēšana”.</w:t>
      </w:r>
    </w:p>
    <w:p w14:paraId="4E2D560D" w14:textId="188892BA"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Sais</w:t>
      </w:r>
      <w:r w:rsidR="005A4057" w:rsidRPr="00A27896">
        <w:rPr>
          <w:rFonts w:cs="Times New Roman"/>
          <w:color w:val="17365D"/>
          <w:szCs w:val="24"/>
        </w:rPr>
        <w:t>t</w:t>
      </w:r>
      <w:r w:rsidRPr="00A27896">
        <w:rPr>
          <w:rFonts w:cs="Times New Roman"/>
          <w:color w:val="17365D"/>
          <w:szCs w:val="24"/>
        </w:rPr>
        <w:t>ības, kas nav klasificētas kā finanšu instrumenti, pēc sākotnējās atzīšanas samazina atbilstoši to izpildei, apmaksai vai dzēšanai.</w:t>
      </w:r>
    </w:p>
    <w:p w14:paraId="3C4AFFEC" w14:textId="77777777" w:rsidR="00954F0C" w:rsidRPr="00A27896" w:rsidRDefault="00954F0C" w:rsidP="00FD10CC">
      <w:pPr>
        <w:pStyle w:val="Heading3"/>
      </w:pPr>
      <w:bookmarkStart w:id="42" w:name="_Toc42846512"/>
      <w:r w:rsidRPr="00A27896">
        <w:t>Aizņēmumi (ilgtermiņa un īstermiņa)</w:t>
      </w:r>
      <w:bookmarkEnd w:id="42"/>
    </w:p>
    <w:p w14:paraId="2448DA5A"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Aizņēmumus atzīst uzskaitē dienā, kad saņemta nauda vai tās ekvivalenti no iekšzemes vai ārvalstu finanšu institūcijām. Aizņēmumi klasificēti finanšu instrumentu kategorijā “Pārējās finanšu saistības”.</w:t>
      </w:r>
    </w:p>
    <w:p w14:paraId="19ED6B77"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Finanšu pārskatā konsolidēti ministriju, centrālo valsts iestāžu un pašvaldību bilancē iekļautie aizņēmumi no valsts budžeta.</w:t>
      </w:r>
    </w:p>
    <w:p w14:paraId="4440739F" w14:textId="77777777" w:rsidR="00954F0C" w:rsidRPr="00A27896" w:rsidRDefault="00954F0C" w:rsidP="00FD10CC">
      <w:pPr>
        <w:pStyle w:val="Heading3"/>
      </w:pPr>
      <w:bookmarkStart w:id="43" w:name="_Toc42846513"/>
      <w:r w:rsidRPr="00A27896">
        <w:t>Emitētās obligācijas un citi parāda vērtspapīri (ilgtermiņa un īstermiņa)</w:t>
      </w:r>
      <w:bookmarkEnd w:id="43"/>
    </w:p>
    <w:p w14:paraId="77A067DC" w14:textId="6CFFF2A6"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Saistību sastāvā uzskaita e</w:t>
      </w:r>
      <w:r w:rsidRPr="00A27896">
        <w:rPr>
          <w:rFonts w:cs="Times New Roman"/>
          <w:color w:val="17365D"/>
        </w:rPr>
        <w:t>mitētās obligācijas, t.sk. eiroobligācijas, un citus parāda vērtspapīrus (parādzīmes, krājobligācijas,</w:t>
      </w:r>
      <w:r w:rsidRPr="00A27896">
        <w:rPr>
          <w:rFonts w:cs="Times New Roman"/>
          <w:color w:val="17365D"/>
          <w:szCs w:val="24"/>
        </w:rPr>
        <w:t xml:space="preserve"> īpašam mērķim noteiktus bezprocentu valsts vērtspapīrus). Valsts vērtspapīrus izlaiž atbilstoši Ministru kabineta 2014.</w:t>
      </w:r>
      <w:r w:rsidR="00CA159F">
        <w:rPr>
          <w:rFonts w:cs="Times New Roman"/>
          <w:color w:val="17365D"/>
          <w:szCs w:val="24"/>
        </w:rPr>
        <w:t> </w:t>
      </w:r>
      <w:r w:rsidRPr="00A27896">
        <w:rPr>
          <w:rFonts w:cs="Times New Roman"/>
          <w:color w:val="17365D"/>
          <w:szCs w:val="24"/>
        </w:rPr>
        <w:t>gada 6.</w:t>
      </w:r>
      <w:r w:rsidR="00CA159F">
        <w:rPr>
          <w:rFonts w:cs="Times New Roman"/>
          <w:color w:val="17365D"/>
          <w:szCs w:val="24"/>
        </w:rPr>
        <w:t> </w:t>
      </w:r>
      <w:r w:rsidRPr="00A27896">
        <w:rPr>
          <w:rFonts w:cs="Times New Roman"/>
          <w:color w:val="17365D"/>
          <w:szCs w:val="24"/>
        </w:rPr>
        <w:t xml:space="preserve">maijā noteikumos Nr.237 “Valsts vērtspapīru izlaišanas noteikumi” noteiktajai valsts vērtspapīru izlaišanas un apgrozības kārtībai Latvijas Republikā. </w:t>
      </w:r>
    </w:p>
    <w:p w14:paraId="5FBD5F9A"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Emitētās obligācijas un citi parāda vērtspapīri klasificēti finanšu instrumentu kategorijā “Pārējās finanšu saistības”.</w:t>
      </w:r>
    </w:p>
    <w:p w14:paraId="7F097A5F" w14:textId="77777777" w:rsidR="00954F0C" w:rsidRPr="00A27896" w:rsidRDefault="00954F0C" w:rsidP="00FD10CC">
      <w:pPr>
        <w:pStyle w:val="Heading3"/>
      </w:pPr>
      <w:bookmarkStart w:id="44" w:name="_Toc42846514"/>
      <w:r w:rsidRPr="00A27896">
        <w:t>Saņemtie noguldījumi (ilgtermiņa un īstermiņa)</w:t>
      </w:r>
      <w:bookmarkEnd w:id="44"/>
    </w:p>
    <w:p w14:paraId="29A89024"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Saistību sastāvā uzskaitīti Valsts kasē ieguldītie valsts budžeta izpildītāju valsts speciālā budžeta un ārvalstu finanšu palīdzības līdzekļu atlikumu ieguldījumi noguldījumu veidā atbilstoši Likumā par budžetu un finanšu vadību noteiktajam.</w:t>
      </w:r>
    </w:p>
    <w:p w14:paraId="42AE71D8"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Saņemtie noguldījumi sākotnēji atzīti to saņemšanas dienā saņemtās summas apmērā.</w:t>
      </w:r>
    </w:p>
    <w:p w14:paraId="39525139"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Saņemtie noguldījumi klasificēti finanšu instrumentu kategorijā “Pārējās finanšu saistības”. </w:t>
      </w:r>
    </w:p>
    <w:p w14:paraId="2602C4CF" w14:textId="4FB6669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Finanšu pārskatā konsolidēti valsts budžeta izpildītāju noguldījumi Valsts kasē, kas uzskaitīti valsts budžeta finanšu uzskaitē. </w:t>
      </w:r>
    </w:p>
    <w:p w14:paraId="53450F84" w14:textId="77777777" w:rsidR="00954F0C" w:rsidRPr="00A27896" w:rsidRDefault="00954F0C" w:rsidP="00FD10CC">
      <w:pPr>
        <w:pStyle w:val="Heading3"/>
      </w:pPr>
      <w:bookmarkStart w:id="45" w:name="_Toc42846515"/>
      <w:r w:rsidRPr="00A27896">
        <w:t>Uzkrātās saistības (ilgtermiņa un īstermiņa)</w:t>
      </w:r>
      <w:bookmarkEnd w:id="45"/>
    </w:p>
    <w:p w14:paraId="1B711E63"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Uzkrātās saistības ir skaidri zināmas un samērā precīzi aprēķināmas saistību summas par pārskata gadā vai iepriekšējos pārskata periodos saņemtām precēm vai pakalpojumiem, kā arī citu darījumu un notikumu rezultātā radušās saistības, par kurām bilances datumā maksāšanai paredzētais attaisnojuma dokuments vēl nav saņemts. </w:t>
      </w:r>
    </w:p>
    <w:p w14:paraId="5DA770DD"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Uzkrātās saistības par darbinieku neizmantotajiem atvaļinājumiem aprēķinātas katram darbiniekam atsevišķi, nosakot darbinieka līdz pārskata perioda beigām neizmantoto atvaļinājuma </w:t>
      </w:r>
      <w:r w:rsidRPr="00A27896">
        <w:rPr>
          <w:rFonts w:cs="Times New Roman"/>
          <w:color w:val="17365D"/>
          <w:szCs w:val="24"/>
        </w:rPr>
        <w:lastRenderedPageBreak/>
        <w:t>dienu skaitu un to sareizinot ar darbinieka vienas darba dienas vidējo izpeļņu pēdējo sešu kalendāra mēnešu laikā, un pieskaitot darba devēja valsts sociālās apdrošināšanas obligātās iemaksas.</w:t>
      </w:r>
    </w:p>
    <w:p w14:paraId="7BA1B143" w14:textId="77777777" w:rsidR="00954F0C" w:rsidRPr="00A27896" w:rsidRDefault="00954F0C" w:rsidP="00954F0C">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t>Valsts sociālās apdrošināšanas aģentūra atzīst un uzkrāj saistības iemaksām valsts fondēto pensiju shēmā līdz pārskata gadam sekojošā gada 15. februārim shēmas dalībnieku kontos reģistrētās summas apjomā, t.i., summas, kas reģistrētas nodošanai pārvaldīšanā.</w:t>
      </w:r>
    </w:p>
    <w:p w14:paraId="051A5586" w14:textId="5BE8E919" w:rsidR="00954F0C" w:rsidRPr="00A27896" w:rsidRDefault="00954F0C" w:rsidP="00954F0C">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t>Valsts budžeta finanšu uzskaitē atzīst uzkrātās saistības par valsts sniegtajiem galvojumiem un izdevumus, ja saistību lielums un apmaksas termiņi ir samērā precīzi aprēķināmi, bet galvotā aizņēmuma summa netiks maksāta no aizņēmēja līdzekļiem, bet tā atmaksai ir paredzēti valsts budžeta līdzekļi attiecīgās nozares ministrijas budžetā.</w:t>
      </w:r>
    </w:p>
    <w:p w14:paraId="11435155" w14:textId="6A7467FD" w:rsidR="00451B7B" w:rsidRPr="00A27896" w:rsidRDefault="00875AEB" w:rsidP="00954F0C">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t xml:space="preserve">VID administrēto valsts budžeta ieņēmumu uzskaitē uzkrātās saistības atzīst, ja pārskata </w:t>
      </w:r>
      <w:r w:rsidR="00476215" w:rsidRPr="00A27896">
        <w:rPr>
          <w:rFonts w:eastAsia="Times New Roman" w:cs="Times New Roman"/>
          <w:bCs/>
          <w:color w:val="17365D"/>
          <w:szCs w:val="24"/>
        </w:rPr>
        <w:t>gadā</w:t>
      </w:r>
      <w:r w:rsidRPr="00A27896">
        <w:rPr>
          <w:rFonts w:eastAsia="Times New Roman" w:cs="Times New Roman"/>
          <w:bCs/>
          <w:color w:val="17365D"/>
          <w:szCs w:val="24"/>
        </w:rPr>
        <w:t xml:space="preserve"> radušās saistības pret nodokļa maksātāju, bet </w:t>
      </w:r>
      <w:r w:rsidR="00476215" w:rsidRPr="00A27896">
        <w:rPr>
          <w:rFonts w:eastAsia="Times New Roman" w:cs="Times New Roman"/>
          <w:bCs/>
          <w:color w:val="17365D"/>
          <w:szCs w:val="24"/>
        </w:rPr>
        <w:t xml:space="preserve">maksāšanai paredzētais </w:t>
      </w:r>
      <w:r w:rsidRPr="00A27896">
        <w:rPr>
          <w:rFonts w:eastAsia="Times New Roman" w:cs="Times New Roman"/>
          <w:bCs/>
          <w:color w:val="17365D"/>
          <w:szCs w:val="24"/>
        </w:rPr>
        <w:t xml:space="preserve">attaisnojuma dokuments </w:t>
      </w:r>
      <w:r w:rsidR="00476215" w:rsidRPr="00A27896">
        <w:rPr>
          <w:rFonts w:eastAsia="Times New Roman" w:cs="Times New Roman"/>
          <w:bCs/>
          <w:color w:val="17365D"/>
          <w:szCs w:val="24"/>
        </w:rPr>
        <w:t xml:space="preserve">izsniegts </w:t>
      </w:r>
      <w:r w:rsidRPr="00A27896">
        <w:rPr>
          <w:rFonts w:eastAsia="Times New Roman" w:cs="Times New Roman"/>
          <w:bCs/>
          <w:color w:val="17365D"/>
          <w:szCs w:val="24"/>
        </w:rPr>
        <w:t xml:space="preserve">pēc attiecīgā pārskata </w:t>
      </w:r>
      <w:r w:rsidR="00476215" w:rsidRPr="00A27896">
        <w:rPr>
          <w:rFonts w:eastAsia="Times New Roman" w:cs="Times New Roman"/>
          <w:bCs/>
          <w:color w:val="17365D"/>
          <w:szCs w:val="24"/>
        </w:rPr>
        <w:t>gada</w:t>
      </w:r>
      <w:r w:rsidRPr="00A27896">
        <w:rPr>
          <w:rFonts w:eastAsia="Times New Roman" w:cs="Times New Roman"/>
          <w:bCs/>
          <w:color w:val="17365D"/>
          <w:szCs w:val="24"/>
        </w:rPr>
        <w:t xml:space="preserve"> beigām.</w:t>
      </w:r>
    </w:p>
    <w:p w14:paraId="3B67EF0E" w14:textId="5DB0F75C" w:rsidR="00EE5BCC" w:rsidRPr="00A27896" w:rsidRDefault="00EE5BCC" w:rsidP="00FD10CC">
      <w:pPr>
        <w:pStyle w:val="Heading3"/>
      </w:pPr>
      <w:bookmarkStart w:id="46" w:name="_Toc42846516"/>
      <w:r w:rsidRPr="00A27896">
        <w:t>Saistības par nodokļiem, nodevām un citiem maksājumiem</w:t>
      </w:r>
    </w:p>
    <w:p w14:paraId="690E5F02" w14:textId="2B227C2D" w:rsidR="00EE5BCC" w:rsidRPr="00A27896" w:rsidRDefault="00CE5581" w:rsidP="004A66B0">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t xml:space="preserve">Budžeta iestādes uzskaita saistības par aprēķinātiem nodokļiem, nodevām un citiem maksājumiem, kas radušās pārskata periodā, bet par kurām apmaksa nav veikta vai arī maksājums veikts vienotajā nodokļu kontā un līdz normatīvajos aktos nodokļu jomā noteiktajam </w:t>
      </w:r>
      <w:r w:rsidR="00F17123" w:rsidRPr="00A27896">
        <w:rPr>
          <w:rFonts w:eastAsia="Times New Roman" w:cs="Times New Roman"/>
          <w:bCs/>
          <w:color w:val="17365D"/>
          <w:szCs w:val="24"/>
        </w:rPr>
        <w:t xml:space="preserve">maksājumu saistības </w:t>
      </w:r>
      <w:r w:rsidRPr="00A27896">
        <w:rPr>
          <w:rFonts w:eastAsia="Times New Roman" w:cs="Times New Roman"/>
          <w:bCs/>
          <w:color w:val="17365D"/>
          <w:szCs w:val="24"/>
        </w:rPr>
        <w:t>maksāšanas termiņam uzskaitīts prasību sastāvā kā avansā veikts maksājums.</w:t>
      </w:r>
    </w:p>
    <w:p w14:paraId="0AE979A8" w14:textId="4875A61C" w:rsidR="00CE5581" w:rsidRPr="00A27896" w:rsidRDefault="009F15CC" w:rsidP="004A66B0">
      <w:pPr>
        <w:spacing w:after="120" w:line="240" w:lineRule="auto"/>
        <w:ind w:firstLine="284"/>
        <w:jc w:val="both"/>
        <w:rPr>
          <w:rFonts w:eastAsia="Times New Roman" w:cs="Times New Roman"/>
          <w:bCs/>
          <w:color w:val="17365D"/>
          <w:szCs w:val="24"/>
        </w:rPr>
      </w:pPr>
      <w:r w:rsidRPr="00A27896">
        <w:rPr>
          <w:rFonts w:eastAsia="Times New Roman" w:cs="Times New Roman"/>
          <w:bCs/>
          <w:color w:val="17365D"/>
          <w:szCs w:val="24"/>
        </w:rPr>
        <w:t xml:space="preserve">VID administrēto valsts budžeta ieņēmumu uzskaitē saistības pret nodokļu maksātājiem atzīst, ja pārskata periodā ir radies pienākums </w:t>
      </w:r>
      <w:r w:rsidR="004A66B0" w:rsidRPr="00A27896">
        <w:rPr>
          <w:rFonts w:eastAsia="Times New Roman" w:cs="Times New Roman"/>
          <w:bCs/>
          <w:color w:val="17365D"/>
          <w:szCs w:val="24"/>
        </w:rPr>
        <w:t xml:space="preserve">precizēt iepriekš atzītos valsts budžeta ieņēmumus </w:t>
      </w:r>
      <w:r w:rsidRPr="00A27896">
        <w:rPr>
          <w:rFonts w:eastAsia="Times New Roman" w:cs="Times New Roman"/>
          <w:bCs/>
          <w:color w:val="17365D"/>
          <w:szCs w:val="24"/>
        </w:rPr>
        <w:t>saskaņā ar nodokļu maksātāja iesniegtiem attaisnojuma dokumentiem</w:t>
      </w:r>
      <w:r w:rsidR="004A66B0" w:rsidRPr="00A27896">
        <w:rPr>
          <w:rFonts w:eastAsia="Times New Roman" w:cs="Times New Roman"/>
          <w:bCs/>
          <w:color w:val="17365D"/>
          <w:szCs w:val="24"/>
        </w:rPr>
        <w:t>,</w:t>
      </w:r>
      <w:r w:rsidRPr="00A27896">
        <w:rPr>
          <w:rFonts w:eastAsia="Times New Roman" w:cs="Times New Roman"/>
          <w:bCs/>
          <w:color w:val="17365D"/>
          <w:szCs w:val="24"/>
        </w:rPr>
        <w:t xml:space="preserve"> VID</w:t>
      </w:r>
      <w:r w:rsidR="004A66B0" w:rsidRPr="00A27896">
        <w:rPr>
          <w:rFonts w:eastAsia="Times New Roman" w:cs="Times New Roman"/>
          <w:bCs/>
          <w:color w:val="17365D"/>
          <w:szCs w:val="24"/>
        </w:rPr>
        <w:t xml:space="preserve"> vai citu institūciju</w:t>
      </w:r>
      <w:r w:rsidRPr="00A27896">
        <w:rPr>
          <w:rFonts w:eastAsia="Times New Roman" w:cs="Times New Roman"/>
          <w:bCs/>
          <w:color w:val="17365D"/>
          <w:szCs w:val="24"/>
        </w:rPr>
        <w:t xml:space="preserve"> pieņemtiem lēmumiem.</w:t>
      </w:r>
    </w:p>
    <w:p w14:paraId="6FF7FD36" w14:textId="3F3E3F2F" w:rsidR="00954F0C" w:rsidRPr="00A27896" w:rsidRDefault="00954F0C" w:rsidP="00FD10CC">
      <w:pPr>
        <w:pStyle w:val="Heading3"/>
      </w:pPr>
      <w:bookmarkStart w:id="47" w:name="_Toc42846517"/>
      <w:bookmarkEnd w:id="46"/>
      <w:r w:rsidRPr="00A27896">
        <w:t>Nākamo periodu ieņēmumi un saņemtie avansi (ilgtermiņa un īstermiņa)</w:t>
      </w:r>
      <w:bookmarkEnd w:id="47"/>
    </w:p>
    <w:p w14:paraId="17BA0638" w14:textId="77777777" w:rsidR="00954F0C" w:rsidRPr="00A27896" w:rsidRDefault="00954F0C" w:rsidP="00954F0C">
      <w:pPr>
        <w:spacing w:after="120" w:line="240" w:lineRule="auto"/>
        <w:ind w:firstLine="284"/>
        <w:jc w:val="both"/>
        <w:rPr>
          <w:rFonts w:eastAsia="Times New Roman" w:cs="Times New Roman"/>
          <w:color w:val="17365D"/>
          <w:szCs w:val="20"/>
        </w:rPr>
      </w:pPr>
      <w:r w:rsidRPr="00A27896">
        <w:rPr>
          <w:rFonts w:cs="Times New Roman"/>
          <w:color w:val="17365D"/>
          <w:szCs w:val="24"/>
        </w:rPr>
        <w:t>Nākamo periodu ieņēmumu un saņemto avansu sastāvā uzskaita budžeta iestāžu saņemtos resursus (naudas līdzekļus, citus finanšu un nefinanšu aktīvus), kurus atbilstoši attiecīgā darījuma nosacījumiem ieņēmumos atzīs nākamajos pārskata periodos.</w:t>
      </w:r>
      <w:r w:rsidRPr="00A27896">
        <w:rPr>
          <w:rFonts w:eastAsia="Times New Roman" w:cs="Times New Roman"/>
          <w:color w:val="17365D"/>
          <w:sz w:val="20"/>
          <w:szCs w:val="20"/>
        </w:rPr>
        <w:t xml:space="preserve"> </w:t>
      </w:r>
    </w:p>
    <w:p w14:paraId="568D40B9" w14:textId="77777777" w:rsidR="00954F0C" w:rsidRPr="00A27896" w:rsidRDefault="00954F0C" w:rsidP="00954F0C">
      <w:pPr>
        <w:pStyle w:val="tv2131"/>
        <w:spacing w:after="120" w:line="240" w:lineRule="auto"/>
        <w:ind w:firstLine="284"/>
        <w:jc w:val="both"/>
        <w:rPr>
          <w:color w:val="17365D"/>
          <w:sz w:val="24"/>
          <w:szCs w:val="24"/>
        </w:rPr>
      </w:pPr>
      <w:r w:rsidRPr="00A27896">
        <w:rPr>
          <w:color w:val="17365D"/>
          <w:sz w:val="24"/>
          <w:szCs w:val="24"/>
        </w:rPr>
        <w:t>Nākamo periodu ieņēmumos uzskaitīta ārvalstu finanšu palīdzība (darījuma partneris – nerezidents) un saņemtie ziedojumi un dāvinājumi, ja ar to saņemšanu saistītajos tiesību aktos ir ietverti nosacījumi attiecībā uz to, kā saņēmējam jālieto saņemtie resursi, un kas izpildāmi juridisku un administratīvu procesu ietvaros.</w:t>
      </w:r>
    </w:p>
    <w:p w14:paraId="03F8E3C2"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Nākamo periodu ieņēmumus no ārvalstu finanšu palīdzības un saņemtiem ziedojumiem un dāvinājumiem budžeta iestāžu grāmatvedībā atzīst ieņēmumos pārskata periodā, kad izpildīti attiecīgajos tiesību aktos ietvertie nosacījumi.</w:t>
      </w:r>
    </w:p>
    <w:p w14:paraId="7E464830"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Nākamo periodu ieņēmumos budžeta iestādes uzskaita saņemtos transfertu avansa maksājumus, tai skaitā par ES politiku instrumentu un pārējās ārvalstu finanšu palīdzības finansētajiem projektiem (pasākumiem), ja nav saņemts apstiprinājums par attaisnotajiem (atzītajiem) izdevumiem.</w:t>
      </w:r>
    </w:p>
    <w:p w14:paraId="694C5AE9"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Nākamo periodu ieņēmumos uzskaitīti par siltumnīcefekta gāzu emisiju kvotu pārdošanu izsolēs saņemtie, bet projektos neizmantotie līdzekļi.</w:t>
      </w:r>
      <w:r w:rsidRPr="00A27896" w:rsidDel="00866B30">
        <w:rPr>
          <w:rFonts w:cs="Times New Roman"/>
          <w:color w:val="17365D"/>
          <w:szCs w:val="24"/>
        </w:rPr>
        <w:t xml:space="preserve"> </w:t>
      </w:r>
    </w:p>
    <w:p w14:paraId="05A5F105" w14:textId="3EE043D5" w:rsidR="00F8254F" w:rsidRPr="00A27896" w:rsidRDefault="00F8254F" w:rsidP="00954F0C">
      <w:pPr>
        <w:spacing w:after="120" w:line="240" w:lineRule="auto"/>
        <w:ind w:firstLine="284"/>
        <w:jc w:val="both"/>
        <w:rPr>
          <w:rFonts w:cs="Times New Roman"/>
          <w:color w:val="17365D"/>
          <w:szCs w:val="24"/>
        </w:rPr>
      </w:pPr>
      <w:r w:rsidRPr="00A27896">
        <w:rPr>
          <w:rFonts w:cs="Times New Roman"/>
          <w:color w:val="17365D"/>
          <w:szCs w:val="24"/>
        </w:rPr>
        <w:t xml:space="preserve">Ņemot vērā Ministru kabineta 2018. gada 30. oktobra </w:t>
      </w:r>
      <w:r w:rsidRPr="00B8076D">
        <w:rPr>
          <w:rFonts w:cs="Times New Roman"/>
          <w:color w:val="17365D"/>
          <w:szCs w:val="24"/>
          <w:shd w:val="clear" w:color="auto" w:fill="FFFFFF" w:themeFill="background1"/>
        </w:rPr>
        <w:t>noteikumos Nr. 661 "Kārtība</w:t>
      </w:r>
      <w:r w:rsidRPr="00A27896">
        <w:rPr>
          <w:rFonts w:cs="Times New Roman"/>
          <w:color w:val="17365D"/>
          <w:szCs w:val="24"/>
        </w:rPr>
        <w:t>, kādā maksā nodokļus, nodevas, citus valsts noteiktos maksājumus un ar tiem saistītos maksājumus un novirza tos saistību segšanai", kas izdoti uz likuma “Par nodokļiem un nodevām” 23</w:t>
      </w:r>
      <w:r w:rsidR="00CE39BC">
        <w:rPr>
          <w:rFonts w:cs="Times New Roman"/>
          <w:color w:val="17365D"/>
          <w:szCs w:val="24"/>
        </w:rPr>
        <w:t>.</w:t>
      </w:r>
      <w:r w:rsidRPr="00A27896">
        <w:rPr>
          <w:rFonts w:cs="Times New Roman"/>
          <w:color w:val="17365D"/>
          <w:szCs w:val="24"/>
          <w:vertAlign w:val="superscript"/>
        </w:rPr>
        <w:t>1</w:t>
      </w:r>
      <w:r w:rsidRPr="00A27896">
        <w:rPr>
          <w:rFonts w:cs="Times New Roman"/>
          <w:color w:val="17365D"/>
          <w:szCs w:val="24"/>
        </w:rPr>
        <w:t xml:space="preserve">panta pamata, noteikto kārtību, VID administrēto valsts budžeta ieņēmumu uzskaitē vienotajā nodokļu kontā saņemtos maksājumus attiecina (piesaista konkrētām prasībām) ar datumu, kurā iestājas maksājumu saistības maksāšanas termiņš, līdz tam saņemtos neattiecinātos maksājumus </w:t>
      </w:r>
      <w:r w:rsidR="00C06EE5" w:rsidRPr="00A27896">
        <w:rPr>
          <w:rFonts w:cs="Times New Roman"/>
          <w:color w:val="17365D"/>
          <w:szCs w:val="24"/>
        </w:rPr>
        <w:t xml:space="preserve">VID </w:t>
      </w:r>
      <w:r w:rsidR="00C06EE5" w:rsidRPr="00A27896">
        <w:rPr>
          <w:rFonts w:cs="Times New Roman"/>
          <w:color w:val="17365D"/>
          <w:szCs w:val="24"/>
        </w:rPr>
        <w:lastRenderedPageBreak/>
        <w:t xml:space="preserve">administrēto valsts budžeta ieņēmumu </w:t>
      </w:r>
      <w:r w:rsidRPr="00A27896">
        <w:rPr>
          <w:rFonts w:cs="Times New Roman"/>
          <w:color w:val="17365D"/>
          <w:szCs w:val="24"/>
        </w:rPr>
        <w:t xml:space="preserve">grāmatvedībā klasificējot kā </w:t>
      </w:r>
      <w:r w:rsidR="00C06EE5" w:rsidRPr="00A27896">
        <w:rPr>
          <w:rFonts w:cs="Times New Roman"/>
          <w:color w:val="17365D"/>
          <w:szCs w:val="24"/>
        </w:rPr>
        <w:t xml:space="preserve">saistības par </w:t>
      </w:r>
      <w:r w:rsidRPr="00A27896">
        <w:rPr>
          <w:rFonts w:cs="Times New Roman"/>
          <w:color w:val="17365D"/>
          <w:szCs w:val="24"/>
        </w:rPr>
        <w:t>avansā saņemt</w:t>
      </w:r>
      <w:r w:rsidR="00C06EE5" w:rsidRPr="00A27896">
        <w:rPr>
          <w:rFonts w:cs="Times New Roman"/>
          <w:color w:val="17365D"/>
          <w:szCs w:val="24"/>
        </w:rPr>
        <w:t>iem</w:t>
      </w:r>
      <w:r w:rsidRPr="00A27896">
        <w:rPr>
          <w:rFonts w:cs="Times New Roman"/>
          <w:color w:val="17365D"/>
          <w:szCs w:val="24"/>
        </w:rPr>
        <w:t xml:space="preserve"> naudas līdzekļ</w:t>
      </w:r>
      <w:r w:rsidR="00C06EE5" w:rsidRPr="00A27896">
        <w:rPr>
          <w:rFonts w:cs="Times New Roman"/>
          <w:color w:val="17365D"/>
          <w:szCs w:val="24"/>
        </w:rPr>
        <w:t>iem</w:t>
      </w:r>
      <w:r w:rsidRPr="00A27896">
        <w:rPr>
          <w:rFonts w:cs="Times New Roman"/>
          <w:color w:val="17365D"/>
          <w:szCs w:val="24"/>
        </w:rPr>
        <w:t>.</w:t>
      </w:r>
    </w:p>
    <w:p w14:paraId="7D79BD6A" w14:textId="31E21F38" w:rsidR="00904D27" w:rsidRPr="00A27896" w:rsidRDefault="00EF121B" w:rsidP="00904D27">
      <w:pPr>
        <w:spacing w:after="120" w:line="240" w:lineRule="auto"/>
        <w:ind w:firstLine="284"/>
        <w:jc w:val="both"/>
        <w:rPr>
          <w:rFonts w:cs="Times New Roman"/>
          <w:color w:val="17365D"/>
          <w:szCs w:val="24"/>
        </w:rPr>
      </w:pPr>
      <w:r w:rsidRPr="00A27896">
        <w:rPr>
          <w:rFonts w:cs="Times New Roman"/>
          <w:color w:val="17365D"/>
          <w:szCs w:val="24"/>
        </w:rPr>
        <w:t xml:space="preserve">Saņemto ES </w:t>
      </w:r>
      <w:r w:rsidR="00310BDE" w:rsidRPr="00A27896">
        <w:rPr>
          <w:rFonts w:cs="Times New Roman"/>
          <w:color w:val="17365D"/>
          <w:szCs w:val="24"/>
        </w:rPr>
        <w:t xml:space="preserve">politiku instrumentu </w:t>
      </w:r>
      <w:r w:rsidRPr="00A27896">
        <w:rPr>
          <w:rFonts w:cs="Times New Roman"/>
          <w:color w:val="17365D"/>
          <w:szCs w:val="24"/>
        </w:rPr>
        <w:t xml:space="preserve">finansējumu un citu ārvalstu finanšu palīdzību atzīst </w:t>
      </w:r>
      <w:r w:rsidR="00310BDE" w:rsidRPr="00A27896">
        <w:rPr>
          <w:rFonts w:cs="Times New Roman"/>
          <w:color w:val="17365D"/>
          <w:szCs w:val="24"/>
        </w:rPr>
        <w:t xml:space="preserve">kā </w:t>
      </w:r>
      <w:r w:rsidRPr="00A27896">
        <w:rPr>
          <w:rFonts w:cs="Times New Roman"/>
          <w:color w:val="17365D"/>
          <w:szCs w:val="24"/>
        </w:rPr>
        <w:t xml:space="preserve">īstermiņa </w:t>
      </w:r>
      <w:r w:rsidR="002A4556" w:rsidRPr="00A27896">
        <w:rPr>
          <w:rFonts w:cs="Times New Roman"/>
          <w:color w:val="17365D"/>
          <w:szCs w:val="24"/>
        </w:rPr>
        <w:t xml:space="preserve">saistības </w:t>
      </w:r>
      <w:r w:rsidR="003A6EA1" w:rsidRPr="00A27896">
        <w:rPr>
          <w:rFonts w:cs="Times New Roman"/>
          <w:color w:val="17365D"/>
          <w:szCs w:val="24"/>
        </w:rPr>
        <w:t xml:space="preserve">vai </w:t>
      </w:r>
      <w:r w:rsidR="002A4556" w:rsidRPr="00A27896">
        <w:rPr>
          <w:rFonts w:cs="Times New Roman"/>
          <w:color w:val="17365D"/>
          <w:szCs w:val="24"/>
        </w:rPr>
        <w:t xml:space="preserve">īstermiņa prasību samazinājumu pret </w:t>
      </w:r>
      <w:r w:rsidR="003A6EA1" w:rsidRPr="00A27896">
        <w:rPr>
          <w:rFonts w:cs="Times New Roman"/>
          <w:color w:val="17365D"/>
          <w:szCs w:val="24"/>
        </w:rPr>
        <w:t xml:space="preserve">Eiropas Komisiju (turpmāk – </w:t>
      </w:r>
      <w:r w:rsidR="002A4556" w:rsidRPr="00A27896">
        <w:rPr>
          <w:rFonts w:cs="Times New Roman"/>
          <w:color w:val="17365D"/>
          <w:szCs w:val="24"/>
        </w:rPr>
        <w:t>EK</w:t>
      </w:r>
      <w:r w:rsidR="003A6EA1" w:rsidRPr="00A27896">
        <w:rPr>
          <w:rFonts w:cs="Times New Roman"/>
          <w:color w:val="17365D"/>
          <w:szCs w:val="24"/>
        </w:rPr>
        <w:t>)</w:t>
      </w:r>
      <w:r w:rsidR="002A4556" w:rsidRPr="00A27896">
        <w:rPr>
          <w:rFonts w:cs="Times New Roman"/>
          <w:color w:val="17365D"/>
          <w:szCs w:val="24"/>
        </w:rPr>
        <w:t xml:space="preserve"> par</w:t>
      </w:r>
      <w:r w:rsidRPr="00A27896">
        <w:rPr>
          <w:rFonts w:cs="Times New Roman"/>
          <w:color w:val="17365D"/>
          <w:szCs w:val="24"/>
        </w:rPr>
        <w:t xml:space="preserve"> </w:t>
      </w:r>
      <w:r w:rsidR="003A6EA1" w:rsidRPr="00A27896">
        <w:rPr>
          <w:rFonts w:cs="Times New Roman"/>
          <w:color w:val="17365D"/>
          <w:szCs w:val="24"/>
        </w:rPr>
        <w:t xml:space="preserve">līdzekļu starpposmu un noslēguma maksājumiem dienā, kad no </w:t>
      </w:r>
      <w:r w:rsidR="00310BDE" w:rsidRPr="00A27896">
        <w:rPr>
          <w:rFonts w:cs="Times New Roman"/>
          <w:color w:val="17365D"/>
          <w:szCs w:val="24"/>
        </w:rPr>
        <w:t>EK vai citas piešķīrējas institūcijas</w:t>
      </w:r>
      <w:r w:rsidRPr="00A27896">
        <w:rPr>
          <w:rFonts w:cs="Times New Roman"/>
          <w:color w:val="17365D"/>
          <w:szCs w:val="24"/>
        </w:rPr>
        <w:t xml:space="preserve"> ieskaitīta </w:t>
      </w:r>
      <w:r w:rsidR="00310BDE" w:rsidRPr="00A27896">
        <w:rPr>
          <w:rFonts w:cs="Times New Roman"/>
          <w:color w:val="17365D"/>
          <w:szCs w:val="24"/>
        </w:rPr>
        <w:t>nauda Valsts kases kontā finanšu sabiedrībā</w:t>
      </w:r>
      <w:r w:rsidRPr="00A27896">
        <w:rPr>
          <w:rFonts w:cs="Times New Roman"/>
          <w:color w:val="17365D"/>
          <w:szCs w:val="24"/>
        </w:rPr>
        <w:t>.</w:t>
      </w:r>
      <w:r w:rsidR="00904D27" w:rsidRPr="00A27896">
        <w:rPr>
          <w:rFonts w:cs="Times New Roman"/>
          <w:color w:val="17365D"/>
          <w:szCs w:val="24"/>
        </w:rPr>
        <w:t xml:space="preserve"> Prasības pret EK un ieņēmumus par starpposmu un noslēgumu maksājumiem Latvijai </w:t>
      </w:r>
      <w:r w:rsidR="004A66B0" w:rsidRPr="00A27896">
        <w:rPr>
          <w:rFonts w:cs="Times New Roman"/>
          <w:color w:val="17365D"/>
          <w:szCs w:val="24"/>
        </w:rPr>
        <w:t xml:space="preserve">atzīst </w:t>
      </w:r>
      <w:r w:rsidR="00904D27" w:rsidRPr="00A27896">
        <w:rPr>
          <w:rFonts w:cs="Times New Roman"/>
          <w:color w:val="17365D"/>
          <w:szCs w:val="24"/>
        </w:rPr>
        <w:t>pamatojoties uz atbildīgās iestādes sniegto informāciju par apstiprinātajiem ES fondu izdevumiem.</w:t>
      </w:r>
    </w:p>
    <w:p w14:paraId="56AF77D9" w14:textId="56D53F8C" w:rsidR="00EF121B" w:rsidRPr="00A27896" w:rsidRDefault="00EF121B" w:rsidP="00EF121B">
      <w:pPr>
        <w:spacing w:after="120" w:line="240" w:lineRule="auto"/>
        <w:ind w:firstLine="284"/>
        <w:jc w:val="both"/>
        <w:rPr>
          <w:rFonts w:cs="Times New Roman"/>
          <w:color w:val="17365D"/>
          <w:szCs w:val="24"/>
        </w:rPr>
      </w:pPr>
      <w:r w:rsidRPr="00A27896">
        <w:rPr>
          <w:rFonts w:cs="Times New Roman"/>
          <w:color w:val="17365D"/>
          <w:szCs w:val="24"/>
        </w:rPr>
        <w:t xml:space="preserve">Valsts kase </w:t>
      </w:r>
      <w:r w:rsidR="003A6EA1" w:rsidRPr="00A27896">
        <w:rPr>
          <w:rFonts w:cs="Times New Roman"/>
          <w:color w:val="17365D"/>
          <w:szCs w:val="24"/>
        </w:rPr>
        <w:t xml:space="preserve">īstermiņa </w:t>
      </w:r>
      <w:r w:rsidRPr="00A27896">
        <w:rPr>
          <w:rFonts w:cs="Times New Roman"/>
          <w:color w:val="17365D"/>
          <w:szCs w:val="24"/>
        </w:rPr>
        <w:t xml:space="preserve">saistības </w:t>
      </w:r>
      <w:r w:rsidR="003A6EA1" w:rsidRPr="00A27896">
        <w:rPr>
          <w:rFonts w:cs="Times New Roman"/>
          <w:color w:val="17365D"/>
          <w:szCs w:val="24"/>
        </w:rPr>
        <w:t xml:space="preserve">par saņemtajiem avansa maksājumiem un prasības pret EK samazina </w:t>
      </w:r>
      <w:r w:rsidR="009A0239" w:rsidRPr="00A27896">
        <w:rPr>
          <w:rFonts w:cs="Times New Roman"/>
          <w:color w:val="17365D"/>
          <w:szCs w:val="24"/>
        </w:rPr>
        <w:t>saņemot inform</w:t>
      </w:r>
      <w:r w:rsidR="00002F52" w:rsidRPr="00A27896">
        <w:rPr>
          <w:rFonts w:cs="Times New Roman"/>
          <w:color w:val="17365D"/>
          <w:szCs w:val="24"/>
        </w:rPr>
        <w:t>āciju</w:t>
      </w:r>
      <w:r w:rsidR="00D70C93" w:rsidRPr="00A27896">
        <w:rPr>
          <w:rFonts w:cs="Times New Roman"/>
          <w:color w:val="17365D"/>
          <w:szCs w:val="24"/>
        </w:rPr>
        <w:t xml:space="preserve"> no</w:t>
      </w:r>
      <w:r w:rsidR="00002F52" w:rsidRPr="00A27896">
        <w:rPr>
          <w:rFonts w:cs="Times New Roman"/>
          <w:color w:val="17365D"/>
          <w:szCs w:val="24"/>
        </w:rPr>
        <w:t xml:space="preserve"> atbildīgās</w:t>
      </w:r>
      <w:r w:rsidR="00D70C93" w:rsidRPr="00A27896">
        <w:rPr>
          <w:rFonts w:cs="Times New Roman"/>
          <w:color w:val="17365D"/>
          <w:szCs w:val="24"/>
        </w:rPr>
        <w:t xml:space="preserve"> iestādes</w:t>
      </w:r>
      <w:r w:rsidR="009A0239" w:rsidRPr="00A27896">
        <w:rPr>
          <w:rFonts w:cs="Times New Roman"/>
          <w:color w:val="17365D"/>
          <w:szCs w:val="24"/>
        </w:rPr>
        <w:t xml:space="preserve"> </w:t>
      </w:r>
      <w:r w:rsidR="003A6EA1" w:rsidRPr="00A27896">
        <w:rPr>
          <w:rFonts w:cs="Times New Roman"/>
          <w:color w:val="17365D"/>
          <w:szCs w:val="24"/>
        </w:rPr>
        <w:t>par</w:t>
      </w:r>
      <w:r w:rsidRPr="00A27896">
        <w:rPr>
          <w:rFonts w:cs="Times New Roman"/>
          <w:color w:val="17365D"/>
          <w:szCs w:val="24"/>
        </w:rPr>
        <w:t xml:space="preserve"> </w:t>
      </w:r>
      <w:r w:rsidR="009A0239" w:rsidRPr="00A27896">
        <w:rPr>
          <w:rFonts w:cs="Times New Roman"/>
          <w:color w:val="17365D"/>
          <w:szCs w:val="24"/>
        </w:rPr>
        <w:t xml:space="preserve">EK apstiprinātajiem izdevumiem par starpposmu un noslēguma maksājumiem, ja tās attiecināmas uz avansā saņemtajiem maksājumiem. </w:t>
      </w:r>
    </w:p>
    <w:p w14:paraId="0102F2E1" w14:textId="36575FB5" w:rsidR="00EF121B" w:rsidRPr="00A27896" w:rsidRDefault="00EF121B" w:rsidP="00EF121B">
      <w:pPr>
        <w:spacing w:after="120" w:line="240" w:lineRule="auto"/>
        <w:ind w:firstLine="284"/>
        <w:jc w:val="both"/>
        <w:rPr>
          <w:rFonts w:cs="Times New Roman"/>
          <w:color w:val="17365D"/>
          <w:szCs w:val="24"/>
        </w:rPr>
      </w:pPr>
      <w:r w:rsidRPr="00A27896">
        <w:rPr>
          <w:rFonts w:cs="Times New Roman"/>
          <w:color w:val="17365D"/>
          <w:szCs w:val="24"/>
        </w:rPr>
        <w:t>Katra pārskata perioda beigās veicot prasību un saistību inventarizācijas procedūras, sertificētos izdevumus uzskaita kā prasības pret EK par ES fondu līdzekļiem, ja šo līdzekļu saņemšana ir droši</w:t>
      </w:r>
      <w:r w:rsidR="00D50D19" w:rsidRPr="00A27896">
        <w:rPr>
          <w:rFonts w:cs="Times New Roman"/>
          <w:color w:val="17365D"/>
          <w:szCs w:val="24"/>
        </w:rPr>
        <w:t xml:space="preserve"> </w:t>
      </w:r>
      <w:r w:rsidRPr="00A27896">
        <w:rPr>
          <w:rFonts w:cs="Times New Roman"/>
          <w:color w:val="17365D"/>
          <w:szCs w:val="24"/>
        </w:rPr>
        <w:t>sagaidāma un sertificētie izdevumi ir lielāki nekā faktiski saņemtie naudas līdzekļi no EK, kas to saņemšanas dienā atzīti kā saistības pret EK.</w:t>
      </w:r>
      <w:r w:rsidR="00B44AE7" w:rsidRPr="00A27896">
        <w:rPr>
          <w:rFonts w:cs="Times New Roman"/>
          <w:color w:val="17365D"/>
          <w:szCs w:val="24"/>
        </w:rPr>
        <w:t xml:space="preserve"> </w:t>
      </w:r>
    </w:p>
    <w:p w14:paraId="3148980D" w14:textId="77777777" w:rsidR="00954F0C" w:rsidRPr="00A27896" w:rsidRDefault="00954F0C" w:rsidP="00FD10CC">
      <w:pPr>
        <w:pStyle w:val="Heading3"/>
      </w:pPr>
      <w:bookmarkStart w:id="48" w:name="_Toc42846518"/>
      <w:r w:rsidRPr="00A27896">
        <w:t>Pārējās saistības (ilgtermiņa un īstermiņa)</w:t>
      </w:r>
      <w:bookmarkEnd w:id="48"/>
    </w:p>
    <w:p w14:paraId="48FE0AC8" w14:textId="3BAC9B82" w:rsidR="00954F0C" w:rsidRPr="00A27896" w:rsidRDefault="00954F0C" w:rsidP="00954F0C">
      <w:pPr>
        <w:spacing w:after="120" w:line="240" w:lineRule="auto"/>
        <w:ind w:firstLine="284"/>
        <w:jc w:val="both"/>
        <w:rPr>
          <w:rFonts w:eastAsia="Times New Roman" w:cs="Times New Roman"/>
          <w:color w:val="17365D"/>
          <w:szCs w:val="24"/>
        </w:rPr>
      </w:pPr>
      <w:r w:rsidRPr="00A27896">
        <w:rPr>
          <w:rFonts w:eastAsia="Times New Roman" w:cs="Times New Roman"/>
          <w:color w:val="17365D"/>
          <w:szCs w:val="24"/>
        </w:rPr>
        <w:t>Pārējo saistību postenī uzskaita saistības, kuras nav klasificētas citos atsevišķi nodalītos saistību posteņos.</w:t>
      </w:r>
      <w:r w:rsidR="00047F5E" w:rsidRPr="00A27896">
        <w:rPr>
          <w:rFonts w:eastAsia="Times New Roman" w:cs="Times New Roman"/>
          <w:color w:val="17365D"/>
          <w:szCs w:val="24"/>
        </w:rPr>
        <w:t xml:space="preserve"> </w:t>
      </w:r>
    </w:p>
    <w:p w14:paraId="54F06F40"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rPr>
        <w:t>Pārējās s</w:t>
      </w:r>
      <w:r w:rsidRPr="00A27896">
        <w:rPr>
          <w:rFonts w:cs="Times New Roman"/>
          <w:color w:val="17365D"/>
          <w:szCs w:val="24"/>
        </w:rPr>
        <w:t>aistības, kas klasificētas kā finanšu instrumenti, pēc sākotnējās atzīšanas turpmāk uzskaita atbilstoši finanšu instrumentu uzskaites pamatprincipiem, kas detalizētāk aprakstīti sadaļā “Finanšu instrumentu klasifikācija, uzskaite un novērtēšana”.</w:t>
      </w:r>
    </w:p>
    <w:p w14:paraId="669430E4" w14:textId="7E9BA50D" w:rsidR="00275A1B" w:rsidRDefault="00954F0C" w:rsidP="00275A1B">
      <w:pPr>
        <w:spacing w:after="120" w:line="240" w:lineRule="auto"/>
        <w:ind w:firstLine="284"/>
        <w:jc w:val="both"/>
        <w:rPr>
          <w:rFonts w:cs="Times New Roman"/>
          <w:color w:val="17365D"/>
          <w:szCs w:val="24"/>
        </w:rPr>
      </w:pPr>
      <w:r w:rsidRPr="00A27896">
        <w:rPr>
          <w:rFonts w:cs="Times New Roman"/>
          <w:color w:val="17365D"/>
        </w:rPr>
        <w:t>Pārējo īstermiņa saistību sastāvā kā saistības par Valsts kases klientu kontu atlikumiem uzskaitītas Valsts kases saistības par finanšu pārskatā nekonsolidēto vienību kontu atlikumiem Valsts kases kontos – citu budžetu, kapitālsabiedrību, biedrību un nodibinājumu līdzekļi.</w:t>
      </w:r>
    </w:p>
    <w:p w14:paraId="5F28B323" w14:textId="4139EF0A" w:rsidR="00922FBB" w:rsidRPr="00A27896" w:rsidRDefault="00922FBB" w:rsidP="00922FBB">
      <w:pPr>
        <w:spacing w:after="120" w:line="240" w:lineRule="auto"/>
        <w:ind w:firstLine="284"/>
        <w:jc w:val="both"/>
        <w:rPr>
          <w:rFonts w:cs="Times New Roman"/>
          <w:color w:val="17365D"/>
          <w:szCs w:val="24"/>
        </w:rPr>
      </w:pPr>
      <w:r w:rsidRPr="00A27896">
        <w:rPr>
          <w:rFonts w:cs="Times New Roman"/>
          <w:color w:val="17365D"/>
          <w:szCs w:val="24"/>
        </w:rPr>
        <w:t xml:space="preserve">Finanšu pārskatā konsolidēti </w:t>
      </w:r>
      <w:r w:rsidR="00367928" w:rsidRPr="00A27896">
        <w:rPr>
          <w:rFonts w:cs="Times New Roman"/>
          <w:color w:val="17365D"/>
          <w:szCs w:val="24"/>
        </w:rPr>
        <w:t xml:space="preserve">ikgadējā pārskatā par </w:t>
      </w:r>
      <w:r w:rsidR="004A66B0" w:rsidRPr="00A27896">
        <w:rPr>
          <w:rFonts w:cs="Times New Roman"/>
          <w:color w:val="17365D"/>
          <w:szCs w:val="24"/>
        </w:rPr>
        <w:t>VID</w:t>
      </w:r>
      <w:r w:rsidRPr="00A27896">
        <w:rPr>
          <w:rFonts w:cs="Times New Roman"/>
          <w:color w:val="17365D"/>
          <w:szCs w:val="24"/>
        </w:rPr>
        <w:t xml:space="preserve"> adm</w:t>
      </w:r>
      <w:r w:rsidR="00A0070E" w:rsidRPr="00A27896">
        <w:rPr>
          <w:rFonts w:cs="Times New Roman"/>
          <w:color w:val="17365D"/>
          <w:szCs w:val="24"/>
        </w:rPr>
        <w:t>i</w:t>
      </w:r>
      <w:r w:rsidRPr="00A27896">
        <w:rPr>
          <w:rFonts w:cs="Times New Roman"/>
          <w:color w:val="17365D"/>
          <w:szCs w:val="24"/>
        </w:rPr>
        <w:t>nistr</w:t>
      </w:r>
      <w:r w:rsidR="00367928" w:rsidRPr="00A27896">
        <w:rPr>
          <w:rFonts w:cs="Times New Roman"/>
          <w:color w:val="17365D"/>
          <w:szCs w:val="24"/>
        </w:rPr>
        <w:t>ētiem</w:t>
      </w:r>
      <w:r w:rsidRPr="00A27896">
        <w:rPr>
          <w:rFonts w:cs="Times New Roman"/>
          <w:color w:val="17365D"/>
          <w:szCs w:val="24"/>
        </w:rPr>
        <w:t xml:space="preserve"> </w:t>
      </w:r>
      <w:r w:rsidR="004A66B0" w:rsidRPr="00A27896">
        <w:rPr>
          <w:rFonts w:cs="Times New Roman"/>
          <w:color w:val="17365D"/>
          <w:szCs w:val="24"/>
        </w:rPr>
        <w:t>valsts budžeta ieņēmumiem</w:t>
      </w:r>
      <w:r w:rsidR="00367928" w:rsidRPr="00A27896">
        <w:rPr>
          <w:rFonts w:cs="Times New Roman"/>
          <w:color w:val="17365D"/>
          <w:szCs w:val="24"/>
        </w:rPr>
        <w:t xml:space="preserve"> iekļautie kontu atlikumi Valsts kasē</w:t>
      </w:r>
      <w:r w:rsidRPr="00A27896">
        <w:rPr>
          <w:rFonts w:cs="Times New Roman"/>
          <w:color w:val="17365D"/>
          <w:szCs w:val="24"/>
        </w:rPr>
        <w:t>,</w:t>
      </w:r>
      <w:r w:rsidR="00A0070E" w:rsidRPr="00A27896">
        <w:rPr>
          <w:rFonts w:cs="Times New Roman"/>
          <w:color w:val="17365D"/>
          <w:szCs w:val="24"/>
        </w:rPr>
        <w:t xml:space="preserve"> </w:t>
      </w:r>
      <w:r w:rsidRPr="00A27896">
        <w:rPr>
          <w:rFonts w:cs="Times New Roman"/>
          <w:color w:val="17365D"/>
          <w:szCs w:val="24"/>
        </w:rPr>
        <w:t>ministriju, centrālo valsts iestāžu un pašvaldību bilancē iekļautie</w:t>
      </w:r>
      <w:r w:rsidR="00A0070E" w:rsidRPr="00A27896">
        <w:rPr>
          <w:rFonts w:cs="Times New Roman"/>
          <w:color w:val="17365D"/>
          <w:szCs w:val="24"/>
        </w:rPr>
        <w:t xml:space="preserve"> kontu atlikumi Valsts kasē, kas valsts budžeta finanšu uzskaitē atzīti kā pārējās saistības par </w:t>
      </w:r>
      <w:r w:rsidR="00A0070E" w:rsidRPr="00A27896">
        <w:rPr>
          <w:rFonts w:cs="Times New Roman"/>
          <w:color w:val="17365D"/>
        </w:rPr>
        <w:t>Valsts kases klientu kontu atlikumiem</w:t>
      </w:r>
      <w:r w:rsidRPr="00A27896">
        <w:rPr>
          <w:rFonts w:cs="Times New Roman"/>
          <w:color w:val="17365D"/>
          <w:szCs w:val="24"/>
        </w:rPr>
        <w:t>.</w:t>
      </w:r>
    </w:p>
    <w:p w14:paraId="4B21D33E" w14:textId="77777777" w:rsidR="00954F0C" w:rsidRPr="00A27896" w:rsidRDefault="00954F0C" w:rsidP="00FD10CC">
      <w:pPr>
        <w:pStyle w:val="Heading3"/>
      </w:pPr>
      <w:bookmarkStart w:id="49" w:name="_Toc42846519"/>
      <w:r w:rsidRPr="00A27896">
        <w:t>Nomas darījumu klasifikācija un uzskaite</w:t>
      </w:r>
      <w:bookmarkEnd w:id="49"/>
    </w:p>
    <w:p w14:paraId="6BB1CBE2" w14:textId="77777777" w:rsidR="00954F0C" w:rsidRPr="00A27896" w:rsidRDefault="00954F0C" w:rsidP="00954F0C">
      <w:pPr>
        <w:spacing w:after="120" w:line="240" w:lineRule="auto"/>
        <w:ind w:firstLine="284"/>
        <w:jc w:val="both"/>
        <w:rPr>
          <w:rFonts w:cs="Times New Roman"/>
          <w:color w:val="17365D"/>
          <w:lang w:eastAsia="lv-LV"/>
        </w:rPr>
      </w:pPr>
      <w:r w:rsidRPr="00A27896">
        <w:rPr>
          <w:rFonts w:cs="Times New Roman"/>
          <w:color w:val="17365D"/>
        </w:rPr>
        <w:t>Par n</w:t>
      </w:r>
      <w:r w:rsidRPr="00A27896">
        <w:rPr>
          <w:rFonts w:cs="Times New Roman"/>
          <w:color w:val="17365D"/>
          <w:lang w:eastAsia="lv-LV"/>
        </w:rPr>
        <w:t>omu klasificē līgumu, ar kuru iznomātājs par vienu vai vairākiem nomas maksājumiem (atlīdzību) nodod nomniekam tiesības lietot aktīvu līgumā noteiktu laika periodu. Nomu klasificē kā finanšu nomu (līzingu) vai operatīvo nomu atbilstoši iznomātā aktīva īpašuma tiesībām raksturīgo risku un atlīdzības sadalījumam starp iznomātāju un nomnieku. Klasifikāciju nosaka darījuma būtība, nevis līguma juridiskā forma. Nomu klasificē nomas uzsākšanas datumā un klasifikāciju pārskata, ja būtiski mainīti līguma nosacījumi.</w:t>
      </w:r>
    </w:p>
    <w:p w14:paraId="1EE79F8E" w14:textId="77777777" w:rsidR="00954F0C" w:rsidRPr="00A27896" w:rsidRDefault="00954F0C" w:rsidP="00954F0C">
      <w:pPr>
        <w:spacing w:after="120" w:line="240" w:lineRule="auto"/>
        <w:ind w:firstLine="284"/>
        <w:jc w:val="both"/>
        <w:rPr>
          <w:rFonts w:cs="Times New Roman"/>
          <w:iCs/>
          <w:color w:val="17365D"/>
        </w:rPr>
      </w:pPr>
      <w:r w:rsidRPr="00A27896">
        <w:rPr>
          <w:rFonts w:cs="Times New Roman"/>
          <w:iCs/>
          <w:color w:val="17365D"/>
        </w:rPr>
        <w:t>Nomu klasificē kā finanšu nomu, ja pastāv pazīmes, kas liecina, ka pircējam nodoti visi īpašuma tiesībām raksturīgie riski un atlīdzības. Finanšu nomas ietvaros iegūtos aktīvus uzrāda aktīvu sastāvā un atbilstošās saistības – ilgtermiņa saistību sastāvā minimālo nomas maksājumu pašreizējā vērtībā atbilstoši nomas līgumā noteiktai procentu likmei. Finanšu nomā nodotie aktīvi izslēgti no uzskaites un atzītas prasības un ieņēmumi no aktīva atsavināšanas minimālo nomas maksājumu pašreizējā vērtībā atbilstoši nomas līgumā noteiktai procentu likmei.</w:t>
      </w:r>
    </w:p>
    <w:p w14:paraId="36E0C734" w14:textId="418DF4E0" w:rsidR="00954F0C" w:rsidRPr="00A27896" w:rsidRDefault="00CE39BC" w:rsidP="00954F0C">
      <w:pPr>
        <w:spacing w:after="120" w:line="240" w:lineRule="auto"/>
        <w:ind w:firstLine="284"/>
        <w:jc w:val="both"/>
        <w:rPr>
          <w:rFonts w:cs="Times New Roman"/>
          <w:iCs/>
          <w:color w:val="17365D"/>
        </w:rPr>
      </w:pPr>
      <w:r w:rsidRPr="00CE39BC">
        <w:rPr>
          <w:rFonts w:cs="Times New Roman"/>
          <w:iCs/>
          <w:color w:val="17365D"/>
        </w:rPr>
        <w:t xml:space="preserve">Nomu klasificē kā </w:t>
      </w:r>
      <w:r w:rsidR="00954F0C" w:rsidRPr="00A27896">
        <w:rPr>
          <w:rFonts w:cs="Times New Roman"/>
          <w:iCs/>
          <w:color w:val="17365D"/>
        </w:rPr>
        <w:t>operatīv</w:t>
      </w:r>
      <w:r>
        <w:rPr>
          <w:rFonts w:cs="Times New Roman"/>
          <w:iCs/>
          <w:color w:val="17365D"/>
        </w:rPr>
        <w:t>o</w:t>
      </w:r>
      <w:r w:rsidR="00954F0C" w:rsidRPr="00A27896">
        <w:rPr>
          <w:rFonts w:cs="Times New Roman"/>
          <w:iCs/>
          <w:color w:val="17365D"/>
        </w:rPr>
        <w:t xml:space="preserve"> nom</w:t>
      </w:r>
      <w:r>
        <w:rPr>
          <w:rFonts w:cs="Times New Roman"/>
          <w:iCs/>
          <w:color w:val="17365D"/>
        </w:rPr>
        <w:t>u</w:t>
      </w:r>
      <w:r w:rsidR="00954F0C" w:rsidRPr="00A27896">
        <w:rPr>
          <w:rFonts w:cs="Times New Roman"/>
          <w:iCs/>
          <w:color w:val="17365D"/>
        </w:rPr>
        <w:t xml:space="preserve">, </w:t>
      </w:r>
      <w:r w:rsidRPr="00CE39BC">
        <w:rPr>
          <w:rFonts w:cs="Times New Roman"/>
          <w:iCs/>
          <w:color w:val="17365D"/>
        </w:rPr>
        <w:t>ja tā pēc būtības nenodod nomniekam visus īpašuma tiesībām raksturīgos riskus un atlīdzības</w:t>
      </w:r>
      <w:r w:rsidR="00954F0C" w:rsidRPr="00A27896">
        <w:rPr>
          <w:rFonts w:cs="Times New Roman"/>
          <w:iCs/>
          <w:color w:val="17365D"/>
        </w:rPr>
        <w:t xml:space="preserve">. </w:t>
      </w:r>
      <w:r>
        <w:rPr>
          <w:rFonts w:cs="Times New Roman"/>
          <w:iCs/>
          <w:color w:val="17365D"/>
        </w:rPr>
        <w:t>Budžeta iestādēm nomājot aktīvus, p</w:t>
      </w:r>
      <w:r w:rsidR="00954F0C" w:rsidRPr="00A27896">
        <w:rPr>
          <w:rFonts w:cs="Times New Roman"/>
          <w:iCs/>
          <w:color w:val="17365D"/>
        </w:rPr>
        <w:t xml:space="preserve">amatdarbības izdevumus par operatīvo nomu atzīst saskaņā ar uzkrāšanas </w:t>
      </w:r>
      <w:r w:rsidR="005A4057" w:rsidRPr="00A27896">
        <w:rPr>
          <w:rFonts w:cs="Times New Roman"/>
          <w:iCs/>
          <w:color w:val="17365D"/>
        </w:rPr>
        <w:t>principu pārskata</w:t>
      </w:r>
      <w:r w:rsidR="00954F0C" w:rsidRPr="00A27896">
        <w:rPr>
          <w:rFonts w:cs="Times New Roman"/>
          <w:iCs/>
          <w:color w:val="17365D"/>
        </w:rPr>
        <w:t xml:space="preserve"> per</w:t>
      </w:r>
      <w:r w:rsidR="005A4057" w:rsidRPr="00A27896">
        <w:rPr>
          <w:rFonts w:cs="Times New Roman"/>
          <w:iCs/>
          <w:color w:val="17365D"/>
        </w:rPr>
        <w:t>i</w:t>
      </w:r>
      <w:r w:rsidR="00954F0C" w:rsidRPr="00A27896">
        <w:rPr>
          <w:rFonts w:cs="Times New Roman"/>
          <w:iCs/>
          <w:color w:val="17365D"/>
        </w:rPr>
        <w:t xml:space="preserve">odā, par kuru tie </w:t>
      </w:r>
      <w:r w:rsidR="00954F0C" w:rsidRPr="00A27896">
        <w:rPr>
          <w:rFonts w:cs="Times New Roman"/>
          <w:iCs/>
          <w:color w:val="17365D"/>
        </w:rPr>
        <w:lastRenderedPageBreak/>
        <w:t>aprēķināti. Aktīvus, kas nodoti operatīvā nomā, uzskaita aktīvu sastāvā atbilstoši to ekonomiskai būtībai. Pamatdarbības ieņēmumus par operatīvo nomu atzīst saskaņā ar uzkrāšanas principu pārskata periodā, par kuru tie aprēķināti.</w:t>
      </w:r>
    </w:p>
    <w:p w14:paraId="6846EDB4" w14:textId="77777777" w:rsidR="00954F0C" w:rsidRPr="00A27896" w:rsidRDefault="00954F0C" w:rsidP="00FD10CC">
      <w:pPr>
        <w:pStyle w:val="Heading3"/>
      </w:pPr>
      <w:bookmarkStart w:id="50" w:name="_Toc42846520"/>
      <w:r w:rsidRPr="00A27896">
        <w:t>Publiskās un privātās partnerības darījumu klasifikācija un uzskaite</w:t>
      </w:r>
      <w:bookmarkEnd w:id="50"/>
    </w:p>
    <w:p w14:paraId="041A0E1A" w14:textId="77777777" w:rsidR="00954F0C" w:rsidRPr="00A27896" w:rsidRDefault="00954F0C" w:rsidP="00954F0C">
      <w:pPr>
        <w:spacing w:after="120" w:line="240" w:lineRule="auto"/>
        <w:ind w:firstLine="284"/>
        <w:jc w:val="both"/>
        <w:rPr>
          <w:rFonts w:cs="Times New Roman"/>
          <w:iCs/>
          <w:color w:val="17365D"/>
        </w:rPr>
      </w:pPr>
      <w:r w:rsidRPr="00A27896">
        <w:rPr>
          <w:rFonts w:cs="Times New Roman"/>
          <w:iCs/>
          <w:color w:val="17365D"/>
        </w:rPr>
        <w:t>Aktīvus (ilgtermiņa ieguldījumus un krājumus), kas iegūti Publiskās un privātās partnerības likuma ietvaros noslēgto publiskās un privātās partnerības (turpmāk – partnerība) līgumu izpildes rezultātā, sākotnēji atzīst aktīvu sastāvā, ja:</w:t>
      </w:r>
    </w:p>
    <w:p w14:paraId="769BAAA6"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budžeta iestādes kontrolē vai regulē, kādi pakalpojumi, kam un par kādu cenu ir jānodrošina līguma darbības laikā;</w:t>
      </w:r>
    </w:p>
    <w:p w14:paraId="4CEE8CC7"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partnerības līguma termiņa beigās partnerības aktīva īpašuma tiesības nodod budžeta iestādei vai partnerības aktīva lietderīgās lietošanas laiks beidzas partnerības līguma termiņa beigās.</w:t>
      </w:r>
    </w:p>
    <w:p w14:paraId="769B8C7A" w14:textId="77777777" w:rsidR="00954F0C" w:rsidRPr="00A27896" w:rsidRDefault="00954F0C" w:rsidP="00954F0C">
      <w:pPr>
        <w:spacing w:after="120" w:line="240" w:lineRule="auto"/>
        <w:ind w:firstLine="360"/>
        <w:jc w:val="both"/>
        <w:rPr>
          <w:rFonts w:cs="Times New Roman"/>
          <w:iCs/>
          <w:color w:val="17365D"/>
        </w:rPr>
      </w:pPr>
      <w:r w:rsidRPr="00A27896">
        <w:rPr>
          <w:rFonts w:cs="Times New Roman"/>
          <w:iCs/>
          <w:color w:val="17365D"/>
        </w:rPr>
        <w:t xml:space="preserve">Aktīvus atzīst patiesajā vērtībā, klasificē atbilstoši to ekonomiskai būtībai un piemēro attiecīgās aktīvu grupas grāmatvedības uzskaites pamatprincipus. </w:t>
      </w:r>
    </w:p>
    <w:p w14:paraId="48690A86" w14:textId="77777777" w:rsidR="00954F0C" w:rsidRPr="00A27896" w:rsidRDefault="00954F0C" w:rsidP="00954F0C">
      <w:pPr>
        <w:spacing w:after="120" w:line="240" w:lineRule="auto"/>
        <w:ind w:firstLine="284"/>
        <w:jc w:val="both"/>
        <w:rPr>
          <w:rFonts w:cs="Times New Roman"/>
          <w:iCs/>
          <w:color w:val="17365D"/>
        </w:rPr>
      </w:pPr>
      <w:r w:rsidRPr="00A27896">
        <w:rPr>
          <w:rFonts w:cs="Times New Roman"/>
          <w:iCs/>
          <w:color w:val="17365D"/>
        </w:rPr>
        <w:t>Saistības par partnerības aktīva izveidošanu atzīst aktīva sākotnējās vērtības apmērā un turpmāk novērtē amortizētajā vērtībā – pārskata gadā palielina par procentu izdevumiem, kurus aprēķina, piemērojot partnerības līgumā ietverto procentu likmi, un samazina par privātajam partnerim veiktajiem maksājumiem.</w:t>
      </w:r>
    </w:p>
    <w:p w14:paraId="00C5873B" w14:textId="77777777"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Partnerības līgumā noteiktos izdevumus par privātā partnera sniegtajiem pakalpojumiem atbilstoši to ekonomiskajai būtībai un attiecīgās finanšu saistības atzīst lineāri partnerības līguma darbības laikā. Papildu izdevumus par privātā partnera sniegtajiem pakalpojumiem atzīst pārskata periodā, kad tie radušies.</w:t>
      </w:r>
    </w:p>
    <w:p w14:paraId="34E1A007" w14:textId="20B7F27B" w:rsidR="00954F0C" w:rsidRPr="00A27896" w:rsidRDefault="00954F0C" w:rsidP="00FD10CC">
      <w:pPr>
        <w:pStyle w:val="Heading3"/>
      </w:pPr>
      <w:bookmarkStart w:id="51" w:name="_Toc42846521"/>
      <w:r w:rsidRPr="00A27896">
        <w:t>Finanšu instrumentu klasifikācija, uzskaite un novērtēšana</w:t>
      </w:r>
      <w:bookmarkEnd w:id="51"/>
      <w:r w:rsidRPr="00A27896">
        <w:t xml:space="preserve"> </w:t>
      </w:r>
    </w:p>
    <w:p w14:paraId="4EC4EBDC"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Finanšu aktīvus un finanšu saistības pēc sākotnējās atzīšanas klasificē atbilstoši finanšu instrumentu kategorijām:</w:t>
      </w:r>
    </w:p>
    <w:p w14:paraId="7399288E"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 xml:space="preserve">prasības un aizdevumi – neatvasināti finanšu aktīvi ar fiksētiem vai nosakāmiem maksājumiem, kuri netiek kotēti aktīvajā tirgū. Šajā kategorijā ietvertas prasības, kas radušās aktīvu atsavināšanas rezultātā, ja maksājumu atliek ilgāk nekā 12 mēnešus (ilgtermiņa prasības un šo prasību īstermiņa daļa), un aizdevumi; </w:t>
      </w:r>
    </w:p>
    <w:p w14:paraId="55B5B8A2"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līdz termiņa beigām turēti ieguldījumi – neatvasināti finanšu aktīvi ar fiksētiem vai nosakāmiem maksājumiem un fiksētu termiņu, kuri paredzēti turēšanai līdz attiecīgā finanšu instrumenta līguma termiņa beigām un kuru uzskaites vērtība ir atgūstama. Šajā kategorijā ietverti ieguldījumi vērtspapīros, noguldījumi un citi līdz termiņa beigām turēti finanšu aktīvi;</w:t>
      </w:r>
    </w:p>
    <w:p w14:paraId="3779122B" w14:textId="717EA5DE"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pārdošanai pieejami finanšu aktīvi – neatvasināti finanšu aktīvi, kas nav klasificēti kā aizdevumi un prasības, līdz termiņa beigām turēti ieguldījumi vai patiesajā vērtībā novērtēti finanšu aktīvi. Šajā kategorijā ietverti finanšu ieguldījumi kapitālsabiedrību,</w:t>
      </w:r>
      <w:r w:rsidR="00D50D19" w:rsidRPr="00A27896">
        <w:rPr>
          <w:color w:val="17365D"/>
          <w:sz w:val="24"/>
          <w:szCs w:val="24"/>
        </w:rPr>
        <w:t xml:space="preserve"> </w:t>
      </w:r>
      <w:r w:rsidRPr="00A27896">
        <w:rPr>
          <w:color w:val="17365D"/>
          <w:sz w:val="24"/>
          <w:szCs w:val="24"/>
        </w:rPr>
        <w:t>starptautisko un citu organizāciju kapitālā, kur valstij un pašvaldībām pieder 20 procenti un mazāk balsstiesību, un citi pārdošanai pieejami finanšu aktīvi;</w:t>
      </w:r>
    </w:p>
    <w:p w14:paraId="3ABAC401"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patiesajā vērtībā novērtēti finanšu aktīvi – finanšu aktīvi, kuri paredzēti tirdzniecībai (iegādāti vai emitēti ar mērķi paredzamā nākotnē tos pārdot vai atpirkt), kuri ir tirdzniecības portfeļa sastāvdaļa vai atvasināts finanšu instruments (izņemot finanšu garantiju līgumus);</w:t>
      </w:r>
    </w:p>
    <w:p w14:paraId="29FE1FAC"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lastRenderedPageBreak/>
        <w:t>patiesajā vērtībā novērtētas finanšu saistības – finanšu saistības, kuras paredzētas tirdzniecībai (iegādātas vai emitētas ar mērķi paredzamā nākotnē tās pārdot vai atpirkt), kuras ir tirdzniecības portfeļa sastāvdaļa vai atvasināts finanšu instruments (izņemot finanšu garantiju līgumus);</w:t>
      </w:r>
    </w:p>
    <w:p w14:paraId="1511E400"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pārējās finanšu saistības un finanšu garantiju līgumi. Pārējās finanšu saistības ietver aizņēmumus, saņemtos noguldījumus, emitētos vērtspapīrus un saistības, kas radušās aktīva iegādes vai izveidošanas rezultātā, ja maksājumu atliek ilgāk nekā 12 mēnešus (ilgtermiņa saistības un šo saistību īstermiņa daļa).</w:t>
      </w:r>
    </w:p>
    <w:p w14:paraId="6A6497A8"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Finanšu instrumentiem pēc sākotnējās atzīšanas piemēro šādas novērtēšanas metodes:</w:t>
      </w:r>
    </w:p>
    <w:p w14:paraId="301B090F" w14:textId="77777777" w:rsidR="00954F0C" w:rsidRPr="00A27896" w:rsidRDefault="00954F0C" w:rsidP="004E5915">
      <w:pPr>
        <w:pStyle w:val="ListParagraph"/>
        <w:numPr>
          <w:ilvl w:val="0"/>
          <w:numId w:val="11"/>
        </w:numPr>
        <w:spacing w:after="120" w:line="240" w:lineRule="auto"/>
        <w:ind w:left="850" w:hanging="357"/>
        <w:jc w:val="both"/>
        <w:rPr>
          <w:rFonts w:cs="Times New Roman"/>
          <w:color w:val="17365D"/>
          <w:szCs w:val="24"/>
        </w:rPr>
      </w:pPr>
      <w:r w:rsidRPr="00A27896">
        <w:rPr>
          <w:rFonts w:cs="Times New Roman"/>
          <w:color w:val="17365D"/>
          <w:szCs w:val="24"/>
          <w:u w:val="single"/>
        </w:rPr>
        <w:t>prasības un aizdevumus</w:t>
      </w:r>
      <w:r w:rsidRPr="00A27896">
        <w:rPr>
          <w:rFonts w:cs="Times New Roman"/>
          <w:color w:val="17365D"/>
          <w:szCs w:val="24"/>
        </w:rPr>
        <w:t xml:space="preserve"> uzskaita amortizētajā vērtībā, piemērojot efektīvās procentu likmes metodi, un pārskata perioda ieņēmumos iekļauj amortizētos procentu ieņēmumus. Katra pārskata perioda beigās izvērtē finanšu instrumentu vērtības samazinājuma pazīmes un, ja tādas konstatē, nosaka vērtības samazinājumu. Valsts budžeta finanšu uzskaites nodrošināšanai amortizētās vērtības aprēķinam lieto procentu likmi, kas noteikta līgumā, atbilstoši Valsts kases iekšējos normatīvajos aktos noteiktajai uzskaites kārtībai;</w:t>
      </w:r>
    </w:p>
    <w:p w14:paraId="1837560D" w14:textId="77777777" w:rsidR="00954F0C" w:rsidRPr="00A27896" w:rsidRDefault="00954F0C" w:rsidP="004E5915">
      <w:pPr>
        <w:pStyle w:val="ListParagraph"/>
        <w:numPr>
          <w:ilvl w:val="0"/>
          <w:numId w:val="11"/>
        </w:numPr>
        <w:spacing w:after="120" w:line="240" w:lineRule="auto"/>
        <w:ind w:left="850" w:hanging="357"/>
        <w:jc w:val="both"/>
        <w:rPr>
          <w:rFonts w:cs="Times New Roman"/>
          <w:color w:val="17365D"/>
          <w:szCs w:val="24"/>
        </w:rPr>
      </w:pPr>
      <w:r w:rsidRPr="00A27896">
        <w:rPr>
          <w:rFonts w:cs="Times New Roman"/>
          <w:color w:val="17365D"/>
          <w:szCs w:val="24"/>
          <w:u w:val="single"/>
        </w:rPr>
        <w:t>līdz termiņa beigām turētus ieguldījumus</w:t>
      </w:r>
      <w:r w:rsidRPr="00A27896">
        <w:rPr>
          <w:rFonts w:cs="Times New Roman"/>
          <w:color w:val="17365D"/>
          <w:szCs w:val="24"/>
        </w:rPr>
        <w:t xml:space="preserve"> (tai skaitā, vērtspapīrus, noguldījumus) uzskaita amortizētajā vērtībā, piemērojot efektīvās procentu likmes metodi, un pārskata perioda ieņēmumos iekļauj amortizētos procentu ieņēmumus. Katra pārskata perioda beigās izvērtē finanšu instrumentu vērtības samazinājuma pazīmes un, ja tādas konstatē, nosaka vērtības samazinājumu. Valsts budžeta finanšu uzskaites nodrošināšanai līdz termiņa beigām turētu ieguldījumu amortizētās vērtības aprēķinam lieto procentu likmi, kas noteikta līgumā, atbilstoši Valsts kases iekšējos normatīvajos aktos noteiktajai uzskaites kārtībai;</w:t>
      </w:r>
    </w:p>
    <w:p w14:paraId="1DECDCC8" w14:textId="77777777" w:rsidR="00954F0C" w:rsidRPr="00A27896" w:rsidRDefault="00954F0C" w:rsidP="004E5915">
      <w:pPr>
        <w:pStyle w:val="ListParagraph"/>
        <w:numPr>
          <w:ilvl w:val="0"/>
          <w:numId w:val="11"/>
        </w:numPr>
        <w:spacing w:after="120" w:line="240" w:lineRule="auto"/>
        <w:ind w:left="850" w:hanging="357"/>
        <w:jc w:val="both"/>
        <w:rPr>
          <w:rFonts w:cs="Times New Roman"/>
          <w:color w:val="17365D"/>
          <w:szCs w:val="24"/>
        </w:rPr>
      </w:pPr>
      <w:r w:rsidRPr="00A27896">
        <w:rPr>
          <w:rFonts w:cs="Times New Roman"/>
          <w:color w:val="17365D"/>
          <w:szCs w:val="24"/>
          <w:u w:val="single"/>
        </w:rPr>
        <w:t>pārdošanai pieejamus finanšu aktīvus</w:t>
      </w:r>
      <w:r w:rsidRPr="00A27896">
        <w:rPr>
          <w:rFonts w:cs="Times New Roman"/>
          <w:color w:val="17365D"/>
          <w:szCs w:val="24"/>
        </w:rPr>
        <w:t xml:space="preserve"> katra pārskata perioda beigās novērtē patiesajā vērtībā un vērtības izmaiņas atzīst finanšu instrumentu patiesās vērtības rezervēs, ieņēmumus vai izdevumus no valūtu kursu svārstībām atzīst pārskata perioda ieņēmumos vai izdevumos. Ja šāda nekotēta pašu kapitāla instrumenta patieso vērtību nevar ticami novērtēt, to uzskaita izmaksu vērtībā, katra pārskata perioda beigās izvērtē finanšu instrumentu vērtības samazinājuma pazīmes un, ja tādas konstatē, nosaka vērtības samazinājumu;</w:t>
      </w:r>
    </w:p>
    <w:p w14:paraId="22DEB701" w14:textId="77777777" w:rsidR="00954F0C" w:rsidRPr="00A27896" w:rsidRDefault="00954F0C" w:rsidP="004E5915">
      <w:pPr>
        <w:pStyle w:val="ListParagraph"/>
        <w:numPr>
          <w:ilvl w:val="0"/>
          <w:numId w:val="11"/>
        </w:numPr>
        <w:spacing w:after="120" w:line="240" w:lineRule="auto"/>
        <w:ind w:left="850" w:hanging="357"/>
        <w:jc w:val="both"/>
        <w:rPr>
          <w:rFonts w:cs="Times New Roman"/>
          <w:color w:val="17365D"/>
          <w:szCs w:val="24"/>
        </w:rPr>
      </w:pPr>
      <w:r w:rsidRPr="00A27896">
        <w:rPr>
          <w:rFonts w:cs="Times New Roman"/>
          <w:color w:val="17365D"/>
          <w:szCs w:val="24"/>
          <w:u w:val="single"/>
        </w:rPr>
        <w:t>patiesajā vērtībā novērtēta finanšu aktīva un finanšu saistību</w:t>
      </w:r>
      <w:r w:rsidRPr="00A27896">
        <w:rPr>
          <w:rFonts w:cs="Times New Roman"/>
          <w:color w:val="17365D"/>
          <w:szCs w:val="24"/>
        </w:rPr>
        <w:t>, tai skaitā atvasināta finanšu instrumenta, vērtības izmaiņas atzīst pārskata perioda ieņēmumos vai izdevumos;</w:t>
      </w:r>
    </w:p>
    <w:p w14:paraId="551F6CBD" w14:textId="77777777" w:rsidR="00954F0C" w:rsidRPr="00A27896" w:rsidRDefault="00954F0C" w:rsidP="004E5915">
      <w:pPr>
        <w:pStyle w:val="ListParagraph"/>
        <w:numPr>
          <w:ilvl w:val="0"/>
          <w:numId w:val="11"/>
        </w:numPr>
        <w:spacing w:after="120" w:line="240" w:lineRule="auto"/>
        <w:ind w:left="850" w:hanging="357"/>
        <w:jc w:val="both"/>
        <w:rPr>
          <w:rFonts w:cs="Times New Roman"/>
          <w:color w:val="17365D"/>
          <w:szCs w:val="24"/>
        </w:rPr>
      </w:pPr>
      <w:r w:rsidRPr="00A27896">
        <w:rPr>
          <w:rFonts w:cs="Times New Roman"/>
          <w:color w:val="17365D"/>
          <w:szCs w:val="24"/>
          <w:u w:val="single"/>
        </w:rPr>
        <w:t>pārējās finanšu saistības</w:t>
      </w:r>
      <w:r w:rsidRPr="00A27896">
        <w:rPr>
          <w:rFonts w:cs="Times New Roman"/>
          <w:color w:val="17365D"/>
          <w:szCs w:val="24"/>
        </w:rPr>
        <w:t>, izņemot finanšu garantiju līgumus, uzskaita amortizētajā vērtībā, piemērojot efektīvās procentu likmes metodi, un amortizētos procentu izdevumus atzīst pārskata perioda izdevumos. Valsts budžeta finanšu uzskaites nodrošināšanai finanšu saistību amortizētās vērtības aprēķinam lieto procentu likmi, kas noteikta līgumā, atbilstoši Valsts kases iekšējos normatīvajos aktos noteiktajai uzskaites kārtībai;</w:t>
      </w:r>
    </w:p>
    <w:p w14:paraId="319B8486" w14:textId="77777777" w:rsidR="00954F0C" w:rsidRPr="00A27896" w:rsidRDefault="00954F0C" w:rsidP="004E5915">
      <w:pPr>
        <w:pStyle w:val="ListParagraph"/>
        <w:numPr>
          <w:ilvl w:val="0"/>
          <w:numId w:val="11"/>
        </w:numPr>
        <w:spacing w:after="120" w:line="240" w:lineRule="auto"/>
        <w:ind w:left="850" w:hanging="357"/>
        <w:jc w:val="both"/>
        <w:rPr>
          <w:rFonts w:cs="Times New Roman"/>
          <w:color w:val="17365D"/>
          <w:szCs w:val="24"/>
        </w:rPr>
      </w:pPr>
      <w:r w:rsidRPr="00A27896">
        <w:rPr>
          <w:rFonts w:cs="Times New Roman"/>
          <w:color w:val="17365D"/>
          <w:szCs w:val="24"/>
        </w:rPr>
        <w:t xml:space="preserve">izsniegtās </w:t>
      </w:r>
      <w:r w:rsidRPr="00A27896">
        <w:rPr>
          <w:rFonts w:cs="Times New Roman"/>
          <w:color w:val="17365D"/>
          <w:szCs w:val="24"/>
          <w:u w:val="single"/>
        </w:rPr>
        <w:t>finanšu garantijas</w:t>
      </w:r>
      <w:r w:rsidRPr="00A27896">
        <w:rPr>
          <w:rFonts w:cs="Times New Roman"/>
          <w:color w:val="17365D"/>
          <w:szCs w:val="24"/>
        </w:rPr>
        <w:t xml:space="preserve"> katra pārskata perioda beigās novērtē atbilstoši izdevumu iespējami precīzākajām aplēsēm. Saņemtās finanšu garantijas novērtē atlīdzības pašreizējā vērtībā.</w:t>
      </w:r>
    </w:p>
    <w:p w14:paraId="3637D7CE" w14:textId="77777777" w:rsidR="00954F0C" w:rsidRPr="00A27896" w:rsidRDefault="00954F0C" w:rsidP="00954F0C">
      <w:pPr>
        <w:spacing w:after="120" w:line="240" w:lineRule="auto"/>
        <w:jc w:val="both"/>
        <w:rPr>
          <w:rFonts w:cs="Times New Roman"/>
          <w:color w:val="17365D"/>
          <w:szCs w:val="24"/>
        </w:rPr>
      </w:pPr>
      <w:r w:rsidRPr="00A27896">
        <w:rPr>
          <w:rFonts w:cs="Times New Roman"/>
          <w:color w:val="17365D"/>
          <w:szCs w:val="24"/>
        </w:rPr>
        <w:t>Amortizētajā un izmaksu vērtībā uzskaitītiem finanšu aktīviem katra pārskata perioda beigās novērtē vērtības samazinājuma pazīmes, ņemot vērā šādus faktorus:</w:t>
      </w:r>
    </w:p>
    <w:p w14:paraId="175ECC7C"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sadarbības partnerim konstatētas finansiālās grūtības;</w:t>
      </w:r>
    </w:p>
    <w:p w14:paraId="2AD771F0"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sadarbības partneris neievēro līguma nosacījumus, piemēram, procentu vai pamatsummas atmaksāšanas nosacījumu neizpilde vai pārkāpšana;</w:t>
      </w:r>
    </w:p>
    <w:p w14:paraId="263AC334"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aizdevējs ekonomisku vai juridisku iemeslu dēļ, kas saistīti ar aizņēmēja finansiālajām grūtībām, piešķīris aizņēmējam atlaidi vai atbrīvojumu, ko citos apstākļos aizdevējs nebūtu apsvēris;</w:t>
      </w:r>
    </w:p>
    <w:p w14:paraId="375F7284"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lastRenderedPageBreak/>
        <w:t>ir ticams, ka aizņēmējs uzsāks maksātnespējas procedūru vai cita veida finansiālu reorganizāciju;</w:t>
      </w:r>
    </w:p>
    <w:p w14:paraId="63B8F683"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konstatēta attiecīgā finanšu aktīva aktīvā tirgus zaudēšana finansiālu grūtību dēļ;</w:t>
      </w:r>
    </w:p>
    <w:p w14:paraId="49D5E125"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pastāv novērtējams finanšu aktīvu grupas aplēsto nākotnes naudas plūsmu samazinājums kopš šo aktīvu sākotnējās atzīšanas, lai arī atsevišķiem finanšu aktīviem šis samazinājums vēl nav nosakāms, uz ko norāda:</w:t>
      </w:r>
    </w:p>
    <w:p w14:paraId="2D2B3550" w14:textId="77777777" w:rsidR="00954F0C" w:rsidRPr="00A27896" w:rsidRDefault="00954F0C" w:rsidP="004E5915">
      <w:pPr>
        <w:pStyle w:val="Pamatteksts1"/>
        <w:numPr>
          <w:ilvl w:val="1"/>
          <w:numId w:val="20"/>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nelabvēlīgas izmaiņas aizņēmēju maksātspējā attiecīgajā grupā (piemēram, pieaugošs nokavēto maksājumu skaits),</w:t>
      </w:r>
    </w:p>
    <w:p w14:paraId="6DA914FA" w14:textId="77777777" w:rsidR="00954F0C" w:rsidRPr="00A27896" w:rsidRDefault="00954F0C" w:rsidP="004E5915">
      <w:pPr>
        <w:pStyle w:val="Pamatteksts1"/>
        <w:numPr>
          <w:ilvl w:val="1"/>
          <w:numId w:val="20"/>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valsts vai pašvaldības ekonomiskie apstākļi, kas attiecīgi ietekmē saistību neizpildi aktīvu grupā (piemēram, ekonomiskās grūtības noteiktā ģeogrāfiskā apgabalā, nozīmīgas nelabvēlīgas izmaiņas kādas nozares apstākļos, kas ietekmē aizņēmējus attiecīgajā grupā);</w:t>
      </w:r>
    </w:p>
    <w:p w14:paraId="0A96AFA3"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ieguldījumam pašu kapitāla instrumentā – nelabvēlīgas izmaiņas, kas notikušas tehnoloģiskajā, tirgus, ekonomiskajā vai juridiskajā vidē, kurā darbojas emitents, un kas norāda, ka pašu kapitāla instrumenta izmaksas var nebūt atgūstamas, kā arī ieguldījuma vērtības samazināšanās zem tā izmaksu vērtības.</w:t>
      </w:r>
    </w:p>
    <w:p w14:paraId="51DCBA95" w14:textId="77777777" w:rsidR="00954F0C" w:rsidRPr="00A27896" w:rsidRDefault="00954F0C" w:rsidP="00954F0C">
      <w:pPr>
        <w:spacing w:after="120" w:line="240" w:lineRule="auto"/>
        <w:jc w:val="both"/>
        <w:rPr>
          <w:rFonts w:cs="Times New Roman"/>
          <w:color w:val="17365D"/>
          <w:szCs w:val="24"/>
        </w:rPr>
      </w:pPr>
      <w:r w:rsidRPr="00A27896">
        <w:rPr>
          <w:rFonts w:cs="Times New Roman"/>
          <w:color w:val="17365D"/>
          <w:szCs w:val="24"/>
        </w:rPr>
        <w:t>Finanšu aktīvu izslēdz no uzskaites, ja budžeta iestāde nodod visus ar attiecīgā aktīva vai tā daļas īpašumtiesībām saistītos riskus, atlīdzības un aktīva vai tā daļas kontroli un tai beidzas līgumā noteiktās tiesības uz naudas plūsmām no attiecīgā finanšu aktīva vai tā daļas.</w:t>
      </w:r>
    </w:p>
    <w:p w14:paraId="1BEED314" w14:textId="77777777" w:rsidR="00954F0C" w:rsidRPr="00A27896" w:rsidRDefault="00954F0C" w:rsidP="00954F0C">
      <w:pPr>
        <w:spacing w:after="120" w:line="240" w:lineRule="auto"/>
        <w:jc w:val="both"/>
        <w:rPr>
          <w:rFonts w:cs="Times New Roman"/>
          <w:color w:val="17365D"/>
          <w:szCs w:val="24"/>
        </w:rPr>
      </w:pPr>
      <w:r w:rsidRPr="00A27896">
        <w:rPr>
          <w:rFonts w:cs="Times New Roman"/>
          <w:color w:val="17365D"/>
          <w:szCs w:val="24"/>
        </w:rPr>
        <w:t>Finanšu saistības vai to daļu izslēdz no uzskaites tad, ja līgumā noteiktais pienākums ir izpildīts, darījuma partneris ir atteicies no prasības šā pienākuma izpildei, pienākums ir atcelts vai tā izpildes termiņš ir beidzies.</w:t>
      </w:r>
    </w:p>
    <w:p w14:paraId="34245DCA" w14:textId="2CDEAEF8" w:rsidR="00954F0C" w:rsidRPr="00A27896" w:rsidRDefault="00954F0C" w:rsidP="00954F0C">
      <w:pPr>
        <w:spacing w:line="240" w:lineRule="auto"/>
        <w:jc w:val="both"/>
        <w:rPr>
          <w:rFonts w:cs="Times New Roman"/>
          <w:color w:val="17365D"/>
        </w:rPr>
      </w:pPr>
      <w:r w:rsidRPr="00A27896">
        <w:rPr>
          <w:rFonts w:cs="Times New Roman"/>
          <w:color w:val="17365D"/>
        </w:rPr>
        <w:t xml:space="preserve">Valsts budžeta finanšu uzskaitē pārskata perioda beigās veic aktīvu vērtības samazinājuma izvērtējumu Valsts kases iekšējos normatīvajos aktos noteiktajā kārtībā. </w:t>
      </w:r>
    </w:p>
    <w:p w14:paraId="722ED8B5" w14:textId="19AF7036" w:rsidR="00954F0C" w:rsidRPr="00A27896" w:rsidRDefault="00954F0C" w:rsidP="00FD10CC">
      <w:pPr>
        <w:pStyle w:val="Heading3"/>
      </w:pPr>
      <w:bookmarkStart w:id="52" w:name="_Toc42846522"/>
      <w:r w:rsidRPr="00A27896">
        <w:t>Atvasināto finanšu instrument</w:t>
      </w:r>
      <w:bookmarkEnd w:id="52"/>
      <w:r w:rsidR="002E74BE" w:rsidRPr="00A27896">
        <w:t>u uzskaite</w:t>
      </w:r>
    </w:p>
    <w:p w14:paraId="1FEDB40A" w14:textId="0E253C37" w:rsidR="009B4633" w:rsidRPr="00A27896" w:rsidRDefault="00D65E28" w:rsidP="0001633D">
      <w:pPr>
        <w:widowControl w:val="0"/>
        <w:spacing w:after="120" w:line="240" w:lineRule="auto"/>
        <w:ind w:firstLine="284"/>
        <w:jc w:val="both"/>
        <w:rPr>
          <w:rFonts w:cs="Times New Roman"/>
          <w:color w:val="17365D"/>
          <w:szCs w:val="24"/>
        </w:rPr>
      </w:pPr>
      <w:r w:rsidRPr="00A27896">
        <w:rPr>
          <w:rFonts w:cs="Times New Roman"/>
          <w:color w:val="17365D"/>
          <w:szCs w:val="24"/>
        </w:rPr>
        <w:t>Rīgas pilsētas pašvaldības izmantotais atvasinātais finanšu instruments klasificēts</w:t>
      </w:r>
      <w:r w:rsidR="00954F0C" w:rsidRPr="00A27896">
        <w:rPr>
          <w:rFonts w:cs="Times New Roman"/>
          <w:color w:val="17365D"/>
          <w:szCs w:val="24"/>
        </w:rPr>
        <w:t xml:space="preserve"> finanšu instrumentu kategorijā “Patiesajā vērtībā novērtētas finanšu saistības”</w:t>
      </w:r>
      <w:r w:rsidR="0001633D" w:rsidRPr="00A27896">
        <w:rPr>
          <w:rFonts w:cs="Times New Roman"/>
          <w:color w:val="17365D"/>
          <w:szCs w:val="24"/>
        </w:rPr>
        <w:t>, valsts budžeta finanšu uzskaitē izmantot</w:t>
      </w:r>
      <w:r w:rsidR="00AA7198" w:rsidRPr="00A27896">
        <w:rPr>
          <w:rFonts w:cs="Times New Roman"/>
          <w:color w:val="17365D"/>
          <w:szCs w:val="24"/>
        </w:rPr>
        <w:t>os</w:t>
      </w:r>
      <w:r w:rsidR="0001633D" w:rsidRPr="00A27896">
        <w:rPr>
          <w:rFonts w:cs="Times New Roman"/>
          <w:color w:val="17365D"/>
          <w:szCs w:val="24"/>
        </w:rPr>
        <w:t xml:space="preserve"> a</w:t>
      </w:r>
      <w:r w:rsidR="009B4633" w:rsidRPr="00A27896">
        <w:rPr>
          <w:rFonts w:cs="Times New Roman"/>
          <w:color w:val="17365D"/>
          <w:szCs w:val="24"/>
        </w:rPr>
        <w:t>tvasināt</w:t>
      </w:r>
      <w:r w:rsidR="00AA7198" w:rsidRPr="00A27896">
        <w:rPr>
          <w:rFonts w:cs="Times New Roman"/>
          <w:color w:val="17365D"/>
          <w:szCs w:val="24"/>
        </w:rPr>
        <w:t>os</w:t>
      </w:r>
      <w:r w:rsidR="009B4633" w:rsidRPr="00A27896">
        <w:rPr>
          <w:rFonts w:cs="Times New Roman"/>
          <w:color w:val="17365D"/>
          <w:szCs w:val="24"/>
        </w:rPr>
        <w:t xml:space="preserve"> finanšu instrument</w:t>
      </w:r>
      <w:r w:rsidR="00AA7198" w:rsidRPr="00A27896">
        <w:rPr>
          <w:rFonts w:cs="Times New Roman"/>
          <w:color w:val="17365D"/>
          <w:szCs w:val="24"/>
        </w:rPr>
        <w:t>us</w:t>
      </w:r>
      <w:r w:rsidRPr="00A27896">
        <w:rPr>
          <w:rFonts w:cs="Times New Roman"/>
          <w:color w:val="17365D"/>
          <w:szCs w:val="24"/>
        </w:rPr>
        <w:t xml:space="preserve"> klasificē</w:t>
      </w:r>
      <w:r w:rsidR="009B4633" w:rsidRPr="00A27896">
        <w:rPr>
          <w:rFonts w:cs="Times New Roman"/>
          <w:color w:val="17365D"/>
          <w:szCs w:val="24"/>
        </w:rPr>
        <w:t xml:space="preserve"> kā</w:t>
      </w:r>
      <w:r w:rsidRPr="00A27896">
        <w:rPr>
          <w:rFonts w:cs="Times New Roman"/>
          <w:color w:val="17365D"/>
          <w:szCs w:val="24"/>
        </w:rPr>
        <w:t xml:space="preserve"> riska ierobežošanas instrumentus</w:t>
      </w:r>
      <w:r w:rsidR="0001633D" w:rsidRPr="00A27896">
        <w:rPr>
          <w:rFonts w:cs="Times New Roman"/>
          <w:color w:val="17365D"/>
          <w:szCs w:val="24"/>
        </w:rPr>
        <w:t>.</w:t>
      </w:r>
      <w:r w:rsidR="009B4633" w:rsidRPr="00A27896">
        <w:rPr>
          <w:rFonts w:cs="Times New Roman"/>
          <w:color w:val="17365D"/>
          <w:szCs w:val="24"/>
        </w:rPr>
        <w:t xml:space="preserve"> </w:t>
      </w:r>
    </w:p>
    <w:p w14:paraId="1ECD529D" w14:textId="3F4BC151" w:rsidR="00954F0C" w:rsidRPr="00A27896" w:rsidRDefault="00AE497C" w:rsidP="00FD10CC">
      <w:pPr>
        <w:pStyle w:val="Heading3"/>
      </w:pPr>
      <w:bookmarkStart w:id="53" w:name="_Toc42846523"/>
      <w:r w:rsidRPr="00A27896">
        <w:t>Riska ierobežošanas uzskaite</w:t>
      </w:r>
      <w:r w:rsidR="006B6ED6" w:rsidRPr="00A27896">
        <w:t xml:space="preserve"> </w:t>
      </w:r>
      <w:bookmarkEnd w:id="53"/>
    </w:p>
    <w:p w14:paraId="28ADBE06" w14:textId="54759F57" w:rsidR="00536F4F" w:rsidRPr="00A27896" w:rsidRDefault="006A64E6" w:rsidP="00775C62">
      <w:pPr>
        <w:spacing w:after="0" w:line="240" w:lineRule="auto"/>
        <w:ind w:firstLine="284"/>
        <w:jc w:val="both"/>
        <w:rPr>
          <w:rFonts w:eastAsia="Times New Roman" w:cs="Times New Roman"/>
          <w:color w:val="17365D"/>
        </w:rPr>
      </w:pPr>
      <w:bookmarkStart w:id="54" w:name="_Ref87602521"/>
      <w:r w:rsidRPr="00A27896">
        <w:rPr>
          <w:rFonts w:cs="Times New Roman"/>
          <w:color w:val="17365D"/>
          <w:szCs w:val="24"/>
        </w:rPr>
        <w:t xml:space="preserve">Valsts kase valsts budžeta finanšu uzskaitē noteiktiem atvasinātiem finanšu instrumentiem piemēro riska ierobežošanas uzskaiti atbilstoši </w:t>
      </w:r>
      <w:r w:rsidR="00AA7198" w:rsidRPr="00A27896">
        <w:rPr>
          <w:rFonts w:cs="Times New Roman"/>
          <w:color w:val="17365D"/>
          <w:szCs w:val="24"/>
        </w:rPr>
        <w:t xml:space="preserve">finanšu ministra apstiprinātajā </w:t>
      </w:r>
      <w:r w:rsidRPr="00A27896">
        <w:rPr>
          <w:rFonts w:cs="Times New Roman"/>
          <w:color w:val="17365D"/>
          <w:szCs w:val="24"/>
        </w:rPr>
        <w:t>Valsts parāda un nau</w:t>
      </w:r>
      <w:r w:rsidR="003667F8" w:rsidRPr="00A27896">
        <w:rPr>
          <w:rFonts w:cs="Times New Roman"/>
          <w:color w:val="17365D"/>
          <w:szCs w:val="24"/>
        </w:rPr>
        <w:t xml:space="preserve">das līdzekļu vadības stratēģijā noteiktiem </w:t>
      </w:r>
      <w:r w:rsidRPr="00A27896">
        <w:rPr>
          <w:rFonts w:cs="Times New Roman"/>
          <w:color w:val="17365D"/>
          <w:szCs w:val="24"/>
        </w:rPr>
        <w:t>mērķiem</w:t>
      </w:r>
      <w:bookmarkEnd w:id="54"/>
      <w:r w:rsidRPr="00A27896">
        <w:rPr>
          <w:rFonts w:cs="Times New Roman"/>
          <w:color w:val="17365D"/>
          <w:szCs w:val="24"/>
        </w:rPr>
        <w:t xml:space="preserve"> un izstrādātai riska ierobežošanas dokumentācijai.</w:t>
      </w:r>
      <w:r w:rsidR="00536F4F" w:rsidRPr="00A27896">
        <w:rPr>
          <w:rFonts w:cs="Times New Roman"/>
          <w:color w:val="17365D"/>
          <w:szCs w:val="24"/>
        </w:rPr>
        <w:t xml:space="preserve"> </w:t>
      </w:r>
      <w:r w:rsidR="003667F8" w:rsidRPr="00A27896">
        <w:rPr>
          <w:rFonts w:eastAsia="Times New Roman" w:cs="Times New Roman"/>
          <w:color w:val="17365D"/>
        </w:rPr>
        <w:t>Valsts kase</w:t>
      </w:r>
      <w:r w:rsidR="007C43F5" w:rsidRPr="00A27896">
        <w:rPr>
          <w:rFonts w:eastAsia="Times New Roman" w:cs="Times New Roman"/>
          <w:color w:val="17365D"/>
        </w:rPr>
        <w:t xml:space="preserve"> finanšu uzskaitē</w:t>
      </w:r>
      <w:r w:rsidR="003667F8" w:rsidRPr="00A27896">
        <w:rPr>
          <w:rFonts w:eastAsia="Times New Roman" w:cs="Times New Roman"/>
          <w:color w:val="17365D"/>
        </w:rPr>
        <w:t xml:space="preserve"> piemēro naudas plūsmas riska ierobežošan</w:t>
      </w:r>
      <w:r w:rsidR="00E321DB" w:rsidRPr="00A27896">
        <w:rPr>
          <w:rFonts w:eastAsia="Times New Roman" w:cs="Times New Roman"/>
          <w:color w:val="17365D"/>
        </w:rPr>
        <w:t>as uzskaiti</w:t>
      </w:r>
      <w:r w:rsidR="003667F8" w:rsidRPr="00A27896">
        <w:rPr>
          <w:rFonts w:eastAsia="Times New Roman" w:cs="Times New Roman"/>
          <w:color w:val="17365D"/>
        </w:rPr>
        <w:t>.</w:t>
      </w:r>
      <w:r w:rsidR="008B6424" w:rsidRPr="008B6424">
        <w:rPr>
          <w:rFonts w:eastAsia="Times New Roman" w:cs="Times New Roman"/>
          <w:color w:val="17365D"/>
        </w:rPr>
        <w:t xml:space="preserve"> </w:t>
      </w:r>
      <w:r w:rsidR="008B6424">
        <w:rPr>
          <w:rFonts w:eastAsia="Times New Roman" w:cs="Times New Roman"/>
          <w:color w:val="17365D"/>
        </w:rPr>
        <w:t>2023. gadā tika pārtraukts atvasinātais finanšu instruments, kuram bija piemērota riska ierobežošanas uzskaite.</w:t>
      </w:r>
    </w:p>
    <w:p w14:paraId="10FDE455" w14:textId="77777777" w:rsidR="00AA7198" w:rsidRPr="00A27896" w:rsidRDefault="00AA7198" w:rsidP="00F9629B">
      <w:pPr>
        <w:spacing w:after="0" w:line="240" w:lineRule="auto"/>
        <w:ind w:firstLine="284"/>
        <w:jc w:val="both"/>
        <w:rPr>
          <w:rFonts w:eastAsia="Times New Roman" w:cs="Times New Roman"/>
          <w:color w:val="17365D"/>
        </w:rPr>
      </w:pPr>
    </w:p>
    <w:p w14:paraId="45E718BE" w14:textId="77777777" w:rsidR="00954F0C" w:rsidRPr="00A27896" w:rsidRDefault="00954F0C" w:rsidP="00043CBD">
      <w:pPr>
        <w:pStyle w:val="Heading3"/>
        <w:spacing w:before="0"/>
        <w:rPr>
          <w:i/>
        </w:rPr>
      </w:pPr>
      <w:bookmarkStart w:id="55" w:name="_Toc42846524"/>
      <w:r w:rsidRPr="00A27896">
        <w:rPr>
          <w:i/>
        </w:rPr>
        <w:t>Uzskaites un novērtēšanas pamatprincipi</w:t>
      </w:r>
      <w:bookmarkEnd w:id="55"/>
    </w:p>
    <w:p w14:paraId="4EB270A2" w14:textId="6D978491" w:rsidR="007C43F5" w:rsidRPr="00A27896" w:rsidRDefault="007C43F5" w:rsidP="00E321DB">
      <w:pPr>
        <w:spacing w:after="120" w:line="240" w:lineRule="auto"/>
        <w:ind w:firstLine="284"/>
        <w:jc w:val="both"/>
        <w:rPr>
          <w:rFonts w:cs="Times New Roman"/>
          <w:color w:val="17365D"/>
        </w:rPr>
      </w:pPr>
      <w:r w:rsidRPr="00A27896">
        <w:rPr>
          <w:rFonts w:cs="Times New Roman"/>
          <w:color w:val="17365D"/>
        </w:rPr>
        <w:t xml:space="preserve">Naudas plūsmas riska ierobežošanas uzskaitē sākotnēji nosaka riska ierobežošanas instrumenta un nodrošinātā posteņa nākotnes naudas plūsmu pašreizējo vērtību. </w:t>
      </w:r>
    </w:p>
    <w:p w14:paraId="4F48408F" w14:textId="77777777" w:rsidR="00E321DB" w:rsidRPr="00A27896" w:rsidRDefault="007C43F5" w:rsidP="00E321DB">
      <w:pPr>
        <w:spacing w:after="120" w:line="240" w:lineRule="auto"/>
        <w:ind w:firstLine="284"/>
        <w:jc w:val="both"/>
        <w:rPr>
          <w:rFonts w:cs="Times New Roman"/>
          <w:color w:val="17365D"/>
        </w:rPr>
      </w:pPr>
      <w:r w:rsidRPr="00A27896">
        <w:rPr>
          <w:rFonts w:cs="Times New Roman"/>
          <w:color w:val="17365D"/>
        </w:rPr>
        <w:t>Turpmāk pārskata perioda beigās veicot nākotnes naudas plūsmu pašreizējās vērtības novērtēšanu, riska ierobežošanas instrumenta vērtības izmaiņas uzskaita</w:t>
      </w:r>
      <w:r w:rsidR="00E321DB" w:rsidRPr="00A27896">
        <w:rPr>
          <w:rFonts w:cs="Times New Roman"/>
          <w:color w:val="17365D"/>
        </w:rPr>
        <w:t>:</w:t>
      </w:r>
    </w:p>
    <w:p w14:paraId="69153DC6" w14:textId="52F098CE" w:rsidR="00441B8B" w:rsidRPr="00A27896" w:rsidRDefault="00441B8B" w:rsidP="00146A16">
      <w:pPr>
        <w:pStyle w:val="ListParagraph"/>
        <w:numPr>
          <w:ilvl w:val="0"/>
          <w:numId w:val="22"/>
        </w:numPr>
        <w:tabs>
          <w:tab w:val="left" w:pos="851"/>
        </w:tabs>
        <w:spacing w:after="120" w:line="240" w:lineRule="auto"/>
        <w:ind w:left="851"/>
        <w:jc w:val="both"/>
        <w:rPr>
          <w:rFonts w:cs="Times New Roman"/>
          <w:color w:val="17365D"/>
        </w:rPr>
      </w:pPr>
      <w:r w:rsidRPr="00A27896">
        <w:rPr>
          <w:rFonts w:cs="Times New Roman"/>
          <w:color w:val="17365D"/>
        </w:rPr>
        <w:lastRenderedPageBreak/>
        <w:t xml:space="preserve">veicot atkārtotu nākotnes naudas plūsmu pašreizējās vērtības novērtēšanu, riska ierobežošanas instrumenta vērtības izmaiņas uzskaita atsevišķā postenī aktīva vai saistību sastāvā; </w:t>
      </w:r>
    </w:p>
    <w:p w14:paraId="6EEFBD01" w14:textId="77777777" w:rsidR="00441B8B" w:rsidRPr="00A27896" w:rsidRDefault="00441B8B" w:rsidP="00146A16">
      <w:pPr>
        <w:pStyle w:val="ListParagraph"/>
        <w:numPr>
          <w:ilvl w:val="0"/>
          <w:numId w:val="22"/>
        </w:numPr>
        <w:tabs>
          <w:tab w:val="left" w:pos="851"/>
        </w:tabs>
        <w:spacing w:after="120" w:line="240" w:lineRule="auto"/>
        <w:ind w:left="851"/>
        <w:jc w:val="both"/>
        <w:rPr>
          <w:rFonts w:cs="Times New Roman"/>
          <w:color w:val="17365D"/>
        </w:rPr>
      </w:pPr>
      <w:r w:rsidRPr="00A27896">
        <w:rPr>
          <w:rFonts w:cs="Times New Roman"/>
          <w:color w:val="17365D"/>
        </w:rPr>
        <w:t xml:space="preserve">riska ierobežošanas instrumenta vērtības izmaiņu daļu, kas noteikta kā efektīva riska ierobežošana, atzīst finanšu instrumentu patiesās vērtības rezervēs; </w:t>
      </w:r>
    </w:p>
    <w:p w14:paraId="7E32B4AA" w14:textId="77777777" w:rsidR="00441B8B" w:rsidRPr="00A27896" w:rsidRDefault="00441B8B" w:rsidP="00146A16">
      <w:pPr>
        <w:pStyle w:val="ListParagraph"/>
        <w:numPr>
          <w:ilvl w:val="0"/>
          <w:numId w:val="22"/>
        </w:numPr>
        <w:tabs>
          <w:tab w:val="left" w:pos="851"/>
        </w:tabs>
        <w:spacing w:after="120" w:line="240" w:lineRule="auto"/>
        <w:ind w:left="851"/>
        <w:jc w:val="both"/>
        <w:rPr>
          <w:rFonts w:cs="Times New Roman"/>
          <w:color w:val="17365D"/>
        </w:rPr>
      </w:pPr>
      <w:r w:rsidRPr="00A27896">
        <w:rPr>
          <w:rFonts w:cs="Times New Roman"/>
          <w:color w:val="17365D"/>
        </w:rPr>
        <w:t>riska ierobežošanas instrumenta vērtības izmaiņu daļu, kas novērtēta kā neefektīva riska ierobežošana, atzīst pārskata perioda finanšu ieņēmumos vai izdevumos;</w:t>
      </w:r>
    </w:p>
    <w:p w14:paraId="7A49CDC6" w14:textId="77777777" w:rsidR="00441B8B" w:rsidRPr="00A27896" w:rsidRDefault="00441B8B" w:rsidP="00146A16">
      <w:pPr>
        <w:pStyle w:val="ListParagraph"/>
        <w:numPr>
          <w:ilvl w:val="0"/>
          <w:numId w:val="22"/>
        </w:numPr>
        <w:tabs>
          <w:tab w:val="left" w:pos="851"/>
        </w:tabs>
        <w:spacing w:after="120" w:line="240" w:lineRule="auto"/>
        <w:ind w:left="851"/>
        <w:jc w:val="both"/>
        <w:rPr>
          <w:rFonts w:cs="Times New Roman"/>
          <w:color w:val="17365D"/>
        </w:rPr>
      </w:pPr>
      <w:r w:rsidRPr="00A27896">
        <w:rPr>
          <w:rFonts w:cs="Times New Roman"/>
          <w:color w:val="17365D"/>
        </w:rPr>
        <w:t>finanšu instrumentu patiesās vērtības rezervēs uzskaitītās riska ierobežošanas instrumenta vērtības izmaiņas atzīst pārskata perioda finanšu ieņēmumos vai izdevumos vienlaicīgi ar nodrošinātā posteņa ieņēmumiem vai izdevumiem, uz kuriem attiecināma riska ierobežošana, saskaņojot ar šo ieņēmumu vai izdevumu summu.</w:t>
      </w:r>
    </w:p>
    <w:p w14:paraId="05AC40E9" w14:textId="77777777" w:rsidR="00954F0C" w:rsidRPr="00A27896" w:rsidRDefault="00954F0C" w:rsidP="00043CBD">
      <w:pPr>
        <w:pStyle w:val="Heading3"/>
        <w:spacing w:before="0" w:after="120"/>
        <w:rPr>
          <w:i/>
        </w:rPr>
      </w:pPr>
      <w:bookmarkStart w:id="56" w:name="_Toc42846525"/>
      <w:r w:rsidRPr="00A27896">
        <w:rPr>
          <w:i/>
        </w:rPr>
        <w:t>Izmantošanas veidi</w:t>
      </w:r>
      <w:bookmarkEnd w:id="56"/>
      <w:r w:rsidRPr="00A27896">
        <w:rPr>
          <w:i/>
        </w:rPr>
        <w:t xml:space="preserve"> </w:t>
      </w:r>
    </w:p>
    <w:p w14:paraId="3C42D847" w14:textId="21A64F24" w:rsidR="00954F0C" w:rsidRPr="00A27896" w:rsidRDefault="00954F0C" w:rsidP="006B1FE1">
      <w:pPr>
        <w:widowControl w:val="0"/>
        <w:spacing w:after="120" w:line="240" w:lineRule="auto"/>
        <w:ind w:firstLine="284"/>
        <w:jc w:val="both"/>
        <w:rPr>
          <w:rFonts w:cs="Times New Roman"/>
          <w:color w:val="17365D"/>
          <w:szCs w:val="24"/>
        </w:rPr>
      </w:pPr>
      <w:r w:rsidRPr="00A27896">
        <w:rPr>
          <w:rFonts w:cs="Times New Roman"/>
          <w:color w:val="17365D"/>
          <w:szCs w:val="24"/>
        </w:rPr>
        <w:t>Valsts kase izmanto atvasinātos finanšu instrumentus tikai finanšu risku vadībai atbilstoši Valsts parāda un naudas līdzekļu vadības stratēģijā izvirzītajiem mērķiem un uzdevumiem.</w:t>
      </w:r>
      <w:r w:rsidR="009B75DF" w:rsidRPr="00A27896">
        <w:rPr>
          <w:rFonts w:cs="Times New Roman"/>
          <w:color w:val="17365D"/>
          <w:szCs w:val="24"/>
        </w:rPr>
        <w:t xml:space="preserve"> </w:t>
      </w:r>
    </w:p>
    <w:p w14:paraId="5FA55805" w14:textId="0165804A" w:rsidR="00954F0C" w:rsidRPr="00C34FC5" w:rsidRDefault="00954F0C" w:rsidP="00BF4C61">
      <w:pPr>
        <w:spacing w:after="120" w:line="240" w:lineRule="auto"/>
        <w:ind w:firstLine="284"/>
        <w:jc w:val="both"/>
        <w:rPr>
          <w:rFonts w:cs="Times New Roman"/>
          <w:color w:val="17365D"/>
        </w:rPr>
      </w:pPr>
      <w:r w:rsidRPr="00A27896">
        <w:rPr>
          <w:rFonts w:cs="Times New Roman"/>
          <w:color w:val="17365D"/>
        </w:rPr>
        <w:t>Valsts kase</w:t>
      </w:r>
      <w:r w:rsidR="00EA5097">
        <w:rPr>
          <w:rFonts w:cs="Times New Roman"/>
          <w:color w:val="17365D"/>
        </w:rPr>
        <w:t xml:space="preserve"> pārskata gadā</w:t>
      </w:r>
      <w:r w:rsidRPr="00A27896">
        <w:rPr>
          <w:rFonts w:cs="Times New Roman"/>
          <w:color w:val="17365D"/>
        </w:rPr>
        <w:t xml:space="preserve"> izmanto</w:t>
      </w:r>
      <w:r w:rsidR="00EA5097">
        <w:rPr>
          <w:rFonts w:cs="Times New Roman"/>
          <w:color w:val="17365D"/>
        </w:rPr>
        <w:t>ja IRS</w:t>
      </w:r>
      <w:r w:rsidRPr="00A27896">
        <w:rPr>
          <w:rFonts w:cs="Times New Roman"/>
          <w:color w:val="17365D"/>
        </w:rPr>
        <w:t xml:space="preserve"> atvasināto finanšu instrumentu</w:t>
      </w:r>
      <w:r w:rsidRPr="00A27896">
        <w:t xml:space="preserve"> </w:t>
      </w:r>
      <w:r w:rsidRPr="00C34FC5">
        <w:rPr>
          <w:rFonts w:cs="Times New Roman"/>
          <w:color w:val="17365D"/>
        </w:rPr>
        <w:t>– procentu likmju mijmaiņas darījums, kura ietvaros notiek apmaiņa ar procentu maksājumu plūsmām, kuras balstās uz darījumu nosacījumos noteikto termiņu procentu likmēm (vienai no plūsmām likme var būt fiksēta uz visu darījuma termiņu)</w:t>
      </w:r>
      <w:r w:rsidR="00EA5097" w:rsidRPr="00C34FC5">
        <w:rPr>
          <w:rFonts w:cs="Times New Roman"/>
          <w:color w:val="17365D"/>
        </w:rPr>
        <w:t>.</w:t>
      </w:r>
    </w:p>
    <w:p w14:paraId="6831FEEC" w14:textId="6F422152" w:rsidR="00954F0C" w:rsidRPr="00A27896" w:rsidRDefault="00954F0C" w:rsidP="00043CBD">
      <w:pPr>
        <w:pStyle w:val="Heading3"/>
        <w:spacing w:before="120" w:after="120"/>
        <w:rPr>
          <w:i/>
        </w:rPr>
      </w:pPr>
      <w:bookmarkStart w:id="57" w:name="_Toc42846526"/>
      <w:r w:rsidRPr="00A27896">
        <w:rPr>
          <w:i/>
        </w:rPr>
        <w:t xml:space="preserve">Izmantošanas mērķis </w:t>
      </w:r>
      <w:bookmarkEnd w:id="57"/>
    </w:p>
    <w:p w14:paraId="610D8D88" w14:textId="22B748DD" w:rsidR="00954F0C" w:rsidRPr="00A27896" w:rsidRDefault="00954F0C" w:rsidP="00954F0C">
      <w:pPr>
        <w:spacing w:after="120" w:line="240" w:lineRule="auto"/>
        <w:ind w:firstLine="284"/>
        <w:jc w:val="both"/>
        <w:rPr>
          <w:rFonts w:cs="Times New Roman"/>
          <w:color w:val="17365D"/>
        </w:rPr>
      </w:pPr>
      <w:r w:rsidRPr="00A27896">
        <w:rPr>
          <w:rFonts w:cs="Times New Roman"/>
          <w:color w:val="17365D"/>
        </w:rPr>
        <w:t xml:space="preserve">IRS (procentu mijmaiņas) darījumi tiek slēgti, lai sasniegtu Valsts parāda un naudas līdzekļu vadības stratēģijā noteikto valsts parāda portfeļa vadības mērķi un nodrošinātu valsts parāda portfeļa ilgtspēju (duration – procentu likmju vidējo svērto fiksēto periodu (gados)) un fiksēto likmju īpatsvara rādītāju ievērošanu pieļaujamās robežās. Atbilstoši Valsts parāda un naudas līdzekļu vadības stratēģijā definētajam parāda portfeļa vadības pamatprincipam, nodrošinot līdzsvaru starp finanšu resursu izmaksām un finanšu risku ierobežošanu, par nozīmīgāko tiek uzskatīta finanšu risku ierobežošana. </w:t>
      </w:r>
    </w:p>
    <w:p w14:paraId="38B60EB7" w14:textId="77777777" w:rsidR="00954F0C" w:rsidRPr="00A27896" w:rsidRDefault="00954F0C" w:rsidP="00FD10CC">
      <w:pPr>
        <w:pStyle w:val="Heading3"/>
      </w:pPr>
      <w:bookmarkStart w:id="58" w:name="_Toc42846529"/>
      <w:r w:rsidRPr="00A27896">
        <w:t>Zembilances aktīvi</w:t>
      </w:r>
      <w:bookmarkEnd w:id="58"/>
    </w:p>
    <w:p w14:paraId="3B5F6370" w14:textId="62C6B6B5"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Zembilances aktīvā uzskaita iespējamos aktīvus, kuri radušies pagātnes notikumu rezultātā un kuru pastāvēšana apstiprināsies tikai atkarībā no viena vai vairāku tādu nākotnes notikumu notikšanas vai nenotikšanas, kurus budžeta iestāde vai valsts budžeta finanšu uzskaitē pilnībā nevar kontrolēt. </w:t>
      </w:r>
    </w:p>
    <w:p w14:paraId="55769B2D" w14:textId="6643EC4C" w:rsidR="00954F0C" w:rsidRPr="00A27896" w:rsidRDefault="00954F0C" w:rsidP="00954F0C">
      <w:pPr>
        <w:spacing w:after="120" w:line="240" w:lineRule="auto"/>
        <w:jc w:val="both"/>
        <w:rPr>
          <w:rFonts w:cs="Times New Roman"/>
          <w:color w:val="17365D"/>
          <w:szCs w:val="24"/>
        </w:rPr>
      </w:pPr>
      <w:r w:rsidRPr="00A27896">
        <w:rPr>
          <w:rFonts w:cs="Times New Roman"/>
          <w:color w:val="17365D"/>
          <w:szCs w:val="24"/>
        </w:rPr>
        <w:t>Zembilances aktīvu sastāvā uzskaitīti:</w:t>
      </w:r>
    </w:p>
    <w:p w14:paraId="422BDEDF"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iespējamie aktīvi, kurus atzīst un uzrāda zembilancē, ja pastāv varbūtība ekonomisko labumu un/vai sniegto pakalpojumu pieaugumam iestādē. Pēc noteiktu apstākļu apstiprināšanās un dienā, kad aktīvu var ticami novērtēt, aktīvu un ar to saistītos ieņēmumu norāda bilancē, samazinot zembilancē norādīto iespējamo aktīvu vērtību;</w:t>
      </w:r>
    </w:p>
    <w:p w14:paraId="2811DC77"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prasības par radniecīgo un asociēto kapitālsabiedrību paziņotajām dividendēm un saņemamiem maksājumiem par kapitāla daļu izmantošanu, kas ir apstiprināti pēc bilances datuma un par kuriem nav samazināts finanšu ieguldījums;</w:t>
      </w:r>
    </w:p>
    <w:p w14:paraId="504397B2"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aprēķinātie līgumsodi, naudas sodi, soda naudas un kavējuma naudas, kas nav saņemtas līdz pārskata perioda beigām, un prasības, kuras nav uzskaitītas bilancē, no dienas, kad radušās likumīgas tiesības to saņemt;</w:t>
      </w:r>
    </w:p>
    <w:p w14:paraId="4C1F7908"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 xml:space="preserve">budžeta iestāžu prasības par prettiesiskā ceļā atsavinātiem aktīviem atbilstoši prettiesiski atsavinātā aktīva vērtības visticamākai aplēsei; </w:t>
      </w:r>
    </w:p>
    <w:p w14:paraId="6E72FAED"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lastRenderedPageBreak/>
        <w:t>iespējamās prasības par nākotnes finanšu darījumiem, valsts budžeta bezcerīgie (zaudētie) kredīti un pārējās zembilances prasības;</w:t>
      </w:r>
    </w:p>
    <w:p w14:paraId="4C1139D4"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citi zembilances aktīvi.</w:t>
      </w:r>
    </w:p>
    <w:p w14:paraId="4BE44ADD" w14:textId="77777777" w:rsidR="00954F0C" w:rsidRPr="00A27896" w:rsidRDefault="00954F0C" w:rsidP="00FD10CC">
      <w:pPr>
        <w:pStyle w:val="Heading3"/>
      </w:pPr>
      <w:bookmarkStart w:id="59" w:name="_Toc42846530"/>
      <w:r w:rsidRPr="00A27896">
        <w:t>Zembilances pasīvi</w:t>
      </w:r>
      <w:bookmarkEnd w:id="59"/>
    </w:p>
    <w:p w14:paraId="1018D9C1" w14:textId="782FA0AE"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Zembilances pasīvā uzskaita budžeta iestāžu un valsts budžeta iespējamās saistības, kas radušās pagātnes notikumu rezultātā, bet to iestāšanās vai neiestāšanās atkarīga no viena vai vairāku tādu notikumu notikšanas vai nenotikšanas, kurus budžeta iestādes vai valsts budžeta finanšu uzskaitē pilnībā nevar kontrolēt. Zembilances saistībās norāda arī pašreizējās saistības, kurām nav pietiekams pamatojums saistību vērtības noteikšanai.</w:t>
      </w:r>
    </w:p>
    <w:p w14:paraId="24666FF2" w14:textId="77777777" w:rsidR="00954F0C" w:rsidRPr="00A27896" w:rsidRDefault="00954F0C" w:rsidP="00954F0C">
      <w:pPr>
        <w:spacing w:after="120" w:line="240" w:lineRule="auto"/>
        <w:jc w:val="both"/>
        <w:rPr>
          <w:rFonts w:cs="Times New Roman"/>
          <w:color w:val="17365D"/>
          <w:szCs w:val="24"/>
        </w:rPr>
      </w:pPr>
      <w:r w:rsidRPr="00A27896">
        <w:rPr>
          <w:rFonts w:cs="Times New Roman"/>
          <w:color w:val="17365D"/>
          <w:szCs w:val="24"/>
        </w:rPr>
        <w:t>Zembilances pasīvu daļā ir norādīti:</w:t>
      </w:r>
    </w:p>
    <w:p w14:paraId="08E15E8D"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budžeta iestāžu nākotnes maksājumi saskaņā ar līgumiem, kas noslēgti par ārvalstu finanšu palīdzības un ES politiku instrumentu finansētajiem projektiem. Nākotnes saistību vērtība noteikta par noslēgtiem līgumiem neizpildīto darījumu apjomā bilances datumā;</w:t>
      </w:r>
    </w:p>
    <w:p w14:paraId="48F4ED36"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 xml:space="preserve">nākotnes saistības un maksājumi saskaņā ar līgumiem un vadības lēmumiem par ilgtermiņa ieguldījumu un militāro ilgtermiņa aktīvu iegādi un izveidošanu (izņemot tos, kas noslēgti par ārvalstu finanšu palīdzības un ES politiku instrumentu finansētajiem projektiem). Nākotnes saistību vērtība noteikta par noslēgtiem līgumiem neizpildīto darījumu apjomā bilances datumā; </w:t>
      </w:r>
    </w:p>
    <w:p w14:paraId="773D0DFA"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nākotnes saistības un maksājumi saskaņā ar līgumiem un vadības lēmumiem par preču un pakalpojumu iegādi, izņemot tos, kas noslēgti par ārvalstu finanšu palīdzības un ES politiku instrumentu finansētajiem projektiem. Nākotnes saistības un maksājumus norāda bilances datumā iespējamo maksājumu apjomā, kas rastos, ja līgumi tiktu lauzti;</w:t>
      </w:r>
    </w:p>
    <w:p w14:paraId="7C4E1618"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saņemtie, bet neapmaksātie avansa attaisnojuma dokumenti, nākotnes nomas maksājumi;</w:t>
      </w:r>
    </w:p>
    <w:p w14:paraId="5AB294AC"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iespējamie nākotnes finanšu darījumi, izsniegtie galvojumi, valsts budžeta piešķirtie, bet vēl neizmaksātie aizdevumi, un citas zembilances saistības.</w:t>
      </w:r>
    </w:p>
    <w:p w14:paraId="0FFE715D" w14:textId="3A952A5A" w:rsidR="00954F0C" w:rsidRPr="00A27896" w:rsidRDefault="00954F0C" w:rsidP="00FD10CC">
      <w:pPr>
        <w:pStyle w:val="Heading3"/>
      </w:pPr>
      <w:bookmarkStart w:id="60" w:name="_Toc42846531"/>
      <w:r w:rsidRPr="00A27896">
        <w:t>Galvojumi</w:t>
      </w:r>
      <w:bookmarkEnd w:id="60"/>
    </w:p>
    <w:p w14:paraId="2F4FBF53" w14:textId="474C4868"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Zembilancē uzskaitīta </w:t>
      </w:r>
      <w:r w:rsidR="00975616" w:rsidRPr="00A27896">
        <w:rPr>
          <w:rFonts w:cs="Times New Roman"/>
          <w:color w:val="17365D"/>
          <w:szCs w:val="24"/>
        </w:rPr>
        <w:t>pašvaldību</w:t>
      </w:r>
      <w:r w:rsidRPr="00A27896">
        <w:rPr>
          <w:rFonts w:cs="Times New Roman"/>
          <w:color w:val="17365D"/>
          <w:szCs w:val="24"/>
        </w:rPr>
        <w:t xml:space="preserve"> un valsts budžeta sniegto galvojumu iespējamo saistību summa bilances datumā, kas būtu jāmaksā par galvoto aizņēmumu, ja galvojuma ņēmējs to neatmaksātu. </w:t>
      </w:r>
    </w:p>
    <w:p w14:paraId="216B9205"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Valsts budžeta sniegtos galvojumus zembilancē uzskaita atbilstoši iespējamo saistību atzīšanas kritērijiem: </w:t>
      </w:r>
    </w:p>
    <w:p w14:paraId="36CD8C81"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resursu izlietojuma varbūtība ir iespējama (≥5%&lt;50%);</w:t>
      </w:r>
    </w:p>
    <w:p w14:paraId="0693FDAB"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 xml:space="preserve">nav precīzi zināma vērtība vai konkrētu saistību rašanās vai segšanas datums. </w:t>
      </w:r>
    </w:p>
    <w:p w14:paraId="76774390" w14:textId="0EEDA9BD"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Valsts budžeta sniegto galvojumu iespējamo saistību vērtība atbilst iespējami precīzākajai pašreizējās vērtības aplēsei.</w:t>
      </w:r>
    </w:p>
    <w:p w14:paraId="5867DF3A" w14:textId="77777777" w:rsidR="00954F0C" w:rsidRPr="00A27896" w:rsidRDefault="00954F0C" w:rsidP="00FD10CC">
      <w:pPr>
        <w:pStyle w:val="Heading3"/>
      </w:pPr>
      <w:bookmarkStart w:id="61" w:name="_Toc42846532"/>
      <w:r w:rsidRPr="00A27896">
        <w:t>Ieņēmumi un izdevumi</w:t>
      </w:r>
      <w:bookmarkEnd w:id="61"/>
    </w:p>
    <w:p w14:paraId="23EB8DE9" w14:textId="6DE0D56F" w:rsidR="00954F0C" w:rsidRPr="00A27896" w:rsidRDefault="00954F0C" w:rsidP="005844BA">
      <w:pPr>
        <w:spacing w:after="0" w:line="240" w:lineRule="auto"/>
        <w:ind w:firstLine="284"/>
        <w:jc w:val="both"/>
        <w:rPr>
          <w:rFonts w:eastAsia="Calibri" w:cs="Times New Roman"/>
          <w:color w:val="17365D"/>
        </w:rPr>
      </w:pPr>
      <w:r w:rsidRPr="00A27896">
        <w:rPr>
          <w:rFonts w:eastAsia="Calibri" w:cs="Times New Roman"/>
          <w:color w:val="17365D"/>
        </w:rPr>
        <w:t>Ieņēmumus un izdevumus, kas radušies iestādes darbības rezultātā,</w:t>
      </w:r>
      <w:r w:rsidR="004B7690" w:rsidRPr="00A27896">
        <w:rPr>
          <w:rFonts w:eastAsia="Calibri" w:cs="Times New Roman"/>
          <w:color w:val="17365D"/>
        </w:rPr>
        <w:t xml:space="preserve"> kā </w:t>
      </w:r>
      <w:r w:rsidR="007D5CA7" w:rsidRPr="00A27896">
        <w:rPr>
          <w:rFonts w:eastAsia="Calibri" w:cs="Times New Roman"/>
          <w:color w:val="17365D"/>
        </w:rPr>
        <w:t xml:space="preserve">arī </w:t>
      </w:r>
      <w:r w:rsidR="006B4511" w:rsidRPr="00A27896">
        <w:rPr>
          <w:rFonts w:eastAsia="Calibri" w:cs="Times New Roman"/>
          <w:color w:val="17365D"/>
        </w:rPr>
        <w:t>VID</w:t>
      </w:r>
      <w:r w:rsidR="004B7690" w:rsidRPr="00A27896">
        <w:rPr>
          <w:rFonts w:eastAsia="Calibri" w:cs="Times New Roman"/>
          <w:color w:val="17365D"/>
        </w:rPr>
        <w:t xml:space="preserve"> administrētos valsts budžeta ieņēmumus </w:t>
      </w:r>
      <w:r w:rsidRPr="00A27896">
        <w:rPr>
          <w:rFonts w:eastAsia="Calibri" w:cs="Times New Roman"/>
          <w:color w:val="17365D"/>
        </w:rPr>
        <w:t>atzīst saskaņā ar uzkrāšanas principu periodā, kad tie radušies, neatkarīgi no naudas saņemšanas vai samaksas, izņemot atsevišķus ieņēmumus un izdevumus, kurus uzskaita saskaņā ar naudas plūsmas principu</w:t>
      </w:r>
      <w:r w:rsidR="005844BA" w:rsidRPr="00A27896">
        <w:rPr>
          <w:rFonts w:eastAsia="Calibri" w:cs="Times New Roman"/>
          <w:color w:val="17365D"/>
        </w:rPr>
        <w:t>:</w:t>
      </w:r>
    </w:p>
    <w:p w14:paraId="40B15011" w14:textId="77957905" w:rsidR="005844BA" w:rsidRPr="00A27896" w:rsidRDefault="005844BA" w:rsidP="004E5915">
      <w:pPr>
        <w:pStyle w:val="tv2131"/>
        <w:numPr>
          <w:ilvl w:val="0"/>
          <w:numId w:val="10"/>
        </w:numPr>
        <w:spacing w:after="120" w:line="240" w:lineRule="auto"/>
        <w:ind w:left="851"/>
        <w:jc w:val="both"/>
        <w:rPr>
          <w:color w:val="17365D"/>
          <w:sz w:val="24"/>
          <w:szCs w:val="24"/>
        </w:rPr>
      </w:pPr>
      <w:r w:rsidRPr="00A27896">
        <w:rPr>
          <w:color w:val="17365D"/>
          <w:sz w:val="24"/>
          <w:szCs w:val="24"/>
        </w:rPr>
        <w:lastRenderedPageBreak/>
        <w:t>valsts akciju sabiedrības “Ceļu satiksmes drošības direkcija” administrēto nodokļu un nodevu ieņēmumi;</w:t>
      </w:r>
    </w:p>
    <w:p w14:paraId="6D59800E" w14:textId="341E36B8" w:rsidR="005844BA" w:rsidRPr="00A27896" w:rsidRDefault="005844BA"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nekustamā īpašuma nodokļa ieņēmumi;</w:t>
      </w:r>
    </w:p>
    <w:p w14:paraId="7DD38027" w14:textId="13187165" w:rsidR="005844BA" w:rsidRPr="00A27896" w:rsidRDefault="005844BA"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valsts un pašvaldību administrēto nodevu ieņēmumi un citu maksājumu valsts budžetā ieņēmumi.</w:t>
      </w:r>
    </w:p>
    <w:p w14:paraId="1EAFF552" w14:textId="77777777" w:rsidR="00954F0C" w:rsidRPr="00A27896" w:rsidRDefault="00954F0C" w:rsidP="00954F0C">
      <w:pPr>
        <w:spacing w:after="120" w:line="240" w:lineRule="auto"/>
        <w:ind w:firstLine="284"/>
        <w:jc w:val="both"/>
        <w:rPr>
          <w:rFonts w:eastAsia="Calibri" w:cs="Times New Roman"/>
          <w:color w:val="17365D"/>
        </w:rPr>
      </w:pPr>
      <w:r w:rsidRPr="00A27896">
        <w:rPr>
          <w:rFonts w:eastAsia="Calibri" w:cs="Times New Roman"/>
          <w:color w:val="17365D"/>
        </w:rPr>
        <w:t>Ieņēmumu un izdevumu klasificēšanā piemēro Ministru kabineta 2005. gada 27. decembra noteikumus Nr. 1032 “Noteikumi par budžetu ieņēmumu klasifikāciju” un Nr. 1031 “Noteikumi par budžetu izdevumu klasifikāciju atbilstoši ekonomiskajām kategorijām”.</w:t>
      </w:r>
    </w:p>
    <w:p w14:paraId="3DFC4CC4" w14:textId="526C54A3" w:rsidR="004B7690" w:rsidRPr="00A27896" w:rsidRDefault="006B4511" w:rsidP="00954F0C">
      <w:pPr>
        <w:pStyle w:val="Pamatteksts1"/>
        <w:ind w:firstLine="284"/>
        <w:rPr>
          <w:color w:val="17365D"/>
        </w:rPr>
      </w:pPr>
      <w:r w:rsidRPr="00A27896">
        <w:rPr>
          <w:color w:val="17365D"/>
        </w:rPr>
        <w:t>VID</w:t>
      </w:r>
      <w:r w:rsidR="004B7690" w:rsidRPr="00A27896">
        <w:rPr>
          <w:color w:val="17365D"/>
        </w:rPr>
        <w:t xml:space="preserve"> administrēto n</w:t>
      </w:r>
      <w:r w:rsidR="00954F0C" w:rsidRPr="00A27896">
        <w:rPr>
          <w:color w:val="17365D"/>
        </w:rPr>
        <w:t xml:space="preserve">odokļu ieņēmumus atzīst </w:t>
      </w:r>
      <w:r w:rsidR="004B7690" w:rsidRPr="00A27896">
        <w:rPr>
          <w:color w:val="17365D"/>
        </w:rPr>
        <w:t>saskaņā ar uzkrāšanas principu pārskata periodā, kurā noticis apliekamais notikums.</w:t>
      </w:r>
      <w:r w:rsidR="00954F0C" w:rsidRPr="00A27896">
        <w:rPr>
          <w:color w:val="17365D"/>
        </w:rPr>
        <w:t xml:space="preserve"> </w:t>
      </w:r>
    </w:p>
    <w:p w14:paraId="5F62FDD0" w14:textId="798922D1" w:rsidR="00954F0C" w:rsidRPr="00A27896" w:rsidRDefault="004B7690" w:rsidP="004B7690">
      <w:pPr>
        <w:pStyle w:val="Pamatteksts1"/>
        <w:ind w:firstLine="284"/>
        <w:rPr>
          <w:color w:val="17365D"/>
        </w:rPr>
      </w:pPr>
      <w:r w:rsidRPr="00A27896">
        <w:rPr>
          <w:color w:val="17365D"/>
        </w:rPr>
        <w:t>I</w:t>
      </w:r>
      <w:r w:rsidR="00954F0C" w:rsidRPr="00A27896">
        <w:rPr>
          <w:color w:val="17365D"/>
        </w:rPr>
        <w:t xml:space="preserve">eņēmumus no nekustamā īpašuma nodokļa pašvaldības </w:t>
      </w:r>
      <w:r w:rsidRPr="00A27896">
        <w:rPr>
          <w:color w:val="17365D"/>
        </w:rPr>
        <w:t xml:space="preserve">uzskaita saskaņā ar uzkrāšanas principu </w:t>
      </w:r>
      <w:r w:rsidR="00954F0C" w:rsidRPr="00A27896">
        <w:rPr>
          <w:color w:val="17365D"/>
        </w:rPr>
        <w:t xml:space="preserve">atbilstoši katras pašvaldības grāmatvedības uzskaites kārtībā noteiktai metodoloģijai. </w:t>
      </w:r>
    </w:p>
    <w:p w14:paraId="73B00926" w14:textId="1CA28ED4"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Nenodokļu ieņēmumus – valsts nodevas, soda naudu, līgumsodu un nokavējuma naudas ieņēmumus, kā arī pārējos nenodokļu ieņēmumus – atzīst saskaņā ar naudas plūsmas principu</w:t>
      </w:r>
      <w:r w:rsidR="004B7690" w:rsidRPr="00A27896">
        <w:rPr>
          <w:rFonts w:cs="Times New Roman"/>
          <w:color w:val="17365D"/>
          <w:szCs w:val="24"/>
        </w:rPr>
        <w:t xml:space="preserve">, izņemot </w:t>
      </w:r>
      <w:r w:rsidR="006B4511" w:rsidRPr="00A27896">
        <w:rPr>
          <w:rFonts w:cs="Times New Roman"/>
          <w:color w:val="17365D"/>
        </w:rPr>
        <w:t>VID</w:t>
      </w:r>
      <w:r w:rsidR="004B7690" w:rsidRPr="00A27896">
        <w:rPr>
          <w:rFonts w:cs="Times New Roman"/>
          <w:color w:val="17365D"/>
        </w:rPr>
        <w:t xml:space="preserve"> administrēto nodevu un citu maksājumu valsts budžetā ieņēmumus, kurus atzīst dienā, kad to saņemšana ir droši ticama</w:t>
      </w:r>
      <w:r w:rsidRPr="00A27896">
        <w:rPr>
          <w:rFonts w:cs="Times New Roman"/>
          <w:color w:val="17365D"/>
          <w:szCs w:val="24"/>
        </w:rPr>
        <w:t xml:space="preserve">. </w:t>
      </w:r>
      <w:r w:rsidR="006B4511" w:rsidRPr="00A27896">
        <w:rPr>
          <w:rFonts w:cs="Times New Roman"/>
          <w:color w:val="17365D"/>
          <w:szCs w:val="24"/>
        </w:rPr>
        <w:t xml:space="preserve">Detalizēta valsts budžeta ieņēmumu atzīšanas kārtība noteikta VID iekšējos normatīvos aktos un </w:t>
      </w:r>
      <w:r w:rsidR="00281811" w:rsidRPr="00A27896">
        <w:rPr>
          <w:rFonts w:cs="Times New Roman"/>
          <w:color w:val="17365D"/>
          <w:szCs w:val="24"/>
        </w:rPr>
        <w:t>VID ikgadējā pārskata pielikumā “Grāmatvedības uzskaites principu apraksts”.</w:t>
      </w:r>
    </w:p>
    <w:p w14:paraId="6D3918E3" w14:textId="13B0B625" w:rsidR="00281811" w:rsidRPr="00A27896" w:rsidRDefault="00281811" w:rsidP="00954F0C">
      <w:pPr>
        <w:spacing w:after="120" w:line="240" w:lineRule="auto"/>
        <w:ind w:firstLine="284"/>
        <w:jc w:val="both"/>
        <w:rPr>
          <w:rFonts w:cs="Times New Roman"/>
          <w:color w:val="17365D"/>
          <w:szCs w:val="24"/>
        </w:rPr>
      </w:pPr>
      <w:r w:rsidRPr="00A27896">
        <w:rPr>
          <w:rFonts w:cs="Times New Roman"/>
          <w:color w:val="17365D"/>
          <w:szCs w:val="24"/>
        </w:rPr>
        <w:t>Pārskata gada beigās nodokļu un nodevu ieņēmumi, par kuriem normatīvos aktos noteiktajā kārtībā veicami maksājumi valsts budžetā izmantojot tiešsaistes maksājumu pakalpojumus, atzīti par saņemtiem valsts budžetā pārskata gadā, bet valsts budžeta kontā Valsts kasē ieskaitīti nākamajā pārskata gadā.</w:t>
      </w:r>
    </w:p>
    <w:p w14:paraId="773113DE" w14:textId="77777777" w:rsidR="00954F0C" w:rsidRPr="00A27896" w:rsidRDefault="00954F0C" w:rsidP="00954F0C">
      <w:pPr>
        <w:spacing w:after="120" w:line="240" w:lineRule="auto"/>
        <w:ind w:firstLine="284"/>
        <w:jc w:val="both"/>
        <w:rPr>
          <w:rFonts w:cs="Times New Roman"/>
          <w:color w:val="17365D"/>
          <w:szCs w:val="24"/>
          <w:highlight w:val="cyan"/>
        </w:rPr>
      </w:pPr>
      <w:r w:rsidRPr="00A27896">
        <w:rPr>
          <w:rFonts w:cs="Times New Roman"/>
          <w:color w:val="17365D"/>
          <w:szCs w:val="24"/>
        </w:rPr>
        <w:t>Maksas pakalpojumus un citus pašu ieņēmumus – ieņēmumus par izglītības pakalpojumiem, ieņēmumus no lauksaimnieciskās darbības, ieņēmumus par dokumentu izsniegšanu un kancelejas pakalpojumiem, ieņēmumus par nomu un īri, maksu par personu uzturēšanos sociālās aprūpes iestādēs, ieņēmumus par dzīvokļu un komunālajiem pakalpojumiem, atlīdzību no apdrošināšanas sabiedrībām par bojātu nekustamo īpašumu un kustamo mantu un citus budžeta iestāžu pašu ieņēmumus – atzīst atbilstoši uzkrāšanas principam.</w:t>
      </w:r>
      <w:r w:rsidRPr="00A27896">
        <w:rPr>
          <w:rFonts w:cs="Times New Roman"/>
          <w:color w:val="17365D"/>
        </w:rPr>
        <w:t xml:space="preserve"> </w:t>
      </w:r>
      <w:r w:rsidRPr="00A27896">
        <w:rPr>
          <w:rFonts w:cs="Times New Roman"/>
          <w:color w:val="17365D"/>
          <w:szCs w:val="24"/>
        </w:rPr>
        <w:t>Saņemtos avansus par pakalpojumiem un precēm atzīst ieņēmumos dienā, kad ir sniegts pakalpojums vai piegādātas darījumā paredzētās preces. Ja pakalpojuma sniegšana pārskata perioda beigās nav pabeigta, ieņēmumus atzīst atbilstoši darījuma izpildes pakāpei pārskata perioda beigās.</w:t>
      </w:r>
    </w:p>
    <w:p w14:paraId="310CB615" w14:textId="057F05C1" w:rsidR="005B7D42"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Ārvalstu finanšu palīdzības līdzekļus, kuri veido ārvalstu finanšu palīdzību valsts budžetam, uzskaita Valsts kase kā maksājumu iestāde. Saņemtos līdzekļus atzīst </w:t>
      </w:r>
      <w:r w:rsidR="00834DA1" w:rsidRPr="00A27896">
        <w:rPr>
          <w:rFonts w:cs="Times New Roman"/>
          <w:color w:val="17365D"/>
          <w:szCs w:val="24"/>
        </w:rPr>
        <w:t>nākamo period</w:t>
      </w:r>
      <w:r w:rsidR="00ED32DB" w:rsidRPr="00A27896">
        <w:rPr>
          <w:rFonts w:cs="Times New Roman"/>
          <w:color w:val="17365D"/>
          <w:szCs w:val="24"/>
        </w:rPr>
        <w:t>u</w:t>
      </w:r>
      <w:r w:rsidR="00834DA1" w:rsidRPr="00A27896">
        <w:rPr>
          <w:rFonts w:cs="Times New Roman"/>
          <w:color w:val="17365D"/>
          <w:szCs w:val="24"/>
        </w:rPr>
        <w:t xml:space="preserve"> ieņēmumu sastāvā </w:t>
      </w:r>
      <w:r w:rsidRPr="00A27896">
        <w:rPr>
          <w:rFonts w:cs="Times New Roman"/>
          <w:color w:val="17365D"/>
          <w:szCs w:val="24"/>
        </w:rPr>
        <w:t>kā saistības pret ES politiku instrumentu vai citiem ārvalstu finanšu palīdzības fondiem. Pārskata perioda ieņēmumus atzīst vienlaikus ar izdevumiem, norakstot saistības pret ES politiku instrumentu vai citiem ārvalstu finanšu palīdzības fondiem</w:t>
      </w:r>
    </w:p>
    <w:p w14:paraId="45E6B041" w14:textId="7770786D" w:rsidR="005B7D42" w:rsidRPr="00A27896" w:rsidRDefault="005B7D42" w:rsidP="00954F0C">
      <w:pPr>
        <w:spacing w:after="120" w:line="240" w:lineRule="auto"/>
        <w:ind w:firstLine="284"/>
        <w:jc w:val="both"/>
        <w:rPr>
          <w:rFonts w:cs="Times New Roman"/>
          <w:color w:val="17365D"/>
          <w:szCs w:val="24"/>
        </w:rPr>
      </w:pPr>
      <w:r w:rsidRPr="00A27896">
        <w:rPr>
          <w:rFonts w:cs="Times New Roman"/>
          <w:color w:val="17365D"/>
          <w:szCs w:val="24"/>
        </w:rPr>
        <w:t>E</w:t>
      </w:r>
      <w:r w:rsidR="00460497" w:rsidRPr="00A27896">
        <w:rPr>
          <w:rFonts w:cs="Times New Roman"/>
          <w:color w:val="17365D"/>
          <w:szCs w:val="24"/>
        </w:rPr>
        <w:t>S</w:t>
      </w:r>
      <w:r w:rsidRPr="00A27896">
        <w:rPr>
          <w:rFonts w:cs="Times New Roman"/>
          <w:color w:val="17365D"/>
          <w:szCs w:val="24"/>
        </w:rPr>
        <w:t xml:space="preserve"> budžeta programmas Eiropas Atveseļošanas un noturības mehānisma īstenošanai, lai veicinātu E</w:t>
      </w:r>
      <w:r w:rsidR="00460497" w:rsidRPr="00A27896">
        <w:rPr>
          <w:rFonts w:cs="Times New Roman"/>
          <w:color w:val="17365D"/>
          <w:szCs w:val="24"/>
        </w:rPr>
        <w:t xml:space="preserve">S </w:t>
      </w:r>
      <w:r w:rsidRPr="00A27896">
        <w:rPr>
          <w:rFonts w:cs="Times New Roman"/>
          <w:color w:val="17365D"/>
          <w:szCs w:val="24"/>
        </w:rPr>
        <w:t xml:space="preserve">ekonomisko, sociālo un teritoriālo kohēziju, stiprinot dalībvalstu noturības un pielāgošanās spējas nolūkā mazināt </w:t>
      </w:r>
      <w:r w:rsidR="003F12DE" w:rsidRPr="00A27896">
        <w:rPr>
          <w:rFonts w:cs="Times New Roman"/>
          <w:color w:val="17365D"/>
          <w:szCs w:val="24"/>
        </w:rPr>
        <w:t>Covid–19</w:t>
      </w:r>
      <w:r w:rsidRPr="00A27896">
        <w:rPr>
          <w:rFonts w:cs="Times New Roman"/>
          <w:color w:val="17365D"/>
          <w:szCs w:val="24"/>
        </w:rPr>
        <w:t xml:space="preserve"> krīzes radīto sociālo un ekonomisko ietekmi, un atbalstītu pāreju uz zaļo un digitālo ekonomiku, veicinātu ES ekonomikas izaugsmes potenciālu un darba vietu radīšanu, kā arī ES</w:t>
      </w:r>
      <w:r w:rsidR="00460497" w:rsidRPr="00A27896">
        <w:rPr>
          <w:rFonts w:cs="Times New Roman"/>
          <w:color w:val="17365D"/>
          <w:szCs w:val="24"/>
        </w:rPr>
        <w:t xml:space="preserve"> </w:t>
      </w:r>
      <w:r w:rsidRPr="00A27896">
        <w:rPr>
          <w:rFonts w:cs="Times New Roman"/>
          <w:color w:val="17365D"/>
          <w:szCs w:val="24"/>
        </w:rPr>
        <w:t>2030.</w:t>
      </w:r>
      <w:r w:rsidR="00245866">
        <w:rPr>
          <w:rFonts w:cs="Times New Roman"/>
          <w:color w:val="17365D"/>
          <w:szCs w:val="24"/>
        </w:rPr>
        <w:t> </w:t>
      </w:r>
      <w:r w:rsidRPr="00A27896">
        <w:rPr>
          <w:rFonts w:cs="Times New Roman"/>
          <w:color w:val="17365D"/>
          <w:szCs w:val="24"/>
        </w:rPr>
        <w:t>gadam izvirzīto kli</w:t>
      </w:r>
      <w:r w:rsidR="00A9006C" w:rsidRPr="00A27896">
        <w:rPr>
          <w:rFonts w:cs="Times New Roman"/>
          <w:color w:val="17365D"/>
          <w:szCs w:val="24"/>
        </w:rPr>
        <w:t>mata mērķu sasniegšanu un 2050. </w:t>
      </w:r>
      <w:r w:rsidRPr="00A27896">
        <w:rPr>
          <w:rFonts w:cs="Times New Roman"/>
          <w:color w:val="17365D"/>
          <w:szCs w:val="24"/>
        </w:rPr>
        <w:t>gadam izvirzīto klimata neitralitātes mērķu sasniegšanai Latvijai piešķirot finansējumu gan grantu, gan aizdevumu veidā.</w:t>
      </w:r>
    </w:p>
    <w:p w14:paraId="30D42269" w14:textId="6EA87BA1" w:rsidR="00954F0C" w:rsidRPr="00A27896" w:rsidRDefault="005B7D42" w:rsidP="00954F0C">
      <w:pPr>
        <w:spacing w:after="120" w:line="240" w:lineRule="auto"/>
        <w:ind w:firstLine="284"/>
        <w:jc w:val="both"/>
        <w:rPr>
          <w:rFonts w:cs="Times New Roman"/>
          <w:color w:val="17365D"/>
          <w:szCs w:val="24"/>
        </w:rPr>
      </w:pPr>
      <w:r w:rsidRPr="00A27896">
        <w:rPr>
          <w:rFonts w:cs="Times New Roman"/>
          <w:color w:val="17365D"/>
          <w:szCs w:val="24"/>
        </w:rPr>
        <w:t xml:space="preserve">Valsts kase </w:t>
      </w:r>
      <w:r w:rsidR="007D4F66" w:rsidRPr="00A27896">
        <w:rPr>
          <w:rFonts w:cs="Times New Roman"/>
          <w:color w:val="17365D"/>
          <w:szCs w:val="24"/>
        </w:rPr>
        <w:t>E</w:t>
      </w:r>
      <w:r w:rsidR="007D4F66" w:rsidRPr="00A27896">
        <w:rPr>
          <w:rFonts w:cs="Times New Roman"/>
          <w:color w:val="17365D"/>
        </w:rPr>
        <w:t>iropas Atveseļošanas un noturības mehānisma finanšu līdzekļu ietvaros saņemto finans</w:t>
      </w:r>
      <w:r w:rsidR="000851EE" w:rsidRPr="00A27896">
        <w:rPr>
          <w:rFonts w:cs="Times New Roman"/>
          <w:color w:val="17365D"/>
        </w:rPr>
        <w:t xml:space="preserve">ējumu </w:t>
      </w:r>
      <w:r w:rsidR="00F22355" w:rsidRPr="00A27896">
        <w:rPr>
          <w:rFonts w:cs="Times New Roman"/>
          <w:color w:val="17365D"/>
        </w:rPr>
        <w:t>saņemšanas dienā</w:t>
      </w:r>
      <w:r w:rsidR="007D4F66" w:rsidRPr="00A27896">
        <w:rPr>
          <w:rFonts w:cs="Times New Roman"/>
          <w:color w:val="17365D"/>
        </w:rPr>
        <w:t xml:space="preserve"> atz</w:t>
      </w:r>
      <w:r w:rsidR="00322DAE" w:rsidRPr="00A27896">
        <w:rPr>
          <w:rFonts w:cs="Times New Roman"/>
          <w:color w:val="17365D"/>
        </w:rPr>
        <w:t>īs</w:t>
      </w:r>
      <w:r w:rsidR="00130909" w:rsidRPr="00A27896">
        <w:rPr>
          <w:rFonts w:cs="Times New Roman"/>
          <w:color w:val="17365D"/>
        </w:rPr>
        <w:t>t</w:t>
      </w:r>
      <w:r w:rsidR="000851EE" w:rsidRPr="00A27896">
        <w:rPr>
          <w:rFonts w:cs="Times New Roman"/>
          <w:color w:val="17365D"/>
        </w:rPr>
        <w:t xml:space="preserve"> </w:t>
      </w:r>
      <w:r w:rsidR="007D4F66" w:rsidRPr="00A27896">
        <w:rPr>
          <w:rFonts w:cs="Times New Roman"/>
          <w:color w:val="17365D"/>
        </w:rPr>
        <w:t>valsts budžeta ieņēmumos.</w:t>
      </w:r>
    </w:p>
    <w:p w14:paraId="5538EC3C" w14:textId="03300574"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lastRenderedPageBreak/>
        <w:t>Ieņēmumus no ārvalstu finanšu palīdzības, ko budžeta iestādes saņēmušas no darījuma partnera</w:t>
      </w:r>
      <w:r w:rsidR="00640256" w:rsidRPr="00A27896">
        <w:rPr>
          <w:rFonts w:cs="Times New Roman"/>
          <w:color w:val="17365D"/>
          <w:szCs w:val="24"/>
        </w:rPr>
        <w:t xml:space="preserve"> </w:t>
      </w:r>
      <w:r w:rsidRPr="00A27896">
        <w:rPr>
          <w:rFonts w:cs="Times New Roman"/>
          <w:color w:val="17365D"/>
          <w:szCs w:val="24"/>
        </w:rPr>
        <w:t xml:space="preserve">– nerezidenta, atzīst saskaņā ar uzkrāšanas principu pārskata periodā, kurā izpildīti ar šo līdzekļu saņemšanu saistītajos tiesību aktos minētie nosacījumi to izlietošanai. </w:t>
      </w:r>
    </w:p>
    <w:p w14:paraId="03CBAEB0"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Budžeta iestādes transfertu ieņēmumus uzskaita saskaņā ar uzkrāšanas principu, atbilstoši saņemtam apstiprinājumam no citas budžeta iestādes par attaisnotiem (atzītiem) izdevumiem, atzīstot ieņēmumus un prasības pret budžeta iestādi vai samazinot avansā saņemtos transfertus (saistības). Transfertu ieņēmumos iestādes atzīst arī bez atlīdzības saņemtos aktīvus vai nodotos pasīvus starp vispārējās valdības sektora struktūrām, izņemot valsts vai pašvaldību kontrolētus un finansētus komersantus, ostu un brīvostu pārvaldes, vispārējā valdības sektora sarakstā pie valsts vai pašvaldību struktūrām ietvertās speciālās ekonomiskās zonas.</w:t>
      </w:r>
    </w:p>
    <w:p w14:paraId="37F95733"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Ziedojumus un dāvinājumus uzskaita attiecīgajā aktīvu grupā, atzīstot pārskata perioda ieņēmumus vai nākamo periodu ieņēmumus dāvinājumu un ziedojumu novērtētajā vērtībā. Nākamo periodu ieņēmumos uzskaitītos ziedojumus un dāvinājumus pārskata perioda ieņēmumos atzīst saskaņā ar uzkrāšanas principu pārskata periodā, kurā izpildīti ar šo līdzekļu saņemšanu saistītajos tiesību aktos minētie nosacījumi to izlietošanai.</w:t>
      </w:r>
    </w:p>
    <w:p w14:paraId="73932162"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Dotāciju no vispārējiem ieņēmumiem atzīst pamatbudžeta ieņēmumos dotācijas saņemšanas dienā un gada beigās samazina par slēgtajiem valsts pamatbudžeta asignējumiem. </w:t>
      </w:r>
    </w:p>
    <w:p w14:paraId="6E748EFB"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Procentu ieņēmumus uzskaita saskaņā ar uzkrāšanas principu un tos veido ieņēmumi par kontu atlikumiem un naudas līdzekļu ekvivalentiem, kuri noguldīti uz konkrētu termiņu un kuru sākotnējais termiņš nepārsniedz 90 dienas, kā arī procentu ieņēmumus no finanšu instrumentiem, izņemot patiesajā vērtībā novērtētu finanšu aktīvu un finanšu saistību finanšu instrumentu kategorijās klasificētos finanšu aktīvus un finanšu saistības, un citi procentu ieņēmumi.</w:t>
      </w:r>
    </w:p>
    <w:p w14:paraId="089E200F"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Pārējos ieņēmumus, kas rodas no nefinanšu aktīvu (nemateriālo ieguldījumu, pamatlīdzekļu, ieguldījumu īpašumu, bioloģisko aktīvu, krājumu) sākotnējās atzīšanas, inventarizācijā konstatētā pārpalikuma, saistību dzēšanas, vērtības samazinājuma norakstīšanas prasībām, avansa maksājumiem un finanšu instrumentiem, rezervju izslēgšanas un citiem nenaudas darījumiem, uzskaita saskaņā ar uzkrāšanas principu.</w:t>
      </w:r>
    </w:p>
    <w:p w14:paraId="35409014"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Izdevumus atalgojumam, darba devēju sociālās apdrošināšanas iemaksām, pabalstiem un kompensācijām, mācību, darba un dienesta komandējumiem, darba braucieniem, pakalpojumiem, krājumiem, materiāliem, energoresursiem, biroja precēm un inventāram, periodikai, nodokļu, nodevu un naudas sodu maksājumiem, subsīdijām, dotācijām un sociāliem pabalstiem, kārtējiem maksājumiem ES budžetā un starptautiskai sadarbībai uzskaita saskaņā ar uzkrāšanas principu.</w:t>
      </w:r>
    </w:p>
    <w:p w14:paraId="08E424B0"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Maksājamie līgumsodi un naudas sodi uzskaitīti budžeta iestāžu pamatdarbības izdevumos dienā, kad darījuma partnerim radušās likumīgas tiesības iekasēt līgumsodu un naudas sodu.</w:t>
      </w:r>
    </w:p>
    <w:p w14:paraId="33602A1D"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Budžeta iestādes transfertu izdevumus uzskaita saskaņā ar uzkrāšanas principu, apstiprinot citas budžeta iestādes iesniegto dokumentu, kas apliecina izdevumu rašanos, un atzīst saistības pret attiecīgo iestādi vai samazina avansa maksājumu (prasības). Transfertu izdevumos iestādes atzīst arī bez atlīdzības nodotos aktīvus vai saņemtos pasīvus starp vispārējās valdības sektora struktūrām, izņemot valsts vai pašvaldību kontrolētus un finansētus komersantus, ostu un brīvostu pārvaldes, vispārējā valdības sektora sarakstā pie valsts vai pašvaldību struktūrām ietvertās speciālās ekonomiskās zonas.</w:t>
      </w:r>
    </w:p>
    <w:p w14:paraId="0B3C5A87"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Procentu izdevumus uzskaita saskaņā ar uzkrāšanas principu un tos veido izdevumi par kontu atlikumiem un naudas līdzekļu ekvivalentiem, izdevumiem par privātā partnera nodrošinātajiem pakalpojumiem, izdevumus no finanšu instrumentiem, izņemot patiesajā vērtībā novērtētu finanšu aktīvu un finanšu saistību finanšu instrumentu kategorijās klasificētos finanšu aktīvus un finanšu saistības un citi procentu izdevumi.</w:t>
      </w:r>
    </w:p>
    <w:p w14:paraId="44CDB4F7" w14:textId="1689AE47" w:rsidR="004C46B4" w:rsidRPr="00A27896" w:rsidRDefault="00954F0C" w:rsidP="001B503E">
      <w:pPr>
        <w:spacing w:after="120" w:line="240" w:lineRule="auto"/>
        <w:ind w:firstLine="284"/>
        <w:jc w:val="both"/>
        <w:rPr>
          <w:rFonts w:eastAsiaTheme="majorEastAsia" w:cs="Times New Roman"/>
          <w:b/>
          <w:bCs/>
          <w:color w:val="17365D"/>
          <w:szCs w:val="26"/>
          <w:u w:val="single"/>
        </w:rPr>
      </w:pPr>
      <w:r w:rsidRPr="00A27896">
        <w:rPr>
          <w:rFonts w:cs="Times New Roman"/>
          <w:color w:val="17365D"/>
          <w:szCs w:val="24"/>
        </w:rPr>
        <w:t xml:space="preserve">Pārējos izdevumus, kas rodas no nefinanšu aktīvu (nemateriālo ieguldījumu, pamatlīdzekļu, ieguldījumu īpašumu bioloģisko aktīvu, krājumu) vērtības norakstīšanas, aktīvu izslēgšanas no </w:t>
      </w:r>
      <w:r w:rsidRPr="00A27896">
        <w:rPr>
          <w:rFonts w:cs="Times New Roman"/>
          <w:color w:val="17365D"/>
          <w:szCs w:val="24"/>
        </w:rPr>
        <w:lastRenderedPageBreak/>
        <w:t>uzskaites, inventarizācijās konstatētiem iztrūkumiem, vērtības samazinājuma atzīšanas prasībām, avansiem, uzkrājumu veidošanas saistībām un citiem nenaudas darījumiem, uzskaita saskaņā ar uzkrāšanas principu.</w:t>
      </w:r>
      <w:bookmarkStart w:id="62" w:name="_Toc37757068"/>
      <w:r w:rsidR="004C46B4" w:rsidRPr="00A27896">
        <w:rPr>
          <w:rFonts w:cs="Times New Roman"/>
          <w:color w:val="17365D"/>
        </w:rPr>
        <w:br w:type="page"/>
      </w:r>
    </w:p>
    <w:p w14:paraId="1E137FDE" w14:textId="614590B7" w:rsidR="00954F0C" w:rsidRPr="00A27896" w:rsidRDefault="00686079" w:rsidP="00C60CCF">
      <w:pPr>
        <w:pStyle w:val="Heading2"/>
        <w:rPr>
          <w:rFonts w:cs="Times New Roman"/>
        </w:rPr>
      </w:pPr>
      <w:r w:rsidRPr="00A27896">
        <w:rPr>
          <w:rFonts w:cs="Times New Roman"/>
        </w:rPr>
        <w:lastRenderedPageBreak/>
        <w:t>P</w:t>
      </w:r>
      <w:r w:rsidR="00954F0C" w:rsidRPr="00A27896">
        <w:rPr>
          <w:rFonts w:cs="Times New Roman"/>
        </w:rPr>
        <w:t>ārskata sagatavošanas principu apraksts</w:t>
      </w:r>
      <w:bookmarkEnd w:id="62"/>
    </w:p>
    <w:p w14:paraId="1269B7FF" w14:textId="01DCACC5" w:rsidR="00954F0C" w:rsidRPr="00A27896" w:rsidRDefault="0047653F" w:rsidP="00FD10CC">
      <w:pPr>
        <w:pStyle w:val="Heading3"/>
      </w:pPr>
      <w:r>
        <w:t>K</w:t>
      </w:r>
      <w:r w:rsidR="00954F0C" w:rsidRPr="00A27896">
        <w:t>onsolidētā grāmatvedības bilance</w:t>
      </w:r>
    </w:p>
    <w:p w14:paraId="7CC469E8" w14:textId="59582363" w:rsidR="00954F0C" w:rsidRPr="00A27896" w:rsidRDefault="0047653F" w:rsidP="00ED32DB">
      <w:pPr>
        <w:spacing w:after="120" w:line="240" w:lineRule="auto"/>
        <w:ind w:firstLine="284"/>
        <w:jc w:val="both"/>
        <w:rPr>
          <w:rFonts w:cs="Times New Roman"/>
          <w:color w:val="17365D"/>
          <w:szCs w:val="24"/>
        </w:rPr>
      </w:pPr>
      <w:r>
        <w:rPr>
          <w:rFonts w:cs="Times New Roman"/>
          <w:color w:val="17365D"/>
          <w:szCs w:val="24"/>
        </w:rPr>
        <w:t>K</w:t>
      </w:r>
      <w:r w:rsidR="00954F0C" w:rsidRPr="00A27896">
        <w:rPr>
          <w:rFonts w:cs="Times New Roman"/>
          <w:color w:val="17365D"/>
          <w:szCs w:val="24"/>
        </w:rPr>
        <w:t>onsolidētā grāmatvedības bilance ietver finanšu informāciju par ministriju, centrālo valsts iestāžu, pašvaldību</w:t>
      </w:r>
      <w:r w:rsidR="00141376" w:rsidRPr="00A27896">
        <w:rPr>
          <w:rFonts w:cs="Times New Roman"/>
          <w:color w:val="17365D"/>
          <w:szCs w:val="24"/>
        </w:rPr>
        <w:t>, kā arī</w:t>
      </w:r>
      <w:r w:rsidR="00954F0C" w:rsidRPr="00A27896">
        <w:rPr>
          <w:rFonts w:cs="Times New Roman"/>
          <w:color w:val="17365D"/>
          <w:szCs w:val="24"/>
        </w:rPr>
        <w:t xml:space="preserve"> valsts budžeta finanšu uzskaites </w:t>
      </w:r>
      <w:r w:rsidR="00141376" w:rsidRPr="00A27896">
        <w:rPr>
          <w:rFonts w:cs="Times New Roman"/>
          <w:color w:val="17365D"/>
          <w:szCs w:val="24"/>
        </w:rPr>
        <w:t xml:space="preserve">un VID administrēto valsts budžeta ieņēmumu </w:t>
      </w:r>
      <w:r w:rsidR="00954F0C" w:rsidRPr="00A27896">
        <w:rPr>
          <w:rFonts w:cs="Times New Roman"/>
          <w:color w:val="17365D"/>
          <w:szCs w:val="24"/>
        </w:rPr>
        <w:t>aktīviem un saistībām 20</w:t>
      </w:r>
      <w:r w:rsidR="004B6226" w:rsidRPr="00A27896">
        <w:rPr>
          <w:rFonts w:cs="Times New Roman"/>
          <w:color w:val="17365D"/>
          <w:szCs w:val="24"/>
        </w:rPr>
        <w:t>2</w:t>
      </w:r>
      <w:r w:rsidR="00245866">
        <w:rPr>
          <w:rFonts w:cs="Times New Roman"/>
          <w:color w:val="17365D"/>
          <w:szCs w:val="24"/>
        </w:rPr>
        <w:t>3</w:t>
      </w:r>
      <w:r w:rsidR="00954F0C" w:rsidRPr="00A27896">
        <w:rPr>
          <w:rFonts w:cs="Times New Roman"/>
          <w:color w:val="17365D"/>
          <w:szCs w:val="24"/>
        </w:rPr>
        <w:t>. gada 31. decembrī, kā arī sniedz salīdzinājumu ar 20</w:t>
      </w:r>
      <w:r w:rsidR="001C23FC" w:rsidRPr="00A27896">
        <w:rPr>
          <w:rFonts w:cs="Times New Roman"/>
          <w:color w:val="17365D"/>
          <w:szCs w:val="24"/>
        </w:rPr>
        <w:t>2</w:t>
      </w:r>
      <w:r w:rsidR="00245866">
        <w:rPr>
          <w:rFonts w:cs="Times New Roman"/>
          <w:color w:val="17365D"/>
          <w:szCs w:val="24"/>
        </w:rPr>
        <w:t>2</w:t>
      </w:r>
      <w:r w:rsidR="00954F0C" w:rsidRPr="00A27896">
        <w:rPr>
          <w:rFonts w:cs="Times New Roman"/>
          <w:color w:val="17365D"/>
          <w:szCs w:val="24"/>
        </w:rPr>
        <w:t xml:space="preserve">. gada 31. decembra datiem. </w:t>
      </w:r>
    </w:p>
    <w:p w14:paraId="161FD2EF" w14:textId="77777777"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Nemateriālie ieguldījumi, pamatlīdzekļi un ieguldījuma īpašumi uzrādīti atlikušajā vērtībā, no sākotnējās vērtības atskaitot nolietojumu (amortizāciju) un vērtības samazinājumu.</w:t>
      </w:r>
    </w:p>
    <w:p w14:paraId="5DEBD2CB" w14:textId="77777777"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Bioloģiskie aktīvi, kurus paredzēts izmantot lauksaimnieciskajā darbībā, uzrādīti patiesajā vai Meža valsts reģistrā norādītajā pilnajā vērtībā.</w:t>
      </w:r>
    </w:p>
    <w:p w14:paraId="3B02A9E3" w14:textId="18ED4DCE"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Ilgtermiņa un īstermiņa prasības, finanšu ieguldījumi, kas nav klasificēti kā finanšu instrumenti, samaksātie avansi un nākamo periodu izdevumi uzrādīti neto vērtībā no uzskaites vērtības atskaitot vērtības samazinājumu. </w:t>
      </w:r>
    </w:p>
    <w:p w14:paraId="703C31C5" w14:textId="5D2F0D88"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Prasību atlikumi pārskata gada beigās ir saskaņoti ar </w:t>
      </w:r>
      <w:r w:rsidR="00AB5EC5" w:rsidRPr="00A27896">
        <w:rPr>
          <w:rFonts w:cs="Times New Roman"/>
          <w:color w:val="17365D"/>
          <w:szCs w:val="24"/>
        </w:rPr>
        <w:t xml:space="preserve">darījumu partneriem </w:t>
      </w:r>
      <w:r w:rsidRPr="00A27896">
        <w:rPr>
          <w:rFonts w:cs="Times New Roman"/>
          <w:color w:val="17365D"/>
          <w:szCs w:val="24"/>
        </w:rPr>
        <w:t>atbilstoši aktam par savstarpējo norēķinu salīdzināšanu. Prasību apmērus pret valsts un pašvaldību budžeta iestādēm saskaņo elektroniski, ievērojot MK noteikumos Nr. </w:t>
      </w:r>
      <w:r w:rsidR="00245866">
        <w:rPr>
          <w:rFonts w:cs="Times New Roman"/>
          <w:color w:val="17365D"/>
          <w:szCs w:val="24"/>
        </w:rPr>
        <w:t>652</w:t>
      </w:r>
      <w:r w:rsidR="00245866" w:rsidRPr="00A27896">
        <w:rPr>
          <w:rFonts w:cs="Times New Roman"/>
          <w:color w:val="17365D"/>
          <w:szCs w:val="24"/>
        </w:rPr>
        <w:t xml:space="preserve"> </w:t>
      </w:r>
      <w:r w:rsidRPr="00A27896">
        <w:rPr>
          <w:rFonts w:cs="Times New Roman"/>
          <w:color w:val="17365D"/>
          <w:szCs w:val="24"/>
        </w:rPr>
        <w:t>noteikto. Prasības par ES fondu līdzekļiem saskaņotas izdevumu sertificēšanas procesā saskaņā ar šo jomu regulējošiem normatīvajiem aktiem.</w:t>
      </w:r>
      <w:r w:rsidR="00A06A08" w:rsidRPr="00A27896">
        <w:rPr>
          <w:rFonts w:cs="Times New Roman"/>
          <w:color w:val="17365D"/>
          <w:szCs w:val="24"/>
        </w:rPr>
        <w:t xml:space="preserve"> </w:t>
      </w:r>
      <w:r w:rsidR="00141376" w:rsidRPr="00A27896">
        <w:rPr>
          <w:rFonts w:cs="Times New Roman"/>
          <w:color w:val="17365D"/>
          <w:szCs w:val="24"/>
        </w:rPr>
        <w:t>VID</w:t>
      </w:r>
      <w:r w:rsidR="009F6897" w:rsidRPr="00A27896">
        <w:rPr>
          <w:rFonts w:cs="Times New Roman"/>
          <w:color w:val="17365D"/>
          <w:szCs w:val="24"/>
        </w:rPr>
        <w:t xml:space="preserve"> ar tā administrētajiem valsts budžeta ieņēmumiem saistīto prasījumu</w:t>
      </w:r>
      <w:r w:rsidR="00785427" w:rsidRPr="00A27896">
        <w:rPr>
          <w:rFonts w:cs="Times New Roman"/>
          <w:color w:val="17365D"/>
          <w:szCs w:val="24"/>
        </w:rPr>
        <w:t xml:space="preserve"> inventarizāciju</w:t>
      </w:r>
      <w:r w:rsidR="009F6897" w:rsidRPr="00A27896">
        <w:rPr>
          <w:rFonts w:cs="Times New Roman"/>
          <w:color w:val="17365D"/>
          <w:szCs w:val="24"/>
        </w:rPr>
        <w:t xml:space="preserve"> var veikt izlases kārtībā pēc būtiskuma principa, ievērojot Ministru kabineta 20</w:t>
      </w:r>
      <w:r w:rsidR="00CE6C9F" w:rsidRPr="00A27896">
        <w:rPr>
          <w:rFonts w:cs="Times New Roman"/>
          <w:color w:val="17365D"/>
          <w:szCs w:val="24"/>
        </w:rPr>
        <w:t>21</w:t>
      </w:r>
      <w:r w:rsidR="009F6897" w:rsidRPr="00A27896">
        <w:rPr>
          <w:rFonts w:cs="Times New Roman"/>
          <w:color w:val="17365D"/>
          <w:szCs w:val="24"/>
        </w:rPr>
        <w:t>. gada 21. </w:t>
      </w:r>
      <w:r w:rsidR="00CE6C9F" w:rsidRPr="00A27896">
        <w:rPr>
          <w:rFonts w:cs="Times New Roman"/>
          <w:color w:val="17365D"/>
          <w:szCs w:val="24"/>
        </w:rPr>
        <w:t>decembra</w:t>
      </w:r>
      <w:r w:rsidR="009F6897" w:rsidRPr="00A27896">
        <w:rPr>
          <w:rFonts w:cs="Times New Roman"/>
          <w:color w:val="17365D"/>
          <w:szCs w:val="24"/>
        </w:rPr>
        <w:t xml:space="preserve"> noteikumus Nr. </w:t>
      </w:r>
      <w:r w:rsidR="00CE6C9F" w:rsidRPr="00A27896">
        <w:rPr>
          <w:rFonts w:cs="Times New Roman"/>
          <w:color w:val="17365D"/>
          <w:szCs w:val="24"/>
        </w:rPr>
        <w:t>877</w:t>
      </w:r>
      <w:r w:rsidR="009F6897" w:rsidRPr="00A27896">
        <w:rPr>
          <w:rFonts w:cs="Times New Roman"/>
          <w:color w:val="17365D"/>
          <w:szCs w:val="24"/>
        </w:rPr>
        <w:t xml:space="preserve"> "</w:t>
      </w:r>
      <w:r w:rsidR="00CE6C9F" w:rsidRPr="00A27896">
        <w:rPr>
          <w:rFonts w:cs="Times New Roman"/>
          <w:color w:val="17365D"/>
          <w:szCs w:val="24"/>
        </w:rPr>
        <w:t>Grāmatvedības kārtošanas noteikumi</w:t>
      </w:r>
      <w:r w:rsidR="009F6897" w:rsidRPr="00A27896">
        <w:rPr>
          <w:rFonts w:cs="Times New Roman"/>
          <w:color w:val="17365D"/>
          <w:szCs w:val="24"/>
        </w:rPr>
        <w:t>".</w:t>
      </w:r>
    </w:p>
    <w:p w14:paraId="504E3745" w14:textId="7F621C5C"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Finanšu ieguldījumi (aktīvi), kas klasificēti kā finanšu instrumenti, norādīti šādā vērtībā:</w:t>
      </w:r>
      <w:r w:rsidR="00D50D19" w:rsidRPr="00A27896">
        <w:rPr>
          <w:color w:val="17365D"/>
          <w:sz w:val="24"/>
          <w:szCs w:val="24"/>
        </w:rPr>
        <w:t xml:space="preserve"> </w:t>
      </w:r>
    </w:p>
    <w:p w14:paraId="63AB30B3" w14:textId="77777777" w:rsidR="00954F0C" w:rsidRPr="00A27896" w:rsidRDefault="00954F0C" w:rsidP="004E5915">
      <w:pPr>
        <w:pStyle w:val="tv2131"/>
        <w:numPr>
          <w:ilvl w:val="0"/>
          <w:numId w:val="10"/>
        </w:numPr>
        <w:spacing w:after="120" w:line="240" w:lineRule="auto"/>
        <w:ind w:left="850" w:hanging="357"/>
        <w:jc w:val="both"/>
        <w:rPr>
          <w:color w:val="17365D"/>
          <w:sz w:val="24"/>
          <w:szCs w:val="24"/>
        </w:rPr>
      </w:pPr>
      <w:r w:rsidRPr="00A27896">
        <w:rPr>
          <w:color w:val="17365D"/>
          <w:sz w:val="24"/>
          <w:szCs w:val="24"/>
        </w:rPr>
        <w:t>aizdevumi un prasības, kā arī līdz termiņa beigām turētie ieguldījumi – neto vērtībā, no amortizētās vērtības atskaitot vērtības samazinājumu;</w:t>
      </w:r>
    </w:p>
    <w:p w14:paraId="39782CAD" w14:textId="370B3E54" w:rsidR="00954F0C" w:rsidRPr="00A27896" w:rsidRDefault="00954F0C" w:rsidP="004E5915">
      <w:pPr>
        <w:pStyle w:val="tv2131"/>
        <w:numPr>
          <w:ilvl w:val="0"/>
          <w:numId w:val="10"/>
        </w:numPr>
        <w:spacing w:after="120" w:line="240" w:lineRule="auto"/>
        <w:ind w:left="850" w:hanging="357"/>
        <w:jc w:val="both"/>
        <w:rPr>
          <w:color w:val="17365D"/>
          <w:sz w:val="24"/>
          <w:szCs w:val="24"/>
        </w:rPr>
      </w:pPr>
      <w:r w:rsidRPr="00A27896">
        <w:rPr>
          <w:color w:val="17365D"/>
          <w:sz w:val="24"/>
          <w:szCs w:val="24"/>
        </w:rPr>
        <w:t>patiesajā vērtībā novērtēti finanšu aktīvi – patiesajā vērtībā;</w:t>
      </w:r>
    </w:p>
    <w:p w14:paraId="6E4473D3" w14:textId="1481C4BB" w:rsidR="00226E9F" w:rsidRPr="00A27896" w:rsidRDefault="00226E9F" w:rsidP="004E5915">
      <w:pPr>
        <w:pStyle w:val="tv2131"/>
        <w:numPr>
          <w:ilvl w:val="0"/>
          <w:numId w:val="10"/>
        </w:numPr>
        <w:spacing w:after="120" w:line="240" w:lineRule="auto"/>
        <w:ind w:left="850" w:hanging="357"/>
        <w:jc w:val="both"/>
        <w:rPr>
          <w:rFonts w:eastAsiaTheme="minorHAnsi"/>
          <w:color w:val="17365D"/>
          <w:sz w:val="24"/>
          <w:szCs w:val="24"/>
          <w:lang w:eastAsia="en-US"/>
        </w:rPr>
      </w:pPr>
      <w:r w:rsidRPr="00A27896">
        <w:rPr>
          <w:rFonts w:eastAsiaTheme="minorHAnsi"/>
          <w:color w:val="17365D"/>
          <w:sz w:val="24"/>
          <w:szCs w:val="24"/>
          <w:lang w:eastAsia="en-US"/>
        </w:rPr>
        <w:t>finanšu aktīvi, kas noteikti kā riska ierobežošanas instrumenti – patiesajā vērtībā;</w:t>
      </w:r>
    </w:p>
    <w:p w14:paraId="5256C708" w14:textId="77777777" w:rsidR="00954F0C" w:rsidRPr="00A27896" w:rsidRDefault="00954F0C" w:rsidP="004E5915">
      <w:pPr>
        <w:pStyle w:val="tv2131"/>
        <w:numPr>
          <w:ilvl w:val="0"/>
          <w:numId w:val="10"/>
        </w:numPr>
        <w:spacing w:after="120" w:line="240" w:lineRule="auto"/>
        <w:ind w:left="850" w:hanging="357"/>
        <w:jc w:val="both"/>
        <w:rPr>
          <w:color w:val="17365D"/>
          <w:sz w:val="24"/>
          <w:szCs w:val="24"/>
        </w:rPr>
      </w:pPr>
      <w:r w:rsidRPr="00A27896">
        <w:rPr>
          <w:color w:val="17365D"/>
          <w:sz w:val="24"/>
          <w:szCs w:val="24"/>
        </w:rPr>
        <w:t>patiesajā vērtībā novērtēti pārdošanai pieejamie finanšu aktīvu – patiesajā vērtībā;</w:t>
      </w:r>
    </w:p>
    <w:p w14:paraId="661E641B" w14:textId="77777777" w:rsidR="00954F0C" w:rsidRPr="00A27896" w:rsidRDefault="00954F0C" w:rsidP="004E5915">
      <w:pPr>
        <w:pStyle w:val="tv2131"/>
        <w:numPr>
          <w:ilvl w:val="0"/>
          <w:numId w:val="10"/>
        </w:numPr>
        <w:spacing w:after="120" w:line="240" w:lineRule="auto"/>
        <w:ind w:left="850" w:hanging="357"/>
        <w:jc w:val="both"/>
        <w:rPr>
          <w:color w:val="17365D"/>
          <w:sz w:val="24"/>
          <w:szCs w:val="24"/>
        </w:rPr>
      </w:pPr>
      <w:r w:rsidRPr="00A27896">
        <w:rPr>
          <w:color w:val="17365D"/>
          <w:sz w:val="24"/>
          <w:szCs w:val="24"/>
        </w:rPr>
        <w:t>izmaksu vērtībā novērtēti pārdošanai pieejami finanšu instrumenti – neto vērtībā, no izmaksu vērtības atskaitot vērtības samazinājumu.</w:t>
      </w:r>
    </w:p>
    <w:p w14:paraId="36F356B8" w14:textId="4AF9A8DD" w:rsidR="00954F0C" w:rsidRPr="00A27896" w:rsidRDefault="00954F0C" w:rsidP="00954F0C">
      <w:pPr>
        <w:pStyle w:val="tv2133"/>
        <w:spacing w:after="120" w:line="240" w:lineRule="auto"/>
        <w:ind w:firstLine="284"/>
        <w:jc w:val="both"/>
        <w:rPr>
          <w:rFonts w:eastAsiaTheme="minorHAnsi"/>
          <w:color w:val="17365D"/>
          <w:sz w:val="24"/>
          <w:szCs w:val="24"/>
          <w:lang w:eastAsia="en-US"/>
        </w:rPr>
      </w:pPr>
      <w:r w:rsidRPr="00A27896">
        <w:rPr>
          <w:color w:val="17365D"/>
          <w:sz w:val="24"/>
          <w:szCs w:val="24"/>
        </w:rPr>
        <w:t>Krājumi, kuri paredzēti budžeta iestāžu funkciju veikšanai ilgāk par vienu gadu, norādīti atlikušajā vērtībā, no sākotnējās vērtības atskaitot vērtības samazinājumu. Pārējie krājumi norādīti iegādes izmaksu vērtībā vai pārskata perioda beigās noteiktā aizstāšanas izmaksu vai neto pārdošanas vērtībā, ja iegādes izmaksu vērtība ir augstāka.</w:t>
      </w:r>
      <w:r w:rsidRPr="00A27896">
        <w:rPr>
          <w:rFonts w:eastAsiaTheme="minorHAnsi"/>
          <w:color w:val="17365D"/>
          <w:sz w:val="24"/>
          <w:szCs w:val="24"/>
          <w:lang w:eastAsia="en-US"/>
        </w:rPr>
        <w:t xml:space="preserve"> </w:t>
      </w:r>
      <w:r w:rsidR="00A06A08" w:rsidRPr="00A27896">
        <w:rPr>
          <w:rFonts w:eastAsiaTheme="minorHAnsi"/>
          <w:color w:val="17365D"/>
          <w:sz w:val="24"/>
          <w:szCs w:val="24"/>
          <w:lang w:eastAsia="en-US"/>
        </w:rPr>
        <w:t>Valstij piekritīgā manta (nekustamais īpašums) norādīts kadastrālajā vērtībā, ja tā ir zināma.</w:t>
      </w:r>
    </w:p>
    <w:p w14:paraId="3052B4CD" w14:textId="530B94E4"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 xml:space="preserve">Naudas līdzekļu sastāvā </w:t>
      </w:r>
      <w:r w:rsidR="007F068B" w:rsidRPr="00A27896">
        <w:rPr>
          <w:color w:val="17365D"/>
          <w:sz w:val="24"/>
          <w:szCs w:val="24"/>
        </w:rPr>
        <w:t>uzrādīti</w:t>
      </w:r>
      <w:r w:rsidRPr="00A27896">
        <w:rPr>
          <w:color w:val="17365D"/>
          <w:sz w:val="24"/>
          <w:szCs w:val="24"/>
        </w:rPr>
        <w:t xml:space="preserve"> budžeta iestāžu naudas līdzekļi</w:t>
      </w:r>
      <w:r w:rsidR="00A5150E" w:rsidRPr="00A27896">
        <w:rPr>
          <w:color w:val="17365D"/>
          <w:sz w:val="24"/>
          <w:szCs w:val="24"/>
        </w:rPr>
        <w:t xml:space="preserve"> kredītiestādēs</w:t>
      </w:r>
      <w:r w:rsidRPr="00A27896">
        <w:rPr>
          <w:color w:val="17365D"/>
          <w:sz w:val="24"/>
          <w:szCs w:val="24"/>
        </w:rPr>
        <w:t>, kā arī Valsts kases kontu atlikumi Latvijas Bankā, kredītiestādēs un ārvalstu finanšu sabiedrībās.</w:t>
      </w:r>
    </w:p>
    <w:p w14:paraId="6FEEDBC9" w14:textId="77777777" w:rsidR="00954F0C" w:rsidRPr="00A27896" w:rsidRDefault="00954F0C" w:rsidP="007F068B">
      <w:pPr>
        <w:pStyle w:val="tv2133"/>
        <w:spacing w:after="120" w:line="240" w:lineRule="auto"/>
        <w:ind w:firstLine="284"/>
        <w:jc w:val="both"/>
        <w:rPr>
          <w:rFonts w:eastAsiaTheme="minorHAnsi"/>
          <w:color w:val="17365D"/>
          <w:sz w:val="24"/>
          <w:szCs w:val="24"/>
          <w:lang w:eastAsia="en-US"/>
        </w:rPr>
      </w:pPr>
      <w:r w:rsidRPr="00A27896">
        <w:rPr>
          <w:rFonts w:eastAsiaTheme="minorHAnsi"/>
          <w:color w:val="17365D"/>
          <w:sz w:val="24"/>
          <w:szCs w:val="24"/>
          <w:lang w:eastAsia="en-US"/>
        </w:rPr>
        <w:t>Budžeta iestādes, kurām ir norēķinu konti Valsts kasē, savos pārskatos uzrāda arī naudas līdzekļus norēķinu kontos Valsts kasē, kurus Valsts konsolidētajā grāmatvedības bilancē konsolidē.</w:t>
      </w:r>
    </w:p>
    <w:p w14:paraId="39729A84" w14:textId="77777777" w:rsidR="00954F0C" w:rsidRPr="00A27896" w:rsidRDefault="00954F0C" w:rsidP="00954F0C">
      <w:pPr>
        <w:pStyle w:val="tv2133"/>
        <w:spacing w:after="120" w:line="240" w:lineRule="auto"/>
        <w:ind w:firstLine="284"/>
        <w:jc w:val="both"/>
        <w:rPr>
          <w:rFonts w:eastAsiaTheme="minorHAnsi"/>
          <w:color w:val="17365D"/>
          <w:sz w:val="24"/>
          <w:szCs w:val="24"/>
          <w:lang w:eastAsia="en-US"/>
        </w:rPr>
      </w:pPr>
      <w:r w:rsidRPr="00A27896">
        <w:rPr>
          <w:rFonts w:eastAsiaTheme="minorHAnsi"/>
          <w:color w:val="17365D"/>
          <w:sz w:val="24"/>
          <w:szCs w:val="24"/>
          <w:lang w:eastAsia="en-US"/>
        </w:rPr>
        <w:t xml:space="preserve">Naudas līdzekļu atlikumi pārskata gada beigās saskaņoti. </w:t>
      </w:r>
    </w:p>
    <w:p w14:paraId="7C9E9463" w14:textId="2552751E"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Uzkrājumi konsolidētājā grāmatvedības bilancē uzrādīti pienākuma izpildei nepieciešamo resursu visticamākās aplēses pašreizējā vērtībā.</w:t>
      </w:r>
    </w:p>
    <w:p w14:paraId="6AAFA362" w14:textId="6763C5CE"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Saistības (izņemot finanšu instrumentus) konsolidētājā grāmatvedības bilancē norādītas amortizētajā vērtībā.</w:t>
      </w:r>
    </w:p>
    <w:p w14:paraId="6F1BC588" w14:textId="42FCBD39"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lastRenderedPageBreak/>
        <w:t>Finanšu saistības, kas klasificētas kā finanšu instrumenti, norādītas šādā vērtībā:</w:t>
      </w:r>
      <w:r w:rsidR="00D50D19" w:rsidRPr="00A27896">
        <w:rPr>
          <w:color w:val="17365D"/>
          <w:sz w:val="24"/>
          <w:szCs w:val="24"/>
        </w:rPr>
        <w:t xml:space="preserve"> </w:t>
      </w:r>
    </w:p>
    <w:p w14:paraId="53C876D2" w14:textId="0F067DF1" w:rsidR="00D70E8B" w:rsidRPr="00A27896" w:rsidRDefault="00954F0C" w:rsidP="004E5915">
      <w:pPr>
        <w:pStyle w:val="tv2131"/>
        <w:numPr>
          <w:ilvl w:val="0"/>
          <w:numId w:val="10"/>
        </w:numPr>
        <w:spacing w:after="120" w:line="240" w:lineRule="auto"/>
        <w:ind w:left="850" w:hanging="357"/>
        <w:jc w:val="both"/>
        <w:rPr>
          <w:color w:val="17365D"/>
          <w:sz w:val="24"/>
          <w:szCs w:val="24"/>
        </w:rPr>
      </w:pPr>
      <w:r w:rsidRPr="00A27896">
        <w:rPr>
          <w:color w:val="17365D"/>
          <w:sz w:val="24"/>
          <w:szCs w:val="24"/>
        </w:rPr>
        <w:t>patiesajā vērtībā novērtētas finanšu saistības, izņemot finanšu garantiju līgumus – patiesajā vērtībā;</w:t>
      </w:r>
    </w:p>
    <w:p w14:paraId="14471FE7" w14:textId="6B34B008" w:rsidR="00C05ED3" w:rsidRPr="00A27896" w:rsidRDefault="00C05ED3" w:rsidP="004E5915">
      <w:pPr>
        <w:pStyle w:val="tv2131"/>
        <w:numPr>
          <w:ilvl w:val="0"/>
          <w:numId w:val="10"/>
        </w:numPr>
        <w:spacing w:after="120" w:line="240" w:lineRule="auto"/>
        <w:ind w:left="850" w:hanging="357"/>
        <w:jc w:val="both"/>
        <w:rPr>
          <w:rFonts w:eastAsiaTheme="minorHAnsi"/>
          <w:color w:val="17365D"/>
          <w:sz w:val="24"/>
          <w:szCs w:val="24"/>
          <w:lang w:eastAsia="en-US"/>
        </w:rPr>
      </w:pPr>
      <w:r w:rsidRPr="00A27896">
        <w:rPr>
          <w:rFonts w:eastAsiaTheme="minorHAnsi"/>
          <w:color w:val="17365D"/>
          <w:sz w:val="24"/>
          <w:szCs w:val="24"/>
          <w:lang w:eastAsia="en-US"/>
        </w:rPr>
        <w:t>finanšu saistības, kas noteiktas kā riska ierobežošanas instrumenti – patiesajā vērtībā;</w:t>
      </w:r>
    </w:p>
    <w:p w14:paraId="23B53350" w14:textId="0112ED6A" w:rsidR="00954F0C" w:rsidRPr="00A27896" w:rsidRDefault="00954F0C" w:rsidP="004E5915">
      <w:pPr>
        <w:pStyle w:val="tv2131"/>
        <w:numPr>
          <w:ilvl w:val="0"/>
          <w:numId w:val="10"/>
        </w:numPr>
        <w:spacing w:after="120" w:line="240" w:lineRule="auto"/>
        <w:ind w:left="850" w:hanging="357"/>
        <w:jc w:val="both"/>
        <w:rPr>
          <w:color w:val="17365D"/>
          <w:sz w:val="24"/>
          <w:szCs w:val="24"/>
        </w:rPr>
      </w:pPr>
      <w:r w:rsidRPr="00A27896">
        <w:rPr>
          <w:color w:val="17365D"/>
          <w:sz w:val="24"/>
          <w:szCs w:val="24"/>
        </w:rPr>
        <w:t xml:space="preserve">pārējās finanšu saistības – amortizētajā vērtībā; </w:t>
      </w:r>
    </w:p>
    <w:p w14:paraId="797E5355" w14:textId="69BE05AB" w:rsidR="00954F0C" w:rsidRPr="00A27896" w:rsidRDefault="00954F0C" w:rsidP="004E5915">
      <w:pPr>
        <w:pStyle w:val="tv2131"/>
        <w:numPr>
          <w:ilvl w:val="0"/>
          <w:numId w:val="10"/>
        </w:numPr>
        <w:spacing w:after="120" w:line="240" w:lineRule="auto"/>
        <w:ind w:left="850" w:hanging="357"/>
        <w:jc w:val="both"/>
        <w:rPr>
          <w:color w:val="17365D"/>
          <w:sz w:val="24"/>
          <w:szCs w:val="24"/>
        </w:rPr>
      </w:pPr>
      <w:r w:rsidRPr="00A27896">
        <w:rPr>
          <w:color w:val="17365D"/>
          <w:sz w:val="24"/>
          <w:szCs w:val="24"/>
        </w:rPr>
        <w:t>finanšu garantiju līgumi – visticamākās aplēses pašreizējā vērtībā.</w:t>
      </w:r>
    </w:p>
    <w:p w14:paraId="7E4FEAD2" w14:textId="1F0601F5" w:rsidR="00954F0C" w:rsidRPr="00A27896" w:rsidRDefault="00954F0C" w:rsidP="00954F0C">
      <w:pPr>
        <w:pStyle w:val="tv2133"/>
        <w:spacing w:after="120" w:line="240" w:lineRule="auto"/>
        <w:ind w:firstLine="284"/>
        <w:jc w:val="both"/>
        <w:rPr>
          <w:color w:val="17365D"/>
          <w:sz w:val="24"/>
          <w:szCs w:val="24"/>
        </w:rPr>
      </w:pPr>
      <w:r w:rsidRPr="00A27896">
        <w:rPr>
          <w:color w:val="17365D"/>
          <w:sz w:val="24"/>
          <w:szCs w:val="24"/>
        </w:rPr>
        <w:t xml:space="preserve">Saistību atlikumi gada beigās saskaņoti ar </w:t>
      </w:r>
      <w:r w:rsidR="00AB5EC5" w:rsidRPr="00A27896">
        <w:rPr>
          <w:color w:val="17365D"/>
          <w:sz w:val="24"/>
          <w:szCs w:val="24"/>
        </w:rPr>
        <w:t xml:space="preserve">darījuma partneriem </w:t>
      </w:r>
      <w:r w:rsidRPr="00A27896">
        <w:rPr>
          <w:color w:val="17365D"/>
          <w:sz w:val="24"/>
          <w:szCs w:val="24"/>
        </w:rPr>
        <w:t xml:space="preserve">atbilstoši savstarpējo norēķinu salīdzināšanas aktiem. Saistību atlikumi pret valsts un pašvaldību budžeta iestādēm, no valsts budžeta daļēji finansētām atvasinātām publiskām personām, budžeta nefinansētām iestādēm saskaņoti elektroniski </w:t>
      </w:r>
      <w:r w:rsidR="00AB5EC5" w:rsidRPr="00A27896">
        <w:rPr>
          <w:color w:val="17365D"/>
          <w:sz w:val="24"/>
          <w:szCs w:val="24"/>
        </w:rPr>
        <w:t>ePārskatos</w:t>
      </w:r>
      <w:r w:rsidRPr="00A27896">
        <w:rPr>
          <w:color w:val="17365D"/>
          <w:sz w:val="24"/>
          <w:szCs w:val="24"/>
        </w:rPr>
        <w:t xml:space="preserve"> atbilstoši MK noteikumos Nr.</w:t>
      </w:r>
      <w:r w:rsidR="003B558A" w:rsidRPr="00A27896">
        <w:rPr>
          <w:color w:val="17365D"/>
          <w:sz w:val="24"/>
          <w:szCs w:val="24"/>
        </w:rPr>
        <w:t> </w:t>
      </w:r>
      <w:r w:rsidR="00245866">
        <w:rPr>
          <w:color w:val="17365D"/>
          <w:sz w:val="24"/>
          <w:szCs w:val="24"/>
        </w:rPr>
        <w:t>652</w:t>
      </w:r>
      <w:r w:rsidR="00245866" w:rsidRPr="00A27896">
        <w:rPr>
          <w:color w:val="17365D"/>
          <w:sz w:val="24"/>
          <w:szCs w:val="24"/>
        </w:rPr>
        <w:t xml:space="preserve"> </w:t>
      </w:r>
      <w:r w:rsidRPr="00A27896">
        <w:rPr>
          <w:color w:val="17365D"/>
          <w:sz w:val="24"/>
          <w:szCs w:val="24"/>
        </w:rPr>
        <w:t>noteiktajam.</w:t>
      </w:r>
      <w:r w:rsidRPr="00A27896">
        <w:rPr>
          <w:rFonts w:eastAsiaTheme="minorHAnsi"/>
          <w:color w:val="17365D"/>
          <w:sz w:val="24"/>
          <w:szCs w:val="24"/>
          <w:lang w:eastAsia="en-US"/>
        </w:rPr>
        <w:t xml:space="preserve"> </w:t>
      </w:r>
      <w:r w:rsidR="00141376" w:rsidRPr="00A27896">
        <w:rPr>
          <w:rFonts w:eastAsiaTheme="minorHAnsi"/>
          <w:color w:val="17365D"/>
          <w:sz w:val="24"/>
          <w:szCs w:val="24"/>
          <w:lang w:eastAsia="en-US"/>
        </w:rPr>
        <w:t>VID</w:t>
      </w:r>
      <w:r w:rsidR="009F6897" w:rsidRPr="00A27896">
        <w:rPr>
          <w:rFonts w:eastAsiaTheme="minorHAnsi"/>
          <w:color w:val="17365D"/>
          <w:sz w:val="24"/>
          <w:szCs w:val="24"/>
          <w:lang w:eastAsia="en-US"/>
        </w:rPr>
        <w:t xml:space="preserve"> </w:t>
      </w:r>
      <w:r w:rsidR="00785427" w:rsidRPr="00A27896">
        <w:rPr>
          <w:rFonts w:eastAsiaTheme="minorHAnsi"/>
          <w:color w:val="17365D"/>
          <w:sz w:val="24"/>
          <w:szCs w:val="24"/>
          <w:lang w:eastAsia="en-US"/>
        </w:rPr>
        <w:t xml:space="preserve">inventarizāciju </w:t>
      </w:r>
      <w:r w:rsidR="009042E6" w:rsidRPr="00A27896">
        <w:rPr>
          <w:rFonts w:eastAsiaTheme="minorHAnsi"/>
          <w:color w:val="17365D"/>
          <w:sz w:val="24"/>
          <w:szCs w:val="24"/>
          <w:lang w:eastAsia="en-US"/>
        </w:rPr>
        <w:t>p</w:t>
      </w:r>
      <w:r w:rsidR="009F6897" w:rsidRPr="00A27896">
        <w:rPr>
          <w:rFonts w:eastAsiaTheme="minorHAnsi"/>
          <w:color w:val="17365D"/>
          <w:sz w:val="24"/>
          <w:szCs w:val="24"/>
          <w:lang w:eastAsia="en-US"/>
        </w:rPr>
        <w:t xml:space="preserve">ar </w:t>
      </w:r>
      <w:r w:rsidR="00785427" w:rsidRPr="00A27896">
        <w:rPr>
          <w:rFonts w:eastAsiaTheme="minorHAnsi"/>
          <w:color w:val="17365D"/>
          <w:sz w:val="24"/>
          <w:szCs w:val="24"/>
          <w:lang w:eastAsia="en-US"/>
        </w:rPr>
        <w:t xml:space="preserve">saistībām, kas izriet no </w:t>
      </w:r>
      <w:r w:rsidR="009F6897" w:rsidRPr="00A27896">
        <w:rPr>
          <w:rFonts w:eastAsiaTheme="minorHAnsi"/>
          <w:color w:val="17365D"/>
          <w:sz w:val="24"/>
          <w:szCs w:val="24"/>
          <w:lang w:eastAsia="en-US"/>
        </w:rPr>
        <w:t>tā administrētajiem valsts budžeta ieņēmumiem</w:t>
      </w:r>
      <w:r w:rsidR="00785427" w:rsidRPr="00A27896">
        <w:rPr>
          <w:rFonts w:eastAsiaTheme="minorHAnsi"/>
          <w:color w:val="17365D"/>
          <w:sz w:val="24"/>
          <w:szCs w:val="24"/>
          <w:lang w:eastAsia="en-US"/>
        </w:rPr>
        <w:t>,</w:t>
      </w:r>
      <w:r w:rsidR="009F6897" w:rsidRPr="00A27896">
        <w:rPr>
          <w:rFonts w:eastAsiaTheme="minorHAnsi"/>
          <w:color w:val="17365D"/>
          <w:sz w:val="24"/>
          <w:szCs w:val="24"/>
          <w:lang w:eastAsia="en-US"/>
        </w:rPr>
        <w:t xml:space="preserve"> var veikt izlases kārtībā pēc būtiskuma principa, ievērojot Ministru kabineta 20</w:t>
      </w:r>
      <w:r w:rsidR="00E61B3D" w:rsidRPr="00A27896">
        <w:rPr>
          <w:rFonts w:eastAsiaTheme="minorHAnsi"/>
          <w:color w:val="17365D"/>
          <w:sz w:val="24"/>
          <w:szCs w:val="24"/>
          <w:lang w:eastAsia="en-US"/>
        </w:rPr>
        <w:t>21</w:t>
      </w:r>
      <w:r w:rsidR="009F6897" w:rsidRPr="00A27896">
        <w:rPr>
          <w:rFonts w:eastAsiaTheme="minorHAnsi"/>
          <w:color w:val="17365D"/>
          <w:sz w:val="24"/>
          <w:szCs w:val="24"/>
          <w:lang w:eastAsia="en-US"/>
        </w:rPr>
        <w:t xml:space="preserve">. gada </w:t>
      </w:r>
      <w:r w:rsidR="007B7C14" w:rsidRPr="00A27896">
        <w:rPr>
          <w:rFonts w:eastAsiaTheme="minorHAnsi"/>
          <w:color w:val="17365D"/>
          <w:sz w:val="24"/>
          <w:szCs w:val="24"/>
          <w:lang w:eastAsia="en-US"/>
        </w:rPr>
        <w:t>21. </w:t>
      </w:r>
      <w:r w:rsidR="00E61B3D" w:rsidRPr="00A27896">
        <w:rPr>
          <w:rFonts w:eastAsiaTheme="minorHAnsi"/>
          <w:color w:val="17365D"/>
          <w:sz w:val="24"/>
          <w:szCs w:val="24"/>
          <w:lang w:eastAsia="en-US"/>
        </w:rPr>
        <w:t>decembra</w:t>
      </w:r>
      <w:r w:rsidR="007B7C14" w:rsidRPr="00A27896">
        <w:rPr>
          <w:rFonts w:eastAsiaTheme="minorHAnsi"/>
          <w:color w:val="17365D"/>
          <w:sz w:val="24"/>
          <w:szCs w:val="24"/>
          <w:lang w:eastAsia="en-US"/>
        </w:rPr>
        <w:t xml:space="preserve"> noteikumus Nr. </w:t>
      </w:r>
      <w:r w:rsidR="00E61B3D" w:rsidRPr="00A27896">
        <w:rPr>
          <w:rFonts w:eastAsiaTheme="minorHAnsi"/>
          <w:color w:val="17365D"/>
          <w:sz w:val="24"/>
          <w:szCs w:val="24"/>
          <w:lang w:eastAsia="en-US"/>
        </w:rPr>
        <w:t>877</w:t>
      </w:r>
      <w:r w:rsidR="007B7C14" w:rsidRPr="00A27896">
        <w:rPr>
          <w:rFonts w:eastAsiaTheme="minorHAnsi"/>
          <w:color w:val="17365D"/>
          <w:sz w:val="24"/>
          <w:szCs w:val="24"/>
          <w:lang w:eastAsia="en-US"/>
        </w:rPr>
        <w:t xml:space="preserve"> “</w:t>
      </w:r>
      <w:r w:rsidR="00E61B3D" w:rsidRPr="00A27896">
        <w:rPr>
          <w:color w:val="17365D"/>
          <w:sz w:val="24"/>
          <w:szCs w:val="24"/>
        </w:rPr>
        <w:t>Grāmatvedības kārtošanas noteikumi</w:t>
      </w:r>
      <w:r w:rsidR="007B7C14" w:rsidRPr="00A27896">
        <w:rPr>
          <w:rFonts w:eastAsiaTheme="minorHAnsi"/>
          <w:color w:val="17365D"/>
          <w:sz w:val="24"/>
          <w:szCs w:val="24"/>
          <w:lang w:eastAsia="en-US"/>
        </w:rPr>
        <w:t>”</w:t>
      </w:r>
      <w:r w:rsidR="009F6897" w:rsidRPr="00A27896">
        <w:rPr>
          <w:rFonts w:eastAsiaTheme="minorHAnsi"/>
          <w:color w:val="17365D"/>
          <w:sz w:val="24"/>
          <w:szCs w:val="24"/>
          <w:lang w:eastAsia="en-US"/>
        </w:rPr>
        <w:t>.</w:t>
      </w:r>
    </w:p>
    <w:p w14:paraId="5AF07FBC" w14:textId="77777777" w:rsidR="00954F0C" w:rsidRPr="00A27896" w:rsidRDefault="00954F0C" w:rsidP="00FD10CC">
      <w:pPr>
        <w:pStyle w:val="Heading3"/>
      </w:pPr>
      <w:r w:rsidRPr="00A27896">
        <w:t>Konsolidētais pārskats par darbības finansiālajiem rezultātiem</w:t>
      </w:r>
    </w:p>
    <w:p w14:paraId="57613C77" w14:textId="5D987074" w:rsidR="00954F0C" w:rsidRPr="00A27896" w:rsidRDefault="00954F0C" w:rsidP="00954F0C">
      <w:pPr>
        <w:pStyle w:val="Pamatteksts1"/>
        <w:ind w:firstLine="284"/>
        <w:rPr>
          <w:rFonts w:eastAsia="Calibri"/>
          <w:color w:val="17365D"/>
        </w:rPr>
      </w:pPr>
      <w:r w:rsidRPr="00A27896">
        <w:rPr>
          <w:rFonts w:eastAsia="Calibri"/>
          <w:noProof w:val="0"/>
          <w:color w:val="17365D"/>
        </w:rPr>
        <w:t>Konsolidētajā pārskatā par darbības finansiālajiem rezultātiem uzrādīta finanšu informācija par ministriju, centrālo valsts iestāžu, pašvaldību</w:t>
      </w:r>
      <w:r w:rsidR="00273ECF" w:rsidRPr="00A27896">
        <w:rPr>
          <w:rFonts w:eastAsia="Calibri"/>
          <w:noProof w:val="0"/>
          <w:color w:val="17365D"/>
        </w:rPr>
        <w:t>,</w:t>
      </w:r>
      <w:r w:rsidRPr="00A27896">
        <w:rPr>
          <w:rFonts w:eastAsia="Calibri"/>
          <w:noProof w:val="0"/>
          <w:color w:val="17365D"/>
        </w:rPr>
        <w:t xml:space="preserve"> valsts budžeta finanšu uzskaites </w:t>
      </w:r>
      <w:r w:rsidR="00273ECF" w:rsidRPr="00A27896">
        <w:rPr>
          <w:rFonts w:eastAsia="Calibri"/>
          <w:noProof w:val="0"/>
          <w:color w:val="17365D"/>
        </w:rPr>
        <w:t xml:space="preserve">un </w:t>
      </w:r>
      <w:r w:rsidR="00785427" w:rsidRPr="00A27896">
        <w:rPr>
          <w:rFonts w:eastAsia="Calibri"/>
          <w:noProof w:val="0"/>
          <w:color w:val="17365D"/>
        </w:rPr>
        <w:t>VID</w:t>
      </w:r>
      <w:r w:rsidR="00273ECF" w:rsidRPr="00A27896">
        <w:rPr>
          <w:rFonts w:eastAsia="Calibri"/>
          <w:noProof w:val="0"/>
          <w:color w:val="17365D"/>
        </w:rPr>
        <w:t xml:space="preserve"> administrētiem valsts budžeta </w:t>
      </w:r>
      <w:r w:rsidRPr="00A27896">
        <w:rPr>
          <w:rFonts w:eastAsia="Calibri"/>
          <w:noProof w:val="0"/>
          <w:color w:val="17365D"/>
        </w:rPr>
        <w:t xml:space="preserve">ieņēmumiem un izdevumiem </w:t>
      </w:r>
      <w:r w:rsidR="00980EC2" w:rsidRPr="00A27896">
        <w:rPr>
          <w:rFonts w:eastAsia="Calibri"/>
          <w:noProof w:val="0"/>
          <w:color w:val="17365D"/>
        </w:rPr>
        <w:t>202</w:t>
      </w:r>
      <w:r w:rsidR="00245866">
        <w:rPr>
          <w:rFonts w:eastAsia="Calibri"/>
          <w:noProof w:val="0"/>
          <w:color w:val="17365D"/>
        </w:rPr>
        <w:t>3</w:t>
      </w:r>
      <w:r w:rsidRPr="00A27896">
        <w:rPr>
          <w:rFonts w:eastAsia="Calibri"/>
          <w:noProof w:val="0"/>
          <w:color w:val="17365D"/>
        </w:rPr>
        <w:t>. gadā,</w:t>
      </w:r>
      <w:r w:rsidRPr="00A27896">
        <w:rPr>
          <w:color w:val="17365D"/>
        </w:rPr>
        <w:t xml:space="preserve"> kā arī salīdzinošā informācija par </w:t>
      </w:r>
      <w:r w:rsidR="00980EC2" w:rsidRPr="00A27896">
        <w:rPr>
          <w:color w:val="17365D"/>
        </w:rPr>
        <w:t>20</w:t>
      </w:r>
      <w:r w:rsidR="001C23FC" w:rsidRPr="00A27896">
        <w:rPr>
          <w:color w:val="17365D"/>
        </w:rPr>
        <w:t>2</w:t>
      </w:r>
      <w:r w:rsidR="00245866">
        <w:rPr>
          <w:color w:val="17365D"/>
        </w:rPr>
        <w:t>2</w:t>
      </w:r>
      <w:r w:rsidRPr="00A27896">
        <w:rPr>
          <w:color w:val="17365D"/>
        </w:rPr>
        <w:t>. gadu.</w:t>
      </w:r>
      <w:r w:rsidR="00ED32DB" w:rsidRPr="00A27896">
        <w:rPr>
          <w:rStyle w:val="CommentReference"/>
          <w:rFonts w:eastAsiaTheme="minorHAnsi"/>
          <w:noProof w:val="0"/>
          <w:color w:val="17365D"/>
          <w:lang w:eastAsia="en-US"/>
        </w:rPr>
        <w:t xml:space="preserve"> </w:t>
      </w:r>
    </w:p>
    <w:p w14:paraId="48599405" w14:textId="00013C40" w:rsidR="00954F0C" w:rsidRPr="00A27896" w:rsidRDefault="00954F0C" w:rsidP="00954F0C">
      <w:pPr>
        <w:pStyle w:val="Pamatteksts1"/>
        <w:ind w:firstLine="284"/>
        <w:rPr>
          <w:rFonts w:eastAsia="Calibri"/>
          <w:noProof w:val="0"/>
          <w:color w:val="17365D"/>
        </w:rPr>
      </w:pPr>
      <w:r w:rsidRPr="00A27896">
        <w:rPr>
          <w:rFonts w:eastAsia="Calibri"/>
          <w:noProof w:val="0"/>
          <w:color w:val="17365D"/>
        </w:rPr>
        <w:t>Konsolidētajā pārskatā</w:t>
      </w:r>
      <w:r w:rsidRPr="00A27896">
        <w:rPr>
          <w:rFonts w:eastAsia="Calibri"/>
          <w:noProof w:val="0"/>
          <w:color w:val="17365D"/>
          <w:szCs w:val="22"/>
          <w:lang w:eastAsia="en-US"/>
        </w:rPr>
        <w:t xml:space="preserve"> </w:t>
      </w:r>
      <w:r w:rsidRPr="00A27896">
        <w:rPr>
          <w:rFonts w:eastAsia="Calibri"/>
          <w:noProof w:val="0"/>
          <w:color w:val="17365D"/>
        </w:rPr>
        <w:t>par darbības finansiālajiem rezultātiem iepriekšējo pārskata periodu kļūdu labojumi iekļauti pārskata gada ieņēmumu un izdevumu sastāvā, izņemot būtisku kļūdu labojumus, kas uzrādīti</w:t>
      </w:r>
      <w:r w:rsidR="00F048F2" w:rsidRPr="00A27896">
        <w:rPr>
          <w:rFonts w:eastAsia="Calibri"/>
          <w:noProof w:val="0"/>
          <w:color w:val="17365D"/>
        </w:rPr>
        <w:t>, koriģējot</w:t>
      </w:r>
      <w:r w:rsidRPr="00A27896">
        <w:rPr>
          <w:rFonts w:eastAsia="Calibri"/>
          <w:noProof w:val="0"/>
          <w:color w:val="17365D"/>
        </w:rPr>
        <w:t xml:space="preserve"> </w:t>
      </w:r>
      <w:r w:rsidR="00F048F2" w:rsidRPr="00A27896">
        <w:rPr>
          <w:rFonts w:eastAsia="Calibri"/>
          <w:noProof w:val="0"/>
          <w:color w:val="17365D"/>
        </w:rPr>
        <w:t xml:space="preserve">salīdzināmo informāciju tādā </w:t>
      </w:r>
      <w:r w:rsidR="00D31685" w:rsidRPr="00A27896">
        <w:rPr>
          <w:rFonts w:eastAsia="Calibri"/>
          <w:noProof w:val="0"/>
          <w:color w:val="17365D"/>
        </w:rPr>
        <w:t>vērtībā</w:t>
      </w:r>
      <w:r w:rsidR="00F048F2" w:rsidRPr="00A27896">
        <w:rPr>
          <w:rFonts w:eastAsia="Calibri"/>
          <w:noProof w:val="0"/>
          <w:color w:val="17365D"/>
        </w:rPr>
        <w:t>, kād</w:t>
      </w:r>
      <w:r w:rsidR="00D31685" w:rsidRPr="00A27896">
        <w:rPr>
          <w:rFonts w:eastAsia="Calibri"/>
          <w:noProof w:val="0"/>
          <w:color w:val="17365D"/>
        </w:rPr>
        <w:t>a</w:t>
      </w:r>
      <w:r w:rsidR="00F048F2" w:rsidRPr="00A27896">
        <w:rPr>
          <w:rFonts w:eastAsia="Calibri"/>
          <w:noProof w:val="0"/>
          <w:color w:val="17365D"/>
        </w:rPr>
        <w:t xml:space="preserve"> attiecas uz </w:t>
      </w:r>
      <w:r w:rsidR="00D31685" w:rsidRPr="00A27896">
        <w:rPr>
          <w:rFonts w:eastAsia="Calibri"/>
          <w:noProof w:val="0"/>
          <w:color w:val="17365D"/>
        </w:rPr>
        <w:t>iepriekšējo pārskata</w:t>
      </w:r>
      <w:r w:rsidR="00F048F2" w:rsidRPr="00A27896">
        <w:rPr>
          <w:rFonts w:eastAsia="Calibri"/>
          <w:noProof w:val="0"/>
          <w:color w:val="17365D"/>
        </w:rPr>
        <w:t xml:space="preserve"> periodu</w:t>
      </w:r>
      <w:r w:rsidRPr="00A27896">
        <w:rPr>
          <w:rFonts w:eastAsia="Calibri"/>
          <w:noProof w:val="0"/>
          <w:color w:val="17365D"/>
        </w:rPr>
        <w:t>. Iepriekšējā pārskata perioda darījumi uzrādīti atbilstoši pārskata gadam noteiktai pārskata struktūrai.</w:t>
      </w:r>
    </w:p>
    <w:p w14:paraId="2F906826" w14:textId="77777777" w:rsidR="00954F0C" w:rsidRPr="00A27896" w:rsidRDefault="00954F0C" w:rsidP="00954F0C">
      <w:pPr>
        <w:pStyle w:val="Pamatteksts1"/>
        <w:ind w:firstLine="284"/>
        <w:rPr>
          <w:rFonts w:eastAsia="Calibri"/>
          <w:noProof w:val="0"/>
          <w:color w:val="17365D"/>
        </w:rPr>
      </w:pPr>
      <w:r w:rsidRPr="00A27896">
        <w:rPr>
          <w:rFonts w:eastAsia="Calibri"/>
          <w:noProof w:val="0"/>
          <w:color w:val="17365D"/>
        </w:rPr>
        <w:t>Ieņēmumus un izdevumus konsolidētajā pārskatā par darbības finansiālajiem rezultātiem uzrāda pa ieņēmumu un izdevumu grupām, izņemot ieņēmumus un izdevumus, kurus norāda atsevišķā pozīcijā, savstarpēji izslēdzot, un kas radušies sakarā ar:</w:t>
      </w:r>
    </w:p>
    <w:p w14:paraId="51F83599"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finanšu instrumentu patiesās vērtības izmaiņām, ārvalstu valūtas kursa svārstībām, atsavināšanu un izslēgšanu no uzskaites, kā arī sakarā ar pārdošanai pieejamu finanšu instrumentu pārklasifikāciju uz citu finanšu instrumentu kategoriju. Ieņēmumus vai izdevumus no finanšu instrumentiem konsolidētajā pārskatā par darbības finansiālajiem rezultātiem uzrāda neto vērtībā;</w:t>
      </w:r>
    </w:p>
    <w:p w14:paraId="3A2D0679" w14:textId="4F9C1DD8"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nefinanšu aktīvu atsavināšanu. Konsolidētajā pārskatā par darbības finansiālajiem</w:t>
      </w:r>
      <w:r w:rsidR="00D50D19" w:rsidRPr="00A27896">
        <w:rPr>
          <w:color w:val="17365D"/>
          <w:sz w:val="24"/>
          <w:szCs w:val="24"/>
        </w:rPr>
        <w:t xml:space="preserve"> </w:t>
      </w:r>
      <w:r w:rsidRPr="00A27896">
        <w:rPr>
          <w:color w:val="17365D"/>
          <w:sz w:val="24"/>
          <w:szCs w:val="24"/>
        </w:rPr>
        <w:t xml:space="preserve">rezultātiem uzrāda neto vērtību – ieņēmumus (+) vai zaudējumus (–) no ilgtermiņa ieguldījumu objektu atsavināšanas, kuru aprēķina kā starpību starp izslēgtā objekta uzskaites vērtību un tā atsavināšanas ieņēmumiem un izdevumiem. </w:t>
      </w:r>
    </w:p>
    <w:p w14:paraId="6C5E2C44" w14:textId="77777777" w:rsidR="00954F0C" w:rsidRPr="00A27896" w:rsidRDefault="00954F0C" w:rsidP="00FD10CC">
      <w:pPr>
        <w:pStyle w:val="Heading3"/>
      </w:pPr>
      <w:r w:rsidRPr="00A27896">
        <w:t>Konsolidētais pašu kapitāla izmaiņu pārskats</w:t>
      </w:r>
    </w:p>
    <w:p w14:paraId="73D52483" w14:textId="77777777" w:rsidR="00954F0C" w:rsidRPr="00A27896" w:rsidRDefault="00954F0C" w:rsidP="00686079">
      <w:pPr>
        <w:pStyle w:val="Pamatteksts1"/>
        <w:ind w:firstLine="284"/>
        <w:rPr>
          <w:rFonts w:eastAsia="Calibri"/>
          <w:noProof w:val="0"/>
          <w:color w:val="17365D"/>
        </w:rPr>
      </w:pPr>
      <w:r w:rsidRPr="00A27896">
        <w:rPr>
          <w:rFonts w:eastAsia="Calibri"/>
          <w:noProof w:val="0"/>
          <w:color w:val="17365D"/>
        </w:rPr>
        <w:t>Konsolidētajā pašu kapitāla izmaiņu pārskatā uzrāda neto aktīvu pieaugumu vai samazinājumu pārskata periodā un iepriekšējā pārskata periodā. Neto aktīvi ir starpība starp budžeta iestādes kopējiem aktīviem un kopējām saistībām un uzkrājumiem. Pašu kapitāls var būt gan pozitīvs, gan negatīvs.</w:t>
      </w:r>
    </w:p>
    <w:p w14:paraId="52E6A083" w14:textId="497BDEFA" w:rsidR="00954F0C" w:rsidRDefault="00954F0C" w:rsidP="00686079">
      <w:pPr>
        <w:pStyle w:val="Pamatteksts1"/>
        <w:ind w:firstLine="284"/>
        <w:rPr>
          <w:rFonts w:eastAsia="Calibri"/>
          <w:noProof w:val="0"/>
          <w:color w:val="17365D"/>
        </w:rPr>
      </w:pPr>
      <w:r w:rsidRPr="00A27896">
        <w:rPr>
          <w:rFonts w:eastAsia="Calibri"/>
          <w:noProof w:val="0"/>
          <w:color w:val="17365D"/>
        </w:rPr>
        <w:t>Pārskata periodā veiktie būtisku iepriekšējo pārskata periodu kļūdu labojumi uzrādīti</w:t>
      </w:r>
      <w:r w:rsidR="004B6226" w:rsidRPr="00A27896">
        <w:rPr>
          <w:rFonts w:eastAsia="Calibri"/>
          <w:noProof w:val="0"/>
          <w:color w:val="17365D"/>
        </w:rPr>
        <w:t xml:space="preserve">, koriģējot salīdzināmo informāciju </w:t>
      </w:r>
      <w:r w:rsidRPr="00A27896">
        <w:rPr>
          <w:rFonts w:eastAsia="Calibri"/>
          <w:noProof w:val="0"/>
          <w:color w:val="17365D"/>
        </w:rPr>
        <w:t>tādā vērtībā, kāda attiecas uz iepriekšējiem pārskata periodiem.</w:t>
      </w:r>
    </w:p>
    <w:p w14:paraId="3025EFD8" w14:textId="77777777" w:rsidR="00406E4B" w:rsidRPr="00A27896" w:rsidRDefault="00406E4B" w:rsidP="00686079">
      <w:pPr>
        <w:pStyle w:val="Pamatteksts1"/>
        <w:ind w:firstLine="284"/>
        <w:rPr>
          <w:rFonts w:eastAsia="Calibri"/>
          <w:noProof w:val="0"/>
          <w:color w:val="17365D"/>
        </w:rPr>
      </w:pPr>
    </w:p>
    <w:p w14:paraId="74A8A338" w14:textId="77777777" w:rsidR="00954F0C" w:rsidRPr="00A27896" w:rsidRDefault="00954F0C" w:rsidP="00FD10CC">
      <w:pPr>
        <w:pStyle w:val="Heading3"/>
      </w:pPr>
      <w:r w:rsidRPr="00A27896">
        <w:lastRenderedPageBreak/>
        <w:t>Konsolidētais naudas plūsmas pārskats</w:t>
      </w:r>
    </w:p>
    <w:p w14:paraId="048A8F30" w14:textId="5DBE95BD" w:rsidR="00954F0C" w:rsidRPr="00A27896" w:rsidRDefault="00954F0C" w:rsidP="007B7C14">
      <w:pPr>
        <w:pStyle w:val="Pamatteksts1"/>
        <w:ind w:firstLine="284"/>
        <w:rPr>
          <w:color w:val="17365D"/>
        </w:rPr>
      </w:pPr>
      <w:r w:rsidRPr="00A27896">
        <w:rPr>
          <w:color w:val="17365D"/>
        </w:rPr>
        <w:t>Konsolidētajā naudas plūsmas pārskatā uzrādīta finanšu informācija par ministriju, centrālo valsts iestāžu, pašvaldību</w:t>
      </w:r>
      <w:r w:rsidR="005406D4" w:rsidRPr="00A27896">
        <w:rPr>
          <w:color w:val="17365D"/>
        </w:rPr>
        <w:t>,</w:t>
      </w:r>
      <w:r w:rsidRPr="00A27896">
        <w:rPr>
          <w:color w:val="17365D"/>
        </w:rPr>
        <w:t xml:space="preserve"> valsts budžeta finanšu uzskaites</w:t>
      </w:r>
      <w:r w:rsidR="005406D4" w:rsidRPr="00A27896">
        <w:rPr>
          <w:color w:val="17365D"/>
        </w:rPr>
        <w:t xml:space="preserve"> </w:t>
      </w:r>
      <w:r w:rsidR="005406D4" w:rsidRPr="00A27896">
        <w:rPr>
          <w:rFonts w:eastAsia="Calibri"/>
          <w:noProof w:val="0"/>
          <w:color w:val="17365D"/>
        </w:rPr>
        <w:t xml:space="preserve">un </w:t>
      </w:r>
      <w:r w:rsidR="00785427" w:rsidRPr="00A27896">
        <w:rPr>
          <w:rFonts w:eastAsia="Calibri"/>
          <w:noProof w:val="0"/>
          <w:color w:val="17365D"/>
        </w:rPr>
        <w:t>VID</w:t>
      </w:r>
      <w:r w:rsidR="005406D4" w:rsidRPr="00A27896">
        <w:rPr>
          <w:rFonts w:eastAsia="Calibri"/>
          <w:noProof w:val="0"/>
          <w:color w:val="17365D"/>
        </w:rPr>
        <w:t xml:space="preserve"> administrētiem valsts budžeta</w:t>
      </w:r>
      <w:r w:rsidR="005406D4" w:rsidRPr="00A27896">
        <w:rPr>
          <w:color w:val="17365D"/>
        </w:rPr>
        <w:t xml:space="preserve"> </w:t>
      </w:r>
      <w:r w:rsidRPr="00A27896">
        <w:rPr>
          <w:color w:val="17365D"/>
        </w:rPr>
        <w:t xml:space="preserve">ieņēmumiem, izdevumiem un finansēšanas kategorijām </w:t>
      </w:r>
      <w:r w:rsidR="00980EC2" w:rsidRPr="00A27896">
        <w:rPr>
          <w:color w:val="17365D"/>
        </w:rPr>
        <w:t>202</w:t>
      </w:r>
      <w:r w:rsidR="00245866">
        <w:rPr>
          <w:color w:val="17365D"/>
        </w:rPr>
        <w:t>3</w:t>
      </w:r>
      <w:r w:rsidRPr="00A27896">
        <w:rPr>
          <w:color w:val="17365D"/>
        </w:rPr>
        <w:t>.</w:t>
      </w:r>
      <w:r w:rsidR="00203DA3" w:rsidRPr="00A27896">
        <w:rPr>
          <w:color w:val="17365D"/>
        </w:rPr>
        <w:t> </w:t>
      </w:r>
      <w:r w:rsidRPr="00A27896">
        <w:rPr>
          <w:color w:val="17365D"/>
        </w:rPr>
        <w:t xml:space="preserve">gadā, ievērojot naudas plūsmas principu, kā arī salīdzinošā informācija par </w:t>
      </w:r>
      <w:r w:rsidR="00980EC2" w:rsidRPr="00A27896">
        <w:rPr>
          <w:color w:val="17365D"/>
        </w:rPr>
        <w:t>20</w:t>
      </w:r>
      <w:r w:rsidR="001C23FC" w:rsidRPr="00A27896">
        <w:rPr>
          <w:color w:val="17365D"/>
        </w:rPr>
        <w:t>2</w:t>
      </w:r>
      <w:r w:rsidR="00245866">
        <w:rPr>
          <w:color w:val="17365D"/>
        </w:rPr>
        <w:t>2</w:t>
      </w:r>
      <w:r w:rsidRPr="00A27896">
        <w:rPr>
          <w:color w:val="17365D"/>
        </w:rPr>
        <w:t xml:space="preserve">. gadu. </w:t>
      </w:r>
    </w:p>
    <w:p w14:paraId="52A3D105" w14:textId="77777777" w:rsidR="00954F0C" w:rsidRPr="00A27896" w:rsidRDefault="00954F0C" w:rsidP="00686079">
      <w:pPr>
        <w:spacing w:after="120" w:line="240" w:lineRule="auto"/>
        <w:ind w:firstLine="284"/>
        <w:jc w:val="both"/>
        <w:rPr>
          <w:rFonts w:cs="Times New Roman"/>
          <w:color w:val="17365D"/>
          <w:szCs w:val="24"/>
        </w:rPr>
      </w:pPr>
      <w:r w:rsidRPr="00A27896">
        <w:rPr>
          <w:rFonts w:cs="Times New Roman"/>
          <w:color w:val="17365D"/>
          <w:szCs w:val="24"/>
        </w:rPr>
        <w:t>Konsolidētais naudas plūsmas pārskats sagatavots pēc tiešās metodes. Pārskatā ieņēmumi un izdevumi uzrādīti atbilstoši pamatdarbībai, ieguldījumu un finansēšanas darbībai.</w:t>
      </w:r>
    </w:p>
    <w:p w14:paraId="71968993" w14:textId="77777777" w:rsidR="00954F0C" w:rsidRPr="00A27896" w:rsidRDefault="00954F0C" w:rsidP="00686079">
      <w:pPr>
        <w:spacing w:after="120" w:line="240" w:lineRule="auto"/>
        <w:ind w:firstLine="284"/>
        <w:jc w:val="both"/>
        <w:rPr>
          <w:rFonts w:cs="Times New Roman"/>
          <w:color w:val="17365D"/>
          <w:szCs w:val="24"/>
        </w:rPr>
      </w:pPr>
      <w:r w:rsidRPr="00A27896">
        <w:rPr>
          <w:rFonts w:cs="Times New Roman"/>
          <w:color w:val="17365D"/>
          <w:szCs w:val="24"/>
        </w:rPr>
        <w:t>Konsolidētajā naudas plūsmas pārskatā atsevišķi uzrādītas naudas līdzekļu un naudas ekvivalentu savstarpējās izmaiņas, kas nav uzskatāmas par naudas plūsmu.</w:t>
      </w:r>
    </w:p>
    <w:p w14:paraId="3728C7A9" w14:textId="77777777" w:rsidR="00954F0C" w:rsidRPr="00A27896" w:rsidRDefault="00954F0C" w:rsidP="005A3758">
      <w:pPr>
        <w:pStyle w:val="Heading4"/>
        <w:rPr>
          <w:rFonts w:cs="Times New Roman"/>
        </w:rPr>
      </w:pPr>
      <w:r w:rsidRPr="00A27896">
        <w:rPr>
          <w:rFonts w:cs="Times New Roman"/>
        </w:rPr>
        <w:t>Pamatdarbība (ieņēmumi un izdevumi)</w:t>
      </w:r>
    </w:p>
    <w:p w14:paraId="32807098" w14:textId="77777777" w:rsidR="00954F0C" w:rsidRPr="00A27896" w:rsidRDefault="00954F0C" w:rsidP="00686079">
      <w:pPr>
        <w:spacing w:after="120" w:line="240" w:lineRule="auto"/>
        <w:ind w:firstLine="284"/>
        <w:jc w:val="both"/>
        <w:rPr>
          <w:rFonts w:cs="Times New Roman"/>
          <w:color w:val="17365D"/>
          <w:szCs w:val="24"/>
        </w:rPr>
      </w:pPr>
      <w:r w:rsidRPr="00A27896">
        <w:rPr>
          <w:rFonts w:cs="Times New Roman"/>
          <w:color w:val="17365D"/>
          <w:szCs w:val="24"/>
        </w:rPr>
        <w:t xml:space="preserve">Pamatdarbība ir darbība, kas nodrošina nozīmīgākās ienākumu daļas gūšanu, un citas darbības, kas nav saistītas ar ieguldīšanu un finansēšanu. Pamatdarbības ieņēmumi un izdevumi veikti, lai sasniegtu budžeta iestādes primāros mērķus, kas noteikti likumā par valsts budžetu saimnieciskajam gadam vai saistošajos noteikumos par pašvaldības budžetu, tie ietver ziedojumus un dāvinājumus, kā arī citos budžetos uzskaitītos līdzekļus. </w:t>
      </w:r>
    </w:p>
    <w:p w14:paraId="046C34AA" w14:textId="77777777" w:rsidR="00954F0C" w:rsidRPr="00A27896" w:rsidRDefault="00954F0C" w:rsidP="00686079">
      <w:pPr>
        <w:spacing w:after="120" w:line="240" w:lineRule="auto"/>
        <w:ind w:firstLine="284"/>
        <w:jc w:val="both"/>
        <w:rPr>
          <w:rFonts w:cs="Times New Roman"/>
          <w:color w:val="17365D"/>
          <w:szCs w:val="24"/>
        </w:rPr>
      </w:pPr>
      <w:r w:rsidRPr="00A27896">
        <w:rPr>
          <w:rFonts w:cs="Times New Roman"/>
          <w:color w:val="17365D"/>
          <w:szCs w:val="24"/>
        </w:rPr>
        <w:t>Pamatdarbības naudas plūsmā ieņēmumus un izdevumus veido darījumi, kas saistīti ar:</w:t>
      </w:r>
    </w:p>
    <w:p w14:paraId="462D0F23"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budžeta iestādes sniegtajiem pakalpojumiem un piegādātajām precēm, kā arī saņemtajiem pakalpojumiem un iegādātajām precēm;</w:t>
      </w:r>
    </w:p>
    <w:p w14:paraId="49AA8017"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saņemto ārvalstu finanšu palīdzību, ziedojumiem un dāvinājumiem;</w:t>
      </w:r>
    </w:p>
    <w:p w14:paraId="2D00CC0C"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atlīdzību nodarbinātajiem;</w:t>
      </w:r>
    </w:p>
    <w:p w14:paraId="12A0AC19"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saņemtajiem un veiktajiem nodokļu un nodevu maksājumiem, citiem maksājumiem budžetos un transfertu maksājumiem;</w:t>
      </w:r>
    </w:p>
    <w:p w14:paraId="38F6F65A"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tiesvedību;</w:t>
      </w:r>
    </w:p>
    <w:p w14:paraId="7555A82B"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aizdevumiem;</w:t>
      </w:r>
    </w:p>
    <w:p w14:paraId="722172C7"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atvasinātajiem finanšu instrumentiem, ja tie ir piesaistīti pamatdarbībā iekļautajiem finanšu instrumentiem;</w:t>
      </w:r>
    </w:p>
    <w:p w14:paraId="083D318F"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ieguldījuma īpašumu iegādi, izveidošanu, iznomāšanu un atsavināšanu;</w:t>
      </w:r>
    </w:p>
    <w:p w14:paraId="2EA2F8C4"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saņemtajiem maksājumiem publiskās un privātās partnerības līgumu ietvaros;</w:t>
      </w:r>
    </w:p>
    <w:p w14:paraId="3D2E4B6C"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citiem uz pamatdarbību attiecināmiem saņemtajiem un veiktajiem maksājumiem.</w:t>
      </w:r>
    </w:p>
    <w:p w14:paraId="34104E5E" w14:textId="787EEECA"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Valsts budžeta finanšu uzskaites pamatdarbība ir valsts pamatbudžeta izpildes un valsts budžeta finanšu uzskaites organizēšana. Valsts budžeta finanšu uzskaites nodrošināšanai iegādāto vērtspapīru, kā arī aizdevumu izsniegšanas un aizdevumu atmaksas naudas plūsma konsolidētajā pārskatā uzrādīta kā pamatdarbības naudas plūsma.</w:t>
      </w:r>
    </w:p>
    <w:p w14:paraId="709B47B5"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Procentu ieņēmumus un izdevumus no pamatdarbības klasificē šādi:</w:t>
      </w:r>
    </w:p>
    <w:p w14:paraId="101AE99C"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valsts un pašvaldību budžeta iestādes procentu ieņēmumi vai izdevumi par kontu atlikumiem, overdraftiem un aizdevumiem;</w:t>
      </w:r>
    </w:p>
    <w:p w14:paraId="7380CD13"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valsts budžeta finanšu uzskaites procentu izdevumi vai ieņēmumi (negatīva procentu likme) par Valsts kases klientu kontu atlikumiem un overdraftiem, procentu ieņēmumi un izdevumi (negatīva procentu likme) par Valsts kases kontu atlikumiem, overdraftiem Latvijas Bankā vai kredītiestādēs, kā arī procentu ieņēmumi par izsniegtajiem aizdevumiem.</w:t>
      </w:r>
    </w:p>
    <w:p w14:paraId="2F485614"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lastRenderedPageBreak/>
        <w:t>Citos ieņēmumos un izdevumos no pamatdarbības uzskaitīti pārējie ieņēmumi un izdevumi, kas nav uzskaitīti citos pamatdarbības posteņos, kā arī citu budžetu līdzekļi, kas uz laiku ir iestādes glabājumā (konkursa vai drošības nauda, vēlēšanu drošības nauda, pansionātos dzīvojošo pensijas, atsavinātie līdzekļi no aizturētām personām un ieņēmumi par mantas realizāciju no krimināllietām un administratīvo pārkāpumu lietām līdz tiesas lēmumam, ieslodzīto un citu personu personīgā nauda, drošības nauda par kasācijas sūdzību). Citu budžetu līdzekļus pamatdarbības ieņēmumos norāda neto vērtībā, t.i., no pārskata periodā saņemtiem līdzekļiem atskaitot pārskata periodā atmaksātos līdzekļus.</w:t>
      </w:r>
    </w:p>
    <w:p w14:paraId="051B00A1" w14:textId="77777777" w:rsidR="00954F0C" w:rsidRPr="00A27896" w:rsidRDefault="00954F0C" w:rsidP="005A3758">
      <w:pPr>
        <w:pStyle w:val="Heading4"/>
        <w:rPr>
          <w:rFonts w:cs="Times New Roman"/>
        </w:rPr>
      </w:pPr>
      <w:r w:rsidRPr="00A27896">
        <w:rPr>
          <w:rFonts w:cs="Times New Roman"/>
        </w:rPr>
        <w:t>Ieguldījumu darbība (ieņēmumi un izdevumi)</w:t>
      </w:r>
    </w:p>
    <w:p w14:paraId="77F3DF46"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Ieguldījumu darbības naudas plūsma veidojas no aktīvu iegādes, kas paredzēti budžeta iestāžu funkciju nodrošināšanai, ienākumu gūšanai un naudas plūsmas radīšanai nākotnē, un no šādu aktīvu pārdošanas.</w:t>
      </w:r>
    </w:p>
    <w:p w14:paraId="61C988DF"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Ieguldījumu darbības naudas plūsmā ieņēmumus un izdevumus veido šādi darījumi:</w:t>
      </w:r>
    </w:p>
    <w:p w14:paraId="0B94CA60"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ilgtermiņa nefinanšu aktīvu (izņemot ieguldījuma īpašumus) iegāde (tai skaitā veiktie maksājumi par kapitalizētām attīstības izmaksām un pašradītiem ilgtermiņa ieguldījumiem), avanss par šiem aktīviem un šādu aktīvu atsavināšana;</w:t>
      </w:r>
    </w:p>
    <w:p w14:paraId="662485E9"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 xml:space="preserve">ilgtermiņa finanšu aktīvu (piemēram, līdzdalība kapitālā un iegādātie parāda vērtspapīri) iegāde, avanss par šiem aktīviem un šādu aktīvu atsavināšana; </w:t>
      </w:r>
    </w:p>
    <w:p w14:paraId="7A405BBF"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saņemtie maksājumi finanšu nomas līgumu ietvaros un veiktie maksājumi partnerības līgumu ietvaros;</w:t>
      </w:r>
    </w:p>
    <w:p w14:paraId="120C9A10"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citi uz ieguldījumu darbību attiecināmi saņemti un veikti maksājumi;</w:t>
      </w:r>
    </w:p>
    <w:p w14:paraId="087F0C0B" w14:textId="51A60E1B"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 xml:space="preserve">valsts budžeta finanšu uzskaites ieņēmumi vai izdevumi no parāda vērtspapīru pārdošanas un ieguldījuma vērtspapīru iegādes. </w:t>
      </w:r>
    </w:p>
    <w:p w14:paraId="0CFDA644"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Procentu ieņēmumus vai izdevumus no ieguldījumu darbības klasificē šādi:</w:t>
      </w:r>
    </w:p>
    <w:p w14:paraId="79E02EE1"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valsts un pašvaldību budžeta iestādes procentu ieņēmumi vai izdevumi, ja ieguldījuma mērķis ir gūt atdevi (termiņnoguldījumi, ieguldījumi kapitālsabiedrībās, finanšu noma (iznomātājam), ieguldījumi vērtspapīros);</w:t>
      </w:r>
    </w:p>
    <w:p w14:paraId="28736613"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 xml:space="preserve">valsts budžeta finanšu uzskaites procentu izdevumi par pieņemtajiem noguldījumiem, procentu ieņēmumi par ieguldījuma vērtspapīriem un procentu izdevumi par emitētajiem parāda vērtspapīriem. </w:t>
      </w:r>
    </w:p>
    <w:p w14:paraId="6E1FB5F3" w14:textId="77777777" w:rsidR="00954F0C" w:rsidRPr="00A27896" w:rsidRDefault="00954F0C" w:rsidP="005A3758">
      <w:pPr>
        <w:pStyle w:val="Heading4"/>
        <w:rPr>
          <w:rFonts w:cs="Times New Roman"/>
        </w:rPr>
      </w:pPr>
      <w:r w:rsidRPr="00A27896">
        <w:rPr>
          <w:rFonts w:cs="Times New Roman"/>
        </w:rPr>
        <w:t>Finansēšanas darbība (ieņēmumi un izdevumi)</w:t>
      </w:r>
    </w:p>
    <w:p w14:paraId="51941D51" w14:textId="56684AAE"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 xml:space="preserve">Par finansēšanas darbību uzskata darbību, kas rada izmaiņas aizņēmumu (piemēram, emitētie parāda vērtspapīri, aizņēmumi, izņemot pārsnieguma kredītus (overdraftus)) apmērā un sastāvā, kā arī darījumus ar atvasinātiem finanšu instrumentiem, </w:t>
      </w:r>
      <w:r w:rsidR="00A23002" w:rsidRPr="00A27896">
        <w:rPr>
          <w:rFonts w:cs="Times New Roman"/>
          <w:color w:val="17365D"/>
          <w:szCs w:val="24"/>
        </w:rPr>
        <w:t xml:space="preserve">tai skaitā, </w:t>
      </w:r>
      <w:r w:rsidR="00A8298C" w:rsidRPr="00A27896">
        <w:rPr>
          <w:rFonts w:cs="Times New Roman"/>
          <w:color w:val="17365D"/>
          <w:szCs w:val="24"/>
        </w:rPr>
        <w:t xml:space="preserve">kas noteikti kā riska ierobežošanas instrumenti, </w:t>
      </w:r>
      <w:r w:rsidRPr="00A27896">
        <w:rPr>
          <w:rFonts w:cs="Times New Roman"/>
          <w:color w:val="17365D"/>
          <w:szCs w:val="24"/>
        </w:rPr>
        <w:t>ja tie piesaistīti finansēšanas darbībā iekļautajiem finanšu instrumentiem, un veiktos maksājumus finanšu nomas līguma ietvaros.</w:t>
      </w:r>
    </w:p>
    <w:p w14:paraId="3A3597F3" w14:textId="1F0C20D5"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Ieņēmumos vai izdevumos no finansēšanas darbības uzskaita nauda</w:t>
      </w:r>
      <w:r w:rsidR="00FF4433" w:rsidRPr="00A27896">
        <w:rPr>
          <w:rFonts w:cs="Times New Roman"/>
          <w:color w:val="17365D"/>
          <w:szCs w:val="24"/>
        </w:rPr>
        <w:t>s līdzekļus un tās ekvivalentus.</w:t>
      </w:r>
      <w:r w:rsidRPr="00A27896">
        <w:rPr>
          <w:rFonts w:cs="Times New Roman"/>
          <w:color w:val="17365D"/>
          <w:szCs w:val="24"/>
        </w:rPr>
        <w:t xml:space="preserve"> </w:t>
      </w:r>
    </w:p>
    <w:p w14:paraId="351311DB" w14:textId="2A89FD92"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Par finansēšanas darbību uzskata:</w:t>
      </w:r>
    </w:p>
    <w:p w14:paraId="37A0CA76"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valsts un pašvaldību budžeta iestāžu ieņēmumus, kas saņemti par aizdevumu atmaksām vai saņemtiem aizņēmumiem, vai izdevumus, kas samaksāti par aizdevumu izsniegšanu vai aizņēmumu atmaksu;</w:t>
      </w:r>
    </w:p>
    <w:p w14:paraId="2E83EAC8"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lastRenderedPageBreak/>
        <w:t>valsts budžeta finanšu vadībā – naudas līdzekļus, kas saņemti par pašu emitēto vērtspapīru pārdošanu vai samaksāti par emitēto vērtspapīru dzēšanu.</w:t>
      </w:r>
    </w:p>
    <w:p w14:paraId="15D2D34D" w14:textId="794BDC86"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Procentu ieņēmumus vai izdevumus no finansēšanas darbības klasificē šādi:</w:t>
      </w:r>
    </w:p>
    <w:p w14:paraId="5400DFE0" w14:textId="77777777"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valsts un pašvaldību budžeta iestāžu procentu ieņēmumi vai izdevumi par aizņēmumiem, finanšu nomu (nomniekam) un citiem darījumiem atbilstoši izvērtējumam;</w:t>
      </w:r>
    </w:p>
    <w:p w14:paraId="40998957" w14:textId="17E5B8F5" w:rsidR="00954F0C" w:rsidRPr="00A27896" w:rsidRDefault="00954F0C"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valsts budžeta finanšu uzskaites procentu ieņēmumi, kas samaksāti par aizņēmumiem un</w:t>
      </w:r>
      <w:r w:rsidR="00D50D19" w:rsidRPr="00A27896">
        <w:rPr>
          <w:color w:val="17365D"/>
          <w:sz w:val="24"/>
          <w:szCs w:val="24"/>
        </w:rPr>
        <w:t xml:space="preserve"> </w:t>
      </w:r>
      <w:r w:rsidRPr="00A27896">
        <w:rPr>
          <w:color w:val="17365D"/>
          <w:sz w:val="24"/>
          <w:szCs w:val="24"/>
        </w:rPr>
        <w:t>emitētajiem parāda vērtspapīriem.</w:t>
      </w:r>
    </w:p>
    <w:p w14:paraId="5D3696D6" w14:textId="13B99758" w:rsidR="00954F0C" w:rsidRPr="00A27896" w:rsidRDefault="00954F0C" w:rsidP="00686079">
      <w:pPr>
        <w:spacing w:after="120" w:line="240" w:lineRule="auto"/>
        <w:ind w:firstLine="284"/>
        <w:jc w:val="both"/>
        <w:rPr>
          <w:rFonts w:eastAsia="Times New Roman" w:cs="Times New Roman"/>
          <w:b/>
          <w:bCs/>
          <w:i/>
          <w:color w:val="17365D"/>
          <w:szCs w:val="24"/>
        </w:rPr>
      </w:pPr>
      <w:r w:rsidRPr="00A27896">
        <w:rPr>
          <w:rFonts w:eastAsia="Times New Roman" w:cs="Times New Roman"/>
          <w:b/>
          <w:bCs/>
          <w:i/>
          <w:color w:val="17365D"/>
          <w:szCs w:val="24"/>
        </w:rPr>
        <w:t xml:space="preserve">Naudas līdzekļu </w:t>
      </w:r>
      <w:r w:rsidR="00EE17D8" w:rsidRPr="00A27896">
        <w:rPr>
          <w:rFonts w:eastAsia="Times New Roman" w:cs="Times New Roman"/>
          <w:b/>
          <w:bCs/>
          <w:i/>
          <w:color w:val="17365D"/>
          <w:szCs w:val="24"/>
        </w:rPr>
        <w:t>plūsma no</w:t>
      </w:r>
      <w:r w:rsidRPr="00A27896">
        <w:rPr>
          <w:rFonts w:eastAsia="Times New Roman" w:cs="Times New Roman"/>
          <w:b/>
          <w:bCs/>
          <w:i/>
          <w:color w:val="17365D"/>
          <w:szCs w:val="24"/>
        </w:rPr>
        <w:t xml:space="preserve"> piesaistītajiem līdzekļiem</w:t>
      </w:r>
    </w:p>
    <w:p w14:paraId="12456D7B" w14:textId="746458DA" w:rsidR="00954F0C" w:rsidRPr="00A27896" w:rsidRDefault="00954F0C" w:rsidP="00686079">
      <w:pPr>
        <w:spacing w:after="120" w:line="240" w:lineRule="auto"/>
        <w:ind w:firstLine="284"/>
        <w:jc w:val="both"/>
        <w:rPr>
          <w:rFonts w:cs="Times New Roman"/>
          <w:color w:val="17365D"/>
          <w:szCs w:val="24"/>
        </w:rPr>
      </w:pPr>
      <w:r w:rsidRPr="00A27896">
        <w:rPr>
          <w:rFonts w:cs="Times New Roman"/>
          <w:color w:val="17365D"/>
          <w:szCs w:val="24"/>
        </w:rPr>
        <w:t xml:space="preserve">Naudas līdzekļu </w:t>
      </w:r>
      <w:r w:rsidR="00EE17D8" w:rsidRPr="00A27896">
        <w:rPr>
          <w:rFonts w:eastAsia="Times New Roman" w:cs="Times New Roman"/>
          <w:bCs/>
          <w:color w:val="17365D"/>
          <w:szCs w:val="24"/>
        </w:rPr>
        <w:t>plūsma no</w:t>
      </w:r>
      <w:r w:rsidR="00EE17D8" w:rsidRPr="00A27896">
        <w:rPr>
          <w:rFonts w:eastAsia="Times New Roman" w:cs="Times New Roman"/>
          <w:b/>
          <w:bCs/>
          <w:i/>
          <w:color w:val="17365D"/>
          <w:szCs w:val="24"/>
        </w:rPr>
        <w:t xml:space="preserve"> </w:t>
      </w:r>
      <w:r w:rsidRPr="00A27896">
        <w:rPr>
          <w:rFonts w:cs="Times New Roman"/>
          <w:color w:val="17365D"/>
          <w:szCs w:val="24"/>
        </w:rPr>
        <w:t>piesaistītajiem līdzekļiem ir naudas plūsma, kas veidojas no naudas saņemšanas vai izmaksāšanas Valsts kases klientu kontos, kā arī no naudas pārskaitījumiem starp Valsts kases kontiem un ieguldījumiem depozītos Valsts kases kontos.</w:t>
      </w:r>
    </w:p>
    <w:p w14:paraId="0C85C414" w14:textId="77777777" w:rsidR="00954F0C" w:rsidRPr="00A27896" w:rsidRDefault="00954F0C" w:rsidP="005A3758">
      <w:pPr>
        <w:pStyle w:val="Heading4"/>
        <w:rPr>
          <w:rFonts w:cs="Times New Roman"/>
        </w:rPr>
      </w:pPr>
      <w:r w:rsidRPr="00A27896">
        <w:rPr>
          <w:rFonts w:cs="Times New Roman"/>
        </w:rPr>
        <w:t>Ārvalstu valūtu kursu svārstību rezultāts</w:t>
      </w:r>
    </w:p>
    <w:p w14:paraId="02BFF62E" w14:textId="77777777" w:rsidR="00954F0C" w:rsidRPr="00A27896" w:rsidRDefault="00954F0C" w:rsidP="00954F0C">
      <w:pPr>
        <w:spacing w:after="120" w:line="240" w:lineRule="auto"/>
        <w:ind w:firstLine="284"/>
        <w:jc w:val="both"/>
        <w:rPr>
          <w:rFonts w:cs="Times New Roman"/>
          <w:color w:val="17365D"/>
          <w:szCs w:val="24"/>
        </w:rPr>
      </w:pPr>
      <w:r w:rsidRPr="00A27896">
        <w:rPr>
          <w:rFonts w:cs="Times New Roman"/>
          <w:color w:val="17365D"/>
          <w:szCs w:val="24"/>
        </w:rPr>
        <w:t>Peļņa vai zaudējumi, kas rodas ārvalstu valūtas kursa svārstību rezultātā, nav uzskatāmi par naudas plūsmu. Tomēr, lai salīdzinātu naudas līdzekļu un naudas ekvivalentus (tai skaitā noguldījumus, kuru termiņš nepārsniedz 90 dienas) atlikumu perioda sākumā un beigās, naudas plūsmas pārskatā uzrāda ārvalstu valūtas kursa svārstību ietekmi uz naudas līdzekļu atlikumiem un to ekvivalentiem ārvalstu valūtā. Šo ietekmi uzrāda atsevišķi no pamatdarbības, ieguldījumu darbības un finansēšanas darbības.</w:t>
      </w:r>
    </w:p>
    <w:p w14:paraId="3A239018" w14:textId="77777777" w:rsidR="004C46B4" w:rsidRPr="00A27896" w:rsidRDefault="004C46B4">
      <w:pPr>
        <w:rPr>
          <w:rFonts w:eastAsiaTheme="majorEastAsia" w:cs="Times New Roman"/>
          <w:b/>
          <w:bCs/>
          <w:color w:val="17365D"/>
          <w:szCs w:val="26"/>
          <w:u w:val="single"/>
        </w:rPr>
      </w:pPr>
      <w:r w:rsidRPr="00A27896">
        <w:rPr>
          <w:rFonts w:cs="Times New Roman"/>
          <w:color w:val="17365D"/>
        </w:rPr>
        <w:br w:type="page"/>
      </w:r>
    </w:p>
    <w:p w14:paraId="4E5C567F" w14:textId="4019D595" w:rsidR="00AB2439" w:rsidRPr="00A27896" w:rsidRDefault="00AB2439" w:rsidP="00C60CCF">
      <w:pPr>
        <w:pStyle w:val="Heading2"/>
        <w:rPr>
          <w:rFonts w:cs="Times New Roman"/>
        </w:rPr>
      </w:pPr>
      <w:r w:rsidRPr="00A27896">
        <w:rPr>
          <w:rFonts w:cs="Times New Roman"/>
        </w:rPr>
        <w:lastRenderedPageBreak/>
        <w:t>Finanšu instrumentu risku pārvaldīšanas apraksts</w:t>
      </w:r>
    </w:p>
    <w:p w14:paraId="476F2A3E" w14:textId="77777777" w:rsidR="00AB2439" w:rsidRPr="00A27896" w:rsidRDefault="00AB2439" w:rsidP="00AB2439">
      <w:pPr>
        <w:autoSpaceDE w:val="0"/>
        <w:autoSpaceDN w:val="0"/>
        <w:adjustRightInd w:val="0"/>
        <w:spacing w:after="120" w:line="240" w:lineRule="auto"/>
        <w:ind w:firstLine="284"/>
        <w:jc w:val="both"/>
        <w:rPr>
          <w:rFonts w:cs="Times New Roman"/>
          <w:color w:val="17365D"/>
          <w:szCs w:val="24"/>
        </w:rPr>
      </w:pPr>
      <w:r w:rsidRPr="00A27896">
        <w:rPr>
          <w:rFonts w:cs="Times New Roman"/>
          <w:color w:val="17365D"/>
          <w:szCs w:val="24"/>
        </w:rPr>
        <w:t xml:space="preserve">Ministrijas un pašvaldības konsolidētā gada pārskata pielikumā pievieno tās īstenoto finanšu instrumentu risku pārvaldīšanas aprakstu. </w:t>
      </w:r>
    </w:p>
    <w:p w14:paraId="0EB459C7" w14:textId="3A7E1EDB" w:rsidR="00AB2439" w:rsidRPr="00A27896" w:rsidRDefault="00AB2439" w:rsidP="00AB2439">
      <w:pPr>
        <w:autoSpaceDE w:val="0"/>
        <w:autoSpaceDN w:val="0"/>
        <w:adjustRightInd w:val="0"/>
        <w:spacing w:after="120" w:line="240" w:lineRule="auto"/>
        <w:ind w:firstLine="284"/>
        <w:jc w:val="both"/>
        <w:rPr>
          <w:rFonts w:cs="Times New Roman"/>
          <w:color w:val="17365D"/>
          <w:szCs w:val="24"/>
        </w:rPr>
      </w:pPr>
      <w:r w:rsidRPr="00A27896">
        <w:rPr>
          <w:rFonts w:cs="Times New Roman"/>
          <w:color w:val="17365D"/>
          <w:szCs w:val="24"/>
        </w:rPr>
        <w:t xml:space="preserve">Būtiskākos skaidrojumus par </w:t>
      </w:r>
      <w:r w:rsidRPr="00A27896">
        <w:rPr>
          <w:rFonts w:cs="Times New Roman"/>
          <w:color w:val="17365D"/>
        </w:rPr>
        <w:t xml:space="preserve">finanšu instrumentu risku pārvaldību sniegusi Valsts kase un Rīgas </w:t>
      </w:r>
      <w:r w:rsidR="00FA4C96" w:rsidRPr="00A27896">
        <w:rPr>
          <w:rFonts w:cs="Times New Roman"/>
          <w:color w:val="17365D"/>
        </w:rPr>
        <w:t>valsts</w:t>
      </w:r>
      <w:r w:rsidRPr="00A27896">
        <w:rPr>
          <w:rFonts w:cs="Times New Roman"/>
          <w:color w:val="17365D"/>
        </w:rPr>
        <w:t>pilsētas pašvaldība.</w:t>
      </w:r>
    </w:p>
    <w:p w14:paraId="37E4E52F" w14:textId="0C92FFDA" w:rsidR="00AB2439" w:rsidRPr="00A27896" w:rsidRDefault="00AB2439" w:rsidP="00FD10CC">
      <w:pPr>
        <w:pStyle w:val="Heading3"/>
      </w:pPr>
      <w:r w:rsidRPr="00A27896">
        <w:t>Valsts budžeta finanšu uzskaites finanšu instrumentu risku pārvaldīšana</w:t>
      </w:r>
    </w:p>
    <w:p w14:paraId="63391743" w14:textId="406E64CB" w:rsidR="00AB2439" w:rsidRPr="00A27896" w:rsidRDefault="00AB2439" w:rsidP="00EC45E4">
      <w:pPr>
        <w:pStyle w:val="Default"/>
        <w:spacing w:after="120"/>
        <w:ind w:firstLine="284"/>
        <w:jc w:val="both"/>
        <w:rPr>
          <w:color w:val="17365D"/>
        </w:rPr>
      </w:pPr>
      <w:r w:rsidRPr="00A27896">
        <w:rPr>
          <w:color w:val="17365D"/>
        </w:rPr>
        <w:t>Valsts budžeta finanšu uzskaitē esošo parāda finanšu instrumentu risku pārvaldību īsteno Valsts kase saskaņā ar Valsts parāda un naudas līdzekļu vadības stratēģijā</w:t>
      </w:r>
      <w:r w:rsidRPr="00A27896">
        <w:rPr>
          <w:rStyle w:val="FootnoteReference"/>
          <w:color w:val="17365D"/>
        </w:rPr>
        <w:footnoteReference w:id="7"/>
      </w:r>
      <w:r w:rsidRPr="00A27896">
        <w:rPr>
          <w:color w:val="17365D"/>
        </w:rPr>
        <w:t xml:space="preserve"> (turpmāk</w:t>
      </w:r>
      <w:r w:rsidR="007425AD" w:rsidRPr="00A27896">
        <w:rPr>
          <w:color w:val="17365D"/>
        </w:rPr>
        <w:t xml:space="preserve"> –</w:t>
      </w:r>
      <w:r w:rsidRPr="00A27896">
        <w:rPr>
          <w:color w:val="17365D"/>
        </w:rPr>
        <w:t xml:space="preserve"> VK stratēģija) noteiktiem finanšu risku vadības pamatprincipiem. </w:t>
      </w:r>
    </w:p>
    <w:p w14:paraId="203E415B" w14:textId="77777777" w:rsidR="00AB2439" w:rsidRPr="00A27896" w:rsidRDefault="00AB2439" w:rsidP="00EC45E4">
      <w:pPr>
        <w:pStyle w:val="Default"/>
        <w:spacing w:after="120"/>
        <w:ind w:firstLine="284"/>
        <w:jc w:val="both"/>
        <w:rPr>
          <w:color w:val="17365D"/>
        </w:rPr>
      </w:pPr>
      <w:r w:rsidRPr="00A27896">
        <w:rPr>
          <w:color w:val="17365D"/>
        </w:rPr>
        <w:t>Finanšu risku vadības mērķis ir nepieļaut valsts parāda apkalpošanas izmaksu nekontrolētu palielināšanos un ierobežot saistību neizpildes risku VK stratēģijas ietvaros noslēgtajos darījumos.</w:t>
      </w:r>
    </w:p>
    <w:p w14:paraId="0F5DF5A3" w14:textId="77777777" w:rsidR="00AB2439" w:rsidRPr="00A27896" w:rsidRDefault="00AB2439" w:rsidP="00AB2439">
      <w:pPr>
        <w:autoSpaceDE w:val="0"/>
        <w:autoSpaceDN w:val="0"/>
        <w:adjustRightInd w:val="0"/>
        <w:spacing w:after="120" w:line="240" w:lineRule="auto"/>
        <w:ind w:firstLine="284"/>
        <w:jc w:val="both"/>
        <w:rPr>
          <w:rFonts w:cs="Times New Roman"/>
          <w:color w:val="17365D"/>
          <w:szCs w:val="24"/>
        </w:rPr>
      </w:pPr>
      <w:r w:rsidRPr="00A27896">
        <w:rPr>
          <w:rFonts w:cs="Times New Roman"/>
          <w:color w:val="17365D"/>
          <w:szCs w:val="24"/>
        </w:rPr>
        <w:t>Valsts kase saskaņā ar VK stratēģijā noteiktajiem pamatprincipiem vada sekojošus finanšu riskus:</w:t>
      </w:r>
      <w:r w:rsidRPr="00A27896" w:rsidDel="00BE11A6">
        <w:rPr>
          <w:rFonts w:cs="Times New Roman"/>
          <w:color w:val="17365D"/>
          <w:szCs w:val="24"/>
        </w:rPr>
        <w:t xml:space="preserve"> </w:t>
      </w:r>
    </w:p>
    <w:p w14:paraId="22A51CD3" w14:textId="77777777" w:rsidR="00AB2439" w:rsidRPr="00A27896" w:rsidRDefault="00AB2439"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kredītrisku – iespēju, ka partnerpuse, finanšu instrumenta emitents un/vai tā galvinieks nespēs noteiktā laikā un pilnā apmērā pildīt savas saistības;</w:t>
      </w:r>
    </w:p>
    <w:p w14:paraId="334F7D61" w14:textId="77777777" w:rsidR="00AB2439" w:rsidRPr="00A27896" w:rsidRDefault="00AB2439"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likviditātes risku – finansējuma nepietiekamības risku Valsts kases naudas līdzekļu kontos valsts finansiālo saistību savlaicīgai izpildei pilnā apmērā nākamo 12 mēnešu laikā;</w:t>
      </w:r>
    </w:p>
    <w:p w14:paraId="0B89CAF5" w14:textId="77777777" w:rsidR="00AB2439" w:rsidRPr="00A27896" w:rsidRDefault="00AB2439"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pārfinansēšanas risku – nespēja pārfinansēt valsts parāda saistības vidējā termiņā ar pieņemamiem nosacījumiem;</w:t>
      </w:r>
    </w:p>
    <w:p w14:paraId="403BCEE1" w14:textId="77777777" w:rsidR="00AB2439" w:rsidRPr="00A27896" w:rsidRDefault="00AB2439"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procentu likmju risku – iespēju, ka procentu likmju izmaiņas nelabvēlīgi ietekmēs ieņēmumus/ izdevumus. Risks rodas, ja pastāv ievērojama starpība starp aktīvu un pasīvu, kas jūtīgi reaģē uz procentu likmju izmaiņām;</w:t>
      </w:r>
    </w:p>
    <w:p w14:paraId="517C5837" w14:textId="77777777" w:rsidR="00AB2439" w:rsidRPr="00A27896" w:rsidRDefault="00AB2439"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valūtu risku – iespēju, ka valūtas kursa svārstību rezultātā ārvalstu valūtā denominēto aktīvu/ saistību vērtība euro izteiksmē mainīsies negatīvā virzienā. Valūtas risks rodas, ja pastāv nesaskaņotība prasību un saistību summās ārvalstu valūtās.</w:t>
      </w:r>
    </w:p>
    <w:p w14:paraId="04A2623A" w14:textId="5AD3F317" w:rsidR="00340325" w:rsidRPr="00A27896" w:rsidRDefault="00AB2439" w:rsidP="007B7C14">
      <w:pPr>
        <w:autoSpaceDE w:val="0"/>
        <w:autoSpaceDN w:val="0"/>
        <w:adjustRightInd w:val="0"/>
        <w:spacing w:after="0" w:line="240" w:lineRule="auto"/>
        <w:ind w:firstLine="425"/>
        <w:jc w:val="both"/>
        <w:rPr>
          <w:rFonts w:cs="Times New Roman"/>
          <w:color w:val="17365D"/>
          <w:szCs w:val="24"/>
        </w:rPr>
      </w:pPr>
      <w:r w:rsidRPr="00A27896">
        <w:rPr>
          <w:rFonts w:cs="Times New Roman"/>
          <w:color w:val="17365D"/>
          <w:szCs w:val="24"/>
        </w:rPr>
        <w:t xml:space="preserve">Detalizēta informācija par parāda vadības rādītājiem </w:t>
      </w:r>
      <w:r w:rsidR="000C1009" w:rsidRPr="00A27896">
        <w:rPr>
          <w:rFonts w:cs="Times New Roman"/>
          <w:color w:val="17365D"/>
          <w:szCs w:val="24"/>
        </w:rPr>
        <w:t>202</w:t>
      </w:r>
      <w:r w:rsidR="00245866">
        <w:rPr>
          <w:rFonts w:cs="Times New Roman"/>
          <w:color w:val="17365D"/>
          <w:szCs w:val="24"/>
        </w:rPr>
        <w:t>3</w:t>
      </w:r>
      <w:r w:rsidR="000C1009" w:rsidRPr="00A27896">
        <w:rPr>
          <w:rFonts w:cs="Times New Roman"/>
          <w:color w:val="17365D"/>
          <w:szCs w:val="24"/>
        </w:rPr>
        <w:t>.</w:t>
      </w:r>
      <w:r w:rsidR="00245866">
        <w:rPr>
          <w:rFonts w:cs="Times New Roman"/>
          <w:color w:val="17365D"/>
          <w:szCs w:val="24"/>
        </w:rPr>
        <w:t> </w:t>
      </w:r>
      <w:r w:rsidR="000C1009" w:rsidRPr="00A27896">
        <w:rPr>
          <w:rFonts w:cs="Times New Roman"/>
          <w:color w:val="17365D"/>
          <w:szCs w:val="24"/>
        </w:rPr>
        <w:t>gad</w:t>
      </w:r>
      <w:r w:rsidRPr="00A27896">
        <w:rPr>
          <w:rFonts w:cs="Times New Roman"/>
          <w:color w:val="17365D"/>
          <w:szCs w:val="24"/>
        </w:rPr>
        <w:t>ā pieejama Valsts kases sagatavotajā 20</w:t>
      </w:r>
      <w:r w:rsidR="00B0423E" w:rsidRPr="00A27896">
        <w:rPr>
          <w:rFonts w:cs="Times New Roman"/>
          <w:color w:val="17365D"/>
          <w:szCs w:val="24"/>
        </w:rPr>
        <w:t>2</w:t>
      </w:r>
      <w:r w:rsidR="00245866">
        <w:rPr>
          <w:rFonts w:cs="Times New Roman"/>
          <w:color w:val="17365D"/>
          <w:szCs w:val="24"/>
        </w:rPr>
        <w:t>3</w:t>
      </w:r>
      <w:r w:rsidRPr="00A27896">
        <w:rPr>
          <w:rFonts w:cs="Times New Roman"/>
          <w:color w:val="17365D"/>
          <w:szCs w:val="24"/>
        </w:rPr>
        <w:t>.</w:t>
      </w:r>
      <w:r w:rsidR="0035073E" w:rsidRPr="00A27896">
        <w:rPr>
          <w:rFonts w:cs="Times New Roman"/>
          <w:color w:val="17365D"/>
          <w:szCs w:val="24"/>
        </w:rPr>
        <w:t xml:space="preserve"> </w:t>
      </w:r>
      <w:r w:rsidRPr="00A27896">
        <w:rPr>
          <w:rFonts w:cs="Times New Roman"/>
          <w:color w:val="17365D"/>
          <w:szCs w:val="24"/>
        </w:rPr>
        <w:t>gada parāda vadības pārskatā, kas ir publicēts Valsts kases</w:t>
      </w:r>
      <w:r w:rsidR="00D76DAA" w:rsidRPr="00A27896">
        <w:rPr>
          <w:rFonts w:cs="Times New Roman"/>
          <w:color w:val="17365D"/>
          <w:szCs w:val="24"/>
        </w:rPr>
        <w:t xml:space="preserve"> tīmekļa vietnē</w:t>
      </w:r>
      <w:r w:rsidRPr="00A27896">
        <w:rPr>
          <w:rFonts w:cs="Times New Roman"/>
          <w:color w:val="17365D"/>
          <w:szCs w:val="24"/>
        </w:rPr>
        <w:t>:</w:t>
      </w:r>
    </w:p>
    <w:p w14:paraId="2A5124F3" w14:textId="1021AD0C" w:rsidR="00AB2439" w:rsidRPr="00A27896" w:rsidRDefault="00340325" w:rsidP="00442CB4">
      <w:pPr>
        <w:autoSpaceDE w:val="0"/>
        <w:autoSpaceDN w:val="0"/>
        <w:adjustRightInd w:val="0"/>
        <w:spacing w:after="120" w:line="240" w:lineRule="auto"/>
        <w:jc w:val="both"/>
        <w:rPr>
          <w:rFonts w:cs="Times New Roman"/>
          <w:color w:val="17365D"/>
          <w:szCs w:val="24"/>
        </w:rPr>
      </w:pPr>
      <w:r w:rsidRPr="00A27896">
        <w:rPr>
          <w:rFonts w:cs="Times New Roman"/>
          <w:color w:val="17365D"/>
          <w:szCs w:val="24"/>
        </w:rPr>
        <w:t>www.kase.gov.lv/Pārskati un tāmes/Valsts parāda vadības pārskati/Gada pārskati/202</w:t>
      </w:r>
      <w:r w:rsidR="00245866">
        <w:rPr>
          <w:rFonts w:cs="Times New Roman"/>
          <w:color w:val="17365D"/>
          <w:szCs w:val="24"/>
        </w:rPr>
        <w:t>3</w:t>
      </w:r>
    </w:p>
    <w:p w14:paraId="2AFA0E2B" w14:textId="7EB57049" w:rsidR="00B0423E"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Valsts budžeta finanšu uzskaitē finanšu aktīvu vērtības samazinājumu regulāri pārskata un izvērtē, vai ir objektīvi pierādījumi, kas liecina par iespējamo aplēsto nākotnes naudas plūsmu samazināšanos</w:t>
      </w:r>
      <w:r w:rsidR="005528D1" w:rsidRPr="00A27896">
        <w:rPr>
          <w:rFonts w:cs="Times New Roman"/>
          <w:color w:val="17365D"/>
          <w:szCs w:val="24"/>
        </w:rPr>
        <w:t>,</w:t>
      </w:r>
      <w:r w:rsidRPr="00A27896">
        <w:rPr>
          <w:rFonts w:cs="Times New Roman"/>
          <w:color w:val="17365D"/>
          <w:szCs w:val="24"/>
        </w:rPr>
        <w:t xml:space="preserve"> un vai šo apmēru var ticami novērtēt.</w:t>
      </w:r>
    </w:p>
    <w:p w14:paraId="4966A7EC" w14:textId="2FF81C0D"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Valsts kase ne retāk kā reizi ceturksnī vērtē, vai nav iestājies kredīta ņēmēja kredītriska notikums, tas ir</w:t>
      </w:r>
      <w:r w:rsidR="005528D1" w:rsidRPr="00A27896">
        <w:rPr>
          <w:rFonts w:cs="Times New Roman"/>
          <w:color w:val="17365D"/>
          <w:szCs w:val="24"/>
        </w:rPr>
        <w:t>,</w:t>
      </w:r>
      <w:r w:rsidRPr="00A27896">
        <w:rPr>
          <w:rFonts w:cs="Times New Roman"/>
          <w:color w:val="17365D"/>
          <w:szCs w:val="24"/>
        </w:rPr>
        <w:t xml:space="preserve"> ja tiek konstatēta viena no zemāk minētajām pazīmēm:</w:t>
      </w:r>
    </w:p>
    <w:p w14:paraId="0244F3E3" w14:textId="77777777" w:rsidR="00AB2439" w:rsidRPr="00A27896" w:rsidRDefault="00AB2439"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vāja vai slikta kredītspēja;</w:t>
      </w:r>
    </w:p>
    <w:p w14:paraId="2A4CF534" w14:textId="24BDD646" w:rsidR="00AB2439" w:rsidRPr="00A27896" w:rsidRDefault="00AB2439"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parāds (kredītmaksājumiem nokavēti termiņi vairāk par 5 dienām</w:t>
      </w:r>
      <w:r w:rsidR="007D5CA7" w:rsidRPr="00A27896">
        <w:rPr>
          <w:color w:val="17365D"/>
          <w:sz w:val="24"/>
          <w:szCs w:val="24"/>
        </w:rPr>
        <w:t>,</w:t>
      </w:r>
      <w:r w:rsidRPr="00A27896">
        <w:rPr>
          <w:color w:val="17365D"/>
          <w:sz w:val="24"/>
          <w:szCs w:val="24"/>
        </w:rPr>
        <w:t xml:space="preserve"> vai no iepriekšējiem mēnešiem uzkrāti nodokļu parādi</w:t>
      </w:r>
      <w:r w:rsidR="00350384" w:rsidRPr="00A27896">
        <w:rPr>
          <w:color w:val="17365D"/>
          <w:sz w:val="24"/>
          <w:szCs w:val="24"/>
        </w:rPr>
        <w:t xml:space="preserve"> vai saņemta informācija par kredītu ņēmēju nespēju segt saistības</w:t>
      </w:r>
      <w:r w:rsidRPr="00A27896">
        <w:rPr>
          <w:color w:val="17365D"/>
          <w:sz w:val="24"/>
          <w:szCs w:val="24"/>
        </w:rPr>
        <w:t>);</w:t>
      </w:r>
    </w:p>
    <w:p w14:paraId="65678609" w14:textId="77777777" w:rsidR="00AB2439" w:rsidRPr="00A27896" w:rsidRDefault="00AB2439"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pēdējo divu gadu laikā ir veikta valsts aizdevuma restrukturizācija (atvieglojumu piešķiršana, kuri netiktu izskatīti citos apstākļos);</w:t>
      </w:r>
    </w:p>
    <w:p w14:paraId="4F8DF650" w14:textId="77777777" w:rsidR="00AB2439" w:rsidRPr="00A27896" w:rsidRDefault="00AB2439" w:rsidP="004E5915">
      <w:pPr>
        <w:pStyle w:val="tv2131"/>
        <w:numPr>
          <w:ilvl w:val="0"/>
          <w:numId w:val="10"/>
        </w:numPr>
        <w:spacing w:after="120" w:line="240" w:lineRule="auto"/>
        <w:ind w:left="851"/>
        <w:jc w:val="both"/>
        <w:rPr>
          <w:color w:val="17365D"/>
          <w:sz w:val="24"/>
          <w:szCs w:val="24"/>
        </w:rPr>
      </w:pPr>
      <w:r w:rsidRPr="00A27896">
        <w:rPr>
          <w:color w:val="17365D"/>
          <w:sz w:val="24"/>
          <w:szCs w:val="24"/>
        </w:rPr>
        <w:lastRenderedPageBreak/>
        <w:t>pret kredīta ņēmēju uzsākts Maksātnespējas likumā noteiktais tiesiskās aizsardzības vai maksātnespējas process.</w:t>
      </w:r>
    </w:p>
    <w:p w14:paraId="142F3C3F" w14:textId="70134717"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Valsts aizdevumiem Valsts kase analizē kredītrisku un nosaka atbilstošu vērtības samazinājumu gan noteiktām aizņēmēju grupām, gan katram aizņēmējam individuāli (individuāli vērtējamo aizņēmēju grupā), izvērtējot kredītriska notikumu un nākotnē sagaidāmo naudas plūsmu no valsts aizdevuma</w:t>
      </w:r>
      <w:r w:rsidR="00350384" w:rsidRPr="00A27896">
        <w:rPr>
          <w:rFonts w:cs="Times New Roman"/>
          <w:color w:val="17365D"/>
          <w:szCs w:val="24"/>
        </w:rPr>
        <w:t>, un nepieciešamību veidot uzkrājumus, iespējamās saistības vai uzkrātās saistības valsts aizdevuma un valsts galvotā aizdevuma nemaksāšanas gadījumiem.</w:t>
      </w:r>
    </w:p>
    <w:p w14:paraId="732706EA" w14:textId="77777777"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Valsts aizdevuma vai debitora prasības naudas plūsmas tagadnes vērtību Valsts kase aprēķina, diskontējot nākotnes naudas plūsmu ar efektīvo procentu likmi (spēkā līgumā ar kredīta ņēmēju noteiktā procentu likme, kas ietver aizdevuma, riska un apkalpošanas izmaksu likmi un citas līgumā noteiktās likmes, vai cita konkrētajai situācijai atbilstoša likme).</w:t>
      </w:r>
    </w:p>
    <w:p w14:paraId="3B412A88" w14:textId="77777777" w:rsidR="00AB2439" w:rsidRPr="00A27896" w:rsidRDefault="00AB2439" w:rsidP="00AB2439">
      <w:pPr>
        <w:spacing w:after="120" w:line="240" w:lineRule="auto"/>
        <w:ind w:firstLine="284"/>
        <w:jc w:val="both"/>
        <w:rPr>
          <w:rFonts w:cs="Times New Roman"/>
          <w:color w:val="17365D"/>
          <w:szCs w:val="24"/>
        </w:rPr>
      </w:pPr>
      <w:bookmarkStart w:id="63" w:name="_Ref17724497"/>
      <w:r w:rsidRPr="00A27896">
        <w:rPr>
          <w:rFonts w:cs="Times New Roman"/>
          <w:color w:val="17365D"/>
          <w:szCs w:val="24"/>
        </w:rPr>
        <w:t>Valsts galvotā aizdevuma naudas plūsmas tagadnes vērtību Valsts kase aprēķina, diskontējot valsts galvotā aizdevuma nākotnes naudas plūsmu, piemērojot Valsts kases tīmekļvietnē publicēto attiecīgo diskonta likmi</w:t>
      </w:r>
      <w:bookmarkEnd w:id="63"/>
      <w:r w:rsidRPr="00A27896">
        <w:rPr>
          <w:rFonts w:cs="Times New Roman"/>
          <w:color w:val="17365D"/>
          <w:szCs w:val="24"/>
        </w:rPr>
        <w:t>.</w:t>
      </w:r>
    </w:p>
    <w:p w14:paraId="4E09700F" w14:textId="77777777" w:rsidR="00AB2439" w:rsidRPr="00A27896" w:rsidRDefault="00AB2439" w:rsidP="00AB2439">
      <w:pPr>
        <w:spacing w:after="120" w:line="240" w:lineRule="auto"/>
        <w:ind w:firstLine="284"/>
        <w:jc w:val="both"/>
        <w:rPr>
          <w:rFonts w:cs="Times New Roman"/>
          <w:color w:val="17365D"/>
          <w:szCs w:val="24"/>
        </w:rPr>
      </w:pPr>
      <w:bookmarkStart w:id="64" w:name="_Ref17789568"/>
      <w:r w:rsidRPr="00A27896">
        <w:rPr>
          <w:rFonts w:cs="Times New Roman"/>
          <w:color w:val="17365D"/>
          <w:szCs w:val="24"/>
        </w:rPr>
        <w:t>Valsts kases iekšējos normatīvajos aktos noteikts, ka Valsts kase kredīta ņēmēja kredītspēju izvērtē, ņemot vērā šādus kritērijus, kuriem tiek piešķirts noteikts novērtējums vai noteikts riska līmenis:</w:t>
      </w:r>
      <w:bookmarkEnd w:id="64"/>
    </w:p>
    <w:p w14:paraId="5B1CC252" w14:textId="77777777" w:rsidR="00AB2439" w:rsidRPr="00A27896" w:rsidRDefault="00AB2439"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finanšu rādītāji:</w:t>
      </w:r>
    </w:p>
    <w:p w14:paraId="79579994" w14:textId="77777777" w:rsidR="00AB2439" w:rsidRPr="00A27896" w:rsidRDefault="00AB2439" w:rsidP="004E5915">
      <w:pPr>
        <w:pStyle w:val="Pamatteksts1"/>
        <w:numPr>
          <w:ilvl w:val="1"/>
          <w:numId w:val="20"/>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pašu kapitāla pietiekamības rādītājs;</w:t>
      </w:r>
    </w:p>
    <w:p w14:paraId="30ABC225" w14:textId="77777777" w:rsidR="00AB2439" w:rsidRPr="00A27896" w:rsidRDefault="00AB2439" w:rsidP="004E5915">
      <w:pPr>
        <w:pStyle w:val="Pamatteksts1"/>
        <w:numPr>
          <w:ilvl w:val="1"/>
          <w:numId w:val="20"/>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pelnītspējas / budžeta izpildes rādītājs;</w:t>
      </w:r>
    </w:p>
    <w:p w14:paraId="4843D730" w14:textId="77777777" w:rsidR="00AB2439" w:rsidRPr="00A27896" w:rsidRDefault="00AB2439" w:rsidP="004E5915">
      <w:pPr>
        <w:pStyle w:val="Pamatteksts1"/>
        <w:numPr>
          <w:ilvl w:val="1"/>
          <w:numId w:val="20"/>
        </w:numPr>
        <w:spacing w:after="0"/>
        <w:ind w:left="1134" w:hanging="284"/>
        <w:rPr>
          <w:rFonts w:eastAsiaTheme="minorHAnsi"/>
          <w:noProof w:val="0"/>
          <w:color w:val="17365D"/>
          <w:szCs w:val="22"/>
          <w:lang w:eastAsia="en-US"/>
        </w:rPr>
      </w:pPr>
      <w:r w:rsidRPr="00A27896">
        <w:rPr>
          <w:rFonts w:eastAsiaTheme="minorHAnsi"/>
          <w:noProof w:val="0"/>
          <w:color w:val="17365D"/>
          <w:szCs w:val="22"/>
          <w:lang w:eastAsia="en-US"/>
        </w:rPr>
        <w:t>likviditātes rādītājs;</w:t>
      </w:r>
    </w:p>
    <w:p w14:paraId="6DA32CCB" w14:textId="77777777" w:rsidR="00AB2439" w:rsidRPr="00A27896" w:rsidRDefault="00AB2439" w:rsidP="004E5915">
      <w:pPr>
        <w:pStyle w:val="ListParagraph"/>
        <w:numPr>
          <w:ilvl w:val="0"/>
          <w:numId w:val="8"/>
        </w:numPr>
        <w:spacing w:before="120" w:after="120" w:line="240" w:lineRule="auto"/>
        <w:ind w:left="850" w:hanging="357"/>
        <w:contextualSpacing w:val="0"/>
        <w:jc w:val="both"/>
        <w:rPr>
          <w:rFonts w:cs="Times New Roman"/>
          <w:color w:val="17365D"/>
          <w:szCs w:val="24"/>
        </w:rPr>
      </w:pPr>
      <w:r w:rsidRPr="00A27896">
        <w:rPr>
          <w:rFonts w:cs="Times New Roman"/>
          <w:color w:val="17365D"/>
          <w:szCs w:val="24"/>
        </w:rPr>
        <w:t>kredītvēsture;</w:t>
      </w:r>
    </w:p>
    <w:p w14:paraId="27FA5837" w14:textId="77777777" w:rsidR="00AB2439" w:rsidRPr="00A27896" w:rsidRDefault="00AB2439" w:rsidP="004E5915">
      <w:pPr>
        <w:pStyle w:val="ListParagraph"/>
        <w:numPr>
          <w:ilvl w:val="0"/>
          <w:numId w:val="8"/>
        </w:numPr>
        <w:spacing w:after="120" w:line="240" w:lineRule="auto"/>
        <w:ind w:left="851"/>
        <w:contextualSpacing w:val="0"/>
        <w:jc w:val="both"/>
        <w:rPr>
          <w:rFonts w:cs="Times New Roman"/>
          <w:color w:val="17365D"/>
          <w:szCs w:val="24"/>
        </w:rPr>
      </w:pPr>
      <w:r w:rsidRPr="00A27896">
        <w:rPr>
          <w:rFonts w:cs="Times New Roman"/>
          <w:color w:val="17365D"/>
          <w:szCs w:val="24"/>
        </w:rPr>
        <w:t>biznesa risks.</w:t>
      </w:r>
    </w:p>
    <w:p w14:paraId="4A17022F" w14:textId="15A70684" w:rsidR="00AB2439" w:rsidRPr="00A27896" w:rsidRDefault="00AB2439" w:rsidP="00AB2439">
      <w:pPr>
        <w:spacing w:after="120" w:line="240" w:lineRule="auto"/>
        <w:ind w:firstLine="284"/>
        <w:jc w:val="both"/>
        <w:rPr>
          <w:rFonts w:cs="Times New Roman"/>
          <w:color w:val="17365D"/>
          <w:szCs w:val="24"/>
        </w:rPr>
      </w:pPr>
      <w:bookmarkStart w:id="65" w:name="_Ref19108350"/>
      <w:r w:rsidRPr="00A27896">
        <w:rPr>
          <w:rFonts w:cs="Times New Roman"/>
          <w:color w:val="17365D"/>
          <w:szCs w:val="24"/>
        </w:rPr>
        <w:t>Valsts kase kredīta ņēmēja kredītspējas novērtējuma kategoriju nosaka, ņemot vērā noteikto biznesa riska novērtējumu.</w:t>
      </w:r>
      <w:bookmarkEnd w:id="65"/>
    </w:p>
    <w:p w14:paraId="1D9BE441" w14:textId="79DBF6CF" w:rsidR="00C8779F" w:rsidRPr="00A27896" w:rsidRDefault="009B28A3" w:rsidP="006D6DD7">
      <w:pPr>
        <w:pStyle w:val="Heading3"/>
        <w:ind w:left="567"/>
      </w:pPr>
      <w:r w:rsidRPr="00A27896">
        <w:t>Valsts budžeta finanšu uzskaites finanšu instrumentu r</w:t>
      </w:r>
      <w:r w:rsidR="00BB1FDC" w:rsidRPr="00A27896">
        <w:t>iska ierobež</w:t>
      </w:r>
      <w:r w:rsidR="00C8779F" w:rsidRPr="00A27896">
        <w:t>o</w:t>
      </w:r>
      <w:r w:rsidRPr="00A27896">
        <w:t>šanas uzskaite</w:t>
      </w:r>
    </w:p>
    <w:p w14:paraId="16D15BB3" w14:textId="2E5EE5BB" w:rsidR="009C1E6E" w:rsidRPr="00A27896" w:rsidRDefault="009C1E6E" w:rsidP="009C1E6E">
      <w:pPr>
        <w:spacing w:after="120" w:line="240" w:lineRule="auto"/>
        <w:ind w:firstLine="284"/>
        <w:jc w:val="both"/>
        <w:rPr>
          <w:rFonts w:cs="Times New Roman"/>
          <w:color w:val="17365D"/>
          <w:szCs w:val="24"/>
        </w:rPr>
      </w:pPr>
      <w:r w:rsidRPr="00A27896">
        <w:rPr>
          <w:rFonts w:cs="Times New Roman"/>
          <w:color w:val="17365D"/>
          <w:szCs w:val="24"/>
        </w:rPr>
        <w:t>Valsts kase piemēro riska ierobežošanas uzskaiti, ja riska ierobežošana atbilst V</w:t>
      </w:r>
      <w:r w:rsidR="002D7C41" w:rsidRPr="00A27896">
        <w:rPr>
          <w:rFonts w:cs="Times New Roman"/>
          <w:color w:val="17365D"/>
          <w:szCs w:val="24"/>
        </w:rPr>
        <w:t>alsts kases</w:t>
      </w:r>
      <w:r w:rsidRPr="00A27896">
        <w:rPr>
          <w:rFonts w:cs="Times New Roman"/>
          <w:color w:val="17365D"/>
          <w:szCs w:val="24"/>
        </w:rPr>
        <w:t xml:space="preserve"> stratēģijai un tās mērķiem, ievērojot šādus nosacījumus: </w:t>
      </w:r>
    </w:p>
    <w:p w14:paraId="78B79965" w14:textId="01AB965C" w:rsidR="009C1E6E" w:rsidRPr="00A27896" w:rsidRDefault="009C1E6E"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pirms riska ierobežošanas uzskaites uzsākšanas katram riska ierobežošanas darījumam izstrādā riska</w:t>
      </w:r>
      <w:r w:rsidR="00BB1FDC" w:rsidRPr="00A27896">
        <w:rPr>
          <w:color w:val="17365D"/>
          <w:sz w:val="24"/>
          <w:szCs w:val="24"/>
        </w:rPr>
        <w:t xml:space="preserve"> ierobežošanas dokumentāciju;</w:t>
      </w:r>
    </w:p>
    <w:p w14:paraId="3684C0D0" w14:textId="08B45F8C" w:rsidR="009C1E6E" w:rsidRPr="00A27896" w:rsidRDefault="009C1E6E"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nodrošinātā posteņa patieso vērtību vai naudas plūsmas, kuras attiecināmas uz ierobežoto risku, un riska ierobežošanas instrumenta patieso vērtību var ticami novērtēt;</w:t>
      </w:r>
    </w:p>
    <w:p w14:paraId="1DE5AEA0" w14:textId="379193A2" w:rsidR="009C1E6E" w:rsidRPr="00A27896" w:rsidRDefault="009C1E6E"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riska ierobežošanas efektivitāti atkārtoti novērtē vienu reizi ceturksnī laika periodā, kurā riska ierobežošana ir noteikta. Riska ierobežošanu novērtē kā efektīvu, ja tā atbilst šādiem kritērijiem:</w:t>
      </w:r>
    </w:p>
    <w:p w14:paraId="0F68F968" w14:textId="215D211B" w:rsidR="009C1E6E" w:rsidRPr="00A27896" w:rsidRDefault="009C1E6E" w:rsidP="00146A16">
      <w:pPr>
        <w:pStyle w:val="ListParagraph"/>
        <w:numPr>
          <w:ilvl w:val="0"/>
          <w:numId w:val="23"/>
        </w:numPr>
        <w:spacing w:after="120" w:line="240" w:lineRule="auto"/>
        <w:ind w:left="1134" w:hanging="283"/>
        <w:jc w:val="both"/>
        <w:rPr>
          <w:rFonts w:cs="Times New Roman"/>
          <w:color w:val="17365D"/>
          <w:szCs w:val="24"/>
        </w:rPr>
      </w:pPr>
      <w:r w:rsidRPr="00A27896">
        <w:rPr>
          <w:rFonts w:cs="Times New Roman"/>
          <w:color w:val="17365D"/>
          <w:szCs w:val="24"/>
        </w:rPr>
        <w:t xml:space="preserve">riska ierobežošanas instrumenta patiesās vērtības vai naudas plūsmas izmaiņas </w:t>
      </w:r>
      <w:r w:rsidRPr="00A27896">
        <w:rPr>
          <w:rFonts w:cs="Times New Roman"/>
          <w:color w:val="17365D"/>
        </w:rPr>
        <w:t>kompensē nodrošinātā posteņa patiesās vērtības vai naudas plūsmas izmaiņas, kas</w:t>
      </w:r>
      <w:r w:rsidRPr="00A27896">
        <w:rPr>
          <w:rFonts w:cs="Times New Roman"/>
          <w:color w:val="17365D"/>
          <w:szCs w:val="24"/>
        </w:rPr>
        <w:t xml:space="preserve"> attiecināmas uz ierobežoto risku;</w:t>
      </w:r>
    </w:p>
    <w:p w14:paraId="667AA0CE" w14:textId="6174E6DD" w:rsidR="009C1E6E" w:rsidRPr="00A27896" w:rsidRDefault="009C1E6E" w:rsidP="00146A16">
      <w:pPr>
        <w:pStyle w:val="ListParagraph"/>
        <w:numPr>
          <w:ilvl w:val="0"/>
          <w:numId w:val="23"/>
        </w:numPr>
        <w:spacing w:after="120" w:line="240" w:lineRule="auto"/>
        <w:ind w:left="1134" w:hanging="283"/>
        <w:jc w:val="both"/>
        <w:rPr>
          <w:rFonts w:cs="Times New Roman"/>
          <w:color w:val="17365D"/>
          <w:szCs w:val="24"/>
        </w:rPr>
      </w:pPr>
      <w:r w:rsidRPr="00A27896">
        <w:rPr>
          <w:rFonts w:cs="Times New Roman"/>
          <w:color w:val="17365D"/>
          <w:szCs w:val="24"/>
        </w:rPr>
        <w:t>riska ierobežošanas efektivitātes pakāpe ir 80% līdz 125%, ko aprēķina, attiecinot riska ierobežošanas instrumenta patiesās vērtības vai naudas plūsmas izmaiņas pret nodrošinātā posteņa patiesās vērtības vai naudas plūsmas izmaiņām.</w:t>
      </w:r>
    </w:p>
    <w:p w14:paraId="1EBD79DB" w14:textId="77777777" w:rsidR="00895EC5" w:rsidRPr="00A27896" w:rsidRDefault="006D6DD7" w:rsidP="00895EC5">
      <w:pPr>
        <w:spacing w:after="120" w:line="240" w:lineRule="auto"/>
        <w:ind w:firstLine="284"/>
        <w:jc w:val="both"/>
        <w:rPr>
          <w:rFonts w:cs="Times New Roman"/>
          <w:color w:val="17365D"/>
          <w:szCs w:val="24"/>
        </w:rPr>
      </w:pPr>
      <w:r w:rsidRPr="00A27896">
        <w:rPr>
          <w:rFonts w:cs="Times New Roman"/>
          <w:color w:val="17365D"/>
          <w:szCs w:val="24"/>
        </w:rPr>
        <w:t xml:space="preserve">Valsts kase </w:t>
      </w:r>
      <w:r w:rsidR="00932FA7" w:rsidRPr="00A27896">
        <w:rPr>
          <w:rFonts w:cs="Times New Roman"/>
          <w:color w:val="17365D"/>
          <w:szCs w:val="24"/>
        </w:rPr>
        <w:t xml:space="preserve">valsts budžeta finanšu uzskaitē </w:t>
      </w:r>
      <w:r w:rsidRPr="00A27896">
        <w:rPr>
          <w:rFonts w:cs="Times New Roman"/>
          <w:color w:val="17365D"/>
          <w:szCs w:val="24"/>
        </w:rPr>
        <w:t>piemēro na</w:t>
      </w:r>
      <w:r w:rsidR="00932FA7" w:rsidRPr="00A27896">
        <w:rPr>
          <w:rFonts w:cs="Times New Roman"/>
          <w:color w:val="17365D"/>
          <w:szCs w:val="24"/>
        </w:rPr>
        <w:t>udas plūsmas riska ierobežošanu. N</w:t>
      </w:r>
      <w:r w:rsidRPr="00A27896">
        <w:rPr>
          <w:rFonts w:cs="Times New Roman"/>
          <w:color w:val="17365D"/>
          <w:szCs w:val="24"/>
        </w:rPr>
        <w:t>au</w:t>
      </w:r>
      <w:r w:rsidR="00932FA7" w:rsidRPr="00A27896">
        <w:rPr>
          <w:rFonts w:cs="Times New Roman"/>
          <w:color w:val="17365D"/>
          <w:szCs w:val="24"/>
        </w:rPr>
        <w:t xml:space="preserve">das plūsmas riska ierobežošana ir </w:t>
      </w:r>
      <w:r w:rsidRPr="00A27896">
        <w:rPr>
          <w:rFonts w:cs="Times New Roman"/>
          <w:color w:val="17365D"/>
          <w:szCs w:val="24"/>
        </w:rPr>
        <w:t xml:space="preserve">naudas plūsmu mainības riska ierobežošana, kas ir attiecināma uz atsevišķu risku, kas saistīts ar atzītu aktīvu vai saistībām (tādu kā visi vai daži mainīgas likmes </w:t>
      </w:r>
      <w:r w:rsidRPr="00A27896">
        <w:rPr>
          <w:rFonts w:cs="Times New Roman"/>
          <w:color w:val="17365D"/>
          <w:szCs w:val="24"/>
        </w:rPr>
        <w:lastRenderedPageBreak/>
        <w:t>parāda nākotnes procentu maksājumi) vai ļoti ticami prognozētu darījumu, un var ietekmēt valsts budžeta finanšu uzskaites ieņēmumus vai izdevumus.</w:t>
      </w:r>
      <w:r w:rsidR="00895EC5" w:rsidRPr="00A27896">
        <w:rPr>
          <w:rFonts w:cs="Times New Roman"/>
          <w:color w:val="17365D"/>
          <w:szCs w:val="24"/>
        </w:rPr>
        <w:t xml:space="preserve"> </w:t>
      </w:r>
    </w:p>
    <w:p w14:paraId="216C2CAA" w14:textId="10AE538A" w:rsidR="00442CB4" w:rsidRPr="00A27896" w:rsidRDefault="008B5A68" w:rsidP="00BF4C61">
      <w:pPr>
        <w:pStyle w:val="CommentText"/>
        <w:spacing w:after="120" w:line="240" w:lineRule="auto"/>
        <w:jc w:val="both"/>
        <w:rPr>
          <w:color w:val="17365D"/>
          <w:sz w:val="24"/>
          <w:szCs w:val="24"/>
        </w:rPr>
      </w:pPr>
      <w:r w:rsidRPr="00A27896">
        <w:rPr>
          <w:rFonts w:cs="Times New Roman"/>
          <w:color w:val="17365D"/>
          <w:sz w:val="24"/>
          <w:szCs w:val="24"/>
        </w:rPr>
        <w:t xml:space="preserve">Valsts kase </w:t>
      </w:r>
      <w:r w:rsidR="00EA5097">
        <w:rPr>
          <w:rFonts w:cs="Times New Roman"/>
          <w:color w:val="17365D"/>
          <w:sz w:val="24"/>
          <w:szCs w:val="24"/>
        </w:rPr>
        <w:t xml:space="preserve">2023.gadā par </w:t>
      </w:r>
      <w:r w:rsidRPr="00A27896">
        <w:rPr>
          <w:rFonts w:cs="Times New Roman"/>
          <w:color w:val="17365D"/>
          <w:sz w:val="24"/>
          <w:szCs w:val="24"/>
        </w:rPr>
        <w:t>riska ierobežošanas instrumentu</w:t>
      </w:r>
      <w:r w:rsidR="00EA5097" w:rsidRPr="00EA5097">
        <w:rPr>
          <w:rFonts w:cs="Times New Roman"/>
          <w:color w:val="17365D"/>
          <w:sz w:val="24"/>
          <w:szCs w:val="24"/>
        </w:rPr>
        <w:t xml:space="preserve"> </w:t>
      </w:r>
      <w:r w:rsidR="00EA5097" w:rsidRPr="00A27896">
        <w:rPr>
          <w:rFonts w:cs="Times New Roman"/>
          <w:color w:val="17365D"/>
          <w:sz w:val="24"/>
          <w:szCs w:val="24"/>
        </w:rPr>
        <w:t>noteikusi</w:t>
      </w:r>
      <w:r w:rsidR="00EA5097">
        <w:rPr>
          <w:color w:val="17365D"/>
          <w:sz w:val="24"/>
          <w:szCs w:val="24"/>
        </w:rPr>
        <w:t xml:space="preserve"> </w:t>
      </w:r>
      <w:r w:rsidR="00442CB4" w:rsidRPr="00A27896">
        <w:rPr>
          <w:color w:val="17365D"/>
          <w:sz w:val="24"/>
          <w:szCs w:val="24"/>
        </w:rPr>
        <w:t>procentu likmju mijmaiņas darījum</w:t>
      </w:r>
      <w:r w:rsidR="002C6A05">
        <w:rPr>
          <w:color w:val="17365D"/>
          <w:sz w:val="24"/>
          <w:szCs w:val="24"/>
        </w:rPr>
        <w:t>u</w:t>
      </w:r>
      <w:r w:rsidR="00272A58" w:rsidRPr="00A27896">
        <w:rPr>
          <w:color w:val="17365D"/>
          <w:sz w:val="24"/>
          <w:szCs w:val="24"/>
        </w:rPr>
        <w:t xml:space="preserve"> </w:t>
      </w:r>
      <w:r w:rsidR="00772BF4" w:rsidRPr="00A27896">
        <w:rPr>
          <w:color w:val="17365D"/>
          <w:sz w:val="24"/>
          <w:szCs w:val="24"/>
        </w:rPr>
        <w:t>(</w:t>
      </w:r>
      <w:r w:rsidR="00272A58" w:rsidRPr="00A27896">
        <w:rPr>
          <w:color w:val="17365D"/>
          <w:sz w:val="24"/>
          <w:szCs w:val="24"/>
        </w:rPr>
        <w:t>IRS</w:t>
      </w:r>
      <w:r w:rsidR="00772BF4" w:rsidRPr="00A27896">
        <w:rPr>
          <w:color w:val="17365D"/>
          <w:sz w:val="24"/>
          <w:szCs w:val="24"/>
        </w:rPr>
        <w:t>)</w:t>
      </w:r>
      <w:r w:rsidR="009A3447">
        <w:rPr>
          <w:color w:val="17365D"/>
          <w:sz w:val="24"/>
          <w:szCs w:val="24"/>
        </w:rPr>
        <w:t>, pārskata gadā</w:t>
      </w:r>
      <w:r w:rsidR="009A3447" w:rsidRPr="009A3447">
        <w:rPr>
          <w:color w:val="17365D"/>
          <w:sz w:val="24"/>
          <w:szCs w:val="24"/>
        </w:rPr>
        <w:t xml:space="preserve"> pēdējais no iepriekšējos gados noslēgtiem IRS darījumiem sešus mēnešus pirms termiņa beigām tika izslēgts no riska ierobežošanas uzskaites, jo postenis (aizņēmums no Ziemeļu Investīciju bankas), kam bija piesaistīts IRS, tika pirmstermiņā atmaksāts, kā arī Valsts kase nav slēgusi jaunus darījumus valsts parāda procentu likmju riska ierobežošanai.</w:t>
      </w:r>
    </w:p>
    <w:p w14:paraId="66BAB93C" w14:textId="5337174D" w:rsidR="00F169CA" w:rsidRPr="00A27896" w:rsidRDefault="00F169CA" w:rsidP="00BF4C61">
      <w:pPr>
        <w:spacing w:after="120" w:line="240" w:lineRule="auto"/>
        <w:jc w:val="both"/>
        <w:rPr>
          <w:color w:val="17365D"/>
          <w:szCs w:val="24"/>
        </w:rPr>
      </w:pPr>
      <w:r w:rsidRPr="00A27896">
        <w:rPr>
          <w:color w:val="17365D"/>
          <w:szCs w:val="24"/>
        </w:rPr>
        <w:t>Valsts kases</w:t>
      </w:r>
      <w:r w:rsidR="00772BF4" w:rsidRPr="00A27896">
        <w:rPr>
          <w:color w:val="17365D"/>
          <w:szCs w:val="24"/>
        </w:rPr>
        <w:t xml:space="preserve"> finanšu instrumentu riska ierobežošanas pārvaldība</w:t>
      </w:r>
      <w:r w:rsidRPr="00A27896">
        <w:rPr>
          <w:color w:val="17365D"/>
          <w:szCs w:val="24"/>
        </w:rPr>
        <w:t xml:space="preserve"> ir saistīta ar šādiem finanšu riskiem:</w:t>
      </w:r>
    </w:p>
    <w:p w14:paraId="68A7BDF4" w14:textId="01914DD2" w:rsidR="00772BF4" w:rsidRPr="00A27896" w:rsidRDefault="00772BF4"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ārvalstu valūtas risks;</w:t>
      </w:r>
    </w:p>
    <w:p w14:paraId="6B6A48DA" w14:textId="77777777" w:rsidR="00895EC5" w:rsidRPr="00A27896" w:rsidRDefault="00772BF4"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procentu likmju risks.</w:t>
      </w:r>
    </w:p>
    <w:p w14:paraId="31FD6F24" w14:textId="100A0469" w:rsidR="0060113E" w:rsidRDefault="00CB3BE2" w:rsidP="0060113E">
      <w:pPr>
        <w:spacing w:after="120" w:line="240" w:lineRule="auto"/>
        <w:ind w:firstLine="284"/>
        <w:jc w:val="both"/>
        <w:rPr>
          <w:rFonts w:cs="Times New Roman"/>
          <w:color w:val="17365D"/>
          <w:szCs w:val="24"/>
        </w:rPr>
      </w:pPr>
      <w:r w:rsidRPr="00A27896">
        <w:rPr>
          <w:rFonts w:cs="Times New Roman"/>
          <w:color w:val="17365D"/>
          <w:szCs w:val="24"/>
        </w:rPr>
        <w:t>Procentu likmju risks tiek vadīts, nosakot optimālo parāda apkalpošanas izmaksu un izmaksu pieauguma riska līdzsvaru, nosakot procentu likmju vidējo svērto fiksēto periodu (gados), tas ir</w:t>
      </w:r>
      <w:r w:rsidR="00D50D19" w:rsidRPr="00A27896">
        <w:rPr>
          <w:rFonts w:cs="Times New Roman"/>
          <w:color w:val="17365D"/>
          <w:szCs w:val="24"/>
        </w:rPr>
        <w:t xml:space="preserve"> </w:t>
      </w:r>
      <w:r w:rsidR="0060113E" w:rsidRPr="00A27896">
        <w:rPr>
          <w:rFonts w:cs="Times New Roman"/>
          <w:i/>
          <w:color w:val="17365D"/>
          <w:szCs w:val="24"/>
        </w:rPr>
        <w:t>d</w:t>
      </w:r>
      <w:r w:rsidRPr="00A27896">
        <w:rPr>
          <w:rFonts w:cs="Times New Roman"/>
          <w:i/>
          <w:color w:val="17365D"/>
          <w:szCs w:val="24"/>
        </w:rPr>
        <w:t>uration</w:t>
      </w:r>
      <w:r w:rsidRPr="00A27896">
        <w:rPr>
          <w:rFonts w:cs="Times New Roman"/>
          <w:color w:val="17365D"/>
          <w:szCs w:val="24"/>
        </w:rPr>
        <w:t xml:space="preserve"> rādītāju. </w:t>
      </w:r>
      <w:r w:rsidR="00D51DAD" w:rsidRPr="00A27896">
        <w:rPr>
          <w:rFonts w:cs="Times New Roman"/>
          <w:color w:val="17365D"/>
          <w:szCs w:val="24"/>
        </w:rPr>
        <w:t>R</w:t>
      </w:r>
      <w:r w:rsidR="0060113E" w:rsidRPr="00A27896">
        <w:rPr>
          <w:rFonts w:cs="Times New Roman"/>
          <w:color w:val="17365D"/>
          <w:szCs w:val="24"/>
        </w:rPr>
        <w:t>iska ierobežošanas uzskait</w:t>
      </w:r>
      <w:r w:rsidR="00D51DAD" w:rsidRPr="00A27896">
        <w:rPr>
          <w:rFonts w:cs="Times New Roman"/>
          <w:color w:val="17365D"/>
          <w:szCs w:val="24"/>
        </w:rPr>
        <w:t>ē</w:t>
      </w:r>
      <w:r w:rsidR="0060113E" w:rsidRPr="00A27896">
        <w:rPr>
          <w:rFonts w:cs="Times New Roman"/>
          <w:color w:val="17365D"/>
          <w:szCs w:val="24"/>
        </w:rPr>
        <w:t xml:space="preserve"> pret risku nodrošinātais postenis tiek konkretizēts</w:t>
      </w:r>
      <w:r w:rsidR="001E0A61">
        <w:rPr>
          <w:rFonts w:cs="Times New Roman"/>
          <w:color w:val="17365D"/>
          <w:szCs w:val="24"/>
        </w:rPr>
        <w:t>,</w:t>
      </w:r>
      <w:r w:rsidR="0060113E" w:rsidRPr="00A27896">
        <w:rPr>
          <w:rFonts w:cs="Times New Roman"/>
          <w:color w:val="17365D"/>
          <w:szCs w:val="24"/>
        </w:rPr>
        <w:t xml:space="preserve"> piesaistot IRS konkrētā aizņēmuma ar mainīgo procentu likmi naudas plūsmai.</w:t>
      </w:r>
    </w:p>
    <w:p w14:paraId="0D0C97D9" w14:textId="77777777" w:rsidR="00E01689" w:rsidRPr="00A27896" w:rsidRDefault="00E01689" w:rsidP="00E01689">
      <w:pPr>
        <w:pStyle w:val="Pamatteksts1"/>
        <w:rPr>
          <w:rFonts w:eastAsiaTheme="minorHAnsi"/>
          <w:b/>
          <w:noProof w:val="0"/>
          <w:color w:val="17365D"/>
          <w:szCs w:val="22"/>
          <w:lang w:eastAsia="en-US"/>
        </w:rPr>
      </w:pPr>
      <w:r w:rsidRPr="00A27896">
        <w:rPr>
          <w:rFonts w:eastAsiaTheme="minorHAnsi"/>
          <w:b/>
          <w:noProof w:val="0"/>
          <w:color w:val="17365D"/>
          <w:szCs w:val="22"/>
          <w:lang w:eastAsia="en-US"/>
        </w:rPr>
        <w:t>Valsts budžeta finanšu uzskaitē izmantoto atvasināto finanšu instrumentu maksimālā pakļautība kredītriskam</w:t>
      </w:r>
    </w:p>
    <w:p w14:paraId="372A20A5" w14:textId="77777777" w:rsidR="00E01689" w:rsidRPr="00A27896" w:rsidRDefault="00E01689" w:rsidP="00927CDF">
      <w:pPr>
        <w:pStyle w:val="Pamatteksts1"/>
        <w:rPr>
          <w:rFonts w:eastAsiaTheme="minorHAnsi"/>
          <w:noProof w:val="0"/>
          <w:color w:val="17365D"/>
          <w:lang w:eastAsia="en-US"/>
        </w:rPr>
      </w:pPr>
      <w:r w:rsidRPr="00A27896">
        <w:rPr>
          <w:rFonts w:eastAsiaTheme="minorHAnsi"/>
          <w:noProof w:val="0"/>
          <w:color w:val="17365D"/>
          <w:lang w:eastAsia="en-US"/>
        </w:rPr>
        <w:t xml:space="preserve">Attiecībā uz noslēgtajiem atvasināto finanšu instrumentu darījumiem pastāv partnerpuses kredītrisks – ka darījumu partneris nepildīs savas saistības, līdz ar to radot darījumu pārtraukšanas izdevumus (darījumu izbeigšanas brīdī). Valsts parāda un naudas līdzekļu vadības stratēģijā finanšu risku vadībā ir izvirzīts uzdevums partnerpušu kredītriska novērtēšanu veikt pamatojoties uz kredītreitingu un citiem starptautiskajā finanšu vadības praksē pielietotajiem riska novērtēšanas kritērijiem. Partnerpuses kredītriska vadības kritēriji ir noteikti Valsts kases iekšējos noteikumos. </w:t>
      </w:r>
    </w:p>
    <w:p w14:paraId="66333859" w14:textId="77777777" w:rsidR="00E01689" w:rsidRPr="00A27896" w:rsidRDefault="00E01689" w:rsidP="00927CDF">
      <w:pPr>
        <w:pStyle w:val="Pamatteksts1"/>
        <w:rPr>
          <w:rFonts w:eastAsiaTheme="minorHAnsi"/>
          <w:noProof w:val="0"/>
          <w:color w:val="17365D"/>
          <w:lang w:eastAsia="en-US"/>
        </w:rPr>
      </w:pPr>
      <w:r w:rsidRPr="00A27896">
        <w:rPr>
          <w:rFonts w:eastAsiaTheme="minorHAnsi"/>
          <w:noProof w:val="0"/>
          <w:color w:val="17365D"/>
          <w:lang w:eastAsia="en-US"/>
        </w:rPr>
        <w:t xml:space="preserve">Partnerpušu kredītrisku vada saskaņā ar Valsts kases iekšējiem noteikumiem, nosakot ieguldījumu struktūras ierobežojumus. Nosaka un uzrauga partnerpusēm pieļaujamos darījumu veidus, darījumu apjoma un termiņa limitus un kredītreitinga kategorijas limitus. </w:t>
      </w:r>
    </w:p>
    <w:p w14:paraId="5605A970" w14:textId="77777777" w:rsidR="00E01689" w:rsidRPr="00A27896" w:rsidRDefault="00E01689" w:rsidP="00927CDF">
      <w:pPr>
        <w:pStyle w:val="Pamatteksts1"/>
        <w:rPr>
          <w:rFonts w:eastAsiaTheme="minorHAnsi"/>
          <w:noProof w:val="0"/>
          <w:color w:val="17365D"/>
          <w:lang w:eastAsia="en-US"/>
        </w:rPr>
      </w:pPr>
      <w:r w:rsidRPr="00A27896">
        <w:rPr>
          <w:rFonts w:eastAsiaTheme="minorHAnsi"/>
          <w:noProof w:val="0"/>
          <w:color w:val="17365D"/>
          <w:lang w:eastAsia="en-US"/>
        </w:rPr>
        <w:t>Partnerpuses kredītriska ierobežošanai, izdevīgāku atvasināto finanšu instrumentu darījumu nosacījumu nodrošināšanai, partnerpušu loka paplašināšanai un sadarbības apjomu paaugstināšanai pieļaujama līgumu un attiecīgu darījumu slēgšana, kas paredz garantijas nodrošinājumu, vienlaikus ievērojot likviditātes vadības prasības.</w:t>
      </w:r>
    </w:p>
    <w:p w14:paraId="3242183D" w14:textId="35616C9F" w:rsidR="00E01689" w:rsidRPr="00A27896" w:rsidRDefault="00E01689" w:rsidP="00927CDF">
      <w:pPr>
        <w:pStyle w:val="Pamatteksts1"/>
        <w:rPr>
          <w:rFonts w:eastAsiaTheme="minorHAnsi"/>
          <w:noProof w:val="0"/>
          <w:color w:val="17365D"/>
          <w:lang w:eastAsia="en-US"/>
        </w:rPr>
      </w:pPr>
      <w:r w:rsidRPr="00A27896">
        <w:rPr>
          <w:rFonts w:eastAsiaTheme="minorHAnsi"/>
          <w:noProof w:val="0"/>
          <w:color w:val="17365D"/>
          <w:lang w:eastAsia="en-US"/>
        </w:rPr>
        <w:t>202</w:t>
      </w:r>
      <w:r w:rsidR="00245866">
        <w:rPr>
          <w:rFonts w:eastAsiaTheme="minorHAnsi"/>
          <w:noProof w:val="0"/>
          <w:color w:val="17365D"/>
          <w:lang w:eastAsia="en-US"/>
        </w:rPr>
        <w:t>3</w:t>
      </w:r>
      <w:r w:rsidRPr="00A27896">
        <w:rPr>
          <w:rFonts w:eastAsiaTheme="minorHAnsi"/>
          <w:noProof w:val="0"/>
          <w:color w:val="17365D"/>
          <w:lang w:eastAsia="en-US"/>
        </w:rPr>
        <w:t xml:space="preserve">. gadā atvasināto finanšu instrumentu atmaksa nav bijusi kavēta. </w:t>
      </w:r>
    </w:p>
    <w:p w14:paraId="6FBB947F" w14:textId="66A278B5" w:rsidR="00AB2439" w:rsidRPr="00A27896" w:rsidRDefault="00AB2439" w:rsidP="00FD10CC">
      <w:pPr>
        <w:pStyle w:val="Heading3"/>
      </w:pPr>
      <w:r w:rsidRPr="00A27896">
        <w:t xml:space="preserve">Rīgas </w:t>
      </w:r>
      <w:r w:rsidR="00442CB4" w:rsidRPr="00A27896">
        <w:t>valsts</w:t>
      </w:r>
      <w:r w:rsidRPr="00A27896">
        <w:t xml:space="preserve">pilsētas pašvaldības finanšu instrumentu risku pārvaldīšana </w:t>
      </w:r>
    </w:p>
    <w:p w14:paraId="0A3CBAA9" w14:textId="336BFF36"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Rīgas </w:t>
      </w:r>
      <w:r w:rsidR="00D341F3" w:rsidRPr="00A27896">
        <w:rPr>
          <w:rFonts w:cs="Times New Roman"/>
          <w:color w:val="17365D"/>
          <w:szCs w:val="24"/>
        </w:rPr>
        <w:t>valsts</w:t>
      </w:r>
      <w:r w:rsidRPr="00A27896">
        <w:rPr>
          <w:rFonts w:cs="Times New Roman"/>
          <w:color w:val="17365D"/>
          <w:szCs w:val="24"/>
        </w:rPr>
        <w:t xml:space="preserve">pilsētas pašvaldība finanšu instrumentu risku pārvaldību uzskata par neatņemamu pašvaldības finanšu darbības sastāvdaļu, īstenojot savu parādsaistību vadību, kura tiek veikta </w:t>
      </w:r>
      <w:r w:rsidR="00AA1885" w:rsidRPr="00AA1885">
        <w:rPr>
          <w:rFonts w:cs="Times New Roman"/>
          <w:color w:val="17365D"/>
          <w:szCs w:val="24"/>
        </w:rPr>
        <w:t xml:space="preserve">ievērojot </w:t>
      </w:r>
      <w:r w:rsidR="00AA1885">
        <w:rPr>
          <w:rFonts w:cs="Times New Roman"/>
          <w:color w:val="17365D"/>
          <w:szCs w:val="24"/>
        </w:rPr>
        <w:t>p</w:t>
      </w:r>
      <w:r w:rsidRPr="00A27896">
        <w:rPr>
          <w:rFonts w:cs="Times New Roman"/>
          <w:color w:val="17365D"/>
          <w:szCs w:val="24"/>
        </w:rPr>
        <w:t>ašvaldības aizņēmumu, galvojumu un citu ilgtermiņa saistību vadības stratēģij</w:t>
      </w:r>
      <w:r w:rsidR="00AA1885">
        <w:rPr>
          <w:rFonts w:cs="Times New Roman"/>
          <w:color w:val="17365D"/>
          <w:szCs w:val="24"/>
        </w:rPr>
        <w:t>u</w:t>
      </w:r>
      <w:r w:rsidRPr="00A27896">
        <w:rPr>
          <w:rFonts w:cs="Times New Roman"/>
          <w:color w:val="17365D"/>
          <w:szCs w:val="24"/>
        </w:rPr>
        <w:t xml:space="preserve"> 20</w:t>
      </w:r>
      <w:r w:rsidR="00AA1885">
        <w:rPr>
          <w:rFonts w:cs="Times New Roman"/>
          <w:color w:val="17365D"/>
          <w:szCs w:val="24"/>
        </w:rPr>
        <w:t>23</w:t>
      </w:r>
      <w:r w:rsidRPr="00A27896">
        <w:rPr>
          <w:rFonts w:cs="Times New Roman"/>
          <w:color w:val="17365D"/>
          <w:szCs w:val="24"/>
        </w:rPr>
        <w:t>.</w:t>
      </w:r>
      <w:r w:rsidR="000F552B">
        <w:rPr>
          <w:rFonts w:cs="Times New Roman"/>
          <w:color w:val="17365D"/>
          <w:szCs w:val="24"/>
        </w:rPr>
        <w:t xml:space="preserve"> </w:t>
      </w:r>
      <w:r w:rsidR="00905AEC" w:rsidRPr="00A27896">
        <w:rPr>
          <w:rFonts w:cs="Times New Roman"/>
          <w:color w:val="17365D"/>
          <w:szCs w:val="24"/>
        </w:rPr>
        <w:t>–</w:t>
      </w:r>
      <w:r w:rsidR="000F552B">
        <w:rPr>
          <w:rFonts w:cs="Times New Roman"/>
          <w:color w:val="17365D"/>
          <w:szCs w:val="24"/>
        </w:rPr>
        <w:t xml:space="preserve"> </w:t>
      </w:r>
      <w:r w:rsidR="003F12DE" w:rsidRPr="00A27896">
        <w:rPr>
          <w:rFonts w:cs="Times New Roman"/>
          <w:color w:val="17365D"/>
          <w:szCs w:val="24"/>
        </w:rPr>
        <w:t>202</w:t>
      </w:r>
      <w:r w:rsidR="00AA1885">
        <w:rPr>
          <w:rFonts w:cs="Times New Roman"/>
          <w:color w:val="17365D"/>
          <w:szCs w:val="24"/>
        </w:rPr>
        <w:t>7</w:t>
      </w:r>
      <w:r w:rsidR="003F12DE" w:rsidRPr="00A27896">
        <w:rPr>
          <w:rFonts w:cs="Times New Roman"/>
          <w:color w:val="17365D"/>
          <w:szCs w:val="24"/>
        </w:rPr>
        <w:t>. gad</w:t>
      </w:r>
      <w:r w:rsidRPr="00A27896">
        <w:rPr>
          <w:rFonts w:cs="Times New Roman"/>
          <w:color w:val="17365D"/>
          <w:szCs w:val="24"/>
        </w:rPr>
        <w:t xml:space="preserve">am (turpmāk – Rīgas </w:t>
      </w:r>
      <w:r w:rsidR="00751073" w:rsidRPr="00A27896">
        <w:rPr>
          <w:rFonts w:cs="Times New Roman"/>
          <w:color w:val="17365D"/>
          <w:szCs w:val="24"/>
        </w:rPr>
        <w:t>valsts</w:t>
      </w:r>
      <w:r w:rsidRPr="00A27896">
        <w:rPr>
          <w:rFonts w:cs="Times New Roman"/>
          <w:color w:val="17365D"/>
          <w:szCs w:val="24"/>
        </w:rPr>
        <w:t>pilsētas</w:t>
      </w:r>
      <w:r w:rsidR="00EA0E40" w:rsidRPr="00A27896">
        <w:rPr>
          <w:rFonts w:cs="Times New Roman"/>
          <w:color w:val="17365D"/>
          <w:szCs w:val="24"/>
        </w:rPr>
        <w:t xml:space="preserve"> pašvaldības</w:t>
      </w:r>
      <w:r w:rsidRPr="00A27896">
        <w:rPr>
          <w:rFonts w:cs="Times New Roman"/>
          <w:color w:val="17365D"/>
          <w:szCs w:val="24"/>
        </w:rPr>
        <w:t xml:space="preserve"> stratēģija).</w:t>
      </w:r>
    </w:p>
    <w:p w14:paraId="677B3AC4" w14:textId="32FF4F43" w:rsidR="00627188"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Saskaņā ar Rīgas </w:t>
      </w:r>
      <w:r w:rsidR="00751073" w:rsidRPr="00A27896">
        <w:rPr>
          <w:rFonts w:cs="Times New Roman"/>
          <w:color w:val="17365D"/>
          <w:szCs w:val="24"/>
        </w:rPr>
        <w:t>valsts</w:t>
      </w:r>
      <w:r w:rsidRPr="00A27896">
        <w:rPr>
          <w:rFonts w:cs="Times New Roman"/>
          <w:color w:val="17365D"/>
          <w:szCs w:val="24"/>
        </w:rPr>
        <w:t>pilsētas pašvaldības stratēģiju, pašvaldības parāda portfeļa vadība ir piesardzīga, orientēta uz finanšu risku ierobežošanu un novēršanu, pieļaujot stratēģijā noteikto atvasināto finanšu instrumentu izmantošanu vienīgi finanšu risku nodrošināšanai.</w:t>
      </w:r>
    </w:p>
    <w:p w14:paraId="2D2FA3CA" w14:textId="4107F172" w:rsidR="00627188" w:rsidRPr="00A27896" w:rsidRDefault="00627188" w:rsidP="00627188">
      <w:pPr>
        <w:spacing w:after="120" w:line="240" w:lineRule="auto"/>
        <w:ind w:firstLine="284"/>
        <w:jc w:val="both"/>
        <w:rPr>
          <w:rFonts w:cs="Times New Roman"/>
          <w:color w:val="17365D"/>
          <w:szCs w:val="24"/>
        </w:rPr>
      </w:pPr>
      <w:r w:rsidRPr="00A27896">
        <w:rPr>
          <w:rFonts w:cs="Times New Roman"/>
          <w:color w:val="17365D"/>
          <w:szCs w:val="24"/>
        </w:rPr>
        <w:t>Pašvaldības īstenotā finanšu resursu vadība 202</w:t>
      </w:r>
      <w:r w:rsidR="00245866">
        <w:rPr>
          <w:rFonts w:cs="Times New Roman"/>
          <w:color w:val="17365D"/>
          <w:szCs w:val="24"/>
        </w:rPr>
        <w:t>3</w:t>
      </w:r>
      <w:r w:rsidRPr="00A27896">
        <w:rPr>
          <w:rFonts w:cs="Times New Roman"/>
          <w:color w:val="17365D"/>
          <w:szCs w:val="24"/>
        </w:rPr>
        <w:t xml:space="preserve">. gadā nodrošināja budžeta un piesaistīto finanšu resursu taupīgu un racionālu izmantošanu. Rīgas </w:t>
      </w:r>
      <w:r w:rsidR="00751073" w:rsidRPr="00A27896">
        <w:rPr>
          <w:rFonts w:cs="Times New Roman"/>
          <w:color w:val="17365D"/>
          <w:szCs w:val="24"/>
        </w:rPr>
        <w:t>valsts</w:t>
      </w:r>
      <w:r w:rsidRPr="00A27896">
        <w:rPr>
          <w:rFonts w:cs="Times New Roman"/>
          <w:color w:val="17365D"/>
          <w:szCs w:val="24"/>
        </w:rPr>
        <w:t>pilsētas pašvaldības stratēģijas ietvaros tika turpināta iepriekšējos gados īstenotā kredītu procentu riska samazināšanas politika, nodrošinot aizņēmumu apkalpošanas maksājumu stabilitāti.</w:t>
      </w:r>
    </w:p>
    <w:p w14:paraId="56D195DF" w14:textId="70766983" w:rsidR="00AB2439" w:rsidRPr="00A27896" w:rsidRDefault="00627188" w:rsidP="00627188">
      <w:pPr>
        <w:spacing w:after="120" w:line="240" w:lineRule="auto"/>
        <w:ind w:firstLine="284"/>
        <w:jc w:val="both"/>
        <w:rPr>
          <w:rFonts w:cs="Times New Roman"/>
          <w:color w:val="17365D"/>
          <w:szCs w:val="24"/>
        </w:rPr>
      </w:pPr>
      <w:r w:rsidRPr="00A27896">
        <w:rPr>
          <w:rFonts w:cs="Times New Roman"/>
          <w:color w:val="17365D"/>
          <w:szCs w:val="24"/>
        </w:rPr>
        <w:t xml:space="preserve">Ilgtermiņa saistību portfeļa vadība dod iespēju Rīgas valstspilsētas pašvaldībai koriģēt parāda portfeļa struktūru gan ņemot jaunus vai pārjaunojot esošos aizņēmumus, gan izmantojot budžeta </w:t>
      </w:r>
      <w:r w:rsidRPr="00A27896">
        <w:rPr>
          <w:rFonts w:cs="Times New Roman"/>
          <w:color w:val="17365D"/>
          <w:szCs w:val="24"/>
        </w:rPr>
        <w:lastRenderedPageBreak/>
        <w:t>vadības iespējas, kā arī nepieciešamības gadījumā izmantojot stratēģijā atļautos atvasinātos finanšu instrumentus. Tādā veidā tiek nodrošinot pašvaldības ilgtermiņa saistību portfeļa optimālā struktūra, kas nerada neprognozējamu slogu budžetam, un atbilst Rīgas valstspilsētas pašvaldības ilgtermiņa saistību vadības stratēģijā noteiktajiem parāda struktūras rādītājiem.</w:t>
      </w:r>
    </w:p>
    <w:p w14:paraId="416F79DB" w14:textId="3B8D8BB6"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Rīgas </w:t>
      </w:r>
      <w:r w:rsidR="00751073" w:rsidRPr="00A27896">
        <w:rPr>
          <w:rFonts w:cs="Times New Roman"/>
          <w:color w:val="17365D"/>
          <w:szCs w:val="24"/>
        </w:rPr>
        <w:t>valsts</w:t>
      </w:r>
      <w:r w:rsidRPr="00A27896">
        <w:rPr>
          <w:rFonts w:cs="Times New Roman"/>
          <w:color w:val="17365D"/>
          <w:szCs w:val="24"/>
        </w:rPr>
        <w:t>pilsētas pašvaldības ilgtermiņa saistību (finanšu instrumentu) vadība ir saistīta ar šādiem finanšu riskiem:</w:t>
      </w:r>
    </w:p>
    <w:p w14:paraId="6CA2AB56" w14:textId="77777777" w:rsidR="00AB2439" w:rsidRPr="00A27896" w:rsidRDefault="00AB2439"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valūtas risks;</w:t>
      </w:r>
    </w:p>
    <w:p w14:paraId="3793E7D9" w14:textId="77777777" w:rsidR="00AB2439" w:rsidRPr="00A27896" w:rsidRDefault="00AB2439"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procentu likmju risks;</w:t>
      </w:r>
    </w:p>
    <w:p w14:paraId="40322EFF" w14:textId="77777777" w:rsidR="00AB2439" w:rsidRPr="00A27896" w:rsidRDefault="00AB2439" w:rsidP="004E5915">
      <w:pPr>
        <w:pStyle w:val="tv2131"/>
        <w:numPr>
          <w:ilvl w:val="0"/>
          <w:numId w:val="10"/>
        </w:numPr>
        <w:spacing w:after="120" w:line="240" w:lineRule="auto"/>
        <w:ind w:left="851"/>
        <w:jc w:val="both"/>
        <w:rPr>
          <w:color w:val="17365D"/>
          <w:sz w:val="24"/>
          <w:szCs w:val="24"/>
        </w:rPr>
      </w:pPr>
      <w:r w:rsidRPr="00A27896">
        <w:rPr>
          <w:color w:val="17365D"/>
          <w:sz w:val="24"/>
          <w:szCs w:val="24"/>
        </w:rPr>
        <w:t>likviditātes risks.</w:t>
      </w:r>
    </w:p>
    <w:p w14:paraId="6041CB32" w14:textId="43FB1294"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Valūtu risku vadības nodrošināšanai Rīgas </w:t>
      </w:r>
      <w:r w:rsidR="00627188" w:rsidRPr="00A27896">
        <w:rPr>
          <w:rFonts w:cs="Times New Roman"/>
          <w:color w:val="17365D"/>
          <w:szCs w:val="24"/>
        </w:rPr>
        <w:t>valsts</w:t>
      </w:r>
      <w:r w:rsidRPr="00A27896">
        <w:rPr>
          <w:rFonts w:cs="Times New Roman"/>
          <w:color w:val="17365D"/>
          <w:szCs w:val="24"/>
        </w:rPr>
        <w:t>pilsētas pašvaldība nosaka un uzrauga optimālā</w:t>
      </w:r>
      <w:r w:rsidR="005528D1" w:rsidRPr="00A27896">
        <w:rPr>
          <w:rFonts w:cs="Times New Roman"/>
          <w:color w:val="17365D"/>
          <w:szCs w:val="24"/>
        </w:rPr>
        <w:t xml:space="preserve"> tīrā parāda valūtas kompozīciju</w:t>
      </w:r>
      <w:r w:rsidRPr="00A27896">
        <w:rPr>
          <w:rFonts w:cs="Times New Roman"/>
          <w:color w:val="17365D"/>
          <w:szCs w:val="24"/>
        </w:rPr>
        <w:t>, kas ļauj ievērot saistību ārvalstu valūtas līdzsvaru un tādejādi izvairīties no valūtu kursu svārstību ietekmes.</w:t>
      </w:r>
    </w:p>
    <w:p w14:paraId="571D1FD8" w14:textId="4AAF5109" w:rsidR="00AB2439" w:rsidRPr="00A27896" w:rsidRDefault="00905AEC" w:rsidP="00AB2439">
      <w:pPr>
        <w:spacing w:after="120" w:line="240" w:lineRule="auto"/>
        <w:ind w:firstLine="284"/>
        <w:jc w:val="both"/>
        <w:rPr>
          <w:rFonts w:cs="Times New Roman"/>
          <w:color w:val="17365D"/>
          <w:szCs w:val="24"/>
        </w:rPr>
      </w:pPr>
      <w:r w:rsidRPr="00A27896">
        <w:rPr>
          <w:rFonts w:cs="Times New Roman"/>
          <w:color w:val="17365D"/>
          <w:szCs w:val="24"/>
        </w:rPr>
        <w:t>202</w:t>
      </w:r>
      <w:r w:rsidR="00245866">
        <w:rPr>
          <w:rFonts w:cs="Times New Roman"/>
          <w:color w:val="17365D"/>
          <w:szCs w:val="24"/>
        </w:rPr>
        <w:t>3</w:t>
      </w:r>
      <w:r w:rsidRPr="00A27896">
        <w:rPr>
          <w:rFonts w:cs="Times New Roman"/>
          <w:color w:val="17365D"/>
          <w:szCs w:val="24"/>
        </w:rPr>
        <w:t>. g</w:t>
      </w:r>
      <w:r w:rsidR="00AB2439" w:rsidRPr="00A27896">
        <w:rPr>
          <w:rFonts w:cs="Times New Roman"/>
          <w:color w:val="17365D"/>
          <w:szCs w:val="24"/>
        </w:rPr>
        <w:t xml:space="preserve">ada 31.decembrī Rīgas </w:t>
      </w:r>
      <w:r w:rsidR="00751073" w:rsidRPr="00A27896">
        <w:rPr>
          <w:rFonts w:cs="Times New Roman"/>
          <w:color w:val="17365D"/>
          <w:szCs w:val="24"/>
        </w:rPr>
        <w:t>valsts</w:t>
      </w:r>
      <w:r w:rsidR="00AB2439" w:rsidRPr="00A27896">
        <w:rPr>
          <w:rFonts w:cs="Times New Roman"/>
          <w:color w:val="17365D"/>
          <w:szCs w:val="24"/>
        </w:rPr>
        <w:t>pilsētas pašvaldības finanšu instrumentu saistības 100</w:t>
      </w:r>
      <w:r w:rsidR="005528D1" w:rsidRPr="00A27896">
        <w:rPr>
          <w:rFonts w:cs="Times New Roman"/>
          <w:color w:val="17365D"/>
          <w:szCs w:val="24"/>
        </w:rPr>
        <w:t> </w:t>
      </w:r>
      <w:r w:rsidR="00AB2439" w:rsidRPr="00A27896">
        <w:rPr>
          <w:rFonts w:cs="Times New Roman"/>
          <w:color w:val="17365D"/>
          <w:szCs w:val="24"/>
        </w:rPr>
        <w:t xml:space="preserve">% apmērā bija </w:t>
      </w:r>
      <w:r w:rsidR="00AB2439" w:rsidRPr="00A27896">
        <w:rPr>
          <w:rFonts w:cs="Times New Roman"/>
          <w:i/>
          <w:color w:val="17365D"/>
          <w:szCs w:val="24"/>
        </w:rPr>
        <w:t>euro</w:t>
      </w:r>
      <w:r w:rsidR="00AB2439" w:rsidRPr="00A27896">
        <w:rPr>
          <w:rFonts w:cs="Times New Roman"/>
          <w:color w:val="17365D"/>
          <w:szCs w:val="24"/>
        </w:rPr>
        <w:t xml:space="preserve"> valūtā.</w:t>
      </w:r>
    </w:p>
    <w:p w14:paraId="135B83C7" w14:textId="77777777"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Procentu likmju risks rodas tiem pašvaldības aizņēmumiem, kuriem ir noteikta mainīga procentu likme, jo pastāv iespējamība, ka aizņēmumu procentu maksājumi var nozīmīgi pieaug situācijās, kad procentu likme palielinās. </w:t>
      </w:r>
    </w:p>
    <w:p w14:paraId="38DB28C2" w14:textId="778B32B1"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Lai nodrošinātu stabilas ilgtermiņa saistību apkalpošanas izmaksas un to prognozējamību, ilgtermiņa saistību vadības procesā Rīgas </w:t>
      </w:r>
      <w:r w:rsidR="00751073" w:rsidRPr="00A27896">
        <w:rPr>
          <w:rFonts w:cs="Times New Roman"/>
          <w:color w:val="17365D"/>
          <w:szCs w:val="24"/>
        </w:rPr>
        <w:t>valsts</w:t>
      </w:r>
      <w:r w:rsidRPr="00A27896">
        <w:rPr>
          <w:rFonts w:cs="Times New Roman"/>
          <w:color w:val="17365D"/>
          <w:szCs w:val="24"/>
        </w:rPr>
        <w:t>pilsētas pašvaldība noteikusi, ka ir nepieciešams nodrošināt, ka ne mazāk kā 60</w:t>
      </w:r>
      <w:r w:rsidR="005528D1" w:rsidRPr="00A27896">
        <w:rPr>
          <w:rFonts w:cs="Times New Roman"/>
          <w:color w:val="17365D"/>
          <w:szCs w:val="24"/>
        </w:rPr>
        <w:t> </w:t>
      </w:r>
      <w:r w:rsidRPr="00A27896">
        <w:rPr>
          <w:rFonts w:cs="Times New Roman"/>
          <w:color w:val="17365D"/>
          <w:szCs w:val="24"/>
        </w:rPr>
        <w:t xml:space="preserve">% no ilgtermiņa saistību portfeļa kopapjoma procentu likme ir fiksēta uz termiņu, kas ir lielāks par vienu gadu, tādejādi mazinot risku, ka tirgus likmju svārstību rezultātā pašvaldības izmaksas par finansējuma izmantošanu būs </w:t>
      </w:r>
      <w:r w:rsidR="00195232">
        <w:rPr>
          <w:rFonts w:cs="Times New Roman"/>
          <w:color w:val="17365D"/>
          <w:szCs w:val="24"/>
        </w:rPr>
        <w:t xml:space="preserve">būtiski </w:t>
      </w:r>
      <w:r w:rsidRPr="00A27896">
        <w:rPr>
          <w:rFonts w:cs="Times New Roman"/>
          <w:color w:val="17365D"/>
          <w:szCs w:val="24"/>
        </w:rPr>
        <w:t>augstākas nekā plānots.</w:t>
      </w:r>
    </w:p>
    <w:p w14:paraId="4AB76E8C" w14:textId="0C2B04C1" w:rsidR="00AB2439" w:rsidRPr="00A27896" w:rsidRDefault="00555BA9" w:rsidP="00AB2439">
      <w:pPr>
        <w:spacing w:after="120" w:line="240" w:lineRule="auto"/>
        <w:ind w:firstLine="284"/>
        <w:jc w:val="both"/>
        <w:rPr>
          <w:rFonts w:cs="Times New Roman"/>
          <w:color w:val="17365D"/>
          <w:szCs w:val="24"/>
        </w:rPr>
      </w:pPr>
      <w:r w:rsidRPr="00A27896">
        <w:rPr>
          <w:rFonts w:cs="Times New Roman"/>
          <w:color w:val="17365D"/>
          <w:szCs w:val="24"/>
        </w:rPr>
        <w:t>202</w:t>
      </w:r>
      <w:r w:rsidR="00245866">
        <w:rPr>
          <w:rFonts w:cs="Times New Roman"/>
          <w:color w:val="17365D"/>
          <w:szCs w:val="24"/>
        </w:rPr>
        <w:t>3</w:t>
      </w:r>
      <w:r w:rsidR="00AB2439" w:rsidRPr="00A27896">
        <w:rPr>
          <w:rFonts w:cs="Times New Roman"/>
          <w:color w:val="17365D"/>
          <w:szCs w:val="24"/>
        </w:rPr>
        <w:t xml:space="preserve">. gada beigās </w:t>
      </w:r>
      <w:r w:rsidR="00CE2A61" w:rsidRPr="00A27896">
        <w:rPr>
          <w:rFonts w:cs="Times New Roman"/>
          <w:color w:val="17365D"/>
          <w:szCs w:val="24"/>
        </w:rPr>
        <w:t>6</w:t>
      </w:r>
      <w:r w:rsidR="00195232">
        <w:rPr>
          <w:rFonts w:cs="Times New Roman"/>
          <w:color w:val="17365D"/>
          <w:szCs w:val="24"/>
        </w:rPr>
        <w:t>8</w:t>
      </w:r>
      <w:r w:rsidR="005528D1" w:rsidRPr="00A27896">
        <w:rPr>
          <w:rFonts w:cs="Times New Roman"/>
          <w:color w:val="17365D"/>
          <w:szCs w:val="24"/>
        </w:rPr>
        <w:t> </w:t>
      </w:r>
      <w:r w:rsidR="00AB2439" w:rsidRPr="00A27896">
        <w:rPr>
          <w:rFonts w:cs="Times New Roman"/>
          <w:color w:val="17365D"/>
          <w:szCs w:val="24"/>
        </w:rPr>
        <w:t xml:space="preserve">% no kopējām pašvaldības saistībām bija ar fiksētu procentu likmi, kas atbilst stratēģijā noteiktajam pieļaujamam līmenim </w:t>
      </w:r>
    </w:p>
    <w:p w14:paraId="22FFD3E4" w14:textId="63706AF4"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Pamatojotie</w:t>
      </w:r>
      <w:r w:rsidR="00EA0E40" w:rsidRPr="00A27896">
        <w:rPr>
          <w:rFonts w:cs="Times New Roman"/>
          <w:color w:val="17365D"/>
          <w:szCs w:val="24"/>
        </w:rPr>
        <w:t xml:space="preserve">s uz Rīgas </w:t>
      </w:r>
      <w:r w:rsidR="00FD7A22" w:rsidRPr="00A27896">
        <w:rPr>
          <w:rFonts w:cs="Times New Roman"/>
          <w:color w:val="17365D"/>
          <w:szCs w:val="24"/>
        </w:rPr>
        <w:t>valsts</w:t>
      </w:r>
      <w:r w:rsidR="00EA0E40" w:rsidRPr="00A27896">
        <w:rPr>
          <w:rFonts w:cs="Times New Roman"/>
          <w:color w:val="17365D"/>
          <w:szCs w:val="24"/>
        </w:rPr>
        <w:t xml:space="preserve">pilsētas pašvaldības </w:t>
      </w:r>
      <w:r w:rsidR="00FD7A22" w:rsidRPr="00A27896">
        <w:rPr>
          <w:rFonts w:cs="Times New Roman"/>
          <w:color w:val="17365D"/>
          <w:szCs w:val="24"/>
        </w:rPr>
        <w:t xml:space="preserve">ilgtermiņa saistību </w:t>
      </w:r>
      <w:r w:rsidRPr="00A27896">
        <w:rPr>
          <w:rFonts w:cs="Times New Roman"/>
          <w:color w:val="17365D"/>
          <w:szCs w:val="24"/>
        </w:rPr>
        <w:t>stratēģijā noteikto nepieciešamību nodrošināt finanšu resursu pietiekamību, kas jebkurā laikā ļauj veikt pašvaldības budžetā apstiprināto izdevumu izpildi, Rīgas</w:t>
      </w:r>
      <w:r w:rsidR="00555BA9" w:rsidRPr="00A27896">
        <w:rPr>
          <w:rFonts w:cs="Times New Roman"/>
          <w:color w:val="17365D"/>
          <w:szCs w:val="24"/>
        </w:rPr>
        <w:t xml:space="preserve"> </w:t>
      </w:r>
      <w:r w:rsidR="00FD7A22" w:rsidRPr="00A27896">
        <w:rPr>
          <w:rFonts w:cs="Times New Roman"/>
          <w:color w:val="17365D"/>
          <w:szCs w:val="24"/>
        </w:rPr>
        <w:t>valsts</w:t>
      </w:r>
      <w:r w:rsidR="00555BA9" w:rsidRPr="00A27896">
        <w:rPr>
          <w:rFonts w:cs="Times New Roman"/>
          <w:color w:val="17365D"/>
          <w:szCs w:val="24"/>
        </w:rPr>
        <w:t>pilsētas pašvaldība</w:t>
      </w:r>
      <w:r w:rsidR="006F4319">
        <w:rPr>
          <w:rFonts w:cs="Times New Roman"/>
          <w:color w:val="17365D"/>
          <w:szCs w:val="24"/>
        </w:rPr>
        <w:t xml:space="preserve"> </w:t>
      </w:r>
      <w:r w:rsidR="006F4319" w:rsidRPr="00A27896">
        <w:rPr>
          <w:rFonts w:cs="Times New Roman"/>
          <w:color w:val="17365D"/>
          <w:szCs w:val="24"/>
        </w:rPr>
        <w:t>202</w:t>
      </w:r>
      <w:r w:rsidR="006F4319">
        <w:rPr>
          <w:rFonts w:cs="Times New Roman"/>
          <w:color w:val="17365D"/>
          <w:szCs w:val="24"/>
        </w:rPr>
        <w:t>3</w:t>
      </w:r>
      <w:r w:rsidR="006F4319" w:rsidRPr="00A27896">
        <w:rPr>
          <w:rFonts w:cs="Times New Roman"/>
          <w:color w:val="17365D"/>
          <w:szCs w:val="24"/>
        </w:rPr>
        <w:t>. gadā</w:t>
      </w:r>
      <w:r w:rsidR="006F4319">
        <w:rPr>
          <w:rFonts w:cs="Times New Roman"/>
          <w:color w:val="17365D"/>
          <w:szCs w:val="24"/>
        </w:rPr>
        <w:t>,</w:t>
      </w:r>
      <w:r w:rsidRPr="00A27896">
        <w:rPr>
          <w:rFonts w:cs="Times New Roman"/>
          <w:color w:val="17365D"/>
          <w:szCs w:val="24"/>
        </w:rPr>
        <w:t xml:space="preserve"> </w:t>
      </w:r>
      <w:r w:rsidR="00CE2A61" w:rsidRPr="00A27896">
        <w:rPr>
          <w:rFonts w:cs="Times New Roman"/>
          <w:color w:val="17365D"/>
          <w:szCs w:val="24"/>
        </w:rPr>
        <w:t>ņemot vērā finansēšanas nepieciešamību un situāciju finanšu tirgos, ir nodrošinājusi nepieciešamo likvīdo naudas līdzekļu apjomu budžeta izdevumu nodrošināšanai, kā arī uzturējusi nepieciešamo likvīdo naudas līdzekļu rezervi</w:t>
      </w:r>
      <w:r w:rsidR="00D50D19" w:rsidRPr="00A27896">
        <w:rPr>
          <w:rFonts w:cs="Times New Roman"/>
          <w:color w:val="17365D"/>
          <w:szCs w:val="24"/>
        </w:rPr>
        <w:t xml:space="preserve"> </w:t>
      </w:r>
      <w:r w:rsidR="00CE2A61" w:rsidRPr="00A27896">
        <w:rPr>
          <w:rFonts w:cs="Times New Roman"/>
          <w:color w:val="17365D"/>
          <w:szCs w:val="24"/>
        </w:rPr>
        <w:t>tekošā gada un turpmāko gadu saistību segšanai</w:t>
      </w:r>
      <w:r w:rsidR="006F4319">
        <w:rPr>
          <w:rFonts w:cs="Times New Roman"/>
          <w:color w:val="17365D"/>
          <w:szCs w:val="24"/>
        </w:rPr>
        <w:t>.</w:t>
      </w:r>
      <w:r w:rsidRPr="00A27896">
        <w:rPr>
          <w:rFonts w:cs="Times New Roman"/>
          <w:color w:val="17365D"/>
          <w:szCs w:val="24"/>
        </w:rPr>
        <w:t xml:space="preserve"> </w:t>
      </w:r>
    </w:p>
    <w:p w14:paraId="3C26146A" w14:textId="24EB9EAB" w:rsidR="00AB2439" w:rsidRPr="00A27896" w:rsidRDefault="00AB2439" w:rsidP="00AB2439">
      <w:pPr>
        <w:spacing w:after="120" w:line="240" w:lineRule="auto"/>
        <w:ind w:firstLine="284"/>
        <w:jc w:val="both"/>
        <w:rPr>
          <w:rFonts w:cs="Times New Roman"/>
          <w:color w:val="17365D"/>
          <w:szCs w:val="24"/>
        </w:rPr>
      </w:pPr>
      <w:r w:rsidRPr="00A27896">
        <w:rPr>
          <w:rFonts w:cs="Times New Roman"/>
          <w:color w:val="17365D"/>
          <w:szCs w:val="24"/>
        </w:rPr>
        <w:t xml:space="preserve">Pieņemot finanšu resursu vadības lēmumus, Rīgas </w:t>
      </w:r>
      <w:r w:rsidR="00FD7A22" w:rsidRPr="00A27896">
        <w:rPr>
          <w:rFonts w:cs="Times New Roman"/>
          <w:color w:val="17365D"/>
          <w:szCs w:val="24"/>
        </w:rPr>
        <w:t>valsts</w:t>
      </w:r>
      <w:r w:rsidRPr="00A27896">
        <w:rPr>
          <w:rFonts w:cs="Times New Roman"/>
          <w:color w:val="17365D"/>
          <w:szCs w:val="24"/>
        </w:rPr>
        <w:t>pilsētas pašvaldība ir ņēmusi vērā notiekošos procesus finanšu tirgū un ir analizējusi to attīstības tendences, lai nodrošinātu efektīvu un drošu finanšu resursu vadību.</w:t>
      </w:r>
    </w:p>
    <w:p w14:paraId="3192EABB" w14:textId="77777777" w:rsidR="00AB2439" w:rsidRPr="00A27896" w:rsidRDefault="00AB2439">
      <w:pPr>
        <w:rPr>
          <w:rFonts w:cs="Times New Roman"/>
          <w:color w:val="17365D"/>
          <w:szCs w:val="24"/>
        </w:rPr>
      </w:pPr>
      <w:r w:rsidRPr="00A27896">
        <w:rPr>
          <w:rFonts w:cs="Times New Roman"/>
          <w:color w:val="17365D"/>
          <w:szCs w:val="24"/>
        </w:rPr>
        <w:br w:type="page"/>
      </w:r>
    </w:p>
    <w:p w14:paraId="1F186DB3" w14:textId="367B19E4" w:rsidR="00831DC9" w:rsidRPr="00A27896" w:rsidRDefault="00831DC9" w:rsidP="00C60CCF">
      <w:pPr>
        <w:pStyle w:val="Heading2"/>
        <w:rPr>
          <w:rFonts w:cs="Times New Roman"/>
        </w:rPr>
      </w:pPr>
      <w:r w:rsidRPr="00A27896">
        <w:rPr>
          <w:rFonts w:cs="Times New Roman"/>
        </w:rPr>
        <w:lastRenderedPageBreak/>
        <w:t>Finanšu pārskata posteņu skaidrojums</w:t>
      </w:r>
    </w:p>
    <w:p w14:paraId="66FAD11B" w14:textId="741C3601" w:rsidR="00831DC9" w:rsidRPr="00E72168" w:rsidRDefault="00C66415" w:rsidP="00831DC9">
      <w:pPr>
        <w:spacing w:after="120" w:line="240" w:lineRule="auto"/>
        <w:ind w:firstLine="284"/>
        <w:jc w:val="both"/>
        <w:rPr>
          <w:rFonts w:cs="Times New Roman"/>
          <w:color w:val="17365D"/>
          <w:szCs w:val="24"/>
        </w:rPr>
      </w:pPr>
      <w:r w:rsidRPr="00E72168">
        <w:rPr>
          <w:rFonts w:cs="Times New Roman"/>
          <w:color w:val="17365D"/>
          <w:szCs w:val="24"/>
        </w:rPr>
        <w:t xml:space="preserve">Finanšu pārskata posteņu paskaidrojumi sniegti par būtiskām posteņu izmaiņām, kas pārsniedz 10 procentus </w:t>
      </w:r>
      <w:r w:rsidR="00635052" w:rsidRPr="00E72168">
        <w:rPr>
          <w:rFonts w:cs="Times New Roman"/>
          <w:color w:val="17365D"/>
          <w:szCs w:val="24"/>
        </w:rPr>
        <w:t xml:space="preserve">salīdzinājumā ar attiecīgā posteņa vērtību iepriekšējā pārskata periodā </w:t>
      </w:r>
      <w:r w:rsidRPr="00E72168">
        <w:rPr>
          <w:rFonts w:cs="Times New Roman"/>
          <w:color w:val="17365D"/>
          <w:szCs w:val="24"/>
        </w:rPr>
        <w:t xml:space="preserve">un </w:t>
      </w:r>
      <w:r w:rsidR="00635052" w:rsidRPr="00E72168">
        <w:rPr>
          <w:rFonts w:cs="Times New Roman"/>
          <w:color w:val="17365D"/>
          <w:szCs w:val="24"/>
        </w:rPr>
        <w:t xml:space="preserve">izmaiņu vērtība ir vienāda vai lielāka par </w:t>
      </w:r>
      <w:r w:rsidR="00B02953" w:rsidRPr="00E72168">
        <w:rPr>
          <w:rFonts w:cs="Times New Roman"/>
          <w:color w:val="17365D"/>
          <w:szCs w:val="24"/>
        </w:rPr>
        <w:t>81</w:t>
      </w:r>
      <w:r w:rsidR="00F76131" w:rsidRPr="00E72168">
        <w:rPr>
          <w:rFonts w:cs="Times New Roman"/>
          <w:color w:val="17365D"/>
          <w:szCs w:val="24"/>
        </w:rPr>
        <w:t xml:space="preserve"> </w:t>
      </w:r>
      <w:r w:rsidR="00B02953" w:rsidRPr="00E72168">
        <w:rPr>
          <w:rFonts w:cs="Times New Roman"/>
          <w:color w:val="17365D"/>
          <w:szCs w:val="24"/>
        </w:rPr>
        <w:t>25</w:t>
      </w:r>
      <w:r w:rsidR="00F76131" w:rsidRPr="00E72168">
        <w:rPr>
          <w:rFonts w:cs="Times New Roman"/>
          <w:color w:val="17365D"/>
          <w:szCs w:val="24"/>
        </w:rPr>
        <w:t xml:space="preserve">0 000 </w:t>
      </w:r>
      <w:r w:rsidRPr="00E72168">
        <w:rPr>
          <w:rFonts w:cs="Times New Roman"/>
          <w:i/>
          <w:color w:val="17365D"/>
          <w:szCs w:val="24"/>
        </w:rPr>
        <w:t>euro</w:t>
      </w:r>
      <w:r w:rsidRPr="00E72168">
        <w:rPr>
          <w:rFonts w:cs="Times New Roman"/>
          <w:color w:val="17365D"/>
          <w:szCs w:val="24"/>
        </w:rPr>
        <w:t>. Detalizētāka informācija par posteņu izmaiņām un darījumiem, kas neatbilst noteiktajam būtiskuma līmenim, pieejama ePārskatos finanšu pārskata posteņu skaidrojumos</w:t>
      </w:r>
      <w:r w:rsidR="00BA2A4A" w:rsidRPr="00E72168">
        <w:rPr>
          <w:rFonts w:cs="Times New Roman"/>
          <w:color w:val="17365D"/>
          <w:szCs w:val="24"/>
        </w:rPr>
        <w:t xml:space="preserve"> un </w:t>
      </w:r>
      <w:hyperlink r:id="rId13" w:history="1">
        <w:r w:rsidR="00BA2A4A" w:rsidRPr="00E72168">
          <w:rPr>
            <w:rStyle w:val="Hyperlink"/>
            <w:rFonts w:cs="Times New Roman"/>
            <w:color w:val="17365D"/>
            <w:szCs w:val="24"/>
          </w:rPr>
          <w:t>Valsts kases tīmekļa vietnē</w:t>
        </w:r>
      </w:hyperlink>
      <w:r w:rsidR="00A04E22" w:rsidRPr="00E72168">
        <w:rPr>
          <w:rFonts w:cs="Times New Roman"/>
          <w:color w:val="17365D"/>
        </w:rPr>
        <w:t xml:space="preserve"> p</w:t>
      </w:r>
      <w:r w:rsidR="00BA2A4A" w:rsidRPr="00E72168">
        <w:rPr>
          <w:rFonts w:cs="Times New Roman"/>
          <w:color w:val="17365D"/>
        </w:rPr>
        <w:t>ublicētajā ePārskatu informācijā</w:t>
      </w:r>
      <w:r w:rsidRPr="00E72168">
        <w:rPr>
          <w:rFonts w:cs="Times New Roman"/>
          <w:color w:val="17365D"/>
          <w:szCs w:val="24"/>
        </w:rPr>
        <w:t>.</w:t>
      </w:r>
    </w:p>
    <w:p w14:paraId="42B7CE6E" w14:textId="77777777" w:rsidR="0047653F" w:rsidRDefault="0047653F" w:rsidP="006B0E02">
      <w:pPr>
        <w:pStyle w:val="Pamatteksts1"/>
      </w:pPr>
    </w:p>
    <w:p w14:paraId="4254DBC9" w14:textId="255E3D41" w:rsidR="00AD15B0" w:rsidRPr="00E72168" w:rsidRDefault="00FA6A3B" w:rsidP="00FD10CC">
      <w:pPr>
        <w:pStyle w:val="Heading3"/>
      </w:pPr>
      <w:r>
        <w:t>S</w:t>
      </w:r>
      <w:r w:rsidR="00D41F06" w:rsidRPr="00E72168">
        <w:t xml:space="preserve">kaidrojumi </w:t>
      </w:r>
      <w:r w:rsidR="004C46B4" w:rsidRPr="00E72168">
        <w:t xml:space="preserve">konsolidētās grāmatvedības bilances </w:t>
      </w:r>
      <w:r w:rsidR="00D41F06" w:rsidRPr="00E72168">
        <w:t>posteņiem</w:t>
      </w:r>
    </w:p>
    <w:p w14:paraId="7A89CD59" w14:textId="0574A3E4" w:rsidR="00D41F06" w:rsidRPr="00E72168" w:rsidRDefault="00D41F06" w:rsidP="00FD10CC">
      <w:pPr>
        <w:pStyle w:val="Heading3"/>
        <w:rPr>
          <w:lang w:eastAsia="lv-LV"/>
        </w:rPr>
      </w:pPr>
      <w:r w:rsidRPr="00E72168">
        <w:rPr>
          <w:lang w:eastAsia="lv-LV"/>
        </w:rPr>
        <w:t>Ilgtermiņa ieguldījumi</w:t>
      </w:r>
    </w:p>
    <w:p w14:paraId="1397CE7D" w14:textId="7F998EAA" w:rsidR="00A7434F" w:rsidRPr="00E72168" w:rsidRDefault="00616585" w:rsidP="00030FB1">
      <w:pPr>
        <w:spacing w:after="120" w:line="240" w:lineRule="auto"/>
        <w:ind w:firstLine="284"/>
        <w:jc w:val="both"/>
        <w:rPr>
          <w:rFonts w:cs="Times New Roman"/>
          <w:color w:val="17365D"/>
        </w:rPr>
      </w:pPr>
      <w:r w:rsidRPr="00E72168">
        <w:rPr>
          <w:rFonts w:cs="Times New Roman"/>
          <w:color w:val="17365D"/>
        </w:rPr>
        <w:t>Ilgtermiņa ieguldījumi konsolidēti par valsts un pašvaldību budžeta iestāžu un valsts budžeta finanšu uzskaites savstarpējiem atlikumiem.</w:t>
      </w:r>
    </w:p>
    <w:p w14:paraId="41D94E54" w14:textId="32FC1D8B" w:rsidR="00EA7813" w:rsidRPr="00E72168" w:rsidRDefault="00A8729F" w:rsidP="005A3758">
      <w:pPr>
        <w:pStyle w:val="Heading4"/>
        <w:rPr>
          <w:rFonts w:cs="Times New Roman"/>
          <w:lang w:eastAsia="lv-LV"/>
        </w:rPr>
      </w:pPr>
      <w:r w:rsidRPr="00E72168">
        <w:rPr>
          <w:rFonts w:cs="Times New Roman"/>
          <w:lang w:eastAsia="lv-LV"/>
        </w:rPr>
        <w:t xml:space="preserve">Piezīme Nr. </w:t>
      </w:r>
      <w:r w:rsidR="003E4135" w:rsidRPr="00E72168">
        <w:rPr>
          <w:rFonts w:cs="Times New Roman"/>
          <w:lang w:eastAsia="lv-LV"/>
        </w:rPr>
        <w:t>KB.1</w:t>
      </w:r>
      <w:r w:rsidR="00EE7A9E" w:rsidRPr="00E72168">
        <w:rPr>
          <w:rFonts w:cs="Times New Roman"/>
          <w:lang w:eastAsia="lv-LV"/>
        </w:rPr>
        <w:t>.1</w:t>
      </w:r>
      <w:r w:rsidR="003E4135" w:rsidRPr="00E72168">
        <w:rPr>
          <w:rFonts w:cs="Times New Roman"/>
          <w:lang w:eastAsia="lv-LV"/>
        </w:rPr>
        <w:t xml:space="preserve">. </w:t>
      </w:r>
      <w:r w:rsidR="00EA7813" w:rsidRPr="00E72168">
        <w:rPr>
          <w:rFonts w:cs="Times New Roman"/>
          <w:lang w:eastAsia="lv-LV"/>
        </w:rPr>
        <w:t>Nemateriālie ieguldījumi</w:t>
      </w:r>
    </w:p>
    <w:p w14:paraId="489EB9D7" w14:textId="670C6BEF" w:rsidR="00E5110F" w:rsidRPr="00E72168" w:rsidRDefault="0065560D" w:rsidP="00EE49CF">
      <w:pPr>
        <w:pStyle w:val="Tabulasnosaukums1"/>
        <w:spacing w:before="60" w:line="240" w:lineRule="auto"/>
        <w:rPr>
          <w:rFonts w:cs="Times New Roman"/>
          <w:i/>
          <w:color w:val="17365D"/>
          <w:szCs w:val="20"/>
        </w:rPr>
      </w:pPr>
      <w:r>
        <w:rPr>
          <w:rFonts w:cs="Times New Roman"/>
          <w:i/>
          <w:color w:val="17365D"/>
          <w:szCs w:val="20"/>
        </w:rPr>
        <w:t>1.</w:t>
      </w:r>
      <w:r w:rsidR="00031CD6" w:rsidRPr="00E72168">
        <w:rPr>
          <w:rFonts w:cs="Times New Roman"/>
          <w:i/>
          <w:color w:val="17365D"/>
          <w:szCs w:val="20"/>
        </w:rPr>
        <w:t>2</w:t>
      </w:r>
      <w:r w:rsidR="00E5110F" w:rsidRPr="00E72168">
        <w:rPr>
          <w:rFonts w:cs="Times New Roman"/>
          <w:i/>
          <w:color w:val="17365D"/>
          <w:szCs w:val="20"/>
        </w:rPr>
        <w:t>. tabula</w:t>
      </w:r>
      <w:r w:rsidR="006E3568" w:rsidRPr="00E72168">
        <w:rPr>
          <w:rFonts w:cs="Times New Roman"/>
          <w:i/>
          <w:color w:val="17365D"/>
          <w:szCs w:val="20"/>
        </w:rPr>
        <w:t>. Nemateriālie ieguldījumi (</w:t>
      </w:r>
      <w:r w:rsidR="00D62A6F" w:rsidRPr="00E72168">
        <w:rPr>
          <w:rFonts w:cs="Times New Roman"/>
          <w:i/>
          <w:color w:val="17365D"/>
          <w:szCs w:val="20"/>
        </w:rPr>
        <w:t>euro</w:t>
      </w:r>
      <w:r w:rsidR="003F166B" w:rsidRPr="00E72168">
        <w:rPr>
          <w:rFonts w:cs="Times New Roman"/>
          <w:i/>
          <w:color w:val="17365D"/>
          <w:szCs w:val="20"/>
        </w:rPr>
        <w:t>)</w:t>
      </w:r>
    </w:p>
    <w:tbl>
      <w:tblPr>
        <w:tblW w:w="4999" w:type="pct"/>
        <w:tblLayout w:type="fixed"/>
        <w:tblLook w:val="04A0" w:firstRow="1" w:lastRow="0" w:firstColumn="1" w:lastColumn="0" w:noHBand="0" w:noVBand="1"/>
      </w:tblPr>
      <w:tblGrid>
        <w:gridCol w:w="2722"/>
        <w:gridCol w:w="964"/>
        <w:gridCol w:w="1484"/>
        <w:gridCol w:w="1465"/>
        <w:gridCol w:w="22"/>
        <w:gridCol w:w="1274"/>
        <w:gridCol w:w="144"/>
        <w:gridCol w:w="1277"/>
      </w:tblGrid>
      <w:tr w:rsidR="000C1009" w:rsidRPr="00E72168" w14:paraId="26A09601" w14:textId="77777777" w:rsidTr="00821FBA">
        <w:trPr>
          <w:trHeight w:val="684"/>
        </w:trPr>
        <w:tc>
          <w:tcPr>
            <w:tcW w:w="1455" w:type="pct"/>
            <w:tcBorders>
              <w:bottom w:val="single" w:sz="4" w:space="0" w:color="17365D"/>
            </w:tcBorders>
            <w:shd w:val="clear" w:color="auto" w:fill="B9CDE5"/>
            <w:vAlign w:val="center"/>
            <w:hideMark/>
          </w:tcPr>
          <w:p w14:paraId="47E68C55" w14:textId="5EC2318D"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Rādītāji</w:t>
            </w:r>
          </w:p>
        </w:tc>
        <w:tc>
          <w:tcPr>
            <w:tcW w:w="515" w:type="pct"/>
            <w:tcBorders>
              <w:bottom w:val="single" w:sz="4" w:space="0" w:color="17365D"/>
            </w:tcBorders>
            <w:shd w:val="clear" w:color="auto" w:fill="B9CDE5"/>
            <w:vAlign w:val="center"/>
            <w:hideMark/>
          </w:tcPr>
          <w:p w14:paraId="72A284C6"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93" w:type="pct"/>
            <w:tcBorders>
              <w:bottom w:val="single" w:sz="4" w:space="0" w:color="17365D"/>
            </w:tcBorders>
            <w:shd w:val="clear" w:color="auto" w:fill="B9CDE5"/>
            <w:vAlign w:val="center"/>
            <w:hideMark/>
          </w:tcPr>
          <w:p w14:paraId="5FCC8F59"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795" w:type="pct"/>
            <w:gridSpan w:val="2"/>
            <w:tcBorders>
              <w:bottom w:val="single" w:sz="4" w:space="0" w:color="17365D"/>
            </w:tcBorders>
            <w:shd w:val="clear" w:color="auto" w:fill="B9CDE5"/>
            <w:vAlign w:val="center"/>
            <w:hideMark/>
          </w:tcPr>
          <w:p w14:paraId="45A42711"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58" w:type="pct"/>
            <w:gridSpan w:val="2"/>
            <w:tcBorders>
              <w:bottom w:val="single" w:sz="4" w:space="0" w:color="17365D"/>
            </w:tcBorders>
            <w:shd w:val="clear" w:color="auto" w:fill="B9CDE5"/>
            <w:vAlign w:val="center"/>
            <w:hideMark/>
          </w:tcPr>
          <w:p w14:paraId="457B99EE" w14:textId="0CCDC1BF"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t>(+,</w:t>
            </w:r>
            <w:r w:rsidR="002B1B27" w:rsidRPr="00E72168">
              <w:rPr>
                <w:rFonts w:eastAsia="Times New Roman" w:cs="Times New Roman"/>
                <w:b/>
                <w:color w:val="17365D"/>
                <w:sz w:val="18"/>
                <w:szCs w:val="18"/>
                <w:lang w:eastAsia="lv-LV"/>
              </w:rPr>
              <w:t xml:space="preserve"> – </w:t>
            </w:r>
            <w:r w:rsidRPr="00E72168">
              <w:rPr>
                <w:rFonts w:eastAsia="Times New Roman" w:cs="Times New Roman"/>
                <w:b/>
                <w:color w:val="17365D"/>
                <w:sz w:val="18"/>
                <w:szCs w:val="18"/>
                <w:lang w:eastAsia="lv-LV"/>
              </w:rPr>
              <w:t>)</w:t>
            </w:r>
          </w:p>
        </w:tc>
        <w:tc>
          <w:tcPr>
            <w:tcW w:w="683" w:type="pct"/>
            <w:tcBorders>
              <w:bottom w:val="single" w:sz="4" w:space="0" w:color="17365D"/>
            </w:tcBorders>
            <w:shd w:val="clear" w:color="auto" w:fill="B9CDE5"/>
            <w:vAlign w:val="center"/>
            <w:hideMark/>
          </w:tcPr>
          <w:p w14:paraId="31CD28BD"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14283EF2" w14:textId="77777777" w:rsidTr="00821FBA">
        <w:trPr>
          <w:trHeight w:val="56"/>
        </w:trPr>
        <w:tc>
          <w:tcPr>
            <w:tcW w:w="1455" w:type="pct"/>
            <w:tcBorders>
              <w:top w:val="single" w:sz="4" w:space="0" w:color="17365D"/>
              <w:bottom w:val="single" w:sz="4" w:space="0" w:color="17365D"/>
            </w:tcBorders>
            <w:shd w:val="clear" w:color="auto" w:fill="auto"/>
            <w:vAlign w:val="center"/>
            <w:hideMark/>
          </w:tcPr>
          <w:p w14:paraId="79A778CE"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515" w:type="pct"/>
            <w:tcBorders>
              <w:top w:val="single" w:sz="4" w:space="0" w:color="17365D"/>
              <w:bottom w:val="single" w:sz="4" w:space="0" w:color="17365D"/>
            </w:tcBorders>
            <w:shd w:val="clear" w:color="auto" w:fill="auto"/>
            <w:vAlign w:val="center"/>
            <w:hideMark/>
          </w:tcPr>
          <w:p w14:paraId="28D26BE0"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93" w:type="pct"/>
            <w:tcBorders>
              <w:top w:val="single" w:sz="4" w:space="0" w:color="17365D"/>
              <w:bottom w:val="single" w:sz="4" w:space="0" w:color="17365D"/>
            </w:tcBorders>
            <w:shd w:val="clear" w:color="auto" w:fill="auto"/>
            <w:vAlign w:val="center"/>
            <w:hideMark/>
          </w:tcPr>
          <w:p w14:paraId="2B813FBA"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795" w:type="pct"/>
            <w:gridSpan w:val="2"/>
            <w:tcBorders>
              <w:top w:val="single" w:sz="4" w:space="0" w:color="17365D"/>
              <w:bottom w:val="single" w:sz="4" w:space="0" w:color="17365D"/>
            </w:tcBorders>
            <w:shd w:val="clear" w:color="auto" w:fill="auto"/>
            <w:vAlign w:val="center"/>
            <w:hideMark/>
          </w:tcPr>
          <w:p w14:paraId="187683C3"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58" w:type="pct"/>
            <w:gridSpan w:val="2"/>
            <w:tcBorders>
              <w:top w:val="single" w:sz="4" w:space="0" w:color="17365D"/>
              <w:bottom w:val="single" w:sz="4" w:space="0" w:color="17365D"/>
            </w:tcBorders>
            <w:shd w:val="clear" w:color="auto" w:fill="auto"/>
            <w:vAlign w:val="center"/>
            <w:hideMark/>
          </w:tcPr>
          <w:p w14:paraId="15A9845E"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83" w:type="pct"/>
            <w:tcBorders>
              <w:top w:val="single" w:sz="4" w:space="0" w:color="17365D"/>
              <w:bottom w:val="single" w:sz="4" w:space="0" w:color="17365D"/>
            </w:tcBorders>
            <w:shd w:val="clear" w:color="auto" w:fill="auto"/>
            <w:vAlign w:val="center"/>
            <w:hideMark/>
          </w:tcPr>
          <w:p w14:paraId="2347CA4A" w14:textId="77777777" w:rsidR="00970551" w:rsidRPr="00E72168" w:rsidRDefault="00970551" w:rsidP="00970551">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241FC4" w:rsidRPr="00E72168" w14:paraId="081BB9E3" w14:textId="77777777" w:rsidTr="00241FC4">
        <w:trPr>
          <w:trHeight w:val="56"/>
        </w:trPr>
        <w:tc>
          <w:tcPr>
            <w:tcW w:w="1455" w:type="pct"/>
            <w:tcBorders>
              <w:top w:val="single" w:sz="4" w:space="0" w:color="17365D"/>
              <w:bottom w:val="single" w:sz="4" w:space="0" w:color="17365D"/>
            </w:tcBorders>
            <w:shd w:val="clear" w:color="auto" w:fill="auto"/>
            <w:vAlign w:val="center"/>
            <w:hideMark/>
          </w:tcPr>
          <w:p w14:paraId="67037705" w14:textId="2A315D46" w:rsidR="00241FC4" w:rsidRPr="00E72168" w:rsidRDefault="00241FC4" w:rsidP="00241FC4">
            <w:pPr>
              <w:spacing w:after="0" w:line="240" w:lineRule="auto"/>
              <w:rPr>
                <w:rFonts w:cs="Times New Roman"/>
                <w:b/>
                <w:color w:val="17365D"/>
                <w:sz w:val="18"/>
                <w:szCs w:val="18"/>
              </w:rPr>
            </w:pPr>
            <w:r w:rsidRPr="00E72168">
              <w:rPr>
                <w:rFonts w:cs="Times New Roman"/>
                <w:b/>
                <w:color w:val="17365D"/>
                <w:sz w:val="18"/>
                <w:szCs w:val="18"/>
              </w:rPr>
              <w:t>Nemateriālie ieguldījumi</w:t>
            </w:r>
          </w:p>
        </w:tc>
        <w:tc>
          <w:tcPr>
            <w:tcW w:w="515" w:type="pct"/>
            <w:tcBorders>
              <w:top w:val="single" w:sz="4" w:space="0" w:color="17365D"/>
              <w:bottom w:val="single" w:sz="4" w:space="0" w:color="17365D"/>
            </w:tcBorders>
            <w:shd w:val="clear" w:color="auto" w:fill="auto"/>
            <w:vAlign w:val="center"/>
            <w:hideMark/>
          </w:tcPr>
          <w:p w14:paraId="0AF9E1FF" w14:textId="166DB093" w:rsidR="00241FC4" w:rsidRPr="00E72168" w:rsidRDefault="00CA3AF0" w:rsidP="00100EA1">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KB.1.1.</w:t>
            </w:r>
          </w:p>
        </w:tc>
        <w:tc>
          <w:tcPr>
            <w:tcW w:w="793" w:type="pct"/>
            <w:tcBorders>
              <w:top w:val="single" w:sz="4" w:space="0" w:color="17365D"/>
              <w:bottom w:val="single" w:sz="4" w:space="0" w:color="17365D"/>
            </w:tcBorders>
            <w:shd w:val="clear" w:color="auto" w:fill="auto"/>
            <w:vAlign w:val="center"/>
            <w:hideMark/>
          </w:tcPr>
          <w:p w14:paraId="2F5FABAF" w14:textId="5F6135A6" w:rsidR="00241FC4" w:rsidRPr="00E72168" w:rsidRDefault="00962255" w:rsidP="00241FC4">
            <w:pPr>
              <w:spacing w:after="0" w:line="240" w:lineRule="auto"/>
              <w:jc w:val="right"/>
              <w:rPr>
                <w:rFonts w:cs="Times New Roman"/>
                <w:b/>
                <w:color w:val="17365D"/>
                <w:sz w:val="18"/>
                <w:szCs w:val="18"/>
              </w:rPr>
            </w:pPr>
            <w:r w:rsidRPr="00E72168">
              <w:rPr>
                <w:rFonts w:cs="Times New Roman"/>
                <w:b/>
                <w:color w:val="17365D"/>
                <w:sz w:val="18"/>
                <w:szCs w:val="18"/>
              </w:rPr>
              <w:t>259 815 198</w:t>
            </w:r>
          </w:p>
        </w:tc>
        <w:tc>
          <w:tcPr>
            <w:tcW w:w="795" w:type="pct"/>
            <w:gridSpan w:val="2"/>
            <w:tcBorders>
              <w:top w:val="single" w:sz="4" w:space="0" w:color="17365D"/>
              <w:bottom w:val="single" w:sz="4" w:space="0" w:color="17365D"/>
            </w:tcBorders>
            <w:shd w:val="clear" w:color="auto" w:fill="auto"/>
            <w:vAlign w:val="center"/>
            <w:hideMark/>
          </w:tcPr>
          <w:p w14:paraId="044A2D52" w14:textId="3A380449" w:rsidR="00241FC4" w:rsidRPr="00E72168" w:rsidRDefault="003902D5" w:rsidP="00241FC4">
            <w:pPr>
              <w:spacing w:after="0" w:line="240" w:lineRule="auto"/>
              <w:jc w:val="right"/>
              <w:rPr>
                <w:rFonts w:cs="Times New Roman"/>
                <w:b/>
                <w:color w:val="17365D"/>
                <w:sz w:val="18"/>
                <w:szCs w:val="18"/>
              </w:rPr>
            </w:pPr>
            <w:r w:rsidRPr="00E72168">
              <w:rPr>
                <w:rFonts w:cs="Times New Roman"/>
                <w:b/>
                <w:color w:val="17365D"/>
                <w:sz w:val="18"/>
                <w:szCs w:val="18"/>
              </w:rPr>
              <w:t>214 403 374</w:t>
            </w:r>
          </w:p>
        </w:tc>
        <w:tc>
          <w:tcPr>
            <w:tcW w:w="758" w:type="pct"/>
            <w:gridSpan w:val="2"/>
            <w:tcBorders>
              <w:top w:val="single" w:sz="4" w:space="0" w:color="17365D"/>
              <w:bottom w:val="single" w:sz="4" w:space="0" w:color="17365D"/>
            </w:tcBorders>
            <w:shd w:val="clear" w:color="auto" w:fill="auto"/>
            <w:noWrap/>
            <w:vAlign w:val="center"/>
            <w:hideMark/>
          </w:tcPr>
          <w:p w14:paraId="2CB966FA" w14:textId="25B7B557" w:rsidR="00241FC4" w:rsidRPr="00E72168" w:rsidRDefault="00B8116A" w:rsidP="00241FC4">
            <w:pPr>
              <w:spacing w:after="0" w:line="240" w:lineRule="auto"/>
              <w:jc w:val="right"/>
              <w:rPr>
                <w:rFonts w:cs="Times New Roman"/>
                <w:b/>
                <w:color w:val="17365D"/>
                <w:sz w:val="18"/>
                <w:szCs w:val="18"/>
              </w:rPr>
            </w:pPr>
            <w:r w:rsidRPr="00E72168">
              <w:rPr>
                <w:rFonts w:cs="Times New Roman"/>
                <w:b/>
                <w:color w:val="17365D"/>
                <w:sz w:val="18"/>
                <w:szCs w:val="18"/>
              </w:rPr>
              <w:t>45 411 824</w:t>
            </w:r>
          </w:p>
        </w:tc>
        <w:tc>
          <w:tcPr>
            <w:tcW w:w="683" w:type="pct"/>
            <w:tcBorders>
              <w:top w:val="single" w:sz="4" w:space="0" w:color="17365D"/>
              <w:bottom w:val="single" w:sz="4" w:space="0" w:color="17365D"/>
            </w:tcBorders>
            <w:shd w:val="clear" w:color="auto" w:fill="auto"/>
            <w:noWrap/>
            <w:vAlign w:val="center"/>
            <w:hideMark/>
          </w:tcPr>
          <w:p w14:paraId="5FB04389" w14:textId="773442D0" w:rsidR="00241FC4" w:rsidRPr="00E72168" w:rsidRDefault="00CB5C74" w:rsidP="00241FC4">
            <w:pPr>
              <w:spacing w:after="0" w:line="240" w:lineRule="auto"/>
              <w:jc w:val="right"/>
              <w:rPr>
                <w:rFonts w:cs="Times New Roman"/>
                <w:b/>
                <w:color w:val="17365D"/>
                <w:sz w:val="18"/>
                <w:szCs w:val="18"/>
              </w:rPr>
            </w:pPr>
            <w:r w:rsidRPr="00E72168">
              <w:rPr>
                <w:rFonts w:cs="Times New Roman"/>
                <w:b/>
                <w:color w:val="17365D"/>
                <w:sz w:val="18"/>
                <w:szCs w:val="18"/>
              </w:rPr>
              <w:t>21.18</w:t>
            </w:r>
          </w:p>
        </w:tc>
      </w:tr>
      <w:tr w:rsidR="00241FC4" w:rsidRPr="00E72168" w14:paraId="5838F1E5" w14:textId="77777777" w:rsidTr="00241FC4">
        <w:trPr>
          <w:trHeight w:val="264"/>
        </w:trPr>
        <w:tc>
          <w:tcPr>
            <w:tcW w:w="1455" w:type="pct"/>
            <w:tcBorders>
              <w:top w:val="single" w:sz="4" w:space="0" w:color="17365D"/>
              <w:bottom w:val="single" w:sz="4" w:space="0" w:color="17365D"/>
            </w:tcBorders>
            <w:shd w:val="clear" w:color="auto" w:fill="auto"/>
            <w:vAlign w:val="center"/>
            <w:hideMark/>
          </w:tcPr>
          <w:p w14:paraId="2AB6E826" w14:textId="7836F5CF" w:rsidR="00241FC4" w:rsidRPr="00E72168" w:rsidRDefault="00241FC4" w:rsidP="00241FC4">
            <w:pPr>
              <w:spacing w:after="0" w:line="240" w:lineRule="auto"/>
              <w:rPr>
                <w:rFonts w:cs="Times New Roman"/>
                <w:color w:val="17365D"/>
                <w:sz w:val="18"/>
                <w:szCs w:val="18"/>
              </w:rPr>
            </w:pPr>
            <w:r w:rsidRPr="00E72168">
              <w:rPr>
                <w:rFonts w:cs="Times New Roman"/>
                <w:color w:val="17365D"/>
                <w:sz w:val="18"/>
                <w:szCs w:val="18"/>
              </w:rPr>
              <w:t>Attīstības pasākumi un programmas</w:t>
            </w:r>
          </w:p>
        </w:tc>
        <w:tc>
          <w:tcPr>
            <w:tcW w:w="515" w:type="pct"/>
            <w:tcBorders>
              <w:top w:val="single" w:sz="4" w:space="0" w:color="17365D"/>
              <w:bottom w:val="single" w:sz="4" w:space="0" w:color="17365D"/>
            </w:tcBorders>
            <w:shd w:val="clear" w:color="auto" w:fill="auto"/>
            <w:noWrap/>
            <w:vAlign w:val="center"/>
            <w:hideMark/>
          </w:tcPr>
          <w:p w14:paraId="45F4B380" w14:textId="5E53E1EC" w:rsidR="00241FC4" w:rsidRPr="00E72168" w:rsidRDefault="00241FC4" w:rsidP="00241FC4">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 </w:t>
            </w:r>
          </w:p>
        </w:tc>
        <w:tc>
          <w:tcPr>
            <w:tcW w:w="793" w:type="pct"/>
            <w:tcBorders>
              <w:top w:val="single" w:sz="4" w:space="0" w:color="17365D"/>
              <w:bottom w:val="single" w:sz="4" w:space="0" w:color="17365D"/>
            </w:tcBorders>
            <w:shd w:val="clear" w:color="auto" w:fill="auto"/>
            <w:vAlign w:val="center"/>
            <w:hideMark/>
          </w:tcPr>
          <w:p w14:paraId="57970A18" w14:textId="088D239F" w:rsidR="00241FC4" w:rsidRPr="00E72168" w:rsidRDefault="00962255" w:rsidP="00241FC4">
            <w:pPr>
              <w:spacing w:after="0" w:line="240" w:lineRule="auto"/>
              <w:jc w:val="right"/>
              <w:rPr>
                <w:rFonts w:cs="Times New Roman"/>
                <w:color w:val="17365D"/>
                <w:sz w:val="18"/>
                <w:szCs w:val="18"/>
              </w:rPr>
            </w:pPr>
            <w:r w:rsidRPr="00E72168">
              <w:rPr>
                <w:rFonts w:cs="Times New Roman"/>
                <w:color w:val="17365D"/>
                <w:sz w:val="18"/>
                <w:szCs w:val="18"/>
              </w:rPr>
              <w:t>3 961 444</w:t>
            </w:r>
          </w:p>
        </w:tc>
        <w:tc>
          <w:tcPr>
            <w:tcW w:w="795" w:type="pct"/>
            <w:gridSpan w:val="2"/>
            <w:tcBorders>
              <w:top w:val="single" w:sz="4" w:space="0" w:color="17365D"/>
              <w:bottom w:val="single" w:sz="4" w:space="0" w:color="17365D"/>
            </w:tcBorders>
            <w:shd w:val="clear" w:color="auto" w:fill="auto"/>
            <w:vAlign w:val="center"/>
            <w:hideMark/>
          </w:tcPr>
          <w:p w14:paraId="586B1754" w14:textId="65067DED" w:rsidR="00241FC4" w:rsidRPr="00E72168" w:rsidRDefault="003902D5" w:rsidP="00241FC4">
            <w:pPr>
              <w:spacing w:after="0" w:line="240" w:lineRule="auto"/>
              <w:jc w:val="right"/>
              <w:rPr>
                <w:rFonts w:cs="Times New Roman"/>
                <w:color w:val="17365D"/>
                <w:sz w:val="18"/>
                <w:szCs w:val="18"/>
              </w:rPr>
            </w:pPr>
            <w:r w:rsidRPr="00E72168">
              <w:rPr>
                <w:rFonts w:cs="Times New Roman"/>
                <w:color w:val="17365D"/>
                <w:sz w:val="18"/>
                <w:szCs w:val="18"/>
              </w:rPr>
              <w:t>4 619 925</w:t>
            </w:r>
          </w:p>
        </w:tc>
        <w:tc>
          <w:tcPr>
            <w:tcW w:w="758" w:type="pct"/>
            <w:gridSpan w:val="2"/>
            <w:tcBorders>
              <w:top w:val="single" w:sz="4" w:space="0" w:color="17365D"/>
              <w:bottom w:val="single" w:sz="4" w:space="0" w:color="17365D"/>
            </w:tcBorders>
            <w:shd w:val="clear" w:color="auto" w:fill="auto"/>
            <w:noWrap/>
            <w:vAlign w:val="center"/>
            <w:hideMark/>
          </w:tcPr>
          <w:p w14:paraId="1F6ADED7" w14:textId="6B177431" w:rsidR="00241FC4" w:rsidRPr="00E72168" w:rsidRDefault="00B8116A" w:rsidP="00241FC4">
            <w:pPr>
              <w:spacing w:after="0" w:line="240" w:lineRule="auto"/>
              <w:jc w:val="right"/>
              <w:rPr>
                <w:rFonts w:cs="Times New Roman"/>
                <w:color w:val="17365D"/>
                <w:sz w:val="18"/>
                <w:szCs w:val="18"/>
              </w:rPr>
            </w:pPr>
            <w:r w:rsidRPr="00E72168">
              <w:rPr>
                <w:rFonts w:cs="Times New Roman"/>
                <w:color w:val="17365D"/>
                <w:sz w:val="18"/>
                <w:szCs w:val="18"/>
              </w:rPr>
              <w:t>-658 481</w:t>
            </w:r>
          </w:p>
        </w:tc>
        <w:tc>
          <w:tcPr>
            <w:tcW w:w="683" w:type="pct"/>
            <w:tcBorders>
              <w:top w:val="single" w:sz="4" w:space="0" w:color="17365D"/>
              <w:bottom w:val="single" w:sz="4" w:space="0" w:color="17365D"/>
            </w:tcBorders>
            <w:shd w:val="clear" w:color="auto" w:fill="auto"/>
            <w:noWrap/>
            <w:vAlign w:val="center"/>
            <w:hideMark/>
          </w:tcPr>
          <w:p w14:paraId="61F3921B" w14:textId="5E46E31E" w:rsidR="00241FC4" w:rsidRPr="00E72168" w:rsidRDefault="00CB5C74" w:rsidP="00241FC4">
            <w:pPr>
              <w:spacing w:after="0" w:line="240" w:lineRule="auto"/>
              <w:jc w:val="right"/>
              <w:rPr>
                <w:rFonts w:cs="Times New Roman"/>
                <w:color w:val="17365D"/>
                <w:sz w:val="18"/>
                <w:szCs w:val="18"/>
              </w:rPr>
            </w:pPr>
            <w:r w:rsidRPr="00E72168">
              <w:rPr>
                <w:rFonts w:cs="Times New Roman"/>
                <w:color w:val="17365D"/>
                <w:sz w:val="18"/>
                <w:szCs w:val="18"/>
              </w:rPr>
              <w:t>-14.25</w:t>
            </w:r>
          </w:p>
        </w:tc>
      </w:tr>
      <w:tr w:rsidR="00241FC4" w:rsidRPr="00E72168" w14:paraId="5D6653B7" w14:textId="77777777" w:rsidTr="00241FC4">
        <w:trPr>
          <w:trHeight w:val="408"/>
        </w:trPr>
        <w:tc>
          <w:tcPr>
            <w:tcW w:w="1455" w:type="pct"/>
            <w:tcBorders>
              <w:top w:val="single" w:sz="4" w:space="0" w:color="17365D"/>
              <w:bottom w:val="single" w:sz="4" w:space="0" w:color="17365D"/>
            </w:tcBorders>
            <w:shd w:val="clear" w:color="auto" w:fill="auto"/>
            <w:vAlign w:val="center"/>
            <w:hideMark/>
          </w:tcPr>
          <w:p w14:paraId="1BA4C119" w14:textId="73DB9D54" w:rsidR="00241FC4" w:rsidRPr="00E72168" w:rsidRDefault="00241FC4" w:rsidP="00241FC4">
            <w:pPr>
              <w:spacing w:after="0" w:line="240" w:lineRule="auto"/>
              <w:rPr>
                <w:rFonts w:cs="Times New Roman"/>
                <w:color w:val="17365D"/>
                <w:sz w:val="18"/>
                <w:szCs w:val="18"/>
              </w:rPr>
            </w:pPr>
            <w:r w:rsidRPr="00E72168">
              <w:rPr>
                <w:rFonts w:cs="Times New Roman"/>
                <w:color w:val="17365D"/>
                <w:sz w:val="18"/>
                <w:szCs w:val="18"/>
              </w:rPr>
              <w:t>Licences, koncesijas un patenti, preču zīmes un tamlīdzīgas tiesības</w:t>
            </w:r>
          </w:p>
        </w:tc>
        <w:tc>
          <w:tcPr>
            <w:tcW w:w="515" w:type="pct"/>
            <w:tcBorders>
              <w:top w:val="single" w:sz="4" w:space="0" w:color="17365D"/>
              <w:bottom w:val="single" w:sz="4" w:space="0" w:color="17365D"/>
            </w:tcBorders>
            <w:shd w:val="clear" w:color="auto" w:fill="auto"/>
            <w:noWrap/>
            <w:vAlign w:val="center"/>
          </w:tcPr>
          <w:p w14:paraId="1A90ACEF" w14:textId="44E5F185" w:rsidR="00241FC4" w:rsidRPr="00E72168" w:rsidRDefault="00241FC4" w:rsidP="00241FC4">
            <w:pPr>
              <w:spacing w:after="0" w:line="240" w:lineRule="auto"/>
              <w:ind w:right="-101"/>
              <w:jc w:val="right"/>
              <w:rPr>
                <w:rFonts w:eastAsia="Times New Roman" w:cs="Times New Roman"/>
                <w:color w:val="17365D"/>
                <w:sz w:val="18"/>
                <w:szCs w:val="18"/>
                <w:lang w:eastAsia="lv-LV"/>
              </w:rPr>
            </w:pPr>
          </w:p>
        </w:tc>
        <w:tc>
          <w:tcPr>
            <w:tcW w:w="793" w:type="pct"/>
            <w:tcBorders>
              <w:top w:val="single" w:sz="4" w:space="0" w:color="17365D"/>
              <w:bottom w:val="single" w:sz="4" w:space="0" w:color="17365D"/>
            </w:tcBorders>
            <w:shd w:val="clear" w:color="auto" w:fill="auto"/>
            <w:vAlign w:val="center"/>
            <w:hideMark/>
          </w:tcPr>
          <w:p w14:paraId="3B46FFED" w14:textId="43D0E38D" w:rsidR="00241FC4" w:rsidRPr="00E72168" w:rsidRDefault="00962255" w:rsidP="00241FC4">
            <w:pPr>
              <w:spacing w:after="0" w:line="240" w:lineRule="auto"/>
              <w:jc w:val="right"/>
              <w:rPr>
                <w:rFonts w:cs="Times New Roman"/>
                <w:color w:val="17365D"/>
                <w:sz w:val="18"/>
                <w:szCs w:val="18"/>
              </w:rPr>
            </w:pPr>
            <w:r w:rsidRPr="00E72168">
              <w:rPr>
                <w:rFonts w:cs="Times New Roman"/>
                <w:color w:val="17365D"/>
                <w:sz w:val="18"/>
                <w:szCs w:val="18"/>
              </w:rPr>
              <w:t>207 094 068</w:t>
            </w:r>
          </w:p>
        </w:tc>
        <w:tc>
          <w:tcPr>
            <w:tcW w:w="795" w:type="pct"/>
            <w:gridSpan w:val="2"/>
            <w:tcBorders>
              <w:top w:val="single" w:sz="4" w:space="0" w:color="17365D"/>
              <w:bottom w:val="single" w:sz="4" w:space="0" w:color="17365D"/>
            </w:tcBorders>
            <w:shd w:val="clear" w:color="auto" w:fill="auto"/>
            <w:vAlign w:val="center"/>
            <w:hideMark/>
          </w:tcPr>
          <w:p w14:paraId="2DD4FC4B" w14:textId="37369259" w:rsidR="00241FC4" w:rsidRPr="00E72168" w:rsidRDefault="003902D5" w:rsidP="00241FC4">
            <w:pPr>
              <w:spacing w:after="0" w:line="240" w:lineRule="auto"/>
              <w:jc w:val="right"/>
              <w:rPr>
                <w:rFonts w:cs="Times New Roman"/>
                <w:color w:val="17365D"/>
                <w:sz w:val="18"/>
                <w:szCs w:val="18"/>
              </w:rPr>
            </w:pPr>
            <w:r w:rsidRPr="00E72168">
              <w:rPr>
                <w:rFonts w:cs="Times New Roman"/>
                <w:color w:val="17365D"/>
                <w:sz w:val="18"/>
                <w:szCs w:val="18"/>
              </w:rPr>
              <w:t>156 395 952</w:t>
            </w:r>
          </w:p>
        </w:tc>
        <w:tc>
          <w:tcPr>
            <w:tcW w:w="758" w:type="pct"/>
            <w:gridSpan w:val="2"/>
            <w:tcBorders>
              <w:top w:val="single" w:sz="4" w:space="0" w:color="17365D"/>
              <w:bottom w:val="single" w:sz="4" w:space="0" w:color="17365D"/>
            </w:tcBorders>
            <w:shd w:val="clear" w:color="auto" w:fill="auto"/>
            <w:noWrap/>
            <w:vAlign w:val="center"/>
            <w:hideMark/>
          </w:tcPr>
          <w:p w14:paraId="5EDF90E0" w14:textId="024F355B" w:rsidR="00241FC4" w:rsidRPr="00E72168" w:rsidRDefault="00B8116A" w:rsidP="00241FC4">
            <w:pPr>
              <w:spacing w:after="0" w:line="240" w:lineRule="auto"/>
              <w:jc w:val="right"/>
              <w:rPr>
                <w:rFonts w:cs="Times New Roman"/>
                <w:color w:val="17365D"/>
                <w:sz w:val="18"/>
                <w:szCs w:val="18"/>
              </w:rPr>
            </w:pPr>
            <w:r w:rsidRPr="00E72168">
              <w:rPr>
                <w:rFonts w:cs="Times New Roman"/>
                <w:color w:val="17365D"/>
                <w:sz w:val="18"/>
                <w:szCs w:val="18"/>
              </w:rPr>
              <w:t>50 698 116</w:t>
            </w:r>
          </w:p>
        </w:tc>
        <w:tc>
          <w:tcPr>
            <w:tcW w:w="683" w:type="pct"/>
            <w:tcBorders>
              <w:top w:val="single" w:sz="4" w:space="0" w:color="17365D"/>
              <w:bottom w:val="single" w:sz="4" w:space="0" w:color="17365D"/>
            </w:tcBorders>
            <w:shd w:val="clear" w:color="auto" w:fill="auto"/>
            <w:noWrap/>
            <w:vAlign w:val="center"/>
            <w:hideMark/>
          </w:tcPr>
          <w:p w14:paraId="41C5D417" w14:textId="494EA79A" w:rsidR="00241FC4" w:rsidRPr="00E72168" w:rsidRDefault="00CB5C74" w:rsidP="00241FC4">
            <w:pPr>
              <w:spacing w:after="0" w:line="240" w:lineRule="auto"/>
              <w:jc w:val="right"/>
              <w:rPr>
                <w:rFonts w:cs="Times New Roman"/>
                <w:color w:val="17365D"/>
                <w:sz w:val="18"/>
                <w:szCs w:val="18"/>
              </w:rPr>
            </w:pPr>
            <w:r w:rsidRPr="00E72168">
              <w:rPr>
                <w:rFonts w:cs="Times New Roman"/>
                <w:color w:val="17365D"/>
                <w:sz w:val="18"/>
                <w:szCs w:val="18"/>
              </w:rPr>
              <w:t>32.42</w:t>
            </w:r>
          </w:p>
        </w:tc>
      </w:tr>
      <w:tr w:rsidR="00241FC4" w:rsidRPr="00E72168" w14:paraId="78F4EEE4" w14:textId="77777777" w:rsidTr="00241FC4">
        <w:trPr>
          <w:trHeight w:val="56"/>
        </w:trPr>
        <w:tc>
          <w:tcPr>
            <w:tcW w:w="1455" w:type="pct"/>
            <w:tcBorders>
              <w:top w:val="single" w:sz="4" w:space="0" w:color="17365D"/>
              <w:bottom w:val="single" w:sz="4" w:space="0" w:color="17365D"/>
            </w:tcBorders>
            <w:shd w:val="clear" w:color="auto" w:fill="auto"/>
            <w:vAlign w:val="center"/>
            <w:hideMark/>
          </w:tcPr>
          <w:p w14:paraId="39A679C2" w14:textId="605C8773" w:rsidR="00241FC4" w:rsidRPr="00E72168" w:rsidRDefault="00241FC4" w:rsidP="00241FC4">
            <w:pPr>
              <w:spacing w:after="0" w:line="240" w:lineRule="auto"/>
              <w:rPr>
                <w:rFonts w:cs="Times New Roman"/>
                <w:color w:val="17365D"/>
                <w:sz w:val="18"/>
                <w:szCs w:val="18"/>
              </w:rPr>
            </w:pPr>
            <w:r w:rsidRPr="00E72168">
              <w:rPr>
                <w:rFonts w:cs="Times New Roman"/>
                <w:color w:val="17365D"/>
                <w:sz w:val="18"/>
                <w:szCs w:val="18"/>
              </w:rPr>
              <w:t>Pārējie nemateriālie ieguldījumi</w:t>
            </w:r>
          </w:p>
        </w:tc>
        <w:tc>
          <w:tcPr>
            <w:tcW w:w="515" w:type="pct"/>
            <w:tcBorders>
              <w:top w:val="single" w:sz="4" w:space="0" w:color="17365D"/>
              <w:bottom w:val="single" w:sz="4" w:space="0" w:color="17365D"/>
            </w:tcBorders>
            <w:shd w:val="clear" w:color="auto" w:fill="auto"/>
            <w:noWrap/>
            <w:vAlign w:val="center"/>
          </w:tcPr>
          <w:p w14:paraId="4299DEFE" w14:textId="7CD7D119" w:rsidR="00241FC4" w:rsidRPr="00E72168" w:rsidRDefault="00241FC4" w:rsidP="00241FC4">
            <w:pPr>
              <w:spacing w:after="0" w:line="240" w:lineRule="auto"/>
              <w:jc w:val="right"/>
              <w:rPr>
                <w:rFonts w:eastAsia="Times New Roman" w:cs="Times New Roman"/>
                <w:color w:val="17365D"/>
                <w:sz w:val="18"/>
                <w:szCs w:val="18"/>
                <w:lang w:eastAsia="lv-LV"/>
              </w:rPr>
            </w:pPr>
          </w:p>
        </w:tc>
        <w:tc>
          <w:tcPr>
            <w:tcW w:w="793" w:type="pct"/>
            <w:tcBorders>
              <w:top w:val="single" w:sz="4" w:space="0" w:color="17365D"/>
              <w:bottom w:val="single" w:sz="4" w:space="0" w:color="17365D"/>
            </w:tcBorders>
            <w:shd w:val="clear" w:color="auto" w:fill="auto"/>
            <w:vAlign w:val="center"/>
          </w:tcPr>
          <w:p w14:paraId="240C961C" w14:textId="1D52F9B2" w:rsidR="00241FC4" w:rsidRPr="00E72168" w:rsidRDefault="00962255" w:rsidP="00241FC4">
            <w:pPr>
              <w:spacing w:after="0" w:line="240" w:lineRule="auto"/>
              <w:jc w:val="right"/>
              <w:rPr>
                <w:rFonts w:cs="Times New Roman"/>
                <w:color w:val="17365D"/>
                <w:sz w:val="18"/>
                <w:szCs w:val="18"/>
              </w:rPr>
            </w:pPr>
            <w:r w:rsidRPr="00E72168">
              <w:rPr>
                <w:rFonts w:cs="Times New Roman"/>
                <w:color w:val="17365D"/>
                <w:sz w:val="18"/>
                <w:szCs w:val="18"/>
              </w:rPr>
              <w:t>16 594 303</w:t>
            </w:r>
          </w:p>
        </w:tc>
        <w:tc>
          <w:tcPr>
            <w:tcW w:w="795" w:type="pct"/>
            <w:gridSpan w:val="2"/>
            <w:tcBorders>
              <w:top w:val="single" w:sz="4" w:space="0" w:color="17365D"/>
              <w:bottom w:val="single" w:sz="4" w:space="0" w:color="17365D"/>
            </w:tcBorders>
            <w:shd w:val="clear" w:color="auto" w:fill="auto"/>
            <w:vAlign w:val="center"/>
          </w:tcPr>
          <w:p w14:paraId="11E76FDD" w14:textId="1952A28E" w:rsidR="00241FC4" w:rsidRPr="00E72168" w:rsidRDefault="003902D5" w:rsidP="00241FC4">
            <w:pPr>
              <w:spacing w:after="0" w:line="240" w:lineRule="auto"/>
              <w:jc w:val="right"/>
              <w:rPr>
                <w:rFonts w:cs="Times New Roman"/>
                <w:color w:val="17365D"/>
                <w:sz w:val="18"/>
                <w:szCs w:val="18"/>
              </w:rPr>
            </w:pPr>
            <w:r w:rsidRPr="00E72168">
              <w:rPr>
                <w:rFonts w:cs="Times New Roman"/>
                <w:color w:val="17365D"/>
                <w:sz w:val="18"/>
                <w:szCs w:val="18"/>
              </w:rPr>
              <w:t>12 033 110</w:t>
            </w:r>
          </w:p>
        </w:tc>
        <w:tc>
          <w:tcPr>
            <w:tcW w:w="758" w:type="pct"/>
            <w:gridSpan w:val="2"/>
            <w:tcBorders>
              <w:top w:val="single" w:sz="4" w:space="0" w:color="17365D"/>
              <w:bottom w:val="single" w:sz="4" w:space="0" w:color="17365D"/>
            </w:tcBorders>
            <w:shd w:val="clear" w:color="auto" w:fill="auto"/>
            <w:noWrap/>
            <w:vAlign w:val="center"/>
          </w:tcPr>
          <w:p w14:paraId="76BB33E5" w14:textId="55EE483A" w:rsidR="00241FC4" w:rsidRPr="00E72168" w:rsidRDefault="00B8116A" w:rsidP="00241FC4">
            <w:pPr>
              <w:spacing w:after="0" w:line="240" w:lineRule="auto"/>
              <w:jc w:val="right"/>
              <w:rPr>
                <w:rFonts w:cs="Times New Roman"/>
                <w:color w:val="17365D"/>
                <w:sz w:val="18"/>
                <w:szCs w:val="18"/>
              </w:rPr>
            </w:pPr>
            <w:r w:rsidRPr="00E72168">
              <w:rPr>
                <w:rFonts w:cs="Times New Roman"/>
                <w:color w:val="17365D"/>
                <w:sz w:val="18"/>
                <w:szCs w:val="18"/>
              </w:rPr>
              <w:t>4 561 193</w:t>
            </w:r>
          </w:p>
        </w:tc>
        <w:tc>
          <w:tcPr>
            <w:tcW w:w="683" w:type="pct"/>
            <w:tcBorders>
              <w:top w:val="single" w:sz="4" w:space="0" w:color="17365D"/>
              <w:bottom w:val="single" w:sz="4" w:space="0" w:color="17365D"/>
            </w:tcBorders>
            <w:shd w:val="clear" w:color="auto" w:fill="auto"/>
            <w:noWrap/>
            <w:vAlign w:val="center"/>
          </w:tcPr>
          <w:p w14:paraId="06C2C464" w14:textId="7AE74251" w:rsidR="00241FC4" w:rsidRPr="00E72168" w:rsidRDefault="00CB5C74" w:rsidP="00241FC4">
            <w:pPr>
              <w:spacing w:after="0" w:line="240" w:lineRule="auto"/>
              <w:jc w:val="right"/>
              <w:rPr>
                <w:rFonts w:cs="Times New Roman"/>
                <w:color w:val="17365D"/>
                <w:sz w:val="18"/>
                <w:szCs w:val="18"/>
              </w:rPr>
            </w:pPr>
            <w:r w:rsidRPr="00E72168">
              <w:rPr>
                <w:rFonts w:cs="Times New Roman"/>
                <w:color w:val="17365D"/>
                <w:sz w:val="18"/>
                <w:szCs w:val="18"/>
              </w:rPr>
              <w:t>37.91</w:t>
            </w:r>
          </w:p>
        </w:tc>
      </w:tr>
      <w:tr w:rsidR="00241FC4" w:rsidRPr="00E72168" w14:paraId="332FEDBD" w14:textId="77777777" w:rsidTr="00241FC4">
        <w:trPr>
          <w:trHeight w:val="264"/>
        </w:trPr>
        <w:tc>
          <w:tcPr>
            <w:tcW w:w="1455" w:type="pct"/>
            <w:tcBorders>
              <w:top w:val="single" w:sz="4" w:space="0" w:color="17365D"/>
              <w:bottom w:val="single" w:sz="4" w:space="0" w:color="17365D"/>
            </w:tcBorders>
            <w:shd w:val="clear" w:color="auto" w:fill="auto"/>
            <w:vAlign w:val="center"/>
            <w:hideMark/>
          </w:tcPr>
          <w:p w14:paraId="677D945E" w14:textId="4CA12E23" w:rsidR="00241FC4" w:rsidRPr="00E72168" w:rsidRDefault="00241FC4" w:rsidP="00241FC4">
            <w:pPr>
              <w:spacing w:after="0" w:line="240" w:lineRule="auto"/>
              <w:rPr>
                <w:rFonts w:cs="Times New Roman"/>
                <w:color w:val="17365D"/>
                <w:sz w:val="18"/>
                <w:szCs w:val="18"/>
              </w:rPr>
            </w:pPr>
            <w:r w:rsidRPr="00E72168">
              <w:rPr>
                <w:rFonts w:cs="Times New Roman"/>
                <w:color w:val="17365D"/>
                <w:sz w:val="18"/>
                <w:szCs w:val="18"/>
              </w:rPr>
              <w:t>Nemateriālo ieguldījumu izveidošana</w:t>
            </w:r>
          </w:p>
        </w:tc>
        <w:tc>
          <w:tcPr>
            <w:tcW w:w="515" w:type="pct"/>
            <w:tcBorders>
              <w:top w:val="single" w:sz="4" w:space="0" w:color="17365D"/>
              <w:bottom w:val="single" w:sz="4" w:space="0" w:color="17365D"/>
            </w:tcBorders>
            <w:shd w:val="clear" w:color="auto" w:fill="auto"/>
            <w:noWrap/>
            <w:vAlign w:val="center"/>
          </w:tcPr>
          <w:p w14:paraId="57B1B795" w14:textId="2D229D54" w:rsidR="00241FC4" w:rsidRPr="00E72168" w:rsidRDefault="00241FC4" w:rsidP="00241FC4">
            <w:pPr>
              <w:spacing w:after="0" w:line="240" w:lineRule="auto"/>
              <w:ind w:right="-101"/>
              <w:jc w:val="right"/>
              <w:rPr>
                <w:rFonts w:cs="Times New Roman"/>
                <w:color w:val="17365D"/>
                <w:sz w:val="18"/>
                <w:szCs w:val="18"/>
              </w:rPr>
            </w:pPr>
          </w:p>
        </w:tc>
        <w:tc>
          <w:tcPr>
            <w:tcW w:w="793" w:type="pct"/>
            <w:tcBorders>
              <w:top w:val="single" w:sz="4" w:space="0" w:color="17365D"/>
              <w:bottom w:val="single" w:sz="4" w:space="0" w:color="17365D"/>
            </w:tcBorders>
            <w:shd w:val="clear" w:color="auto" w:fill="auto"/>
            <w:vAlign w:val="center"/>
          </w:tcPr>
          <w:p w14:paraId="57DCBC60" w14:textId="3B214462" w:rsidR="00241FC4" w:rsidRPr="00E72168" w:rsidRDefault="00962255" w:rsidP="00241FC4">
            <w:pPr>
              <w:spacing w:after="0" w:line="240" w:lineRule="auto"/>
              <w:jc w:val="right"/>
              <w:rPr>
                <w:rFonts w:cs="Times New Roman"/>
                <w:color w:val="17365D"/>
                <w:sz w:val="18"/>
                <w:szCs w:val="18"/>
              </w:rPr>
            </w:pPr>
            <w:r w:rsidRPr="00E72168">
              <w:rPr>
                <w:rFonts w:cs="Times New Roman"/>
                <w:color w:val="17365D"/>
                <w:sz w:val="18"/>
                <w:szCs w:val="18"/>
              </w:rPr>
              <w:t>31 717 839</w:t>
            </w:r>
          </w:p>
        </w:tc>
        <w:tc>
          <w:tcPr>
            <w:tcW w:w="795" w:type="pct"/>
            <w:gridSpan w:val="2"/>
            <w:tcBorders>
              <w:top w:val="single" w:sz="4" w:space="0" w:color="17365D"/>
              <w:bottom w:val="single" w:sz="4" w:space="0" w:color="17365D"/>
            </w:tcBorders>
            <w:shd w:val="clear" w:color="auto" w:fill="auto"/>
            <w:vAlign w:val="center"/>
          </w:tcPr>
          <w:p w14:paraId="4A338245" w14:textId="7FA6AB55" w:rsidR="00241FC4" w:rsidRPr="00E72168" w:rsidRDefault="003902D5" w:rsidP="00241FC4">
            <w:pPr>
              <w:spacing w:after="0" w:line="240" w:lineRule="auto"/>
              <w:jc w:val="right"/>
              <w:rPr>
                <w:rFonts w:cs="Times New Roman"/>
                <w:color w:val="17365D"/>
                <w:sz w:val="18"/>
                <w:szCs w:val="18"/>
              </w:rPr>
            </w:pPr>
            <w:r w:rsidRPr="00E72168">
              <w:rPr>
                <w:rFonts w:cs="Times New Roman"/>
                <w:color w:val="17365D"/>
                <w:sz w:val="18"/>
                <w:szCs w:val="18"/>
              </w:rPr>
              <w:t>40 544 702</w:t>
            </w:r>
          </w:p>
        </w:tc>
        <w:tc>
          <w:tcPr>
            <w:tcW w:w="758" w:type="pct"/>
            <w:gridSpan w:val="2"/>
            <w:tcBorders>
              <w:top w:val="single" w:sz="4" w:space="0" w:color="17365D"/>
              <w:bottom w:val="single" w:sz="4" w:space="0" w:color="17365D"/>
            </w:tcBorders>
            <w:shd w:val="clear" w:color="auto" w:fill="auto"/>
            <w:noWrap/>
            <w:vAlign w:val="center"/>
          </w:tcPr>
          <w:p w14:paraId="35197146" w14:textId="6F17B424" w:rsidR="00241FC4" w:rsidRPr="00E72168" w:rsidRDefault="00B8116A" w:rsidP="00241FC4">
            <w:pPr>
              <w:spacing w:after="0" w:line="240" w:lineRule="auto"/>
              <w:jc w:val="right"/>
              <w:rPr>
                <w:rFonts w:cs="Times New Roman"/>
                <w:color w:val="17365D"/>
                <w:sz w:val="18"/>
                <w:szCs w:val="18"/>
              </w:rPr>
            </w:pPr>
            <w:r w:rsidRPr="00E72168">
              <w:rPr>
                <w:rFonts w:cs="Times New Roman"/>
                <w:color w:val="17365D"/>
                <w:sz w:val="18"/>
                <w:szCs w:val="18"/>
              </w:rPr>
              <w:t>-8 826 863</w:t>
            </w:r>
          </w:p>
        </w:tc>
        <w:tc>
          <w:tcPr>
            <w:tcW w:w="683" w:type="pct"/>
            <w:tcBorders>
              <w:top w:val="single" w:sz="4" w:space="0" w:color="17365D"/>
              <w:bottom w:val="single" w:sz="4" w:space="0" w:color="17365D"/>
            </w:tcBorders>
            <w:shd w:val="clear" w:color="auto" w:fill="auto"/>
            <w:noWrap/>
            <w:vAlign w:val="center"/>
          </w:tcPr>
          <w:p w14:paraId="2C1B6CF6" w14:textId="16B352E6" w:rsidR="00241FC4" w:rsidRPr="00E72168" w:rsidRDefault="00CB5C74" w:rsidP="00241FC4">
            <w:pPr>
              <w:spacing w:after="0" w:line="240" w:lineRule="auto"/>
              <w:jc w:val="right"/>
              <w:rPr>
                <w:rFonts w:cs="Times New Roman"/>
                <w:color w:val="17365D"/>
                <w:sz w:val="18"/>
                <w:szCs w:val="18"/>
              </w:rPr>
            </w:pPr>
            <w:r w:rsidRPr="00E72168">
              <w:rPr>
                <w:rFonts w:cs="Times New Roman"/>
                <w:color w:val="17365D"/>
                <w:sz w:val="18"/>
                <w:szCs w:val="18"/>
              </w:rPr>
              <w:t>-21.77</w:t>
            </w:r>
          </w:p>
        </w:tc>
      </w:tr>
      <w:tr w:rsidR="00241FC4" w:rsidRPr="00E72168" w14:paraId="2D3BB1AB" w14:textId="77777777" w:rsidTr="00241FC4">
        <w:trPr>
          <w:trHeight w:val="408"/>
        </w:trPr>
        <w:tc>
          <w:tcPr>
            <w:tcW w:w="1455" w:type="pct"/>
            <w:tcBorders>
              <w:top w:val="single" w:sz="4" w:space="0" w:color="17365D"/>
              <w:bottom w:val="single" w:sz="4" w:space="0" w:color="17365D"/>
            </w:tcBorders>
            <w:shd w:val="clear" w:color="auto" w:fill="auto"/>
            <w:vAlign w:val="center"/>
          </w:tcPr>
          <w:p w14:paraId="1E597AC2" w14:textId="5CCC22F4" w:rsidR="00241FC4" w:rsidRPr="00E72168" w:rsidRDefault="00241FC4" w:rsidP="00241FC4">
            <w:pPr>
              <w:spacing w:after="0" w:line="240" w:lineRule="auto"/>
              <w:rPr>
                <w:rFonts w:cs="Times New Roman"/>
                <w:color w:val="17365D"/>
                <w:sz w:val="18"/>
                <w:szCs w:val="18"/>
              </w:rPr>
            </w:pPr>
            <w:r w:rsidRPr="00E72168">
              <w:rPr>
                <w:rFonts w:cs="Times New Roman"/>
                <w:color w:val="17365D"/>
                <w:sz w:val="18"/>
                <w:szCs w:val="18"/>
              </w:rPr>
              <w:t>Avansa maksājumi par nemateriālajiem ieguldījumiem</w:t>
            </w:r>
          </w:p>
        </w:tc>
        <w:tc>
          <w:tcPr>
            <w:tcW w:w="515" w:type="pct"/>
            <w:tcBorders>
              <w:top w:val="single" w:sz="4" w:space="0" w:color="17365D"/>
              <w:bottom w:val="single" w:sz="4" w:space="0" w:color="17365D"/>
            </w:tcBorders>
            <w:shd w:val="clear" w:color="auto" w:fill="auto"/>
            <w:noWrap/>
            <w:vAlign w:val="center"/>
          </w:tcPr>
          <w:p w14:paraId="69C722AA" w14:textId="77777777" w:rsidR="00241FC4" w:rsidRPr="00E72168" w:rsidRDefault="00241FC4" w:rsidP="00241FC4">
            <w:pPr>
              <w:spacing w:after="0" w:line="240" w:lineRule="auto"/>
              <w:jc w:val="right"/>
              <w:rPr>
                <w:rFonts w:eastAsia="Times New Roman" w:cs="Times New Roman"/>
                <w:color w:val="17365D"/>
                <w:sz w:val="18"/>
                <w:szCs w:val="18"/>
                <w:lang w:eastAsia="lv-LV"/>
              </w:rPr>
            </w:pPr>
          </w:p>
        </w:tc>
        <w:tc>
          <w:tcPr>
            <w:tcW w:w="793" w:type="pct"/>
            <w:tcBorders>
              <w:top w:val="single" w:sz="4" w:space="0" w:color="17365D"/>
              <w:bottom w:val="single" w:sz="4" w:space="0" w:color="17365D"/>
            </w:tcBorders>
            <w:shd w:val="clear" w:color="auto" w:fill="auto"/>
            <w:vAlign w:val="center"/>
          </w:tcPr>
          <w:p w14:paraId="1789CAD2" w14:textId="4ACEA6B1" w:rsidR="00241FC4" w:rsidRPr="00E72168" w:rsidRDefault="00962255" w:rsidP="00241FC4">
            <w:pPr>
              <w:spacing w:after="0" w:line="240" w:lineRule="auto"/>
              <w:jc w:val="right"/>
              <w:rPr>
                <w:rFonts w:cs="Times New Roman"/>
                <w:color w:val="17365D"/>
                <w:sz w:val="18"/>
                <w:szCs w:val="18"/>
              </w:rPr>
            </w:pPr>
            <w:r w:rsidRPr="00E72168">
              <w:rPr>
                <w:rFonts w:cs="Times New Roman"/>
                <w:color w:val="17365D"/>
                <w:sz w:val="18"/>
                <w:szCs w:val="18"/>
              </w:rPr>
              <w:t>447 544</w:t>
            </w:r>
          </w:p>
        </w:tc>
        <w:tc>
          <w:tcPr>
            <w:tcW w:w="795" w:type="pct"/>
            <w:gridSpan w:val="2"/>
            <w:tcBorders>
              <w:top w:val="single" w:sz="4" w:space="0" w:color="17365D"/>
              <w:bottom w:val="single" w:sz="4" w:space="0" w:color="17365D"/>
            </w:tcBorders>
            <w:shd w:val="clear" w:color="auto" w:fill="auto"/>
            <w:vAlign w:val="center"/>
          </w:tcPr>
          <w:p w14:paraId="1C36A5D2" w14:textId="5717BCF8" w:rsidR="00241FC4" w:rsidRPr="00E72168" w:rsidRDefault="003902D5" w:rsidP="00241FC4">
            <w:pPr>
              <w:spacing w:after="0" w:line="240" w:lineRule="auto"/>
              <w:jc w:val="right"/>
              <w:rPr>
                <w:rFonts w:cs="Times New Roman"/>
                <w:color w:val="17365D"/>
                <w:sz w:val="18"/>
                <w:szCs w:val="18"/>
              </w:rPr>
            </w:pPr>
            <w:r w:rsidRPr="00E72168">
              <w:rPr>
                <w:rFonts w:cs="Times New Roman"/>
                <w:color w:val="17365D"/>
                <w:sz w:val="18"/>
                <w:szCs w:val="18"/>
              </w:rPr>
              <w:t>809 685</w:t>
            </w:r>
          </w:p>
        </w:tc>
        <w:tc>
          <w:tcPr>
            <w:tcW w:w="758" w:type="pct"/>
            <w:gridSpan w:val="2"/>
            <w:tcBorders>
              <w:top w:val="single" w:sz="4" w:space="0" w:color="17365D"/>
              <w:bottom w:val="single" w:sz="4" w:space="0" w:color="17365D"/>
            </w:tcBorders>
            <w:shd w:val="clear" w:color="auto" w:fill="auto"/>
            <w:noWrap/>
            <w:vAlign w:val="center"/>
          </w:tcPr>
          <w:p w14:paraId="7784205C" w14:textId="275E4745" w:rsidR="00241FC4" w:rsidRPr="00E72168" w:rsidRDefault="00B8116A" w:rsidP="00241FC4">
            <w:pPr>
              <w:spacing w:after="0" w:line="240" w:lineRule="auto"/>
              <w:jc w:val="right"/>
              <w:rPr>
                <w:rFonts w:cs="Times New Roman"/>
                <w:color w:val="17365D"/>
                <w:sz w:val="18"/>
                <w:szCs w:val="18"/>
              </w:rPr>
            </w:pPr>
            <w:r w:rsidRPr="00E72168">
              <w:rPr>
                <w:rFonts w:cs="Times New Roman"/>
                <w:color w:val="17365D"/>
                <w:sz w:val="18"/>
                <w:szCs w:val="18"/>
              </w:rPr>
              <w:t>-362 141</w:t>
            </w:r>
          </w:p>
        </w:tc>
        <w:tc>
          <w:tcPr>
            <w:tcW w:w="683" w:type="pct"/>
            <w:tcBorders>
              <w:top w:val="single" w:sz="4" w:space="0" w:color="17365D"/>
              <w:bottom w:val="single" w:sz="4" w:space="0" w:color="17365D"/>
            </w:tcBorders>
            <w:shd w:val="clear" w:color="auto" w:fill="auto"/>
            <w:noWrap/>
            <w:vAlign w:val="center"/>
          </w:tcPr>
          <w:p w14:paraId="22DA56AB" w14:textId="4F3F348A" w:rsidR="00241FC4" w:rsidRPr="00E72168" w:rsidRDefault="00CB5C74" w:rsidP="00241FC4">
            <w:pPr>
              <w:spacing w:after="0" w:line="240" w:lineRule="auto"/>
              <w:jc w:val="right"/>
              <w:rPr>
                <w:rFonts w:cs="Times New Roman"/>
                <w:color w:val="17365D"/>
                <w:sz w:val="18"/>
                <w:szCs w:val="18"/>
              </w:rPr>
            </w:pPr>
            <w:r w:rsidRPr="00E72168">
              <w:rPr>
                <w:rFonts w:cs="Times New Roman"/>
                <w:color w:val="17365D"/>
                <w:sz w:val="18"/>
                <w:szCs w:val="18"/>
              </w:rPr>
              <w:t>-44.73</w:t>
            </w:r>
          </w:p>
        </w:tc>
      </w:tr>
      <w:tr w:rsidR="000C1009" w:rsidRPr="00E72168" w14:paraId="7A43BA05" w14:textId="77777777" w:rsidTr="00821FBA">
        <w:trPr>
          <w:trHeight w:val="202"/>
        </w:trPr>
        <w:tc>
          <w:tcPr>
            <w:tcW w:w="1455" w:type="pct"/>
            <w:tcBorders>
              <w:top w:val="single" w:sz="4" w:space="0" w:color="17365D"/>
            </w:tcBorders>
            <w:shd w:val="clear" w:color="auto" w:fill="B9CDE5"/>
            <w:vAlign w:val="center"/>
          </w:tcPr>
          <w:p w14:paraId="5D06287D" w14:textId="77777777" w:rsidR="00881F63" w:rsidRPr="00E72168" w:rsidRDefault="00881F63" w:rsidP="00B52074">
            <w:pPr>
              <w:spacing w:after="0"/>
              <w:rPr>
                <w:rFonts w:eastAsia="Times New Roman" w:cs="Times New Roman"/>
                <w:color w:val="17365D"/>
                <w:sz w:val="18"/>
                <w:szCs w:val="18"/>
                <w:lang w:eastAsia="lv-LV"/>
              </w:rPr>
            </w:pPr>
          </w:p>
        </w:tc>
        <w:tc>
          <w:tcPr>
            <w:tcW w:w="515" w:type="pct"/>
            <w:tcBorders>
              <w:top w:val="single" w:sz="4" w:space="0" w:color="17365D"/>
            </w:tcBorders>
            <w:shd w:val="clear" w:color="auto" w:fill="B9CDE5"/>
            <w:noWrap/>
            <w:vAlign w:val="center"/>
          </w:tcPr>
          <w:p w14:paraId="504C30A8" w14:textId="77777777" w:rsidR="00881F63" w:rsidRPr="00E72168" w:rsidRDefault="00881F63" w:rsidP="00B52074">
            <w:pPr>
              <w:spacing w:after="0"/>
              <w:jc w:val="center"/>
              <w:rPr>
                <w:rFonts w:eastAsia="Times New Roman" w:cs="Times New Roman"/>
                <w:color w:val="17365D"/>
                <w:sz w:val="18"/>
                <w:szCs w:val="18"/>
                <w:lang w:eastAsia="lv-LV"/>
              </w:rPr>
            </w:pPr>
          </w:p>
        </w:tc>
        <w:tc>
          <w:tcPr>
            <w:tcW w:w="793" w:type="pct"/>
            <w:tcBorders>
              <w:top w:val="single" w:sz="4" w:space="0" w:color="17365D"/>
            </w:tcBorders>
            <w:shd w:val="clear" w:color="auto" w:fill="B9CDE5"/>
            <w:noWrap/>
            <w:vAlign w:val="center"/>
          </w:tcPr>
          <w:p w14:paraId="15F3706E" w14:textId="77777777" w:rsidR="00881F63" w:rsidRPr="00E72168" w:rsidRDefault="00881F63" w:rsidP="00B52074">
            <w:pPr>
              <w:spacing w:after="0"/>
              <w:jc w:val="right"/>
              <w:rPr>
                <w:rFonts w:eastAsia="Times New Roman" w:cs="Times New Roman"/>
                <w:color w:val="17365D"/>
                <w:sz w:val="18"/>
                <w:szCs w:val="18"/>
                <w:lang w:eastAsia="lv-LV"/>
              </w:rPr>
            </w:pPr>
          </w:p>
        </w:tc>
        <w:tc>
          <w:tcPr>
            <w:tcW w:w="783" w:type="pct"/>
            <w:tcBorders>
              <w:top w:val="single" w:sz="4" w:space="0" w:color="17365D"/>
            </w:tcBorders>
            <w:shd w:val="clear" w:color="auto" w:fill="B9CDE5"/>
            <w:noWrap/>
            <w:vAlign w:val="center"/>
          </w:tcPr>
          <w:p w14:paraId="372CE5CE" w14:textId="77777777" w:rsidR="00881F63" w:rsidRPr="00E72168" w:rsidRDefault="00881F63" w:rsidP="00B52074">
            <w:pPr>
              <w:spacing w:after="0"/>
              <w:jc w:val="right"/>
              <w:rPr>
                <w:rFonts w:eastAsia="Times New Roman" w:cs="Times New Roman"/>
                <w:color w:val="17365D"/>
                <w:sz w:val="18"/>
                <w:szCs w:val="18"/>
                <w:lang w:eastAsia="lv-LV"/>
              </w:rPr>
            </w:pPr>
          </w:p>
        </w:tc>
        <w:tc>
          <w:tcPr>
            <w:tcW w:w="693" w:type="pct"/>
            <w:gridSpan w:val="2"/>
            <w:tcBorders>
              <w:top w:val="single" w:sz="4" w:space="0" w:color="17365D"/>
            </w:tcBorders>
            <w:shd w:val="clear" w:color="auto" w:fill="B9CDE5"/>
            <w:noWrap/>
            <w:vAlign w:val="center"/>
          </w:tcPr>
          <w:p w14:paraId="5078F25E" w14:textId="77777777" w:rsidR="00881F63" w:rsidRPr="00E72168" w:rsidRDefault="00881F63" w:rsidP="00B52074">
            <w:pPr>
              <w:spacing w:after="0"/>
              <w:jc w:val="right"/>
              <w:rPr>
                <w:rFonts w:eastAsia="Times New Roman" w:cs="Times New Roman"/>
                <w:color w:val="17365D"/>
                <w:sz w:val="18"/>
                <w:szCs w:val="18"/>
                <w:lang w:eastAsia="lv-LV"/>
              </w:rPr>
            </w:pPr>
          </w:p>
        </w:tc>
        <w:tc>
          <w:tcPr>
            <w:tcW w:w="760" w:type="pct"/>
            <w:gridSpan w:val="2"/>
            <w:tcBorders>
              <w:top w:val="single" w:sz="4" w:space="0" w:color="17365D"/>
            </w:tcBorders>
            <w:shd w:val="clear" w:color="auto" w:fill="B9CDE5"/>
            <w:noWrap/>
            <w:vAlign w:val="center"/>
          </w:tcPr>
          <w:p w14:paraId="4AF6D484" w14:textId="77777777" w:rsidR="00881F63" w:rsidRPr="00E72168" w:rsidRDefault="00881F63" w:rsidP="00B52074">
            <w:pPr>
              <w:spacing w:after="0"/>
              <w:jc w:val="right"/>
              <w:rPr>
                <w:rFonts w:eastAsia="Times New Roman" w:cs="Times New Roman"/>
                <w:color w:val="17365D"/>
                <w:sz w:val="18"/>
                <w:szCs w:val="18"/>
                <w:lang w:eastAsia="lv-LV"/>
              </w:rPr>
            </w:pPr>
          </w:p>
        </w:tc>
      </w:tr>
    </w:tbl>
    <w:p w14:paraId="10978A72" w14:textId="766150F8" w:rsidR="00256B28" w:rsidRPr="00E72168" w:rsidRDefault="00256B28" w:rsidP="00CC6E09">
      <w:pPr>
        <w:spacing w:after="120" w:line="240" w:lineRule="auto"/>
        <w:ind w:firstLine="284"/>
        <w:jc w:val="both"/>
        <w:rPr>
          <w:rFonts w:eastAsia="Times New Roman" w:cs="Times New Roman"/>
          <w:color w:val="17365D"/>
          <w:lang w:eastAsia="lv-LV"/>
        </w:rPr>
      </w:pPr>
    </w:p>
    <w:p w14:paraId="0E6C2685" w14:textId="1526B03B" w:rsidR="004C704C" w:rsidRPr="00E72168" w:rsidRDefault="004C704C" w:rsidP="006D7BEC">
      <w:pPr>
        <w:spacing w:after="120" w:line="240" w:lineRule="auto"/>
        <w:ind w:firstLine="284"/>
        <w:jc w:val="both"/>
        <w:rPr>
          <w:rFonts w:eastAsia="Times New Roman" w:cs="Times New Roman"/>
          <w:color w:val="17365D"/>
          <w:lang w:eastAsia="lv-LV"/>
        </w:rPr>
      </w:pPr>
      <w:r w:rsidRPr="00E72168">
        <w:rPr>
          <w:rFonts w:eastAsia="Times New Roman" w:cs="Times New Roman"/>
          <w:color w:val="17365D"/>
          <w:lang w:eastAsia="lv-LV"/>
        </w:rPr>
        <w:t>Nemateriālo ieguldījumu postenī būtiskas izmaiņas pārskata gadā nav bijušas.</w:t>
      </w:r>
    </w:p>
    <w:p w14:paraId="288ED3E1" w14:textId="2C25FC3D" w:rsidR="00EE7A9E" w:rsidRPr="00E72168" w:rsidRDefault="00EE7A9E" w:rsidP="006D7BEC">
      <w:pPr>
        <w:spacing w:after="120" w:line="240" w:lineRule="auto"/>
        <w:ind w:firstLine="284"/>
        <w:jc w:val="both"/>
        <w:rPr>
          <w:rFonts w:eastAsia="Times New Roman" w:cs="Times New Roman"/>
          <w:color w:val="17365D"/>
          <w:lang w:eastAsia="lv-LV"/>
        </w:rPr>
      </w:pPr>
      <w:r w:rsidRPr="00E72168">
        <w:rPr>
          <w:rFonts w:eastAsia="Times New Roman" w:cs="Times New Roman"/>
          <w:color w:val="17365D"/>
          <w:lang w:eastAsia="lv-LV"/>
        </w:rPr>
        <w:t>Ministrijām pašu izveidotu nemateriālo ieguldījumu atlikusī v</w:t>
      </w:r>
      <w:r w:rsidR="00827CF2" w:rsidRPr="00E72168">
        <w:rPr>
          <w:rFonts w:eastAsia="Times New Roman" w:cs="Times New Roman"/>
          <w:color w:val="17365D"/>
          <w:lang w:eastAsia="lv-LV"/>
        </w:rPr>
        <w:t xml:space="preserve">ērtība pārskata gadā ir </w:t>
      </w:r>
      <w:r w:rsidR="004C704C" w:rsidRPr="00E72168">
        <w:rPr>
          <w:rFonts w:eastAsia="Times New Roman" w:cs="Times New Roman"/>
          <w:color w:val="17365D"/>
          <w:lang w:eastAsia="lv-LV"/>
        </w:rPr>
        <w:t>3</w:t>
      </w:r>
      <w:r w:rsidR="00783BFF" w:rsidRPr="00E72168">
        <w:rPr>
          <w:rFonts w:eastAsia="Times New Roman" w:cs="Times New Roman"/>
          <w:color w:val="17365D"/>
          <w:lang w:eastAsia="lv-LV"/>
        </w:rPr>
        <w:t> 750 </w:t>
      </w:r>
      <w:r w:rsidR="006D1872" w:rsidRPr="00E72168">
        <w:rPr>
          <w:rFonts w:eastAsia="Times New Roman" w:cs="Times New Roman"/>
          <w:color w:val="17365D"/>
          <w:lang w:eastAsia="lv-LV"/>
        </w:rPr>
        <w:t>435</w:t>
      </w:r>
      <w:r w:rsidR="00C01FF5" w:rsidRPr="00E72168">
        <w:rPr>
          <w:rFonts w:eastAsia="Times New Roman" w:cs="Times New Roman"/>
          <w:color w:val="17365D"/>
          <w:lang w:eastAsia="lv-LV"/>
        </w:rPr>
        <w:t> </w:t>
      </w:r>
      <w:r w:rsidRPr="00E72168">
        <w:rPr>
          <w:rFonts w:eastAsia="Times New Roman" w:cs="Times New Roman"/>
          <w:i/>
          <w:color w:val="17365D"/>
          <w:lang w:eastAsia="lv-LV"/>
        </w:rPr>
        <w:t>euro</w:t>
      </w:r>
      <w:r w:rsidRPr="00E72168">
        <w:rPr>
          <w:rFonts w:eastAsia="Times New Roman" w:cs="Times New Roman"/>
          <w:color w:val="17365D"/>
          <w:lang w:eastAsia="lv-LV"/>
        </w:rPr>
        <w:t>, pašvaldībām –</w:t>
      </w:r>
      <w:r w:rsidR="00F3483F" w:rsidRPr="00E72168">
        <w:rPr>
          <w:rFonts w:eastAsia="Times New Roman" w:cs="Times New Roman"/>
          <w:color w:val="17365D"/>
          <w:lang w:eastAsia="lv-LV"/>
        </w:rPr>
        <w:t xml:space="preserve"> </w:t>
      </w:r>
      <w:r w:rsidR="00783BFF" w:rsidRPr="00E72168">
        <w:rPr>
          <w:rFonts w:eastAsia="Times New Roman" w:cs="Times New Roman"/>
          <w:color w:val="17365D"/>
          <w:lang w:eastAsia="lv-LV"/>
        </w:rPr>
        <w:t>111 </w:t>
      </w:r>
      <w:r w:rsidR="006D1872" w:rsidRPr="00E72168">
        <w:rPr>
          <w:rFonts w:eastAsia="Times New Roman" w:cs="Times New Roman"/>
          <w:color w:val="17365D"/>
          <w:lang w:eastAsia="lv-LV"/>
        </w:rPr>
        <w:t>515</w:t>
      </w:r>
      <w:r w:rsidR="00C01FF5" w:rsidRPr="00E72168">
        <w:rPr>
          <w:rFonts w:eastAsia="Times New Roman" w:cs="Times New Roman"/>
          <w:color w:val="17365D"/>
          <w:lang w:eastAsia="lv-LV"/>
        </w:rPr>
        <w:t> </w:t>
      </w:r>
      <w:r w:rsidRPr="00E72168">
        <w:rPr>
          <w:rFonts w:eastAsia="Times New Roman" w:cs="Times New Roman"/>
          <w:i/>
          <w:color w:val="17365D"/>
          <w:lang w:eastAsia="lv-LV"/>
        </w:rPr>
        <w:t xml:space="preserve">euro, </w:t>
      </w:r>
      <w:r w:rsidRPr="00E72168">
        <w:rPr>
          <w:rFonts w:eastAsia="Times New Roman" w:cs="Times New Roman"/>
          <w:color w:val="17365D"/>
          <w:lang w:eastAsia="lv-LV"/>
        </w:rPr>
        <w:t>kas neveido būtisku īpatsvaru no nemateriālo ieguldījumu atlikušās vērtības.</w:t>
      </w:r>
    </w:p>
    <w:p w14:paraId="049CCCEF" w14:textId="438D2F35" w:rsidR="00C700AD" w:rsidRPr="00E72168" w:rsidRDefault="00C700AD" w:rsidP="006D7BEC">
      <w:pPr>
        <w:spacing w:after="120" w:line="240" w:lineRule="auto"/>
        <w:jc w:val="both"/>
        <w:rPr>
          <w:rFonts w:eastAsia="Times New Roman" w:cs="Times New Roman"/>
          <w:color w:val="17365D"/>
          <w:lang w:eastAsia="lv-LV"/>
        </w:rPr>
      </w:pPr>
      <w:r w:rsidRPr="00E72168">
        <w:rPr>
          <w:rFonts w:eastAsia="Times New Roman" w:cs="Times New Roman"/>
          <w:color w:val="17365D"/>
          <w:lang w:eastAsia="lv-LV"/>
        </w:rPr>
        <w:t xml:space="preserve">Nemateriālie ieguldījumi ar nenoteiktu lietderīgās lietošanas laiku pārskata perioda beigās ir </w:t>
      </w:r>
      <w:r w:rsidR="00783BFF" w:rsidRPr="00E2102D">
        <w:rPr>
          <w:rFonts w:eastAsia="Times New Roman" w:cs="Times New Roman"/>
          <w:color w:val="17365D"/>
          <w:lang w:eastAsia="lv-LV"/>
        </w:rPr>
        <w:t>4 </w:t>
      </w:r>
      <w:r w:rsidRPr="00E2102D">
        <w:rPr>
          <w:rFonts w:eastAsia="Times New Roman" w:cs="Times New Roman"/>
          <w:color w:val="17365D"/>
          <w:lang w:eastAsia="lv-LV"/>
        </w:rPr>
        <w:t>300</w:t>
      </w:r>
      <w:r w:rsidRPr="00E72168">
        <w:rPr>
          <w:rFonts w:eastAsia="Times New Roman" w:cs="Times New Roman"/>
          <w:color w:val="17365D"/>
          <w:lang w:eastAsia="lv-LV"/>
        </w:rPr>
        <w:t xml:space="preserve"> 667 </w:t>
      </w:r>
      <w:r w:rsidRPr="00E2102D">
        <w:rPr>
          <w:rFonts w:eastAsia="Times New Roman" w:cs="Times New Roman"/>
          <w:i/>
          <w:color w:val="17365D"/>
          <w:lang w:eastAsia="lv-LV"/>
        </w:rPr>
        <w:t>euro</w:t>
      </w:r>
      <w:r w:rsidR="00542EDD" w:rsidRPr="00E72168">
        <w:rPr>
          <w:rFonts w:eastAsia="Times New Roman" w:cs="Times New Roman"/>
          <w:color w:val="17365D"/>
          <w:lang w:eastAsia="lv-LV"/>
        </w:rPr>
        <w:t xml:space="preserve"> vērtībā</w:t>
      </w:r>
      <w:r w:rsidR="00FE104D" w:rsidRPr="00E72168">
        <w:rPr>
          <w:rFonts w:eastAsia="Times New Roman" w:cs="Times New Roman"/>
          <w:color w:val="17365D"/>
          <w:lang w:eastAsia="lv-LV"/>
        </w:rPr>
        <w:t xml:space="preserve"> jeb 1,</w:t>
      </w:r>
      <w:r w:rsidR="00542EDD" w:rsidRPr="00E72168">
        <w:rPr>
          <w:rFonts w:eastAsia="Times New Roman" w:cs="Times New Roman"/>
          <w:color w:val="17365D"/>
          <w:lang w:eastAsia="lv-LV"/>
        </w:rPr>
        <w:t>65</w:t>
      </w:r>
      <w:r w:rsidR="00FE104D" w:rsidRPr="00E72168">
        <w:rPr>
          <w:rFonts w:eastAsia="Times New Roman" w:cs="Times New Roman"/>
          <w:color w:val="17365D"/>
          <w:lang w:eastAsia="lv-LV"/>
        </w:rPr>
        <w:t xml:space="preserve"> </w:t>
      </w:r>
      <w:r w:rsidR="00542EDD" w:rsidRPr="00E72168">
        <w:rPr>
          <w:rFonts w:eastAsia="Times New Roman" w:cs="Times New Roman"/>
          <w:color w:val="17365D"/>
          <w:lang w:eastAsia="lv-LV"/>
        </w:rPr>
        <w:t xml:space="preserve">% no posteņa vērtības. </w:t>
      </w:r>
    </w:p>
    <w:p w14:paraId="0A63367C" w14:textId="3111F500" w:rsidR="00EE7A9E" w:rsidRDefault="00F3483F" w:rsidP="006D7BEC">
      <w:pPr>
        <w:spacing w:after="120" w:line="240" w:lineRule="auto"/>
        <w:ind w:firstLine="284"/>
        <w:jc w:val="both"/>
        <w:rPr>
          <w:rFonts w:cs="Times New Roman"/>
          <w:color w:val="17365D"/>
        </w:rPr>
      </w:pPr>
      <w:r w:rsidRPr="00E72168">
        <w:rPr>
          <w:rFonts w:eastAsia="Times New Roman" w:cs="Times New Roman"/>
          <w:color w:val="17365D"/>
          <w:lang w:eastAsia="lv-LV"/>
        </w:rPr>
        <w:t xml:space="preserve">Nemateriāliem ieguldījumiem </w:t>
      </w:r>
      <w:r w:rsidR="00760019" w:rsidRPr="00E72168">
        <w:rPr>
          <w:rFonts w:eastAsia="Times New Roman" w:cs="Times New Roman"/>
          <w:color w:val="17365D"/>
          <w:lang w:eastAsia="lv-LV"/>
        </w:rPr>
        <w:t xml:space="preserve">un avansa maksājumiem </w:t>
      </w:r>
      <w:r w:rsidRPr="00E72168">
        <w:rPr>
          <w:rFonts w:eastAsia="Times New Roman" w:cs="Times New Roman"/>
          <w:color w:val="17365D"/>
          <w:lang w:eastAsia="lv-LV"/>
        </w:rPr>
        <w:t xml:space="preserve">vērtības samazinājums pārskata gadā </w:t>
      </w:r>
      <w:r w:rsidR="00F73CE6" w:rsidRPr="00E72168">
        <w:rPr>
          <w:rFonts w:eastAsia="Times New Roman" w:cs="Times New Roman"/>
          <w:color w:val="17365D"/>
          <w:lang w:eastAsia="lv-LV"/>
        </w:rPr>
        <w:t>nav</w:t>
      </w:r>
      <w:r w:rsidRPr="00E72168">
        <w:rPr>
          <w:rFonts w:eastAsia="Times New Roman" w:cs="Times New Roman"/>
          <w:color w:val="17365D"/>
          <w:lang w:eastAsia="lv-LV"/>
        </w:rPr>
        <w:t xml:space="preserve"> </w:t>
      </w:r>
      <w:r w:rsidR="00C76AF9" w:rsidRPr="00E72168">
        <w:rPr>
          <w:rFonts w:eastAsia="Times New Roman" w:cs="Times New Roman"/>
          <w:color w:val="17365D"/>
          <w:lang w:eastAsia="lv-LV"/>
        </w:rPr>
        <w:t>atzīts</w:t>
      </w:r>
      <w:r w:rsidR="00EE7A9E" w:rsidRPr="00E72168">
        <w:rPr>
          <w:rFonts w:eastAsia="Times New Roman" w:cs="Times New Roman"/>
          <w:color w:val="17365D"/>
          <w:lang w:eastAsia="lv-LV"/>
        </w:rPr>
        <w:t>.</w:t>
      </w:r>
      <w:r w:rsidR="00F73CE6" w:rsidRPr="00E72168">
        <w:rPr>
          <w:rFonts w:cs="Times New Roman"/>
          <w:color w:val="17365D"/>
        </w:rPr>
        <w:t xml:space="preserve"> </w:t>
      </w:r>
    </w:p>
    <w:p w14:paraId="18F0C676" w14:textId="6A4D618B" w:rsidR="00CA49A2" w:rsidRDefault="00CA49A2" w:rsidP="006D7BEC">
      <w:pPr>
        <w:spacing w:after="120" w:line="240" w:lineRule="auto"/>
        <w:ind w:firstLine="284"/>
        <w:jc w:val="both"/>
        <w:rPr>
          <w:rFonts w:cs="Times New Roman"/>
          <w:color w:val="17365D"/>
        </w:rPr>
      </w:pPr>
      <w:r w:rsidRPr="00CA49A2">
        <w:rPr>
          <w:rFonts w:cs="Times New Roman"/>
          <w:color w:val="17365D"/>
        </w:rPr>
        <w:t>Bilances postenī “</w:t>
      </w:r>
      <w:r w:rsidRPr="00E72168">
        <w:rPr>
          <w:rFonts w:eastAsia="Times New Roman" w:cs="Times New Roman"/>
          <w:color w:val="17365D"/>
          <w:lang w:eastAsia="lv-LV"/>
        </w:rPr>
        <w:t>Nemateriālie ieguldījumi</w:t>
      </w:r>
      <w:r w:rsidRPr="00CA49A2">
        <w:rPr>
          <w:rFonts w:cs="Times New Roman"/>
          <w:color w:val="17365D"/>
        </w:rPr>
        <w:t>” konsolidēti valsts un pašvaldību budžeta iestāžu savstarpējie avansa maksājumi un attiecīgās saistības.</w:t>
      </w:r>
    </w:p>
    <w:p w14:paraId="35A3FA2C" w14:textId="159FA898" w:rsidR="00CA49A2" w:rsidRDefault="00CA49A2" w:rsidP="006D7BEC">
      <w:pPr>
        <w:spacing w:after="120" w:line="240" w:lineRule="auto"/>
        <w:ind w:firstLine="284"/>
        <w:jc w:val="both"/>
        <w:rPr>
          <w:rFonts w:cs="Times New Roman"/>
          <w:color w:val="17365D"/>
        </w:rPr>
      </w:pPr>
    </w:p>
    <w:p w14:paraId="29139C2C" w14:textId="7C2BD767" w:rsidR="00CA49A2" w:rsidRDefault="00CA49A2" w:rsidP="006D7BEC">
      <w:pPr>
        <w:spacing w:after="120" w:line="240" w:lineRule="auto"/>
        <w:ind w:firstLine="284"/>
        <w:jc w:val="both"/>
        <w:rPr>
          <w:rFonts w:cs="Times New Roman"/>
          <w:color w:val="17365D"/>
        </w:rPr>
      </w:pPr>
    </w:p>
    <w:p w14:paraId="38F3969C" w14:textId="294C9AD6" w:rsidR="00CA49A2" w:rsidRDefault="00CA49A2" w:rsidP="006D7BEC">
      <w:pPr>
        <w:spacing w:after="120" w:line="240" w:lineRule="auto"/>
        <w:ind w:firstLine="284"/>
        <w:jc w:val="both"/>
        <w:rPr>
          <w:rFonts w:cs="Times New Roman"/>
          <w:color w:val="17365D"/>
        </w:rPr>
      </w:pPr>
    </w:p>
    <w:p w14:paraId="7ADCDAF5" w14:textId="77777777" w:rsidR="00CA49A2" w:rsidRPr="00E72168" w:rsidRDefault="00CA49A2" w:rsidP="006D7BEC">
      <w:pPr>
        <w:spacing w:after="120" w:line="240" w:lineRule="auto"/>
        <w:ind w:firstLine="284"/>
        <w:jc w:val="both"/>
        <w:rPr>
          <w:rFonts w:cs="Times New Roman"/>
          <w:color w:val="17365D"/>
        </w:rPr>
      </w:pPr>
    </w:p>
    <w:p w14:paraId="11BAF048" w14:textId="19DA8190" w:rsidR="002A1642" w:rsidRPr="00E72168" w:rsidRDefault="00F63B31" w:rsidP="005A3758">
      <w:pPr>
        <w:pStyle w:val="Heading4"/>
        <w:rPr>
          <w:rFonts w:cs="Times New Roman"/>
          <w:lang w:eastAsia="lv-LV"/>
        </w:rPr>
      </w:pPr>
      <w:r w:rsidRPr="00E72168">
        <w:rPr>
          <w:rFonts w:cs="Times New Roman"/>
          <w:lang w:eastAsia="lv-LV"/>
        </w:rPr>
        <w:lastRenderedPageBreak/>
        <w:t xml:space="preserve">Piezīme Nr. </w:t>
      </w:r>
      <w:r w:rsidR="003E4135" w:rsidRPr="00E72168">
        <w:rPr>
          <w:rFonts w:cs="Times New Roman"/>
          <w:lang w:eastAsia="lv-LV"/>
        </w:rPr>
        <w:t>KB.</w:t>
      </w:r>
      <w:r w:rsidR="00EE7A9E" w:rsidRPr="00E72168">
        <w:rPr>
          <w:rFonts w:cs="Times New Roman"/>
          <w:lang w:eastAsia="lv-LV"/>
        </w:rPr>
        <w:t>1.</w:t>
      </w:r>
      <w:r w:rsidR="003E4135" w:rsidRPr="00E72168">
        <w:rPr>
          <w:rFonts w:cs="Times New Roman"/>
          <w:lang w:eastAsia="lv-LV"/>
        </w:rPr>
        <w:t xml:space="preserve">2. </w:t>
      </w:r>
      <w:r w:rsidR="002A1642" w:rsidRPr="00E72168">
        <w:rPr>
          <w:rFonts w:cs="Times New Roman"/>
          <w:lang w:eastAsia="lv-LV"/>
        </w:rPr>
        <w:t>Pamatlīdzekļi</w:t>
      </w:r>
    </w:p>
    <w:p w14:paraId="0CFEA7BF" w14:textId="704162F1" w:rsidR="00ED1453" w:rsidRPr="00E72168" w:rsidRDefault="00CA5D9A" w:rsidP="006F02B7">
      <w:pPr>
        <w:pStyle w:val="Tabulasnosaukums1"/>
        <w:spacing w:before="120"/>
        <w:rPr>
          <w:rFonts w:cs="Times New Roman"/>
          <w:color w:val="17365D"/>
        </w:rPr>
      </w:pPr>
      <w:r>
        <w:rPr>
          <w:rFonts w:cs="Times New Roman"/>
          <w:i/>
          <w:color w:val="17365D"/>
        </w:rPr>
        <w:t>1.</w:t>
      </w:r>
      <w:r w:rsidR="00031CD6" w:rsidRPr="00E72168">
        <w:rPr>
          <w:rFonts w:cs="Times New Roman"/>
          <w:i/>
          <w:color w:val="17365D"/>
        </w:rPr>
        <w:t>3</w:t>
      </w:r>
      <w:r w:rsidR="002A1642" w:rsidRPr="00E72168">
        <w:rPr>
          <w:rFonts w:cs="Times New Roman"/>
          <w:i/>
          <w:color w:val="17365D"/>
        </w:rPr>
        <w:t>. tabula</w:t>
      </w:r>
      <w:r w:rsidR="006C5598" w:rsidRPr="00E72168">
        <w:rPr>
          <w:rFonts w:cs="Times New Roman"/>
          <w:i/>
          <w:color w:val="17365D"/>
        </w:rPr>
        <w:t>.</w:t>
      </w:r>
      <w:r w:rsidR="006C5598" w:rsidRPr="00E72168">
        <w:rPr>
          <w:rFonts w:cs="Times New Roman"/>
          <w:i/>
          <w:color w:val="17365D"/>
          <w:lang w:eastAsia="lv-LV"/>
        </w:rPr>
        <w:t xml:space="preserve"> Pamatlīdzekļi </w:t>
      </w:r>
      <w:r w:rsidR="006C5598" w:rsidRPr="00E72168">
        <w:rPr>
          <w:rFonts w:eastAsia="Times New Roman" w:cs="Times New Roman"/>
          <w:i/>
          <w:color w:val="17365D"/>
          <w:szCs w:val="20"/>
          <w:lang w:eastAsia="lv-LV"/>
        </w:rPr>
        <w:t>(</w:t>
      </w:r>
      <w:r w:rsidR="000B4141" w:rsidRPr="00E72168">
        <w:rPr>
          <w:rFonts w:eastAsia="Times New Roman" w:cs="Times New Roman"/>
          <w:i/>
          <w:color w:val="17365D"/>
          <w:szCs w:val="20"/>
          <w:lang w:eastAsia="lv-LV"/>
        </w:rPr>
        <w:t>euro</w:t>
      </w:r>
      <w:r w:rsidR="006C5598" w:rsidRPr="00E72168">
        <w:rPr>
          <w:rFonts w:eastAsia="Times New Roman" w:cs="Times New Roman"/>
          <w:i/>
          <w:color w:val="17365D"/>
          <w:szCs w:val="20"/>
          <w:lang w:eastAsia="lv-LV"/>
        </w:rPr>
        <w:t>)</w:t>
      </w:r>
    </w:p>
    <w:tbl>
      <w:tblPr>
        <w:tblW w:w="5000" w:type="pct"/>
        <w:tblBorders>
          <w:insideH w:val="single" w:sz="4" w:space="0" w:color="012169"/>
        </w:tblBorders>
        <w:tblLayout w:type="fixed"/>
        <w:tblLook w:val="04A0" w:firstRow="1" w:lastRow="0" w:firstColumn="1" w:lastColumn="0" w:noHBand="0" w:noVBand="1"/>
      </w:tblPr>
      <w:tblGrid>
        <w:gridCol w:w="2718"/>
        <w:gridCol w:w="973"/>
        <w:gridCol w:w="1487"/>
        <w:gridCol w:w="1467"/>
        <w:gridCol w:w="21"/>
        <w:gridCol w:w="1414"/>
        <w:gridCol w:w="1274"/>
      </w:tblGrid>
      <w:tr w:rsidR="000C1009" w:rsidRPr="00E72168" w14:paraId="418A7F72" w14:textId="77777777" w:rsidTr="009E3F87">
        <w:trPr>
          <w:trHeight w:val="684"/>
          <w:tblHeader/>
        </w:trPr>
        <w:tc>
          <w:tcPr>
            <w:tcW w:w="1453" w:type="pct"/>
            <w:tcBorders>
              <w:top w:val="nil"/>
              <w:bottom w:val="single" w:sz="4" w:space="0" w:color="17365D"/>
            </w:tcBorders>
            <w:shd w:val="clear" w:color="auto" w:fill="B9CDE5"/>
            <w:vAlign w:val="center"/>
            <w:hideMark/>
          </w:tcPr>
          <w:p w14:paraId="5B3108F2" w14:textId="65A3A7F2"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Rādītāji</w:t>
            </w:r>
          </w:p>
        </w:tc>
        <w:tc>
          <w:tcPr>
            <w:tcW w:w="520" w:type="pct"/>
            <w:tcBorders>
              <w:top w:val="nil"/>
              <w:bottom w:val="single" w:sz="4" w:space="0" w:color="17365D"/>
            </w:tcBorders>
            <w:shd w:val="clear" w:color="auto" w:fill="B9CDE5"/>
            <w:vAlign w:val="center"/>
            <w:hideMark/>
          </w:tcPr>
          <w:p w14:paraId="03310FA6"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95" w:type="pct"/>
            <w:tcBorders>
              <w:top w:val="nil"/>
              <w:bottom w:val="single" w:sz="4" w:space="0" w:color="17365D"/>
            </w:tcBorders>
            <w:shd w:val="clear" w:color="auto" w:fill="B9CDE5"/>
            <w:vAlign w:val="center"/>
            <w:hideMark/>
          </w:tcPr>
          <w:p w14:paraId="0C31FDB8"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795" w:type="pct"/>
            <w:gridSpan w:val="2"/>
            <w:tcBorders>
              <w:top w:val="nil"/>
              <w:bottom w:val="single" w:sz="4" w:space="0" w:color="17365D"/>
            </w:tcBorders>
            <w:shd w:val="clear" w:color="auto" w:fill="B9CDE5"/>
            <w:vAlign w:val="center"/>
            <w:hideMark/>
          </w:tcPr>
          <w:p w14:paraId="74DF27FA"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56" w:type="pct"/>
            <w:tcBorders>
              <w:top w:val="nil"/>
              <w:bottom w:val="single" w:sz="4" w:space="0" w:color="17365D"/>
            </w:tcBorders>
            <w:shd w:val="clear" w:color="auto" w:fill="B9CDE5"/>
            <w:vAlign w:val="center"/>
            <w:hideMark/>
          </w:tcPr>
          <w:p w14:paraId="300D9221" w14:textId="2EEDA29D"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t>(+,</w:t>
            </w:r>
            <w:r w:rsidR="002B1B27" w:rsidRPr="00E72168">
              <w:rPr>
                <w:rFonts w:eastAsia="Times New Roman" w:cs="Times New Roman"/>
                <w:b/>
                <w:color w:val="17365D"/>
                <w:sz w:val="18"/>
                <w:szCs w:val="18"/>
                <w:lang w:eastAsia="lv-LV"/>
              </w:rPr>
              <w:t xml:space="preserve"> – </w:t>
            </w:r>
            <w:r w:rsidRPr="00E72168">
              <w:rPr>
                <w:rFonts w:eastAsia="Times New Roman" w:cs="Times New Roman"/>
                <w:b/>
                <w:color w:val="17365D"/>
                <w:sz w:val="18"/>
                <w:szCs w:val="18"/>
                <w:lang w:eastAsia="lv-LV"/>
              </w:rPr>
              <w:t>)</w:t>
            </w:r>
          </w:p>
        </w:tc>
        <w:tc>
          <w:tcPr>
            <w:tcW w:w="681" w:type="pct"/>
            <w:tcBorders>
              <w:top w:val="nil"/>
              <w:bottom w:val="single" w:sz="4" w:space="0" w:color="17365D"/>
            </w:tcBorders>
            <w:shd w:val="clear" w:color="auto" w:fill="B9CDE5"/>
            <w:vAlign w:val="center"/>
            <w:hideMark/>
          </w:tcPr>
          <w:p w14:paraId="13ABD156"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167822C2" w14:textId="77777777" w:rsidTr="009E3F87">
        <w:trPr>
          <w:trHeight w:val="264"/>
          <w:tblHeader/>
        </w:trPr>
        <w:tc>
          <w:tcPr>
            <w:tcW w:w="1453" w:type="pct"/>
            <w:tcBorders>
              <w:top w:val="single" w:sz="4" w:space="0" w:color="17365D"/>
              <w:bottom w:val="single" w:sz="4" w:space="0" w:color="17365D"/>
            </w:tcBorders>
            <w:shd w:val="clear" w:color="auto" w:fill="auto"/>
            <w:vAlign w:val="center"/>
            <w:hideMark/>
          </w:tcPr>
          <w:p w14:paraId="794822E2"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520" w:type="pct"/>
            <w:tcBorders>
              <w:top w:val="single" w:sz="4" w:space="0" w:color="17365D"/>
              <w:bottom w:val="single" w:sz="4" w:space="0" w:color="17365D"/>
            </w:tcBorders>
            <w:shd w:val="clear" w:color="auto" w:fill="auto"/>
            <w:vAlign w:val="center"/>
            <w:hideMark/>
          </w:tcPr>
          <w:p w14:paraId="5F6F3C93" w14:textId="77777777" w:rsidR="00A867A9" w:rsidRPr="00E72168" w:rsidRDefault="00A867A9" w:rsidP="002F5AFE">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95" w:type="pct"/>
            <w:tcBorders>
              <w:top w:val="single" w:sz="4" w:space="0" w:color="17365D"/>
              <w:bottom w:val="single" w:sz="4" w:space="0" w:color="17365D"/>
            </w:tcBorders>
            <w:shd w:val="clear" w:color="auto" w:fill="auto"/>
            <w:vAlign w:val="center"/>
            <w:hideMark/>
          </w:tcPr>
          <w:p w14:paraId="4973B2A3" w14:textId="77777777" w:rsidR="00A867A9" w:rsidRPr="00E72168" w:rsidRDefault="00A867A9" w:rsidP="002354F0">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795" w:type="pct"/>
            <w:gridSpan w:val="2"/>
            <w:tcBorders>
              <w:top w:val="single" w:sz="4" w:space="0" w:color="17365D"/>
              <w:bottom w:val="single" w:sz="4" w:space="0" w:color="17365D"/>
            </w:tcBorders>
            <w:shd w:val="clear" w:color="auto" w:fill="auto"/>
            <w:vAlign w:val="center"/>
            <w:hideMark/>
          </w:tcPr>
          <w:p w14:paraId="7698EBE1" w14:textId="77777777" w:rsidR="00A867A9" w:rsidRPr="00E72168" w:rsidRDefault="00A867A9" w:rsidP="002354F0">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56" w:type="pct"/>
            <w:tcBorders>
              <w:top w:val="single" w:sz="4" w:space="0" w:color="17365D"/>
              <w:bottom w:val="single" w:sz="4" w:space="0" w:color="17365D"/>
            </w:tcBorders>
            <w:shd w:val="clear" w:color="auto" w:fill="auto"/>
            <w:vAlign w:val="center"/>
            <w:hideMark/>
          </w:tcPr>
          <w:p w14:paraId="639E20AE" w14:textId="77777777" w:rsidR="00A867A9" w:rsidRPr="00E72168" w:rsidRDefault="00A867A9" w:rsidP="002354F0">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81" w:type="pct"/>
            <w:tcBorders>
              <w:top w:val="single" w:sz="4" w:space="0" w:color="17365D"/>
              <w:bottom w:val="single" w:sz="4" w:space="0" w:color="17365D"/>
            </w:tcBorders>
            <w:shd w:val="clear" w:color="auto" w:fill="auto"/>
            <w:vAlign w:val="center"/>
            <w:hideMark/>
          </w:tcPr>
          <w:p w14:paraId="44589C7C" w14:textId="77777777" w:rsidR="00A867A9" w:rsidRPr="00E72168" w:rsidRDefault="00A867A9" w:rsidP="002354F0">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187B15" w:rsidRPr="00E72168" w14:paraId="58045C1A" w14:textId="77777777" w:rsidTr="006A4E09">
        <w:trPr>
          <w:trHeight w:val="264"/>
        </w:trPr>
        <w:tc>
          <w:tcPr>
            <w:tcW w:w="1453" w:type="pct"/>
            <w:tcBorders>
              <w:top w:val="single" w:sz="4" w:space="0" w:color="17365D"/>
              <w:bottom w:val="single" w:sz="4" w:space="0" w:color="17365D"/>
            </w:tcBorders>
            <w:shd w:val="clear" w:color="auto" w:fill="auto"/>
            <w:vAlign w:val="center"/>
            <w:hideMark/>
          </w:tcPr>
          <w:p w14:paraId="19DA1A8F" w14:textId="35D3036D" w:rsidR="00187B15" w:rsidRPr="00E72168" w:rsidRDefault="00187B15" w:rsidP="00187B15">
            <w:pPr>
              <w:spacing w:after="0" w:line="240" w:lineRule="auto"/>
              <w:rPr>
                <w:rFonts w:cs="Times New Roman"/>
                <w:b/>
                <w:color w:val="17365D"/>
                <w:sz w:val="18"/>
                <w:szCs w:val="18"/>
              </w:rPr>
            </w:pPr>
            <w:r w:rsidRPr="00E72168">
              <w:rPr>
                <w:rFonts w:cs="Times New Roman"/>
                <w:b/>
                <w:color w:val="17365D"/>
                <w:sz w:val="18"/>
                <w:szCs w:val="18"/>
              </w:rPr>
              <w:t>Pamatlīdzekļi</w:t>
            </w:r>
          </w:p>
        </w:tc>
        <w:tc>
          <w:tcPr>
            <w:tcW w:w="520" w:type="pct"/>
            <w:tcBorders>
              <w:top w:val="single" w:sz="4" w:space="0" w:color="17365D"/>
              <w:bottom w:val="single" w:sz="4" w:space="0" w:color="17365D"/>
            </w:tcBorders>
            <w:shd w:val="clear" w:color="auto" w:fill="auto"/>
            <w:vAlign w:val="center"/>
            <w:hideMark/>
          </w:tcPr>
          <w:p w14:paraId="5F39AE9F" w14:textId="55138D8D" w:rsidR="00187B15" w:rsidRPr="00E72168" w:rsidRDefault="00187B15" w:rsidP="00187B15">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KB.1.2.</w:t>
            </w:r>
          </w:p>
        </w:tc>
        <w:tc>
          <w:tcPr>
            <w:tcW w:w="795" w:type="pct"/>
            <w:tcBorders>
              <w:top w:val="single" w:sz="4" w:space="0" w:color="17365D"/>
              <w:bottom w:val="single" w:sz="4" w:space="0" w:color="17365D"/>
            </w:tcBorders>
            <w:shd w:val="clear" w:color="auto" w:fill="auto"/>
            <w:vAlign w:val="center"/>
            <w:hideMark/>
          </w:tcPr>
          <w:p w14:paraId="42ECFF53" w14:textId="54C1AA19" w:rsidR="00187B15" w:rsidRPr="00E72168" w:rsidRDefault="000A34AD" w:rsidP="00187B15">
            <w:pPr>
              <w:spacing w:after="0" w:line="240" w:lineRule="auto"/>
              <w:jc w:val="right"/>
              <w:rPr>
                <w:rFonts w:cs="Times New Roman"/>
                <w:b/>
                <w:color w:val="17365D"/>
                <w:sz w:val="18"/>
                <w:szCs w:val="18"/>
              </w:rPr>
            </w:pPr>
            <w:r w:rsidRPr="00E72168">
              <w:rPr>
                <w:rFonts w:cs="Times New Roman"/>
                <w:b/>
                <w:color w:val="17365D"/>
                <w:sz w:val="18"/>
                <w:szCs w:val="18"/>
              </w:rPr>
              <w:t>15 170 515 663</w:t>
            </w:r>
          </w:p>
        </w:tc>
        <w:tc>
          <w:tcPr>
            <w:tcW w:w="795" w:type="pct"/>
            <w:gridSpan w:val="2"/>
            <w:tcBorders>
              <w:top w:val="single" w:sz="4" w:space="0" w:color="17365D"/>
              <w:bottom w:val="single" w:sz="4" w:space="0" w:color="17365D"/>
            </w:tcBorders>
            <w:shd w:val="clear" w:color="auto" w:fill="auto"/>
            <w:vAlign w:val="center"/>
            <w:hideMark/>
          </w:tcPr>
          <w:p w14:paraId="190BECC5" w14:textId="09B94087" w:rsidR="00187B15" w:rsidRPr="00E72168" w:rsidRDefault="00187B15" w:rsidP="00187B15">
            <w:pPr>
              <w:spacing w:after="0" w:line="240" w:lineRule="auto"/>
              <w:jc w:val="right"/>
              <w:rPr>
                <w:rFonts w:cs="Times New Roman"/>
                <w:b/>
                <w:color w:val="17365D"/>
                <w:sz w:val="18"/>
                <w:szCs w:val="18"/>
              </w:rPr>
            </w:pPr>
            <w:r w:rsidRPr="00E72168">
              <w:rPr>
                <w:rFonts w:cs="Times New Roman"/>
                <w:b/>
                <w:color w:val="17365D"/>
                <w:sz w:val="18"/>
                <w:szCs w:val="18"/>
              </w:rPr>
              <w:t>14 409 418 700</w:t>
            </w:r>
          </w:p>
        </w:tc>
        <w:tc>
          <w:tcPr>
            <w:tcW w:w="756" w:type="pct"/>
            <w:tcBorders>
              <w:top w:val="single" w:sz="4" w:space="0" w:color="17365D"/>
              <w:bottom w:val="single" w:sz="4" w:space="0" w:color="17365D"/>
            </w:tcBorders>
            <w:shd w:val="clear" w:color="auto" w:fill="auto"/>
            <w:noWrap/>
            <w:vAlign w:val="center"/>
            <w:hideMark/>
          </w:tcPr>
          <w:p w14:paraId="7986FE54" w14:textId="42196508" w:rsidR="00187B15" w:rsidRPr="00E72168" w:rsidRDefault="007738B8" w:rsidP="00187B15">
            <w:pPr>
              <w:spacing w:after="0" w:line="240" w:lineRule="auto"/>
              <w:jc w:val="right"/>
              <w:rPr>
                <w:rFonts w:cs="Times New Roman"/>
                <w:b/>
                <w:color w:val="17365D"/>
                <w:sz w:val="18"/>
                <w:szCs w:val="18"/>
              </w:rPr>
            </w:pPr>
            <w:r w:rsidRPr="00E72168">
              <w:rPr>
                <w:rFonts w:cs="Times New Roman"/>
                <w:b/>
                <w:color w:val="17365D"/>
                <w:sz w:val="18"/>
                <w:szCs w:val="18"/>
              </w:rPr>
              <w:t>761 096 963</w:t>
            </w:r>
          </w:p>
        </w:tc>
        <w:tc>
          <w:tcPr>
            <w:tcW w:w="681" w:type="pct"/>
            <w:tcBorders>
              <w:top w:val="single" w:sz="4" w:space="0" w:color="17365D"/>
              <w:bottom w:val="single" w:sz="4" w:space="0" w:color="17365D"/>
            </w:tcBorders>
            <w:shd w:val="clear" w:color="auto" w:fill="auto"/>
            <w:noWrap/>
            <w:vAlign w:val="center"/>
            <w:hideMark/>
          </w:tcPr>
          <w:p w14:paraId="4AD7E8A2" w14:textId="443FE96B" w:rsidR="00187B15" w:rsidRPr="00E72168" w:rsidRDefault="00187B15" w:rsidP="00187B15">
            <w:pPr>
              <w:spacing w:after="0" w:line="240" w:lineRule="auto"/>
              <w:jc w:val="right"/>
              <w:rPr>
                <w:rFonts w:cs="Times New Roman"/>
                <w:b/>
                <w:color w:val="17365D"/>
                <w:sz w:val="18"/>
                <w:szCs w:val="18"/>
              </w:rPr>
            </w:pPr>
            <w:r w:rsidRPr="00E72168">
              <w:rPr>
                <w:rFonts w:cs="Times New Roman"/>
                <w:b/>
                <w:color w:val="17365D"/>
                <w:sz w:val="18"/>
                <w:szCs w:val="18"/>
              </w:rPr>
              <w:t>5.28</w:t>
            </w:r>
          </w:p>
        </w:tc>
      </w:tr>
      <w:tr w:rsidR="00187B15" w:rsidRPr="00E72168" w14:paraId="4C1B319B" w14:textId="77777777" w:rsidTr="006A4E09">
        <w:trPr>
          <w:trHeight w:val="54"/>
        </w:trPr>
        <w:tc>
          <w:tcPr>
            <w:tcW w:w="1453" w:type="pct"/>
            <w:tcBorders>
              <w:top w:val="single" w:sz="4" w:space="0" w:color="17365D"/>
              <w:bottom w:val="single" w:sz="4" w:space="0" w:color="17365D"/>
            </w:tcBorders>
            <w:shd w:val="clear" w:color="auto" w:fill="auto"/>
            <w:vAlign w:val="center"/>
            <w:hideMark/>
          </w:tcPr>
          <w:p w14:paraId="3A4E35B3" w14:textId="04C43867" w:rsidR="00187B15" w:rsidRPr="00E72168" w:rsidRDefault="00187B15" w:rsidP="00187B15">
            <w:pPr>
              <w:spacing w:after="0" w:line="240" w:lineRule="auto"/>
              <w:rPr>
                <w:rFonts w:cs="Times New Roman"/>
                <w:color w:val="17365D"/>
                <w:sz w:val="18"/>
                <w:szCs w:val="18"/>
              </w:rPr>
            </w:pPr>
            <w:r w:rsidRPr="00E72168">
              <w:rPr>
                <w:rFonts w:cs="Times New Roman"/>
                <w:color w:val="17365D"/>
                <w:sz w:val="18"/>
                <w:szCs w:val="18"/>
              </w:rPr>
              <w:t>Zeme un būves</w:t>
            </w:r>
          </w:p>
        </w:tc>
        <w:tc>
          <w:tcPr>
            <w:tcW w:w="520" w:type="pct"/>
            <w:tcBorders>
              <w:top w:val="single" w:sz="4" w:space="0" w:color="17365D"/>
              <w:bottom w:val="single" w:sz="4" w:space="0" w:color="17365D"/>
            </w:tcBorders>
            <w:shd w:val="clear" w:color="auto" w:fill="auto"/>
            <w:noWrap/>
            <w:vAlign w:val="center"/>
            <w:hideMark/>
          </w:tcPr>
          <w:p w14:paraId="656EEF37" w14:textId="0E56E5FB" w:rsidR="00187B15" w:rsidRPr="00BF4C61" w:rsidRDefault="00187B15" w:rsidP="00187B15">
            <w:pPr>
              <w:spacing w:after="0" w:line="240" w:lineRule="auto"/>
              <w:jc w:val="right"/>
              <w:rPr>
                <w:rFonts w:cs="Times New Roman"/>
                <w:color w:val="17365D"/>
                <w:sz w:val="18"/>
                <w:szCs w:val="18"/>
              </w:rPr>
            </w:pPr>
          </w:p>
        </w:tc>
        <w:tc>
          <w:tcPr>
            <w:tcW w:w="795" w:type="pct"/>
            <w:tcBorders>
              <w:top w:val="single" w:sz="4" w:space="0" w:color="17365D"/>
              <w:bottom w:val="single" w:sz="4" w:space="0" w:color="17365D"/>
            </w:tcBorders>
            <w:shd w:val="clear" w:color="auto" w:fill="auto"/>
            <w:vAlign w:val="center"/>
            <w:hideMark/>
          </w:tcPr>
          <w:p w14:paraId="6BDBECFD" w14:textId="190C61C9"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10 056 749 614</w:t>
            </w:r>
          </w:p>
        </w:tc>
        <w:tc>
          <w:tcPr>
            <w:tcW w:w="795" w:type="pct"/>
            <w:gridSpan w:val="2"/>
            <w:tcBorders>
              <w:top w:val="single" w:sz="4" w:space="0" w:color="17365D"/>
              <w:bottom w:val="single" w:sz="4" w:space="0" w:color="17365D"/>
            </w:tcBorders>
            <w:shd w:val="clear" w:color="auto" w:fill="auto"/>
            <w:vAlign w:val="center"/>
            <w:hideMark/>
          </w:tcPr>
          <w:p w14:paraId="6F1FA835" w14:textId="038DFD09"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9 500 494 494</w:t>
            </w:r>
          </w:p>
        </w:tc>
        <w:tc>
          <w:tcPr>
            <w:tcW w:w="756" w:type="pct"/>
            <w:tcBorders>
              <w:top w:val="single" w:sz="4" w:space="0" w:color="17365D"/>
              <w:bottom w:val="single" w:sz="4" w:space="0" w:color="17365D"/>
            </w:tcBorders>
            <w:shd w:val="clear" w:color="auto" w:fill="auto"/>
            <w:noWrap/>
            <w:vAlign w:val="center"/>
            <w:hideMark/>
          </w:tcPr>
          <w:p w14:paraId="2C84F4AA" w14:textId="46E0B189"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556 255 120</w:t>
            </w:r>
          </w:p>
        </w:tc>
        <w:tc>
          <w:tcPr>
            <w:tcW w:w="681" w:type="pct"/>
            <w:tcBorders>
              <w:top w:val="single" w:sz="4" w:space="0" w:color="17365D"/>
              <w:bottom w:val="single" w:sz="4" w:space="0" w:color="17365D"/>
            </w:tcBorders>
            <w:shd w:val="clear" w:color="auto" w:fill="auto"/>
            <w:noWrap/>
            <w:vAlign w:val="center"/>
            <w:hideMark/>
          </w:tcPr>
          <w:p w14:paraId="03AAD788" w14:textId="7CA047FC"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5.86</w:t>
            </w:r>
          </w:p>
        </w:tc>
      </w:tr>
      <w:tr w:rsidR="00187B15" w:rsidRPr="00E72168" w14:paraId="39E735F5" w14:textId="77777777" w:rsidTr="006A4E09">
        <w:trPr>
          <w:trHeight w:val="408"/>
        </w:trPr>
        <w:tc>
          <w:tcPr>
            <w:tcW w:w="1453" w:type="pct"/>
            <w:tcBorders>
              <w:top w:val="single" w:sz="4" w:space="0" w:color="17365D"/>
              <w:bottom w:val="single" w:sz="4" w:space="0" w:color="17365D"/>
            </w:tcBorders>
            <w:shd w:val="clear" w:color="auto" w:fill="auto"/>
            <w:vAlign w:val="center"/>
            <w:hideMark/>
          </w:tcPr>
          <w:p w14:paraId="4A4ADFCC" w14:textId="01EB3A8B" w:rsidR="00187B15" w:rsidRPr="00E72168" w:rsidRDefault="00187B15" w:rsidP="00187B15">
            <w:pPr>
              <w:spacing w:after="0" w:line="240" w:lineRule="auto"/>
              <w:rPr>
                <w:rFonts w:cs="Times New Roman"/>
                <w:color w:val="17365D"/>
                <w:sz w:val="18"/>
                <w:szCs w:val="18"/>
              </w:rPr>
            </w:pPr>
            <w:r w:rsidRPr="00E72168">
              <w:rPr>
                <w:rFonts w:cs="Times New Roman"/>
                <w:color w:val="17365D"/>
                <w:sz w:val="18"/>
                <w:szCs w:val="18"/>
              </w:rPr>
              <w:t>Tehnoloģiskās iekārtas un mašīnas</w:t>
            </w:r>
          </w:p>
        </w:tc>
        <w:tc>
          <w:tcPr>
            <w:tcW w:w="520" w:type="pct"/>
            <w:tcBorders>
              <w:top w:val="single" w:sz="4" w:space="0" w:color="17365D"/>
              <w:bottom w:val="single" w:sz="4" w:space="0" w:color="17365D"/>
            </w:tcBorders>
            <w:shd w:val="clear" w:color="auto" w:fill="auto"/>
            <w:noWrap/>
            <w:vAlign w:val="center"/>
          </w:tcPr>
          <w:p w14:paraId="357882CE" w14:textId="048C6F1B" w:rsidR="00187B15" w:rsidRPr="00BF4C61" w:rsidRDefault="00187B15" w:rsidP="00187B15">
            <w:pPr>
              <w:spacing w:after="0" w:line="240" w:lineRule="auto"/>
              <w:jc w:val="right"/>
              <w:rPr>
                <w:rFonts w:cs="Times New Roman"/>
                <w:color w:val="17365D"/>
                <w:sz w:val="18"/>
                <w:szCs w:val="18"/>
              </w:rPr>
            </w:pPr>
          </w:p>
        </w:tc>
        <w:tc>
          <w:tcPr>
            <w:tcW w:w="795" w:type="pct"/>
            <w:tcBorders>
              <w:top w:val="single" w:sz="4" w:space="0" w:color="17365D"/>
              <w:bottom w:val="single" w:sz="4" w:space="0" w:color="17365D"/>
            </w:tcBorders>
            <w:shd w:val="clear" w:color="auto" w:fill="auto"/>
            <w:vAlign w:val="center"/>
            <w:hideMark/>
          </w:tcPr>
          <w:p w14:paraId="6B3EEFAD" w14:textId="65A3F9D1"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177 596 440</w:t>
            </w:r>
          </w:p>
        </w:tc>
        <w:tc>
          <w:tcPr>
            <w:tcW w:w="795" w:type="pct"/>
            <w:gridSpan w:val="2"/>
            <w:tcBorders>
              <w:top w:val="single" w:sz="4" w:space="0" w:color="17365D"/>
              <w:bottom w:val="single" w:sz="4" w:space="0" w:color="17365D"/>
            </w:tcBorders>
            <w:shd w:val="clear" w:color="auto" w:fill="auto"/>
            <w:vAlign w:val="center"/>
            <w:hideMark/>
          </w:tcPr>
          <w:p w14:paraId="687DADB1" w14:textId="2EAF33E8"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174 093 531</w:t>
            </w:r>
          </w:p>
        </w:tc>
        <w:tc>
          <w:tcPr>
            <w:tcW w:w="756" w:type="pct"/>
            <w:tcBorders>
              <w:top w:val="single" w:sz="4" w:space="0" w:color="17365D"/>
              <w:bottom w:val="single" w:sz="4" w:space="0" w:color="17365D"/>
            </w:tcBorders>
            <w:shd w:val="clear" w:color="auto" w:fill="auto"/>
            <w:noWrap/>
            <w:vAlign w:val="center"/>
            <w:hideMark/>
          </w:tcPr>
          <w:p w14:paraId="387D443B" w14:textId="03F5FA83"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3 502 909</w:t>
            </w:r>
          </w:p>
        </w:tc>
        <w:tc>
          <w:tcPr>
            <w:tcW w:w="681" w:type="pct"/>
            <w:tcBorders>
              <w:top w:val="single" w:sz="4" w:space="0" w:color="17365D"/>
              <w:bottom w:val="single" w:sz="4" w:space="0" w:color="17365D"/>
            </w:tcBorders>
            <w:shd w:val="clear" w:color="auto" w:fill="auto"/>
            <w:noWrap/>
            <w:vAlign w:val="center"/>
            <w:hideMark/>
          </w:tcPr>
          <w:p w14:paraId="38AF589C" w14:textId="2CC3AE04"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2.01</w:t>
            </w:r>
          </w:p>
        </w:tc>
      </w:tr>
      <w:tr w:rsidR="00187B15" w:rsidRPr="00E72168" w14:paraId="0EFF5CA4" w14:textId="77777777" w:rsidTr="006A4E09">
        <w:trPr>
          <w:trHeight w:val="264"/>
        </w:trPr>
        <w:tc>
          <w:tcPr>
            <w:tcW w:w="1453" w:type="pct"/>
            <w:tcBorders>
              <w:top w:val="single" w:sz="4" w:space="0" w:color="17365D"/>
              <w:bottom w:val="single" w:sz="4" w:space="0" w:color="17365D"/>
            </w:tcBorders>
            <w:shd w:val="clear" w:color="auto" w:fill="auto"/>
            <w:vAlign w:val="center"/>
            <w:hideMark/>
          </w:tcPr>
          <w:p w14:paraId="760DD74F" w14:textId="3B064B28" w:rsidR="00187B15" w:rsidRPr="00BF4C61" w:rsidRDefault="00187B15" w:rsidP="00187B15">
            <w:pPr>
              <w:spacing w:after="0" w:line="240" w:lineRule="auto"/>
              <w:rPr>
                <w:rFonts w:cs="Times New Roman"/>
                <w:color w:val="17365D"/>
                <w:sz w:val="18"/>
                <w:szCs w:val="18"/>
              </w:rPr>
            </w:pPr>
            <w:r w:rsidRPr="00E72168">
              <w:rPr>
                <w:rFonts w:cs="Times New Roman"/>
                <w:color w:val="17365D"/>
                <w:sz w:val="18"/>
                <w:szCs w:val="18"/>
              </w:rPr>
              <w:t>Pārējie</w:t>
            </w:r>
            <w:r w:rsidRPr="00BF4C61">
              <w:rPr>
                <w:rFonts w:cs="Times New Roman"/>
                <w:color w:val="17365D"/>
                <w:sz w:val="18"/>
                <w:szCs w:val="18"/>
              </w:rPr>
              <w:t xml:space="preserve"> </w:t>
            </w:r>
            <w:r w:rsidRPr="00E72168">
              <w:rPr>
                <w:rFonts w:cs="Times New Roman"/>
                <w:color w:val="17365D"/>
                <w:sz w:val="18"/>
                <w:szCs w:val="18"/>
              </w:rPr>
              <w:t>pamatlīdzekļi</w:t>
            </w:r>
          </w:p>
        </w:tc>
        <w:tc>
          <w:tcPr>
            <w:tcW w:w="520" w:type="pct"/>
            <w:tcBorders>
              <w:top w:val="single" w:sz="4" w:space="0" w:color="17365D"/>
              <w:bottom w:val="single" w:sz="4" w:space="0" w:color="17365D"/>
            </w:tcBorders>
            <w:shd w:val="clear" w:color="auto" w:fill="auto"/>
            <w:noWrap/>
            <w:vAlign w:val="center"/>
          </w:tcPr>
          <w:p w14:paraId="0C09F3B4" w14:textId="11CF989F" w:rsidR="00187B15" w:rsidRPr="00BF4C61" w:rsidRDefault="00520D75" w:rsidP="00187B15">
            <w:pPr>
              <w:spacing w:after="0" w:line="240" w:lineRule="auto"/>
              <w:jc w:val="right"/>
              <w:rPr>
                <w:rFonts w:cs="Times New Roman"/>
                <w:color w:val="17365D"/>
                <w:sz w:val="18"/>
                <w:szCs w:val="18"/>
              </w:rPr>
            </w:pPr>
            <w:r w:rsidRPr="00E72168">
              <w:rPr>
                <w:rFonts w:cs="Times New Roman"/>
                <w:color w:val="17365D"/>
                <w:sz w:val="18"/>
                <w:szCs w:val="18"/>
              </w:rPr>
              <w:t>KB.1.2.1.</w:t>
            </w:r>
          </w:p>
        </w:tc>
        <w:tc>
          <w:tcPr>
            <w:tcW w:w="795" w:type="pct"/>
            <w:tcBorders>
              <w:top w:val="single" w:sz="4" w:space="0" w:color="17365D"/>
              <w:bottom w:val="single" w:sz="4" w:space="0" w:color="17365D"/>
            </w:tcBorders>
            <w:shd w:val="clear" w:color="auto" w:fill="auto"/>
            <w:vAlign w:val="center"/>
          </w:tcPr>
          <w:p w14:paraId="74D6F98F" w14:textId="199AACDA"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1 833 301 135</w:t>
            </w:r>
          </w:p>
        </w:tc>
        <w:tc>
          <w:tcPr>
            <w:tcW w:w="795" w:type="pct"/>
            <w:gridSpan w:val="2"/>
            <w:tcBorders>
              <w:top w:val="single" w:sz="4" w:space="0" w:color="17365D"/>
              <w:bottom w:val="single" w:sz="4" w:space="0" w:color="17365D"/>
              <w:right w:val="nil"/>
            </w:tcBorders>
            <w:shd w:val="clear" w:color="auto" w:fill="auto"/>
            <w:vAlign w:val="center"/>
          </w:tcPr>
          <w:p w14:paraId="7630D37D" w14:textId="566A4580"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1 642 983 683</w:t>
            </w:r>
          </w:p>
        </w:tc>
        <w:tc>
          <w:tcPr>
            <w:tcW w:w="756" w:type="pct"/>
            <w:tcBorders>
              <w:top w:val="single" w:sz="4" w:space="0" w:color="17365D"/>
              <w:left w:val="nil"/>
              <w:bottom w:val="single" w:sz="4" w:space="0" w:color="17365D"/>
              <w:right w:val="nil"/>
            </w:tcBorders>
            <w:shd w:val="clear" w:color="FFFFCC" w:fill="FFFFFF"/>
            <w:noWrap/>
            <w:vAlign w:val="center"/>
          </w:tcPr>
          <w:p w14:paraId="4A2E5C05" w14:textId="7B370A57"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190 317 452</w:t>
            </w:r>
          </w:p>
        </w:tc>
        <w:tc>
          <w:tcPr>
            <w:tcW w:w="681" w:type="pct"/>
            <w:tcBorders>
              <w:top w:val="single" w:sz="4" w:space="0" w:color="17365D"/>
              <w:left w:val="nil"/>
              <w:bottom w:val="single" w:sz="4" w:space="0" w:color="17365D"/>
              <w:right w:val="nil"/>
            </w:tcBorders>
            <w:shd w:val="clear" w:color="FFFFCC" w:fill="FFFFFF"/>
            <w:noWrap/>
            <w:vAlign w:val="center"/>
          </w:tcPr>
          <w:p w14:paraId="6F8CFE29" w14:textId="5AD92E6E"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11.58</w:t>
            </w:r>
          </w:p>
        </w:tc>
      </w:tr>
      <w:tr w:rsidR="00187B15" w:rsidRPr="00E72168" w14:paraId="52A0184F" w14:textId="77777777" w:rsidTr="006A4E09">
        <w:trPr>
          <w:trHeight w:val="264"/>
        </w:trPr>
        <w:tc>
          <w:tcPr>
            <w:tcW w:w="1453" w:type="pct"/>
            <w:tcBorders>
              <w:top w:val="single" w:sz="4" w:space="0" w:color="17365D"/>
              <w:bottom w:val="single" w:sz="4" w:space="0" w:color="17365D"/>
            </w:tcBorders>
            <w:shd w:val="clear" w:color="auto" w:fill="auto"/>
            <w:vAlign w:val="center"/>
            <w:hideMark/>
          </w:tcPr>
          <w:p w14:paraId="7591A8DC" w14:textId="22AA6355" w:rsidR="00187B15" w:rsidRPr="00E72168" w:rsidRDefault="00187B15" w:rsidP="00187B15">
            <w:pPr>
              <w:spacing w:after="0" w:line="240" w:lineRule="auto"/>
              <w:rPr>
                <w:rFonts w:cs="Times New Roman"/>
                <w:color w:val="17365D"/>
                <w:sz w:val="18"/>
                <w:szCs w:val="18"/>
              </w:rPr>
            </w:pPr>
            <w:r w:rsidRPr="00E72168">
              <w:rPr>
                <w:rFonts w:cs="Times New Roman"/>
                <w:color w:val="17365D"/>
                <w:sz w:val="18"/>
                <w:szCs w:val="18"/>
              </w:rPr>
              <w:t>Pamatlīdzekļu izveidošana un nepabeigtā būvniecība</w:t>
            </w:r>
          </w:p>
        </w:tc>
        <w:tc>
          <w:tcPr>
            <w:tcW w:w="520" w:type="pct"/>
            <w:tcBorders>
              <w:top w:val="single" w:sz="4" w:space="0" w:color="17365D"/>
              <w:bottom w:val="single" w:sz="4" w:space="0" w:color="17365D"/>
            </w:tcBorders>
            <w:shd w:val="clear" w:color="auto" w:fill="auto"/>
            <w:noWrap/>
            <w:vAlign w:val="center"/>
          </w:tcPr>
          <w:p w14:paraId="70080358" w14:textId="5E5AE462" w:rsidR="00187B15" w:rsidRPr="00BF4C61" w:rsidRDefault="00187B15" w:rsidP="00187B15">
            <w:pPr>
              <w:spacing w:after="0" w:line="240" w:lineRule="auto"/>
              <w:jc w:val="right"/>
              <w:rPr>
                <w:rFonts w:cs="Times New Roman"/>
                <w:color w:val="17365D"/>
                <w:sz w:val="18"/>
                <w:szCs w:val="18"/>
              </w:rPr>
            </w:pPr>
          </w:p>
        </w:tc>
        <w:tc>
          <w:tcPr>
            <w:tcW w:w="795" w:type="pct"/>
            <w:tcBorders>
              <w:top w:val="single" w:sz="4" w:space="0" w:color="17365D"/>
              <w:bottom w:val="single" w:sz="4" w:space="0" w:color="17365D"/>
            </w:tcBorders>
            <w:shd w:val="clear" w:color="auto" w:fill="auto"/>
            <w:vAlign w:val="center"/>
          </w:tcPr>
          <w:p w14:paraId="7E7537E2" w14:textId="01002843" w:rsidR="00187B15" w:rsidRPr="00E72168" w:rsidRDefault="00187B15" w:rsidP="00AD2CF3">
            <w:pPr>
              <w:spacing w:after="0" w:line="240" w:lineRule="auto"/>
              <w:jc w:val="right"/>
              <w:rPr>
                <w:rFonts w:cs="Times New Roman"/>
                <w:color w:val="17365D"/>
                <w:sz w:val="18"/>
                <w:szCs w:val="18"/>
              </w:rPr>
            </w:pPr>
            <w:r w:rsidRPr="00E72168">
              <w:rPr>
                <w:rFonts w:cs="Times New Roman"/>
                <w:color w:val="17365D"/>
                <w:sz w:val="18"/>
                <w:szCs w:val="18"/>
              </w:rPr>
              <w:t>971 171 513</w:t>
            </w:r>
          </w:p>
        </w:tc>
        <w:tc>
          <w:tcPr>
            <w:tcW w:w="795" w:type="pct"/>
            <w:gridSpan w:val="2"/>
            <w:tcBorders>
              <w:top w:val="single" w:sz="4" w:space="0" w:color="17365D"/>
              <w:bottom w:val="single" w:sz="4" w:space="0" w:color="17365D"/>
            </w:tcBorders>
            <w:shd w:val="clear" w:color="auto" w:fill="auto"/>
            <w:vAlign w:val="center"/>
          </w:tcPr>
          <w:p w14:paraId="71EDCF1C" w14:textId="13071EE0" w:rsidR="00187B15" w:rsidRPr="00E72168" w:rsidRDefault="00187B15" w:rsidP="00AD2CF3">
            <w:pPr>
              <w:spacing w:after="0" w:line="240" w:lineRule="auto"/>
              <w:jc w:val="right"/>
              <w:rPr>
                <w:rFonts w:cs="Times New Roman"/>
                <w:color w:val="17365D"/>
                <w:sz w:val="18"/>
                <w:szCs w:val="18"/>
              </w:rPr>
            </w:pPr>
            <w:r w:rsidRPr="00E72168">
              <w:rPr>
                <w:rFonts w:cs="Times New Roman"/>
                <w:color w:val="17365D"/>
                <w:sz w:val="18"/>
                <w:szCs w:val="18"/>
              </w:rPr>
              <w:t>1 024 783 176</w:t>
            </w:r>
          </w:p>
        </w:tc>
        <w:tc>
          <w:tcPr>
            <w:tcW w:w="756" w:type="pct"/>
            <w:tcBorders>
              <w:top w:val="single" w:sz="4" w:space="0" w:color="17365D"/>
              <w:bottom w:val="single" w:sz="4" w:space="0" w:color="17365D"/>
            </w:tcBorders>
            <w:shd w:val="clear" w:color="auto" w:fill="auto"/>
            <w:noWrap/>
            <w:vAlign w:val="center"/>
          </w:tcPr>
          <w:p w14:paraId="4B2F68AC" w14:textId="26792291" w:rsidR="00187B15" w:rsidRPr="00E72168" w:rsidRDefault="00187B15" w:rsidP="00AD2CF3">
            <w:pPr>
              <w:spacing w:after="0" w:line="240" w:lineRule="auto"/>
              <w:jc w:val="right"/>
              <w:rPr>
                <w:rFonts w:cs="Times New Roman"/>
                <w:color w:val="17365D"/>
                <w:sz w:val="18"/>
                <w:szCs w:val="18"/>
              </w:rPr>
            </w:pPr>
            <w:r w:rsidRPr="00E72168">
              <w:rPr>
                <w:rFonts w:cs="Times New Roman"/>
                <w:color w:val="17365D"/>
                <w:sz w:val="18"/>
                <w:szCs w:val="18"/>
              </w:rPr>
              <w:t>-53 611 663</w:t>
            </w:r>
          </w:p>
        </w:tc>
        <w:tc>
          <w:tcPr>
            <w:tcW w:w="681" w:type="pct"/>
            <w:tcBorders>
              <w:top w:val="single" w:sz="4" w:space="0" w:color="17365D"/>
              <w:bottom w:val="single" w:sz="4" w:space="0" w:color="17365D"/>
            </w:tcBorders>
            <w:shd w:val="clear" w:color="auto" w:fill="auto"/>
            <w:noWrap/>
            <w:vAlign w:val="center"/>
          </w:tcPr>
          <w:p w14:paraId="74CF5FEE" w14:textId="4CFAE87F" w:rsidR="00187B15" w:rsidRPr="00E72168" w:rsidRDefault="00187B15" w:rsidP="00AD2CF3">
            <w:pPr>
              <w:spacing w:after="0" w:line="240" w:lineRule="auto"/>
              <w:jc w:val="right"/>
              <w:rPr>
                <w:rFonts w:cs="Times New Roman"/>
                <w:color w:val="17365D"/>
                <w:sz w:val="18"/>
                <w:szCs w:val="18"/>
              </w:rPr>
            </w:pPr>
            <w:r w:rsidRPr="00E72168">
              <w:rPr>
                <w:rFonts w:cs="Times New Roman"/>
                <w:color w:val="17365D"/>
                <w:sz w:val="18"/>
                <w:szCs w:val="18"/>
              </w:rPr>
              <w:t>-5.23</w:t>
            </w:r>
          </w:p>
        </w:tc>
      </w:tr>
      <w:tr w:rsidR="00187B15" w:rsidRPr="00E72168" w14:paraId="03E15F94" w14:textId="77777777" w:rsidTr="006A4E09">
        <w:trPr>
          <w:trHeight w:val="408"/>
        </w:trPr>
        <w:tc>
          <w:tcPr>
            <w:tcW w:w="1453" w:type="pct"/>
            <w:tcBorders>
              <w:top w:val="single" w:sz="4" w:space="0" w:color="17365D"/>
              <w:bottom w:val="single" w:sz="4" w:space="0" w:color="17365D"/>
            </w:tcBorders>
            <w:shd w:val="clear" w:color="auto" w:fill="auto"/>
            <w:vAlign w:val="center"/>
            <w:hideMark/>
          </w:tcPr>
          <w:p w14:paraId="62D16970" w14:textId="035C820A" w:rsidR="00187B15" w:rsidRPr="00E72168" w:rsidRDefault="00187B15" w:rsidP="00187B15">
            <w:pPr>
              <w:spacing w:after="0" w:line="240" w:lineRule="auto"/>
              <w:rPr>
                <w:rFonts w:cs="Times New Roman"/>
                <w:color w:val="17365D"/>
                <w:sz w:val="18"/>
                <w:szCs w:val="18"/>
              </w:rPr>
            </w:pPr>
            <w:r w:rsidRPr="00E72168">
              <w:rPr>
                <w:rFonts w:cs="Times New Roman"/>
                <w:color w:val="17365D"/>
                <w:sz w:val="18"/>
                <w:szCs w:val="18"/>
              </w:rPr>
              <w:t>Turējumā nodotie valsts un pašvaldību īpašumi</w:t>
            </w:r>
          </w:p>
        </w:tc>
        <w:tc>
          <w:tcPr>
            <w:tcW w:w="520" w:type="pct"/>
            <w:tcBorders>
              <w:top w:val="single" w:sz="4" w:space="0" w:color="17365D"/>
              <w:bottom w:val="single" w:sz="4" w:space="0" w:color="17365D"/>
            </w:tcBorders>
            <w:shd w:val="clear" w:color="auto" w:fill="auto"/>
            <w:noWrap/>
            <w:vAlign w:val="center"/>
          </w:tcPr>
          <w:p w14:paraId="16C6C641" w14:textId="1A72BC30" w:rsidR="00187B15" w:rsidRPr="00BF4C61" w:rsidRDefault="00187B15" w:rsidP="00187B15">
            <w:pPr>
              <w:spacing w:after="0" w:line="240" w:lineRule="auto"/>
              <w:jc w:val="right"/>
              <w:rPr>
                <w:rFonts w:cs="Times New Roman"/>
                <w:color w:val="17365D"/>
                <w:sz w:val="18"/>
                <w:szCs w:val="18"/>
              </w:rPr>
            </w:pPr>
          </w:p>
        </w:tc>
        <w:tc>
          <w:tcPr>
            <w:tcW w:w="795" w:type="pct"/>
            <w:tcBorders>
              <w:top w:val="single" w:sz="4" w:space="0" w:color="17365D"/>
              <w:bottom w:val="single" w:sz="4" w:space="0" w:color="17365D"/>
            </w:tcBorders>
            <w:shd w:val="clear" w:color="auto" w:fill="auto"/>
            <w:vAlign w:val="center"/>
          </w:tcPr>
          <w:p w14:paraId="62B079E9" w14:textId="6E352ED4"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1 527 221 768</w:t>
            </w:r>
          </w:p>
        </w:tc>
        <w:tc>
          <w:tcPr>
            <w:tcW w:w="795" w:type="pct"/>
            <w:gridSpan w:val="2"/>
            <w:tcBorders>
              <w:top w:val="single" w:sz="4" w:space="0" w:color="17365D"/>
              <w:bottom w:val="single" w:sz="4" w:space="0" w:color="17365D"/>
              <w:right w:val="nil"/>
            </w:tcBorders>
            <w:shd w:val="clear" w:color="auto" w:fill="auto"/>
            <w:vAlign w:val="center"/>
          </w:tcPr>
          <w:p w14:paraId="2741D8BB" w14:textId="3A653B14"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1 502 034 951</w:t>
            </w:r>
          </w:p>
        </w:tc>
        <w:tc>
          <w:tcPr>
            <w:tcW w:w="756" w:type="pct"/>
            <w:tcBorders>
              <w:top w:val="single" w:sz="4" w:space="0" w:color="17365D"/>
              <w:left w:val="nil"/>
              <w:bottom w:val="single" w:sz="4" w:space="0" w:color="17365D"/>
              <w:right w:val="nil"/>
            </w:tcBorders>
            <w:shd w:val="clear" w:color="FFFFCC" w:fill="FFFFFF"/>
            <w:noWrap/>
            <w:vAlign w:val="center"/>
          </w:tcPr>
          <w:p w14:paraId="242445CB" w14:textId="188DBEC2"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25 186 817</w:t>
            </w:r>
          </w:p>
        </w:tc>
        <w:tc>
          <w:tcPr>
            <w:tcW w:w="681" w:type="pct"/>
            <w:tcBorders>
              <w:top w:val="single" w:sz="4" w:space="0" w:color="17365D"/>
              <w:left w:val="nil"/>
              <w:bottom w:val="single" w:sz="4" w:space="0" w:color="17365D"/>
              <w:right w:val="nil"/>
            </w:tcBorders>
            <w:shd w:val="clear" w:color="FFFFCC" w:fill="FFFFFF"/>
            <w:noWrap/>
            <w:vAlign w:val="center"/>
          </w:tcPr>
          <w:p w14:paraId="1E9637A4" w14:textId="7A0D2F9D"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1.68</w:t>
            </w:r>
          </w:p>
        </w:tc>
      </w:tr>
      <w:tr w:rsidR="00187B15" w:rsidRPr="00E72168" w14:paraId="387C8092" w14:textId="77777777" w:rsidTr="006A4E09">
        <w:trPr>
          <w:trHeight w:val="54"/>
        </w:trPr>
        <w:tc>
          <w:tcPr>
            <w:tcW w:w="1453" w:type="pct"/>
            <w:tcBorders>
              <w:top w:val="single" w:sz="4" w:space="0" w:color="17365D"/>
              <w:bottom w:val="single" w:sz="4" w:space="0" w:color="17365D"/>
            </w:tcBorders>
            <w:shd w:val="clear" w:color="auto" w:fill="auto"/>
            <w:vAlign w:val="center"/>
          </w:tcPr>
          <w:p w14:paraId="64335699" w14:textId="37F80110" w:rsidR="00187B15" w:rsidRPr="00E72168" w:rsidRDefault="00187B15" w:rsidP="00187B15">
            <w:pPr>
              <w:spacing w:after="0" w:line="240" w:lineRule="auto"/>
              <w:rPr>
                <w:rFonts w:cs="Times New Roman"/>
                <w:color w:val="17365D"/>
                <w:sz w:val="18"/>
                <w:szCs w:val="18"/>
              </w:rPr>
            </w:pPr>
            <w:r w:rsidRPr="00E72168">
              <w:rPr>
                <w:rFonts w:cs="Times New Roman"/>
                <w:color w:val="17365D"/>
                <w:sz w:val="18"/>
                <w:szCs w:val="18"/>
              </w:rPr>
              <w:t>Bioloģiskie un pazemes aktīvi</w:t>
            </w:r>
          </w:p>
        </w:tc>
        <w:tc>
          <w:tcPr>
            <w:tcW w:w="520" w:type="pct"/>
            <w:tcBorders>
              <w:top w:val="single" w:sz="4" w:space="0" w:color="17365D"/>
              <w:bottom w:val="single" w:sz="4" w:space="0" w:color="17365D"/>
            </w:tcBorders>
            <w:shd w:val="clear" w:color="auto" w:fill="auto"/>
            <w:noWrap/>
            <w:vAlign w:val="center"/>
          </w:tcPr>
          <w:p w14:paraId="208E18FB" w14:textId="00AFF986" w:rsidR="00187B15" w:rsidRPr="00E72168" w:rsidRDefault="00187B15" w:rsidP="00187B15">
            <w:pPr>
              <w:spacing w:after="0" w:line="240" w:lineRule="auto"/>
              <w:jc w:val="right"/>
              <w:rPr>
                <w:rFonts w:cs="Times New Roman"/>
                <w:color w:val="17365D"/>
                <w:sz w:val="18"/>
                <w:szCs w:val="18"/>
              </w:rPr>
            </w:pPr>
          </w:p>
        </w:tc>
        <w:tc>
          <w:tcPr>
            <w:tcW w:w="795" w:type="pct"/>
            <w:tcBorders>
              <w:top w:val="single" w:sz="4" w:space="0" w:color="17365D"/>
              <w:bottom w:val="single" w:sz="4" w:space="0" w:color="17365D"/>
            </w:tcBorders>
            <w:shd w:val="clear" w:color="auto" w:fill="auto"/>
            <w:vAlign w:val="center"/>
          </w:tcPr>
          <w:p w14:paraId="06611028" w14:textId="61CE8B1D"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258 232 551</w:t>
            </w:r>
          </w:p>
        </w:tc>
        <w:tc>
          <w:tcPr>
            <w:tcW w:w="795" w:type="pct"/>
            <w:gridSpan w:val="2"/>
            <w:tcBorders>
              <w:top w:val="single" w:sz="4" w:space="0" w:color="17365D"/>
              <w:bottom w:val="single" w:sz="4" w:space="0" w:color="17365D"/>
            </w:tcBorders>
            <w:shd w:val="clear" w:color="auto" w:fill="auto"/>
            <w:vAlign w:val="center"/>
          </w:tcPr>
          <w:p w14:paraId="54B58022" w14:textId="7BFD911E"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258 987 616</w:t>
            </w:r>
          </w:p>
        </w:tc>
        <w:tc>
          <w:tcPr>
            <w:tcW w:w="756" w:type="pct"/>
            <w:tcBorders>
              <w:top w:val="single" w:sz="4" w:space="0" w:color="17365D"/>
              <w:bottom w:val="single" w:sz="4" w:space="0" w:color="17365D"/>
            </w:tcBorders>
            <w:shd w:val="clear" w:color="auto" w:fill="auto"/>
            <w:noWrap/>
            <w:vAlign w:val="center"/>
          </w:tcPr>
          <w:p w14:paraId="52017BA1" w14:textId="5E5F5C74"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-755 065</w:t>
            </w:r>
          </w:p>
        </w:tc>
        <w:tc>
          <w:tcPr>
            <w:tcW w:w="681" w:type="pct"/>
            <w:tcBorders>
              <w:top w:val="single" w:sz="4" w:space="0" w:color="17365D"/>
              <w:bottom w:val="single" w:sz="4" w:space="0" w:color="17365D"/>
            </w:tcBorders>
            <w:shd w:val="clear" w:color="auto" w:fill="auto"/>
            <w:noWrap/>
            <w:vAlign w:val="center"/>
          </w:tcPr>
          <w:p w14:paraId="1DF0C32E" w14:textId="0571BC53"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-0.29</w:t>
            </w:r>
          </w:p>
        </w:tc>
      </w:tr>
      <w:tr w:rsidR="00187B15" w:rsidRPr="00E72168" w14:paraId="30A9D281" w14:textId="77777777" w:rsidTr="006A4E09">
        <w:trPr>
          <w:trHeight w:val="408"/>
        </w:trPr>
        <w:tc>
          <w:tcPr>
            <w:tcW w:w="1453" w:type="pct"/>
            <w:tcBorders>
              <w:top w:val="single" w:sz="4" w:space="0" w:color="17365D"/>
              <w:bottom w:val="single" w:sz="4" w:space="0" w:color="17365D"/>
            </w:tcBorders>
            <w:shd w:val="clear" w:color="auto" w:fill="auto"/>
            <w:vAlign w:val="center"/>
          </w:tcPr>
          <w:p w14:paraId="1B5D381C" w14:textId="734279FE" w:rsidR="00187B15" w:rsidRPr="00E72168" w:rsidRDefault="00187B15" w:rsidP="00187B15">
            <w:pPr>
              <w:spacing w:after="0" w:line="240" w:lineRule="auto"/>
              <w:rPr>
                <w:rFonts w:cs="Times New Roman"/>
                <w:color w:val="17365D"/>
                <w:sz w:val="18"/>
                <w:szCs w:val="18"/>
              </w:rPr>
            </w:pPr>
            <w:r w:rsidRPr="00E72168">
              <w:rPr>
                <w:rFonts w:cs="Times New Roman"/>
                <w:color w:val="17365D"/>
                <w:sz w:val="18"/>
                <w:szCs w:val="18"/>
              </w:rPr>
              <w:t>Ilgtermiņa ieguldījumi nomātajos pamatlīdzekļos</w:t>
            </w:r>
          </w:p>
        </w:tc>
        <w:tc>
          <w:tcPr>
            <w:tcW w:w="520" w:type="pct"/>
            <w:tcBorders>
              <w:top w:val="single" w:sz="4" w:space="0" w:color="17365D"/>
              <w:bottom w:val="single" w:sz="4" w:space="0" w:color="17365D"/>
            </w:tcBorders>
            <w:shd w:val="clear" w:color="auto" w:fill="auto"/>
            <w:noWrap/>
            <w:vAlign w:val="center"/>
          </w:tcPr>
          <w:p w14:paraId="623E4032" w14:textId="7F78C7DC" w:rsidR="00187B15" w:rsidRPr="00E72168" w:rsidRDefault="00187B15" w:rsidP="00187B15">
            <w:pPr>
              <w:spacing w:after="0" w:line="240" w:lineRule="auto"/>
              <w:jc w:val="right"/>
              <w:rPr>
                <w:rFonts w:cs="Times New Roman"/>
                <w:color w:val="17365D"/>
                <w:sz w:val="18"/>
                <w:szCs w:val="18"/>
              </w:rPr>
            </w:pPr>
          </w:p>
        </w:tc>
        <w:tc>
          <w:tcPr>
            <w:tcW w:w="795" w:type="pct"/>
            <w:tcBorders>
              <w:top w:val="single" w:sz="4" w:space="0" w:color="17365D"/>
              <w:bottom w:val="single" w:sz="4" w:space="0" w:color="17365D"/>
            </w:tcBorders>
            <w:shd w:val="clear" w:color="auto" w:fill="auto"/>
            <w:vAlign w:val="center"/>
          </w:tcPr>
          <w:p w14:paraId="09319695" w14:textId="48667C3A"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8 433 151</w:t>
            </w:r>
          </w:p>
        </w:tc>
        <w:tc>
          <w:tcPr>
            <w:tcW w:w="795" w:type="pct"/>
            <w:gridSpan w:val="2"/>
            <w:tcBorders>
              <w:top w:val="single" w:sz="4" w:space="0" w:color="17365D"/>
              <w:bottom w:val="single" w:sz="4" w:space="0" w:color="17365D"/>
            </w:tcBorders>
            <w:shd w:val="clear" w:color="auto" w:fill="auto"/>
            <w:vAlign w:val="center"/>
          </w:tcPr>
          <w:p w14:paraId="4E6A927E" w14:textId="2A5CDC00"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8 013 872</w:t>
            </w:r>
          </w:p>
        </w:tc>
        <w:tc>
          <w:tcPr>
            <w:tcW w:w="756" w:type="pct"/>
            <w:tcBorders>
              <w:top w:val="single" w:sz="4" w:space="0" w:color="17365D"/>
              <w:bottom w:val="single" w:sz="4" w:space="0" w:color="17365D"/>
            </w:tcBorders>
            <w:shd w:val="clear" w:color="auto" w:fill="auto"/>
            <w:noWrap/>
            <w:vAlign w:val="center"/>
          </w:tcPr>
          <w:p w14:paraId="6982C6BC" w14:textId="17E02128"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419 279</w:t>
            </w:r>
          </w:p>
        </w:tc>
        <w:tc>
          <w:tcPr>
            <w:tcW w:w="681" w:type="pct"/>
            <w:tcBorders>
              <w:top w:val="single" w:sz="4" w:space="0" w:color="17365D"/>
              <w:bottom w:val="single" w:sz="4" w:space="0" w:color="17365D"/>
            </w:tcBorders>
            <w:shd w:val="clear" w:color="auto" w:fill="auto"/>
            <w:noWrap/>
            <w:vAlign w:val="center"/>
          </w:tcPr>
          <w:p w14:paraId="590F07C4" w14:textId="3306C8D7"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5.23</w:t>
            </w:r>
          </w:p>
        </w:tc>
      </w:tr>
      <w:tr w:rsidR="00187B15" w:rsidRPr="00E72168" w14:paraId="2D63EB94" w14:textId="77777777" w:rsidTr="006A4E09">
        <w:trPr>
          <w:trHeight w:val="408"/>
        </w:trPr>
        <w:tc>
          <w:tcPr>
            <w:tcW w:w="1453" w:type="pct"/>
            <w:tcBorders>
              <w:top w:val="single" w:sz="4" w:space="0" w:color="17365D"/>
              <w:bottom w:val="single" w:sz="4" w:space="0" w:color="17365D"/>
            </w:tcBorders>
            <w:shd w:val="clear" w:color="auto" w:fill="auto"/>
            <w:vAlign w:val="center"/>
          </w:tcPr>
          <w:p w14:paraId="7DFD72B4" w14:textId="7336B69C" w:rsidR="00187B15" w:rsidRPr="00E72168" w:rsidRDefault="00187B15" w:rsidP="00187B15">
            <w:pPr>
              <w:spacing w:after="0" w:line="240" w:lineRule="auto"/>
              <w:rPr>
                <w:rFonts w:cs="Times New Roman"/>
                <w:color w:val="17365D"/>
                <w:sz w:val="18"/>
                <w:szCs w:val="18"/>
              </w:rPr>
            </w:pPr>
            <w:r w:rsidRPr="00E72168">
              <w:rPr>
                <w:rFonts w:cs="Times New Roman"/>
                <w:color w:val="17365D"/>
                <w:sz w:val="18"/>
                <w:szCs w:val="18"/>
              </w:rPr>
              <w:t>Avansa maksājumi par pamatlīdzekļiem</w:t>
            </w:r>
          </w:p>
        </w:tc>
        <w:tc>
          <w:tcPr>
            <w:tcW w:w="520" w:type="pct"/>
            <w:tcBorders>
              <w:top w:val="single" w:sz="4" w:space="0" w:color="17365D"/>
              <w:bottom w:val="single" w:sz="4" w:space="0" w:color="17365D"/>
            </w:tcBorders>
            <w:shd w:val="clear" w:color="auto" w:fill="auto"/>
            <w:noWrap/>
            <w:vAlign w:val="center"/>
          </w:tcPr>
          <w:p w14:paraId="7F266D68" w14:textId="28997B79" w:rsidR="00187B15" w:rsidRPr="00E72168" w:rsidRDefault="00187B15" w:rsidP="00187B15">
            <w:pPr>
              <w:spacing w:after="0" w:line="240" w:lineRule="auto"/>
              <w:jc w:val="right"/>
              <w:rPr>
                <w:rFonts w:cs="Times New Roman"/>
                <w:color w:val="17365D"/>
                <w:sz w:val="18"/>
                <w:szCs w:val="18"/>
              </w:rPr>
            </w:pPr>
          </w:p>
        </w:tc>
        <w:tc>
          <w:tcPr>
            <w:tcW w:w="795" w:type="pct"/>
            <w:tcBorders>
              <w:top w:val="single" w:sz="4" w:space="0" w:color="17365D"/>
              <w:bottom w:val="single" w:sz="4" w:space="0" w:color="17365D"/>
            </w:tcBorders>
            <w:shd w:val="clear" w:color="auto" w:fill="auto"/>
            <w:vAlign w:val="center"/>
          </w:tcPr>
          <w:p w14:paraId="00401F1A" w14:textId="200C39EC" w:rsidR="00187B15" w:rsidRPr="00E72168" w:rsidRDefault="000A34AD" w:rsidP="00187B15">
            <w:pPr>
              <w:spacing w:after="0" w:line="240" w:lineRule="auto"/>
              <w:jc w:val="right"/>
              <w:rPr>
                <w:rFonts w:cs="Times New Roman"/>
                <w:color w:val="17365D"/>
                <w:sz w:val="18"/>
                <w:szCs w:val="18"/>
              </w:rPr>
            </w:pPr>
            <w:r w:rsidRPr="00E72168">
              <w:rPr>
                <w:rFonts w:cs="Times New Roman"/>
                <w:color w:val="17365D"/>
                <w:sz w:val="18"/>
                <w:szCs w:val="18"/>
              </w:rPr>
              <w:t>337 809 491</w:t>
            </w:r>
          </w:p>
        </w:tc>
        <w:tc>
          <w:tcPr>
            <w:tcW w:w="795" w:type="pct"/>
            <w:gridSpan w:val="2"/>
            <w:tcBorders>
              <w:top w:val="single" w:sz="4" w:space="0" w:color="17365D"/>
              <w:bottom w:val="single" w:sz="4" w:space="0" w:color="17365D"/>
            </w:tcBorders>
            <w:shd w:val="clear" w:color="auto" w:fill="auto"/>
            <w:vAlign w:val="center"/>
          </w:tcPr>
          <w:p w14:paraId="36F5E6B6" w14:textId="6B3F60ED"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298 027 377</w:t>
            </w:r>
          </w:p>
        </w:tc>
        <w:tc>
          <w:tcPr>
            <w:tcW w:w="756" w:type="pct"/>
            <w:tcBorders>
              <w:top w:val="single" w:sz="4" w:space="0" w:color="17365D"/>
              <w:bottom w:val="single" w:sz="4" w:space="0" w:color="17365D"/>
            </w:tcBorders>
            <w:shd w:val="clear" w:color="auto" w:fill="auto"/>
            <w:noWrap/>
            <w:vAlign w:val="center"/>
          </w:tcPr>
          <w:p w14:paraId="12A0ABCA" w14:textId="40488C55" w:rsidR="00187B15" w:rsidRPr="00E72168" w:rsidRDefault="00BD2705" w:rsidP="00187B15">
            <w:pPr>
              <w:spacing w:after="0" w:line="240" w:lineRule="auto"/>
              <w:jc w:val="right"/>
              <w:rPr>
                <w:rFonts w:cs="Times New Roman"/>
                <w:color w:val="17365D"/>
                <w:sz w:val="18"/>
                <w:szCs w:val="18"/>
              </w:rPr>
            </w:pPr>
            <w:r w:rsidRPr="00E72168">
              <w:rPr>
                <w:rFonts w:cs="Times New Roman"/>
                <w:color w:val="17365D"/>
                <w:sz w:val="18"/>
                <w:szCs w:val="18"/>
              </w:rPr>
              <w:t>39 782 114</w:t>
            </w:r>
          </w:p>
        </w:tc>
        <w:tc>
          <w:tcPr>
            <w:tcW w:w="681" w:type="pct"/>
            <w:tcBorders>
              <w:top w:val="single" w:sz="4" w:space="0" w:color="17365D"/>
              <w:bottom w:val="single" w:sz="4" w:space="0" w:color="17365D"/>
            </w:tcBorders>
            <w:shd w:val="clear" w:color="auto" w:fill="auto"/>
            <w:noWrap/>
            <w:vAlign w:val="center"/>
          </w:tcPr>
          <w:p w14:paraId="38EB13D0" w14:textId="71FDAE05" w:rsidR="00187B15" w:rsidRPr="00E72168" w:rsidRDefault="00187B15" w:rsidP="00187B15">
            <w:pPr>
              <w:spacing w:after="0" w:line="240" w:lineRule="auto"/>
              <w:jc w:val="right"/>
              <w:rPr>
                <w:rFonts w:cs="Times New Roman"/>
                <w:color w:val="17365D"/>
                <w:sz w:val="18"/>
                <w:szCs w:val="18"/>
              </w:rPr>
            </w:pPr>
            <w:r w:rsidRPr="00E72168">
              <w:rPr>
                <w:rFonts w:cs="Times New Roman"/>
                <w:color w:val="17365D"/>
                <w:sz w:val="18"/>
                <w:szCs w:val="18"/>
              </w:rPr>
              <w:t>13.35</w:t>
            </w:r>
          </w:p>
        </w:tc>
      </w:tr>
      <w:tr w:rsidR="000C1009" w:rsidRPr="00E72168" w14:paraId="27816B8D" w14:textId="77777777" w:rsidTr="009E3F87">
        <w:trPr>
          <w:trHeight w:val="202"/>
        </w:trPr>
        <w:tc>
          <w:tcPr>
            <w:tcW w:w="1453" w:type="pct"/>
            <w:tcBorders>
              <w:top w:val="single" w:sz="4" w:space="0" w:color="17365D"/>
            </w:tcBorders>
            <w:shd w:val="clear" w:color="auto" w:fill="B9CDE5"/>
            <w:vAlign w:val="center"/>
          </w:tcPr>
          <w:p w14:paraId="751E093E" w14:textId="77777777" w:rsidR="00A3314A" w:rsidRPr="00E72168" w:rsidRDefault="00A3314A" w:rsidP="00A3314A">
            <w:pPr>
              <w:spacing w:after="0"/>
              <w:rPr>
                <w:rFonts w:eastAsia="Times New Roman" w:cs="Times New Roman"/>
                <w:color w:val="17365D"/>
                <w:sz w:val="18"/>
                <w:szCs w:val="18"/>
                <w:lang w:eastAsia="lv-LV"/>
              </w:rPr>
            </w:pPr>
          </w:p>
        </w:tc>
        <w:tc>
          <w:tcPr>
            <w:tcW w:w="520" w:type="pct"/>
            <w:tcBorders>
              <w:top w:val="single" w:sz="4" w:space="0" w:color="17365D"/>
            </w:tcBorders>
            <w:shd w:val="clear" w:color="auto" w:fill="B9CDE5"/>
            <w:noWrap/>
            <w:vAlign w:val="center"/>
          </w:tcPr>
          <w:p w14:paraId="1C557906" w14:textId="77777777" w:rsidR="00A3314A" w:rsidRPr="00E72168" w:rsidRDefault="00A3314A" w:rsidP="00A3314A">
            <w:pPr>
              <w:spacing w:after="0"/>
              <w:jc w:val="center"/>
              <w:rPr>
                <w:rFonts w:eastAsia="Times New Roman" w:cs="Times New Roman"/>
                <w:color w:val="17365D"/>
                <w:sz w:val="18"/>
                <w:szCs w:val="18"/>
                <w:lang w:eastAsia="lv-LV"/>
              </w:rPr>
            </w:pPr>
          </w:p>
        </w:tc>
        <w:tc>
          <w:tcPr>
            <w:tcW w:w="795" w:type="pct"/>
            <w:tcBorders>
              <w:top w:val="single" w:sz="4" w:space="0" w:color="17365D"/>
            </w:tcBorders>
            <w:shd w:val="clear" w:color="auto" w:fill="B9CDE5"/>
            <w:noWrap/>
            <w:vAlign w:val="center"/>
          </w:tcPr>
          <w:p w14:paraId="1610AB6E" w14:textId="77777777" w:rsidR="00A3314A" w:rsidRPr="00E72168" w:rsidRDefault="00A3314A" w:rsidP="00A3314A">
            <w:pPr>
              <w:spacing w:after="0"/>
              <w:jc w:val="right"/>
              <w:rPr>
                <w:rFonts w:eastAsia="Times New Roman" w:cs="Times New Roman"/>
                <w:color w:val="17365D"/>
                <w:sz w:val="18"/>
                <w:szCs w:val="18"/>
                <w:lang w:eastAsia="lv-LV"/>
              </w:rPr>
            </w:pPr>
          </w:p>
        </w:tc>
        <w:tc>
          <w:tcPr>
            <w:tcW w:w="784" w:type="pct"/>
            <w:tcBorders>
              <w:top w:val="single" w:sz="4" w:space="0" w:color="17365D"/>
            </w:tcBorders>
            <w:shd w:val="clear" w:color="auto" w:fill="B9CDE5"/>
            <w:noWrap/>
            <w:vAlign w:val="center"/>
          </w:tcPr>
          <w:p w14:paraId="188D630B" w14:textId="77777777" w:rsidR="00A3314A" w:rsidRPr="00E72168" w:rsidRDefault="00A3314A" w:rsidP="00A3314A">
            <w:pPr>
              <w:spacing w:after="0"/>
              <w:jc w:val="right"/>
              <w:rPr>
                <w:rFonts w:eastAsia="Times New Roman" w:cs="Times New Roman"/>
                <w:color w:val="17365D"/>
                <w:sz w:val="18"/>
                <w:szCs w:val="18"/>
                <w:lang w:eastAsia="lv-LV"/>
              </w:rPr>
            </w:pPr>
          </w:p>
        </w:tc>
        <w:tc>
          <w:tcPr>
            <w:tcW w:w="767" w:type="pct"/>
            <w:gridSpan w:val="2"/>
            <w:tcBorders>
              <w:top w:val="single" w:sz="4" w:space="0" w:color="17365D"/>
            </w:tcBorders>
            <w:shd w:val="clear" w:color="auto" w:fill="B9CDE5"/>
            <w:noWrap/>
            <w:vAlign w:val="center"/>
          </w:tcPr>
          <w:p w14:paraId="031D6CCC" w14:textId="77777777" w:rsidR="00A3314A" w:rsidRPr="00E72168" w:rsidRDefault="00A3314A" w:rsidP="00A3314A">
            <w:pPr>
              <w:spacing w:after="0"/>
              <w:jc w:val="right"/>
              <w:rPr>
                <w:rFonts w:eastAsia="Times New Roman" w:cs="Times New Roman"/>
                <w:color w:val="17365D"/>
                <w:sz w:val="18"/>
                <w:szCs w:val="18"/>
                <w:lang w:eastAsia="lv-LV"/>
              </w:rPr>
            </w:pPr>
          </w:p>
        </w:tc>
        <w:tc>
          <w:tcPr>
            <w:tcW w:w="681" w:type="pct"/>
            <w:tcBorders>
              <w:top w:val="single" w:sz="4" w:space="0" w:color="17365D"/>
            </w:tcBorders>
            <w:shd w:val="clear" w:color="auto" w:fill="B9CDE5"/>
            <w:noWrap/>
            <w:vAlign w:val="center"/>
          </w:tcPr>
          <w:p w14:paraId="1AE392BF" w14:textId="77777777" w:rsidR="00A3314A" w:rsidRPr="00E72168" w:rsidRDefault="00A3314A" w:rsidP="00A3314A">
            <w:pPr>
              <w:spacing w:after="0"/>
              <w:jc w:val="right"/>
              <w:rPr>
                <w:rFonts w:eastAsia="Times New Roman" w:cs="Times New Roman"/>
                <w:color w:val="17365D"/>
                <w:sz w:val="18"/>
                <w:szCs w:val="18"/>
                <w:lang w:eastAsia="lv-LV"/>
              </w:rPr>
            </w:pPr>
          </w:p>
        </w:tc>
      </w:tr>
    </w:tbl>
    <w:p w14:paraId="04185719" w14:textId="4037BEF8" w:rsidR="004E3537" w:rsidRPr="00E72168" w:rsidRDefault="00A07F6B" w:rsidP="00514C3E">
      <w:pPr>
        <w:pStyle w:val="Heading5"/>
        <w:rPr>
          <w:rFonts w:cs="Times New Roman"/>
        </w:rPr>
      </w:pPr>
      <w:r w:rsidRPr="00E72168">
        <w:rPr>
          <w:rFonts w:cs="Times New Roman"/>
        </w:rPr>
        <w:t>Piezīme Nr. KB.</w:t>
      </w:r>
      <w:r w:rsidR="00EE7A9E" w:rsidRPr="00E72168">
        <w:rPr>
          <w:rFonts w:cs="Times New Roman"/>
        </w:rPr>
        <w:t>1.</w:t>
      </w:r>
      <w:r w:rsidRPr="00E72168">
        <w:rPr>
          <w:rFonts w:cs="Times New Roman"/>
        </w:rPr>
        <w:t>2.</w:t>
      </w:r>
      <w:r w:rsidR="00F60FD9" w:rsidRPr="00E72168" w:rsidDel="007D63EC">
        <w:rPr>
          <w:rFonts w:cs="Times New Roman"/>
        </w:rPr>
        <w:t>1</w:t>
      </w:r>
      <w:r w:rsidRPr="00E72168">
        <w:rPr>
          <w:rFonts w:cs="Times New Roman"/>
        </w:rPr>
        <w:t xml:space="preserve">. </w:t>
      </w:r>
      <w:r w:rsidR="00250111" w:rsidRPr="00E72168">
        <w:rPr>
          <w:rFonts w:cs="Times New Roman"/>
        </w:rPr>
        <w:t>Pārējie pamatlīdzekļi</w:t>
      </w:r>
      <w:r w:rsidR="007D63EC" w:rsidRPr="00E72168" w:rsidDel="007D63EC">
        <w:rPr>
          <w:rFonts w:cs="Times New Roman"/>
        </w:rPr>
        <w:t xml:space="preserve"> </w:t>
      </w:r>
    </w:p>
    <w:p w14:paraId="757BF006" w14:textId="7D530583" w:rsidR="00CB3465" w:rsidRDefault="00C03218" w:rsidP="00BE653B">
      <w:pPr>
        <w:spacing w:after="120" w:line="240" w:lineRule="auto"/>
        <w:ind w:firstLine="284"/>
        <w:jc w:val="both"/>
        <w:rPr>
          <w:rFonts w:cs="Times New Roman"/>
          <w:color w:val="17365D"/>
        </w:rPr>
      </w:pPr>
      <w:r w:rsidRPr="00E72168">
        <w:rPr>
          <w:rFonts w:cs="Times New Roman"/>
          <w:color w:val="17365D"/>
        </w:rPr>
        <w:t>Lielākās i</w:t>
      </w:r>
      <w:r w:rsidR="00CB3465">
        <w:rPr>
          <w:rFonts w:cs="Times New Roman"/>
          <w:color w:val="17365D"/>
        </w:rPr>
        <w:t>zmaiņas posteņa vērtībā bijušas:</w:t>
      </w:r>
    </w:p>
    <w:p w14:paraId="32A7FE9E" w14:textId="4352CF8A" w:rsidR="00CB3465" w:rsidRPr="00CB3465" w:rsidRDefault="00C03218" w:rsidP="00146A16">
      <w:pPr>
        <w:pStyle w:val="ListParagraph"/>
        <w:numPr>
          <w:ilvl w:val="0"/>
          <w:numId w:val="31"/>
        </w:numPr>
        <w:spacing w:after="120" w:line="240" w:lineRule="auto"/>
        <w:ind w:left="1003" w:hanging="357"/>
        <w:contextualSpacing w:val="0"/>
        <w:jc w:val="both"/>
        <w:rPr>
          <w:rFonts w:cs="Times New Roman"/>
          <w:color w:val="17365D"/>
        </w:rPr>
      </w:pPr>
      <w:r w:rsidRPr="00CB3465">
        <w:rPr>
          <w:rFonts w:cs="Times New Roman"/>
          <w:color w:val="17365D"/>
        </w:rPr>
        <w:t xml:space="preserve">Aizsardzības ministrijai par iegādātiem un no ārvalstu </w:t>
      </w:r>
      <w:r w:rsidR="00783BFF" w:rsidRPr="00CB3465">
        <w:rPr>
          <w:rFonts w:cs="Times New Roman"/>
          <w:color w:val="17365D"/>
        </w:rPr>
        <w:t>ziedojumiem saņemtiem pamatlīdzekļiem 107 997 </w:t>
      </w:r>
      <w:r w:rsidRPr="00CB3465">
        <w:rPr>
          <w:rFonts w:cs="Times New Roman"/>
          <w:color w:val="17365D"/>
        </w:rPr>
        <w:t xml:space="preserve">935 </w:t>
      </w:r>
      <w:r w:rsidRPr="00CB3465">
        <w:rPr>
          <w:rFonts w:cs="Times New Roman"/>
          <w:i/>
          <w:color w:val="17365D"/>
        </w:rPr>
        <w:t>euro</w:t>
      </w:r>
      <w:r w:rsidRPr="00CB3465">
        <w:rPr>
          <w:rFonts w:cs="Times New Roman"/>
          <w:color w:val="17365D"/>
        </w:rPr>
        <w:t xml:space="preserve"> vērtībā, kā arī </w:t>
      </w:r>
      <w:r w:rsidR="00CA5D9A" w:rsidRPr="00CB3465">
        <w:rPr>
          <w:rFonts w:cs="Times New Roman"/>
          <w:color w:val="17365D"/>
        </w:rPr>
        <w:t xml:space="preserve">modernizācijas rezultātā palielināta </w:t>
      </w:r>
      <w:r w:rsidRPr="00CB3465">
        <w:rPr>
          <w:rFonts w:cs="Times New Roman"/>
          <w:color w:val="17365D"/>
        </w:rPr>
        <w:t xml:space="preserve">pamatlīdzekļu vērtība </w:t>
      </w:r>
      <w:r w:rsidR="00CA5D9A" w:rsidRPr="00CB3465">
        <w:rPr>
          <w:rFonts w:cs="Times New Roman"/>
          <w:color w:val="17365D"/>
        </w:rPr>
        <w:t xml:space="preserve">par </w:t>
      </w:r>
      <w:r w:rsidR="00783BFF" w:rsidRPr="00CB3465">
        <w:rPr>
          <w:rFonts w:cs="Times New Roman"/>
          <w:color w:val="17365D"/>
        </w:rPr>
        <w:t>17 110 </w:t>
      </w:r>
      <w:r w:rsidRPr="00CB3465">
        <w:rPr>
          <w:rFonts w:cs="Times New Roman"/>
          <w:color w:val="17365D"/>
        </w:rPr>
        <w:t xml:space="preserve">152 </w:t>
      </w:r>
      <w:r w:rsidRPr="00CB3465">
        <w:rPr>
          <w:rFonts w:cs="Times New Roman"/>
          <w:i/>
          <w:color w:val="17365D"/>
        </w:rPr>
        <w:t>euro</w:t>
      </w:r>
      <w:r w:rsidR="00CB3465">
        <w:rPr>
          <w:rFonts w:cs="Times New Roman"/>
          <w:color w:val="17365D"/>
        </w:rPr>
        <w:t xml:space="preserve"> vērtībā;</w:t>
      </w:r>
    </w:p>
    <w:p w14:paraId="077C833B" w14:textId="33C64E5E" w:rsidR="00CB3465" w:rsidRPr="00CB3465" w:rsidRDefault="00C03218" w:rsidP="00146A16">
      <w:pPr>
        <w:pStyle w:val="ListParagraph"/>
        <w:numPr>
          <w:ilvl w:val="0"/>
          <w:numId w:val="31"/>
        </w:numPr>
        <w:spacing w:after="120" w:line="240" w:lineRule="auto"/>
        <w:ind w:left="1003" w:hanging="357"/>
        <w:contextualSpacing w:val="0"/>
        <w:jc w:val="both"/>
        <w:rPr>
          <w:rFonts w:cs="Times New Roman"/>
          <w:color w:val="17365D"/>
        </w:rPr>
      </w:pPr>
      <w:r w:rsidRPr="00CB3465">
        <w:rPr>
          <w:rFonts w:cs="Times New Roman"/>
          <w:color w:val="17365D"/>
        </w:rPr>
        <w:t>Iekšlietu ministrijai palielinājums saistībā ar ugunsdzēsības speciālo</w:t>
      </w:r>
      <w:r w:rsidR="00783BFF" w:rsidRPr="00CB3465">
        <w:rPr>
          <w:rFonts w:cs="Times New Roman"/>
          <w:color w:val="17365D"/>
        </w:rPr>
        <w:t xml:space="preserve"> transportlīdzekļu iegādi 9 736 </w:t>
      </w:r>
      <w:r w:rsidRPr="00CB3465">
        <w:rPr>
          <w:rFonts w:cs="Times New Roman"/>
          <w:color w:val="17365D"/>
        </w:rPr>
        <w:t xml:space="preserve">439 </w:t>
      </w:r>
      <w:r w:rsidRPr="00CB3465">
        <w:rPr>
          <w:rFonts w:cs="Times New Roman"/>
          <w:i/>
          <w:color w:val="17365D"/>
        </w:rPr>
        <w:t>euro</w:t>
      </w:r>
      <w:r w:rsidRPr="00CB3465">
        <w:rPr>
          <w:rFonts w:cs="Times New Roman"/>
          <w:color w:val="17365D"/>
        </w:rPr>
        <w:t xml:space="preserve"> vērtībā, iegādātajiem un dāvinājumā saņemtajiem pamatlīdzekļiem Valsts r</w:t>
      </w:r>
      <w:r w:rsidR="00783BFF" w:rsidRPr="00CB3465">
        <w:rPr>
          <w:rFonts w:cs="Times New Roman"/>
          <w:color w:val="17365D"/>
        </w:rPr>
        <w:t>obežsardzes vajadzībām</w:t>
      </w:r>
      <w:r w:rsidRPr="00CB3465">
        <w:rPr>
          <w:rFonts w:cs="Times New Roman"/>
          <w:color w:val="17365D"/>
        </w:rPr>
        <w:t xml:space="preserve"> 14</w:t>
      </w:r>
      <w:r w:rsidR="00783BFF" w:rsidRPr="00CB3465">
        <w:rPr>
          <w:rFonts w:cs="Times New Roman"/>
          <w:color w:val="17365D"/>
        </w:rPr>
        <w:t> </w:t>
      </w:r>
      <w:r w:rsidRPr="00CB3465">
        <w:rPr>
          <w:rFonts w:cs="Times New Roman"/>
          <w:color w:val="17365D"/>
        </w:rPr>
        <w:t>718</w:t>
      </w:r>
      <w:r w:rsidR="00783BFF" w:rsidRPr="00CB3465">
        <w:rPr>
          <w:rFonts w:cs="Times New Roman"/>
          <w:color w:val="17365D"/>
        </w:rPr>
        <w:t> </w:t>
      </w:r>
      <w:r w:rsidRPr="00CB3465">
        <w:rPr>
          <w:rFonts w:cs="Times New Roman"/>
          <w:color w:val="17365D"/>
        </w:rPr>
        <w:t xml:space="preserve">774 </w:t>
      </w:r>
      <w:r w:rsidRPr="00CB3465">
        <w:rPr>
          <w:rFonts w:cs="Times New Roman"/>
          <w:i/>
          <w:color w:val="17365D"/>
        </w:rPr>
        <w:t>euro</w:t>
      </w:r>
      <w:r w:rsidRPr="00CB3465">
        <w:rPr>
          <w:rFonts w:cs="Times New Roman"/>
          <w:color w:val="17365D"/>
        </w:rPr>
        <w:t xml:space="preserve"> vērtībā, iegādātajiem pamatlīdzekļiem Pilsonības un migr</w:t>
      </w:r>
      <w:r w:rsidR="00783BFF" w:rsidRPr="00CB3465">
        <w:rPr>
          <w:rFonts w:cs="Times New Roman"/>
          <w:color w:val="17365D"/>
        </w:rPr>
        <w:t>ācijas lietu pārvaldei 1 460 </w:t>
      </w:r>
      <w:r w:rsidRPr="00CB3465">
        <w:rPr>
          <w:rFonts w:cs="Times New Roman"/>
          <w:color w:val="17365D"/>
        </w:rPr>
        <w:t xml:space="preserve">911 </w:t>
      </w:r>
      <w:r w:rsidRPr="00CB3465">
        <w:rPr>
          <w:rFonts w:cs="Times New Roman"/>
          <w:i/>
          <w:color w:val="17365D"/>
        </w:rPr>
        <w:t>euro</w:t>
      </w:r>
      <w:r w:rsidR="00CB3465">
        <w:rPr>
          <w:rFonts w:cs="Times New Roman"/>
          <w:color w:val="17365D"/>
        </w:rPr>
        <w:t xml:space="preserve"> vērtībā;</w:t>
      </w:r>
    </w:p>
    <w:p w14:paraId="6C9E25C2" w14:textId="3B56AECB" w:rsidR="00C03218" w:rsidRPr="00CB3465" w:rsidRDefault="00C03218" w:rsidP="00146A16">
      <w:pPr>
        <w:pStyle w:val="ListParagraph"/>
        <w:numPr>
          <w:ilvl w:val="0"/>
          <w:numId w:val="31"/>
        </w:numPr>
        <w:spacing w:after="120" w:line="240" w:lineRule="auto"/>
        <w:ind w:left="1003" w:hanging="357"/>
        <w:contextualSpacing w:val="0"/>
        <w:jc w:val="both"/>
        <w:rPr>
          <w:rFonts w:cs="Times New Roman"/>
          <w:color w:val="17365D"/>
        </w:rPr>
      </w:pPr>
      <w:r w:rsidRPr="00CB3465">
        <w:rPr>
          <w:rFonts w:cs="Times New Roman"/>
          <w:color w:val="17365D"/>
        </w:rPr>
        <w:t>Veselības ministrijai palielinājums saistībā ar pamatlīdzekļu iegādi Neatliekamās medicīnis</w:t>
      </w:r>
      <w:r w:rsidR="00783BFF" w:rsidRPr="00CB3465">
        <w:rPr>
          <w:rFonts w:cs="Times New Roman"/>
          <w:color w:val="17365D"/>
        </w:rPr>
        <w:t>kās palīdzības dienestam 10 459 </w:t>
      </w:r>
      <w:r w:rsidRPr="00CB3465">
        <w:rPr>
          <w:rFonts w:cs="Times New Roman"/>
          <w:color w:val="17365D"/>
        </w:rPr>
        <w:t xml:space="preserve">789 </w:t>
      </w:r>
      <w:r w:rsidRPr="00CB3465">
        <w:rPr>
          <w:rFonts w:cs="Times New Roman"/>
          <w:i/>
          <w:color w:val="17365D"/>
        </w:rPr>
        <w:t>euro</w:t>
      </w:r>
      <w:r w:rsidRPr="00CB3465">
        <w:rPr>
          <w:rFonts w:cs="Times New Roman"/>
          <w:color w:val="17365D"/>
        </w:rPr>
        <w:t xml:space="preserve"> vērtībā, Rīg</w:t>
      </w:r>
      <w:r w:rsidR="00783BFF" w:rsidRPr="00CB3465">
        <w:rPr>
          <w:rFonts w:cs="Times New Roman"/>
          <w:color w:val="17365D"/>
        </w:rPr>
        <w:t>as Stradiņa universitātei 6 347</w:t>
      </w:r>
      <w:r w:rsidR="00E2102D" w:rsidRPr="00CB3465">
        <w:rPr>
          <w:rFonts w:cs="Times New Roman"/>
          <w:color w:val="17365D"/>
        </w:rPr>
        <w:t> </w:t>
      </w:r>
      <w:r w:rsidRPr="00CB3465">
        <w:rPr>
          <w:rFonts w:cs="Times New Roman"/>
          <w:color w:val="17365D"/>
        </w:rPr>
        <w:t>469</w:t>
      </w:r>
      <w:r w:rsidR="00E2102D" w:rsidRPr="00CB3465">
        <w:rPr>
          <w:rFonts w:cs="Times New Roman"/>
          <w:color w:val="17365D"/>
        </w:rPr>
        <w:t> </w:t>
      </w:r>
      <w:r w:rsidRPr="00CB3465">
        <w:rPr>
          <w:rFonts w:cs="Times New Roman"/>
          <w:i/>
          <w:color w:val="17365D"/>
        </w:rPr>
        <w:t>euro</w:t>
      </w:r>
      <w:r w:rsidRPr="00CB3465">
        <w:rPr>
          <w:rFonts w:cs="Times New Roman"/>
          <w:color w:val="17365D"/>
        </w:rPr>
        <w:t xml:space="preserve"> vērtībā, Valsts Asinsdonoru centram 703</w:t>
      </w:r>
      <w:r w:rsidR="00783BFF" w:rsidRPr="00CB3465">
        <w:rPr>
          <w:rFonts w:cs="Times New Roman"/>
          <w:color w:val="17365D"/>
        </w:rPr>
        <w:t> </w:t>
      </w:r>
      <w:r w:rsidRPr="00CB3465">
        <w:rPr>
          <w:rFonts w:cs="Times New Roman"/>
          <w:color w:val="17365D"/>
        </w:rPr>
        <w:t xml:space="preserve">010 </w:t>
      </w:r>
      <w:r w:rsidRPr="00CB3465">
        <w:rPr>
          <w:rFonts w:cs="Times New Roman"/>
          <w:i/>
          <w:color w:val="17365D"/>
        </w:rPr>
        <w:t>euro</w:t>
      </w:r>
      <w:r w:rsidRPr="00CB3465">
        <w:rPr>
          <w:rFonts w:cs="Times New Roman"/>
          <w:color w:val="17365D"/>
        </w:rPr>
        <w:t xml:space="preserve"> vērtībā.</w:t>
      </w:r>
    </w:p>
    <w:p w14:paraId="34D5FAC9" w14:textId="3012BE26" w:rsidR="00F804EB" w:rsidRPr="00E72168" w:rsidRDefault="00EB6D0B" w:rsidP="00F804EB">
      <w:pPr>
        <w:spacing w:line="240" w:lineRule="auto"/>
        <w:ind w:firstLine="284"/>
        <w:jc w:val="both"/>
        <w:rPr>
          <w:rFonts w:cs="Times New Roman"/>
          <w:color w:val="17365D"/>
        </w:rPr>
      </w:pPr>
      <w:r w:rsidRPr="00E72168">
        <w:rPr>
          <w:rFonts w:cs="Times New Roman"/>
          <w:color w:val="17365D"/>
        </w:rPr>
        <w:t>Pārskata gadā valsts un pašvaldību īpašum</w:t>
      </w:r>
      <w:r w:rsidR="00D83F1B" w:rsidRPr="00E72168">
        <w:rPr>
          <w:rFonts w:cs="Times New Roman"/>
          <w:color w:val="17365D"/>
        </w:rPr>
        <w:t>os</w:t>
      </w:r>
      <w:r w:rsidRPr="00E72168">
        <w:rPr>
          <w:rFonts w:cs="Times New Roman"/>
          <w:color w:val="17365D"/>
        </w:rPr>
        <w:t xml:space="preserve"> veikti kapitālsabiedrību ieguldījumi, kas nav iekļauti pamatlīdzekļu uzskaites vērtībā:</w:t>
      </w:r>
    </w:p>
    <w:p w14:paraId="4DA1D356" w14:textId="0FA56605" w:rsidR="00F804EB" w:rsidRPr="00E72168" w:rsidRDefault="00CA5D9A" w:rsidP="00CF79A6">
      <w:pPr>
        <w:pStyle w:val="Tabulasnosaukums1"/>
        <w:spacing w:before="120"/>
        <w:rPr>
          <w:rFonts w:cs="Times New Roman"/>
          <w:i/>
          <w:color w:val="17365D"/>
        </w:rPr>
      </w:pPr>
      <w:r>
        <w:rPr>
          <w:rFonts w:cs="Times New Roman"/>
          <w:i/>
          <w:color w:val="17365D"/>
        </w:rPr>
        <w:t>1.</w:t>
      </w:r>
      <w:r w:rsidR="00031CD6" w:rsidRPr="00E72168">
        <w:rPr>
          <w:rFonts w:cs="Times New Roman"/>
          <w:i/>
          <w:color w:val="17365D"/>
        </w:rPr>
        <w:t>4</w:t>
      </w:r>
      <w:r w:rsidR="00CF79A6" w:rsidRPr="00E72168">
        <w:rPr>
          <w:rFonts w:cs="Times New Roman"/>
          <w:i/>
          <w:color w:val="17365D"/>
        </w:rPr>
        <w:t>. tabula.</w:t>
      </w:r>
      <w:r w:rsidR="00CF79A6" w:rsidRPr="00E72168">
        <w:rPr>
          <w:rFonts w:cs="Times New Roman"/>
          <w:i/>
          <w:color w:val="17365D"/>
          <w:lang w:eastAsia="lv-LV"/>
        </w:rPr>
        <w:t xml:space="preserve"> Informācija par kapitālsabiedrību ieguldījumu valsts vai pašvaldības īpašumā </w:t>
      </w:r>
      <w:r w:rsidR="00CF79A6" w:rsidRPr="00E72168">
        <w:rPr>
          <w:rFonts w:eastAsia="Times New Roman" w:cs="Times New Roman"/>
          <w:i/>
          <w:color w:val="17365D"/>
          <w:szCs w:val="20"/>
          <w:lang w:eastAsia="lv-LV"/>
        </w:rPr>
        <w:t>(euro)</w:t>
      </w:r>
    </w:p>
    <w:tbl>
      <w:tblPr>
        <w:tblW w:w="5000" w:type="pct"/>
        <w:tblBorders>
          <w:insideH w:val="single" w:sz="4" w:space="0" w:color="012169"/>
        </w:tblBorders>
        <w:tblLayout w:type="fixed"/>
        <w:tblLook w:val="04A0" w:firstRow="1" w:lastRow="0" w:firstColumn="1" w:lastColumn="0" w:noHBand="0" w:noVBand="1"/>
      </w:tblPr>
      <w:tblGrid>
        <w:gridCol w:w="2551"/>
        <w:gridCol w:w="1843"/>
        <w:gridCol w:w="1701"/>
        <w:gridCol w:w="1558"/>
        <w:gridCol w:w="1701"/>
      </w:tblGrid>
      <w:tr w:rsidR="003F0D49" w:rsidRPr="00E72168" w14:paraId="1D31E7BF" w14:textId="6FB69681" w:rsidTr="00BC5CE3">
        <w:trPr>
          <w:trHeight w:val="283"/>
          <w:tblHeader/>
        </w:trPr>
        <w:tc>
          <w:tcPr>
            <w:tcW w:w="1364" w:type="pct"/>
            <w:vMerge w:val="restart"/>
            <w:tcBorders>
              <w:top w:val="nil"/>
            </w:tcBorders>
            <w:shd w:val="clear" w:color="auto" w:fill="B9CDE5"/>
            <w:vAlign w:val="center"/>
            <w:hideMark/>
          </w:tcPr>
          <w:p w14:paraId="6E14D756" w14:textId="314B895A" w:rsidR="003F0D49" w:rsidRPr="00E72168" w:rsidRDefault="003F0D49" w:rsidP="006010C8">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Kontu grupas nosaukums</w:t>
            </w:r>
          </w:p>
        </w:tc>
        <w:tc>
          <w:tcPr>
            <w:tcW w:w="1894" w:type="pct"/>
            <w:gridSpan w:val="2"/>
            <w:tcBorders>
              <w:bottom w:val="single" w:sz="4" w:space="0" w:color="17365D"/>
            </w:tcBorders>
            <w:shd w:val="clear" w:color="auto" w:fill="B9CDE5"/>
            <w:vAlign w:val="center"/>
            <w:hideMark/>
          </w:tcPr>
          <w:p w14:paraId="39369F84" w14:textId="1D04FC1B" w:rsidR="003F0D49" w:rsidRPr="00E72168" w:rsidRDefault="003F0D49" w:rsidP="0039076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Kapitālsabiedrības ieguldījums</w:t>
            </w:r>
          </w:p>
        </w:tc>
        <w:tc>
          <w:tcPr>
            <w:tcW w:w="1742" w:type="pct"/>
            <w:gridSpan w:val="2"/>
            <w:tcBorders>
              <w:bottom w:val="single" w:sz="4" w:space="0" w:color="17365D"/>
            </w:tcBorders>
            <w:shd w:val="clear" w:color="auto" w:fill="B9CDE5"/>
            <w:vAlign w:val="center"/>
            <w:hideMark/>
          </w:tcPr>
          <w:p w14:paraId="4AB8D6F6" w14:textId="780748C1" w:rsidR="003F0D49" w:rsidRPr="00E72168" w:rsidRDefault="003F0D49" w:rsidP="0039076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Uzskaites vērtība</w:t>
            </w:r>
            <w:r w:rsidRPr="00E72168">
              <w:rPr>
                <w:rFonts w:eastAsia="Times New Roman" w:cs="Times New Roman"/>
                <w:color w:val="17365D"/>
                <w:sz w:val="20"/>
                <w:szCs w:val="20"/>
                <w:lang w:eastAsia="lv-LV"/>
              </w:rPr>
              <w:t xml:space="preserve"> </w:t>
            </w:r>
          </w:p>
        </w:tc>
      </w:tr>
      <w:tr w:rsidR="003F0D49" w:rsidRPr="00E72168" w14:paraId="720C83FE" w14:textId="77777777" w:rsidTr="00BC5CE3">
        <w:trPr>
          <w:trHeight w:val="439"/>
          <w:tblHeader/>
        </w:trPr>
        <w:tc>
          <w:tcPr>
            <w:tcW w:w="1364" w:type="pct"/>
            <w:vMerge/>
            <w:tcBorders>
              <w:bottom w:val="single" w:sz="4" w:space="0" w:color="17365D"/>
            </w:tcBorders>
            <w:shd w:val="clear" w:color="auto" w:fill="B9CDE5"/>
            <w:vAlign w:val="center"/>
          </w:tcPr>
          <w:p w14:paraId="51FA2495" w14:textId="77777777" w:rsidR="003F0D49" w:rsidRPr="00E72168" w:rsidRDefault="003F0D49" w:rsidP="006010C8">
            <w:pPr>
              <w:spacing w:after="0"/>
              <w:jc w:val="center"/>
              <w:rPr>
                <w:rFonts w:eastAsia="Times New Roman" w:cs="Times New Roman"/>
                <w:b/>
                <w:color w:val="17365D"/>
                <w:sz w:val="18"/>
                <w:szCs w:val="18"/>
                <w:lang w:eastAsia="lv-LV"/>
              </w:rPr>
            </w:pPr>
          </w:p>
        </w:tc>
        <w:tc>
          <w:tcPr>
            <w:tcW w:w="985" w:type="pct"/>
            <w:tcBorders>
              <w:top w:val="single" w:sz="4" w:space="0" w:color="17365D"/>
              <w:bottom w:val="single" w:sz="4" w:space="0" w:color="17365D"/>
            </w:tcBorders>
            <w:shd w:val="clear" w:color="auto" w:fill="B9CDE5"/>
            <w:vAlign w:val="center"/>
          </w:tcPr>
          <w:p w14:paraId="045A3935" w14:textId="2E543415" w:rsidR="003F0D49" w:rsidRPr="00E72168" w:rsidRDefault="004B0108">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periodā</w:t>
            </w:r>
          </w:p>
        </w:tc>
        <w:tc>
          <w:tcPr>
            <w:tcW w:w="909" w:type="pct"/>
            <w:tcBorders>
              <w:top w:val="single" w:sz="4" w:space="0" w:color="17365D"/>
              <w:bottom w:val="single" w:sz="4" w:space="0" w:color="17365D"/>
            </w:tcBorders>
            <w:shd w:val="clear" w:color="auto" w:fill="B9CDE5"/>
          </w:tcPr>
          <w:p w14:paraId="2ECCCA70" w14:textId="03356DBD" w:rsidR="003F0D49" w:rsidRPr="00E72168" w:rsidRDefault="004B010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iepriekšējā pārskata periodā </w:t>
            </w:r>
          </w:p>
        </w:tc>
        <w:tc>
          <w:tcPr>
            <w:tcW w:w="833" w:type="pct"/>
            <w:tcBorders>
              <w:top w:val="single" w:sz="4" w:space="0" w:color="17365D"/>
              <w:bottom w:val="single" w:sz="4" w:space="0" w:color="17365D"/>
            </w:tcBorders>
            <w:shd w:val="clear" w:color="auto" w:fill="B9CDE5"/>
            <w:vAlign w:val="center"/>
          </w:tcPr>
          <w:p w14:paraId="0D400B63" w14:textId="7B824E62" w:rsidR="003F0D49" w:rsidRPr="00E72168" w:rsidRDefault="003F0D49">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909" w:type="pct"/>
            <w:tcBorders>
              <w:top w:val="single" w:sz="4" w:space="0" w:color="17365D"/>
              <w:bottom w:val="single" w:sz="4" w:space="0" w:color="17365D"/>
            </w:tcBorders>
            <w:shd w:val="clear" w:color="auto" w:fill="B9CDE5"/>
            <w:vAlign w:val="center"/>
          </w:tcPr>
          <w:p w14:paraId="6D019DB8" w14:textId="37E088B6" w:rsidR="003F0D49" w:rsidRPr="00E72168" w:rsidRDefault="003F0D49">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r>
      <w:tr w:rsidR="000C1009" w:rsidRPr="00E72168" w14:paraId="3451D441" w14:textId="301B7E33" w:rsidTr="00432761">
        <w:trPr>
          <w:trHeight w:val="223"/>
        </w:trPr>
        <w:tc>
          <w:tcPr>
            <w:tcW w:w="1364" w:type="pct"/>
            <w:tcBorders>
              <w:top w:val="single" w:sz="4" w:space="0" w:color="17365D"/>
              <w:bottom w:val="single" w:sz="4" w:space="0" w:color="17365D"/>
            </w:tcBorders>
            <w:shd w:val="clear" w:color="auto" w:fill="auto"/>
            <w:vAlign w:val="center"/>
            <w:hideMark/>
          </w:tcPr>
          <w:p w14:paraId="1E9455D8" w14:textId="77777777" w:rsidR="00C74879" w:rsidRPr="00E72168" w:rsidRDefault="00C74879" w:rsidP="006010C8">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985" w:type="pct"/>
            <w:tcBorders>
              <w:top w:val="single" w:sz="4" w:space="0" w:color="17365D"/>
              <w:bottom w:val="single" w:sz="4" w:space="0" w:color="17365D"/>
            </w:tcBorders>
            <w:shd w:val="clear" w:color="auto" w:fill="auto"/>
            <w:vAlign w:val="center"/>
            <w:hideMark/>
          </w:tcPr>
          <w:p w14:paraId="3BADEF93" w14:textId="53492A71" w:rsidR="00C74879" w:rsidRPr="00E72168" w:rsidRDefault="00C74879"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909" w:type="pct"/>
            <w:tcBorders>
              <w:top w:val="single" w:sz="4" w:space="0" w:color="17365D"/>
              <w:bottom w:val="single" w:sz="4" w:space="0" w:color="17365D"/>
            </w:tcBorders>
          </w:tcPr>
          <w:p w14:paraId="7C31B683" w14:textId="19414FC6" w:rsidR="00C74879" w:rsidRPr="00E72168" w:rsidRDefault="00C74879"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833" w:type="pct"/>
            <w:tcBorders>
              <w:top w:val="single" w:sz="4" w:space="0" w:color="17365D"/>
              <w:bottom w:val="single" w:sz="4" w:space="0" w:color="17365D"/>
            </w:tcBorders>
            <w:shd w:val="clear" w:color="auto" w:fill="auto"/>
            <w:vAlign w:val="center"/>
            <w:hideMark/>
          </w:tcPr>
          <w:p w14:paraId="1ACCA568" w14:textId="1AAC3CFD" w:rsidR="00C74879" w:rsidRPr="00E72168" w:rsidRDefault="00C74879"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909" w:type="pct"/>
            <w:tcBorders>
              <w:top w:val="single" w:sz="4" w:space="0" w:color="17365D"/>
              <w:bottom w:val="single" w:sz="4" w:space="0" w:color="17365D"/>
            </w:tcBorders>
            <w:vAlign w:val="center"/>
          </w:tcPr>
          <w:p w14:paraId="29C53469" w14:textId="15D328F8" w:rsidR="00C74879" w:rsidRPr="00E72168" w:rsidRDefault="00C74879"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E06D88" w:rsidRPr="00E72168" w14:paraId="7F83D5E5" w14:textId="0D78575F" w:rsidTr="00C7439D">
        <w:trPr>
          <w:trHeight w:val="264"/>
        </w:trPr>
        <w:tc>
          <w:tcPr>
            <w:tcW w:w="1364" w:type="pct"/>
            <w:tcBorders>
              <w:top w:val="single" w:sz="4" w:space="0" w:color="17365D"/>
              <w:bottom w:val="single" w:sz="4" w:space="0" w:color="17365D"/>
            </w:tcBorders>
            <w:shd w:val="clear" w:color="auto" w:fill="auto"/>
            <w:vAlign w:val="center"/>
            <w:hideMark/>
          </w:tcPr>
          <w:p w14:paraId="42489AEE" w14:textId="76A32CF5" w:rsidR="00E06D88" w:rsidRPr="00E72168" w:rsidRDefault="00E06D88" w:rsidP="00E06D88">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Pamatlīdzekļi</w:t>
            </w:r>
          </w:p>
        </w:tc>
        <w:tc>
          <w:tcPr>
            <w:tcW w:w="985" w:type="pct"/>
            <w:tcBorders>
              <w:top w:val="single" w:sz="4" w:space="0" w:color="17365D"/>
              <w:bottom w:val="single" w:sz="4" w:space="0" w:color="17365D"/>
            </w:tcBorders>
            <w:shd w:val="clear" w:color="auto" w:fill="auto"/>
            <w:vAlign w:val="center"/>
            <w:hideMark/>
          </w:tcPr>
          <w:p w14:paraId="766C63B7" w14:textId="6A1DB992" w:rsidR="00E06D88" w:rsidRPr="00E72168" w:rsidRDefault="00E06D88" w:rsidP="00E06D88">
            <w:pPr>
              <w:spacing w:after="0" w:line="240" w:lineRule="auto"/>
              <w:jc w:val="right"/>
              <w:rPr>
                <w:rFonts w:cs="Times New Roman"/>
                <w:b/>
                <w:color w:val="17365D"/>
                <w:sz w:val="18"/>
                <w:szCs w:val="18"/>
              </w:rPr>
            </w:pPr>
            <w:r w:rsidRPr="00E72168">
              <w:rPr>
                <w:rFonts w:cs="Times New Roman"/>
                <w:b/>
                <w:color w:val="17365D"/>
                <w:sz w:val="18"/>
                <w:szCs w:val="18"/>
              </w:rPr>
              <w:t>20 586 721</w:t>
            </w:r>
          </w:p>
        </w:tc>
        <w:tc>
          <w:tcPr>
            <w:tcW w:w="909" w:type="pct"/>
            <w:tcBorders>
              <w:top w:val="single" w:sz="4" w:space="0" w:color="17365D"/>
              <w:bottom w:val="single" w:sz="4" w:space="0" w:color="17365D"/>
            </w:tcBorders>
            <w:vAlign w:val="center"/>
          </w:tcPr>
          <w:p w14:paraId="4C748180" w14:textId="6DE7FC22" w:rsidR="00E06D88" w:rsidRPr="00E72168" w:rsidRDefault="00E06D88" w:rsidP="00E06D88">
            <w:pPr>
              <w:spacing w:after="0"/>
              <w:jc w:val="right"/>
              <w:rPr>
                <w:rFonts w:cs="Times New Roman"/>
                <w:b/>
                <w:color w:val="17365D"/>
                <w:sz w:val="18"/>
                <w:szCs w:val="18"/>
              </w:rPr>
            </w:pPr>
            <w:r w:rsidRPr="00E72168">
              <w:rPr>
                <w:rFonts w:cs="Times New Roman"/>
                <w:b/>
                <w:color w:val="17365D"/>
                <w:sz w:val="18"/>
                <w:szCs w:val="18"/>
              </w:rPr>
              <w:t>7 503 703</w:t>
            </w:r>
          </w:p>
        </w:tc>
        <w:tc>
          <w:tcPr>
            <w:tcW w:w="833" w:type="pct"/>
            <w:tcBorders>
              <w:top w:val="single" w:sz="4" w:space="0" w:color="17365D"/>
              <w:bottom w:val="single" w:sz="4" w:space="0" w:color="17365D"/>
            </w:tcBorders>
            <w:shd w:val="clear" w:color="auto" w:fill="auto"/>
            <w:vAlign w:val="center"/>
            <w:hideMark/>
          </w:tcPr>
          <w:p w14:paraId="373A59B8" w14:textId="322867EC" w:rsidR="00E06D88" w:rsidRPr="00E72168" w:rsidRDefault="00E06D88" w:rsidP="00E06D88">
            <w:pPr>
              <w:spacing w:after="0" w:line="240" w:lineRule="auto"/>
              <w:jc w:val="right"/>
              <w:rPr>
                <w:rFonts w:cs="Times New Roman"/>
                <w:b/>
                <w:color w:val="17365D"/>
                <w:sz w:val="18"/>
                <w:szCs w:val="18"/>
              </w:rPr>
            </w:pPr>
            <w:r w:rsidRPr="00E72168">
              <w:rPr>
                <w:rFonts w:cs="Times New Roman"/>
                <w:b/>
                <w:color w:val="17365D"/>
                <w:sz w:val="18"/>
                <w:szCs w:val="18"/>
              </w:rPr>
              <w:t>669 629 866</w:t>
            </w:r>
          </w:p>
        </w:tc>
        <w:tc>
          <w:tcPr>
            <w:tcW w:w="909" w:type="pct"/>
            <w:tcBorders>
              <w:top w:val="single" w:sz="4" w:space="0" w:color="17365D"/>
              <w:bottom w:val="single" w:sz="4" w:space="0" w:color="17365D"/>
            </w:tcBorders>
            <w:vAlign w:val="center"/>
          </w:tcPr>
          <w:p w14:paraId="5CBC85F7" w14:textId="2EFCDC76" w:rsidR="00E06D88" w:rsidRPr="00E72168" w:rsidRDefault="00E06D88" w:rsidP="00E06D88">
            <w:pPr>
              <w:spacing w:after="0" w:line="240" w:lineRule="auto"/>
              <w:jc w:val="right"/>
              <w:rPr>
                <w:rFonts w:cs="Times New Roman"/>
                <w:b/>
                <w:color w:val="17365D"/>
                <w:sz w:val="18"/>
                <w:szCs w:val="18"/>
              </w:rPr>
            </w:pPr>
            <w:r w:rsidRPr="00E72168">
              <w:rPr>
                <w:rFonts w:cs="Times New Roman"/>
                <w:b/>
                <w:color w:val="17365D"/>
                <w:sz w:val="18"/>
                <w:szCs w:val="18"/>
              </w:rPr>
              <w:t>645 534 162</w:t>
            </w:r>
          </w:p>
        </w:tc>
      </w:tr>
      <w:tr w:rsidR="00E06D88" w:rsidRPr="00E72168" w14:paraId="121595BD" w14:textId="476C463F" w:rsidTr="00C7439D">
        <w:trPr>
          <w:trHeight w:val="54"/>
        </w:trPr>
        <w:tc>
          <w:tcPr>
            <w:tcW w:w="1364" w:type="pct"/>
            <w:tcBorders>
              <w:top w:val="single" w:sz="4" w:space="0" w:color="17365D"/>
              <w:bottom w:val="single" w:sz="4" w:space="0" w:color="17365D"/>
            </w:tcBorders>
            <w:shd w:val="clear" w:color="auto" w:fill="auto"/>
            <w:vAlign w:val="center"/>
            <w:hideMark/>
          </w:tcPr>
          <w:p w14:paraId="7FB1AE32" w14:textId="4DE7F596" w:rsidR="00E06D88" w:rsidRPr="00E72168" w:rsidRDefault="00E06D88" w:rsidP="00E06D88">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Turējumā nodotie valsts un pašvaldību īpašumi</w:t>
            </w:r>
          </w:p>
        </w:tc>
        <w:tc>
          <w:tcPr>
            <w:tcW w:w="985" w:type="pct"/>
            <w:tcBorders>
              <w:top w:val="single" w:sz="4" w:space="0" w:color="17365D"/>
              <w:bottom w:val="single" w:sz="4" w:space="0" w:color="17365D"/>
            </w:tcBorders>
            <w:shd w:val="clear" w:color="auto" w:fill="auto"/>
            <w:noWrap/>
            <w:vAlign w:val="center"/>
            <w:hideMark/>
          </w:tcPr>
          <w:p w14:paraId="5E74A5AE" w14:textId="3F545E0B" w:rsidR="00E06D88" w:rsidRPr="002375B3" w:rsidRDefault="00E06D88" w:rsidP="00E06D88">
            <w:pPr>
              <w:spacing w:after="0" w:line="240" w:lineRule="auto"/>
              <w:jc w:val="right"/>
              <w:rPr>
                <w:rFonts w:eastAsia="Times New Roman" w:cs="Times New Roman"/>
                <w:color w:val="17365D"/>
                <w:sz w:val="18"/>
                <w:szCs w:val="18"/>
                <w:lang w:eastAsia="lv-LV"/>
              </w:rPr>
            </w:pPr>
            <w:r w:rsidRPr="002375B3">
              <w:rPr>
                <w:rFonts w:eastAsia="Times New Roman" w:cs="Times New Roman"/>
                <w:color w:val="17365D"/>
                <w:sz w:val="18"/>
                <w:szCs w:val="18"/>
                <w:lang w:eastAsia="lv-LV"/>
              </w:rPr>
              <w:t>20 586 721</w:t>
            </w:r>
          </w:p>
        </w:tc>
        <w:tc>
          <w:tcPr>
            <w:tcW w:w="909" w:type="pct"/>
            <w:tcBorders>
              <w:top w:val="single" w:sz="4" w:space="0" w:color="17365D"/>
              <w:bottom w:val="single" w:sz="4" w:space="0" w:color="17365D"/>
            </w:tcBorders>
            <w:vAlign w:val="center"/>
          </w:tcPr>
          <w:p w14:paraId="007DADF6" w14:textId="39314876" w:rsidR="00E06D88" w:rsidRPr="002375B3" w:rsidRDefault="00E06D88" w:rsidP="00E06D88">
            <w:pPr>
              <w:spacing w:after="0"/>
              <w:jc w:val="right"/>
              <w:rPr>
                <w:rFonts w:eastAsia="Times New Roman" w:cs="Times New Roman"/>
                <w:color w:val="17365D"/>
                <w:sz w:val="18"/>
                <w:szCs w:val="18"/>
                <w:lang w:eastAsia="lv-LV"/>
              </w:rPr>
            </w:pPr>
            <w:r w:rsidRPr="002375B3">
              <w:rPr>
                <w:rFonts w:eastAsia="Times New Roman" w:cs="Times New Roman"/>
                <w:color w:val="17365D"/>
                <w:sz w:val="18"/>
                <w:szCs w:val="18"/>
                <w:lang w:eastAsia="lv-LV"/>
              </w:rPr>
              <w:t>7 503 703</w:t>
            </w:r>
          </w:p>
        </w:tc>
        <w:tc>
          <w:tcPr>
            <w:tcW w:w="833" w:type="pct"/>
            <w:tcBorders>
              <w:top w:val="single" w:sz="4" w:space="0" w:color="17365D"/>
              <w:bottom w:val="single" w:sz="4" w:space="0" w:color="17365D"/>
            </w:tcBorders>
            <w:shd w:val="clear" w:color="auto" w:fill="auto"/>
            <w:vAlign w:val="center"/>
            <w:hideMark/>
          </w:tcPr>
          <w:p w14:paraId="3C04E53E" w14:textId="7D351959" w:rsidR="00E06D88" w:rsidRPr="002375B3" w:rsidRDefault="00E06D88" w:rsidP="00E06D88">
            <w:pPr>
              <w:spacing w:after="0" w:line="240" w:lineRule="auto"/>
              <w:jc w:val="right"/>
              <w:rPr>
                <w:rFonts w:eastAsia="Times New Roman" w:cs="Times New Roman"/>
                <w:color w:val="17365D"/>
                <w:sz w:val="18"/>
                <w:szCs w:val="18"/>
                <w:lang w:eastAsia="lv-LV"/>
              </w:rPr>
            </w:pPr>
            <w:r w:rsidRPr="002375B3">
              <w:rPr>
                <w:rFonts w:eastAsia="Times New Roman" w:cs="Times New Roman"/>
                <w:color w:val="17365D"/>
                <w:sz w:val="18"/>
                <w:szCs w:val="18"/>
                <w:lang w:eastAsia="lv-LV"/>
              </w:rPr>
              <w:t>669 629 866</w:t>
            </w:r>
          </w:p>
        </w:tc>
        <w:tc>
          <w:tcPr>
            <w:tcW w:w="909" w:type="pct"/>
            <w:tcBorders>
              <w:top w:val="single" w:sz="4" w:space="0" w:color="17365D"/>
              <w:bottom w:val="single" w:sz="4" w:space="0" w:color="17365D"/>
            </w:tcBorders>
            <w:vAlign w:val="center"/>
          </w:tcPr>
          <w:p w14:paraId="1FCFBFD9" w14:textId="04D021A1" w:rsidR="00E06D88" w:rsidRPr="002375B3" w:rsidRDefault="00E06D88" w:rsidP="00E06D88">
            <w:pPr>
              <w:spacing w:after="0" w:line="240" w:lineRule="auto"/>
              <w:jc w:val="right"/>
              <w:rPr>
                <w:rFonts w:eastAsia="Times New Roman" w:cs="Times New Roman"/>
                <w:color w:val="17365D"/>
                <w:sz w:val="18"/>
                <w:szCs w:val="18"/>
                <w:lang w:eastAsia="lv-LV"/>
              </w:rPr>
            </w:pPr>
            <w:r w:rsidRPr="002375B3">
              <w:rPr>
                <w:rFonts w:eastAsia="Times New Roman" w:cs="Times New Roman"/>
                <w:color w:val="17365D"/>
                <w:sz w:val="18"/>
                <w:szCs w:val="18"/>
                <w:lang w:eastAsia="lv-LV"/>
              </w:rPr>
              <w:t>645 534 162</w:t>
            </w:r>
          </w:p>
        </w:tc>
      </w:tr>
      <w:tr w:rsidR="000C1009" w:rsidRPr="00E72168" w14:paraId="308C18A7" w14:textId="7FFF9CF4" w:rsidTr="00432761">
        <w:trPr>
          <w:trHeight w:val="202"/>
        </w:trPr>
        <w:tc>
          <w:tcPr>
            <w:tcW w:w="1364" w:type="pct"/>
            <w:tcBorders>
              <w:top w:val="single" w:sz="4" w:space="0" w:color="17365D"/>
            </w:tcBorders>
            <w:shd w:val="clear" w:color="auto" w:fill="B9CDE5"/>
            <w:vAlign w:val="center"/>
          </w:tcPr>
          <w:p w14:paraId="497B1832" w14:textId="77777777" w:rsidR="00C74879" w:rsidRPr="00E72168" w:rsidRDefault="00C74879" w:rsidP="00CF79A6">
            <w:pPr>
              <w:spacing w:after="0"/>
              <w:rPr>
                <w:rFonts w:eastAsia="Times New Roman" w:cs="Times New Roman"/>
                <w:color w:val="17365D"/>
                <w:sz w:val="18"/>
                <w:szCs w:val="18"/>
                <w:lang w:eastAsia="lv-LV"/>
              </w:rPr>
            </w:pPr>
          </w:p>
        </w:tc>
        <w:tc>
          <w:tcPr>
            <w:tcW w:w="985" w:type="pct"/>
            <w:tcBorders>
              <w:top w:val="single" w:sz="4" w:space="0" w:color="17365D"/>
            </w:tcBorders>
            <w:shd w:val="clear" w:color="auto" w:fill="B9CDE5"/>
            <w:noWrap/>
            <w:vAlign w:val="center"/>
          </w:tcPr>
          <w:p w14:paraId="125C1361" w14:textId="77777777" w:rsidR="00C74879" w:rsidRPr="00E72168" w:rsidRDefault="00C74879" w:rsidP="00CF79A6">
            <w:pPr>
              <w:spacing w:after="0"/>
              <w:jc w:val="center"/>
              <w:rPr>
                <w:rFonts w:eastAsia="Times New Roman" w:cs="Times New Roman"/>
                <w:color w:val="17365D"/>
                <w:sz w:val="18"/>
                <w:szCs w:val="18"/>
                <w:lang w:eastAsia="lv-LV"/>
              </w:rPr>
            </w:pPr>
          </w:p>
        </w:tc>
        <w:tc>
          <w:tcPr>
            <w:tcW w:w="909" w:type="pct"/>
            <w:tcBorders>
              <w:top w:val="single" w:sz="4" w:space="0" w:color="17365D"/>
            </w:tcBorders>
            <w:shd w:val="clear" w:color="auto" w:fill="B9CDE5"/>
          </w:tcPr>
          <w:p w14:paraId="182A9BAB" w14:textId="77777777" w:rsidR="00C74879" w:rsidRPr="00E72168" w:rsidRDefault="00C74879" w:rsidP="0039076C">
            <w:pPr>
              <w:spacing w:after="0"/>
              <w:jc w:val="center"/>
              <w:rPr>
                <w:rFonts w:eastAsia="Times New Roman" w:cs="Times New Roman"/>
                <w:b/>
                <w:color w:val="17365D"/>
                <w:sz w:val="18"/>
                <w:szCs w:val="18"/>
                <w:lang w:eastAsia="lv-LV"/>
              </w:rPr>
            </w:pPr>
          </w:p>
        </w:tc>
        <w:tc>
          <w:tcPr>
            <w:tcW w:w="833" w:type="pct"/>
            <w:tcBorders>
              <w:top w:val="single" w:sz="4" w:space="0" w:color="17365D"/>
            </w:tcBorders>
            <w:shd w:val="clear" w:color="auto" w:fill="B9CDE5"/>
            <w:noWrap/>
            <w:vAlign w:val="center"/>
          </w:tcPr>
          <w:p w14:paraId="71602236" w14:textId="50AC01A0" w:rsidR="00C74879" w:rsidRPr="00E72168" w:rsidRDefault="00C74879" w:rsidP="00CF79A6">
            <w:pPr>
              <w:spacing w:after="0"/>
              <w:jc w:val="right"/>
              <w:rPr>
                <w:rFonts w:eastAsia="Times New Roman" w:cs="Times New Roman"/>
                <w:color w:val="17365D"/>
                <w:sz w:val="18"/>
                <w:szCs w:val="18"/>
                <w:lang w:eastAsia="lv-LV"/>
              </w:rPr>
            </w:pPr>
          </w:p>
        </w:tc>
        <w:tc>
          <w:tcPr>
            <w:tcW w:w="909" w:type="pct"/>
            <w:tcBorders>
              <w:top w:val="single" w:sz="4" w:space="0" w:color="17365D"/>
            </w:tcBorders>
            <w:shd w:val="clear" w:color="auto" w:fill="B9CDE5"/>
          </w:tcPr>
          <w:p w14:paraId="0C353488" w14:textId="77777777" w:rsidR="00C74879" w:rsidRPr="00E72168" w:rsidRDefault="00C74879" w:rsidP="00CF79A6">
            <w:pPr>
              <w:spacing w:after="0"/>
              <w:jc w:val="right"/>
              <w:rPr>
                <w:rFonts w:eastAsia="Times New Roman" w:cs="Times New Roman"/>
                <w:color w:val="17365D"/>
                <w:sz w:val="18"/>
                <w:szCs w:val="18"/>
                <w:lang w:eastAsia="lv-LV"/>
              </w:rPr>
            </w:pPr>
          </w:p>
        </w:tc>
      </w:tr>
    </w:tbl>
    <w:p w14:paraId="099FB5A5" w14:textId="52CA2ECA" w:rsidR="00783BFF" w:rsidRPr="00E72168" w:rsidRDefault="001C52C0" w:rsidP="00C93A9C">
      <w:pPr>
        <w:spacing w:before="240" w:after="120" w:line="240" w:lineRule="auto"/>
        <w:ind w:firstLine="284"/>
        <w:jc w:val="both"/>
        <w:rPr>
          <w:rFonts w:cs="Times New Roman"/>
          <w:color w:val="17365D"/>
        </w:rPr>
      </w:pPr>
      <w:r w:rsidRPr="00E72168">
        <w:rPr>
          <w:rFonts w:cs="Times New Roman"/>
          <w:color w:val="17365D"/>
        </w:rPr>
        <w:t xml:space="preserve">Būtisks vērtības samazinājums pamatlīdzekļiem un avansa maksājumiem par pamatlīdzekļiem pārskata gadā nav veidots. </w:t>
      </w:r>
    </w:p>
    <w:p w14:paraId="6E22E7D6" w14:textId="4A94F7C0" w:rsidR="002D515E" w:rsidRDefault="001C52C0" w:rsidP="00C93A9C">
      <w:pPr>
        <w:spacing w:before="240" w:after="120" w:line="240" w:lineRule="auto"/>
        <w:ind w:firstLine="284"/>
        <w:jc w:val="both"/>
        <w:rPr>
          <w:rFonts w:cs="Times New Roman"/>
          <w:color w:val="17365D"/>
        </w:rPr>
      </w:pPr>
      <w:r w:rsidRPr="00E72168">
        <w:rPr>
          <w:rFonts w:cs="Times New Roman"/>
          <w:color w:val="17365D"/>
        </w:rPr>
        <w:t>Pamatlīdzekļu vērtības samazinājuma noteikšanai galvenokārt lietota amortizēto aizstāšanas izmaksu metode. Vērtības samazin</w:t>
      </w:r>
      <w:r w:rsidR="00D8568F" w:rsidRPr="00E72168">
        <w:rPr>
          <w:rFonts w:cs="Times New Roman"/>
          <w:color w:val="17365D"/>
        </w:rPr>
        <w:t>ājums</w:t>
      </w:r>
      <w:r w:rsidRPr="00E72168">
        <w:rPr>
          <w:rFonts w:cs="Times New Roman"/>
          <w:color w:val="17365D"/>
        </w:rPr>
        <w:t xml:space="preserve"> avansa maksājumiem par pamatlīdzekļiem</w:t>
      </w:r>
      <w:r w:rsidR="00D8568F" w:rsidRPr="00E72168">
        <w:rPr>
          <w:rFonts w:cs="Times New Roman"/>
          <w:color w:val="17365D"/>
        </w:rPr>
        <w:t xml:space="preserve"> aprēķināts atbilstoši izpildes termiņa kavēto </w:t>
      </w:r>
      <w:r w:rsidR="00590AF1" w:rsidRPr="00E72168">
        <w:rPr>
          <w:rFonts w:cs="Times New Roman"/>
          <w:color w:val="17365D"/>
        </w:rPr>
        <w:t>dienu skaitam vai pilnā apmērā</w:t>
      </w:r>
      <w:r w:rsidR="00D8568F" w:rsidRPr="00E72168">
        <w:rPr>
          <w:rFonts w:cs="Times New Roman"/>
          <w:color w:val="17365D"/>
        </w:rPr>
        <w:t xml:space="preserve"> </w:t>
      </w:r>
      <w:r w:rsidR="00590AF1" w:rsidRPr="00E72168">
        <w:rPr>
          <w:rFonts w:cs="Times New Roman"/>
          <w:color w:val="17365D"/>
        </w:rPr>
        <w:t>atbilstoši budžeta iestāžu grāmatvedības uzskaites kārtībā noteiktajam.</w:t>
      </w:r>
      <w:r w:rsidR="005B7A11" w:rsidRPr="00E72168">
        <w:rPr>
          <w:rFonts w:cs="Times New Roman"/>
          <w:color w:val="17365D"/>
        </w:rPr>
        <w:t xml:space="preserve"> </w:t>
      </w:r>
    </w:p>
    <w:p w14:paraId="7EF4AFAD" w14:textId="1E952F42" w:rsidR="00CA49A2" w:rsidRDefault="00CA49A2" w:rsidP="00CA49A2">
      <w:pPr>
        <w:spacing w:after="120" w:line="240" w:lineRule="auto"/>
        <w:ind w:firstLine="284"/>
        <w:jc w:val="both"/>
        <w:rPr>
          <w:rFonts w:cs="Times New Roman"/>
          <w:color w:val="17365D"/>
        </w:rPr>
      </w:pPr>
      <w:r w:rsidRPr="00CA49A2">
        <w:rPr>
          <w:rFonts w:cs="Times New Roman"/>
          <w:color w:val="17365D"/>
        </w:rPr>
        <w:lastRenderedPageBreak/>
        <w:t>Bilances postenī “</w:t>
      </w:r>
      <w:r>
        <w:rPr>
          <w:rFonts w:eastAsia="Times New Roman" w:cs="Times New Roman"/>
          <w:color w:val="17365D"/>
          <w:lang w:eastAsia="lv-LV"/>
        </w:rPr>
        <w:t>Pamatlīdzekļi</w:t>
      </w:r>
      <w:r w:rsidRPr="00CA49A2">
        <w:rPr>
          <w:rFonts w:cs="Times New Roman"/>
          <w:color w:val="17365D"/>
        </w:rPr>
        <w:t>” konsolidēti valsts un pašvaldību budžeta iestāžu savstarpējie avansa maksājumi un attiecīgās saistības.</w:t>
      </w:r>
    </w:p>
    <w:p w14:paraId="41D09838" w14:textId="7A63512D" w:rsidR="005C3DE8" w:rsidRPr="00E72168" w:rsidRDefault="006F3DC9" w:rsidP="00414252">
      <w:pPr>
        <w:pStyle w:val="Heading4"/>
        <w:spacing w:before="200" w:after="160"/>
        <w:rPr>
          <w:rFonts w:cs="Times New Roman"/>
        </w:rPr>
      </w:pPr>
      <w:r w:rsidRPr="00E72168">
        <w:rPr>
          <w:rFonts w:cs="Times New Roman"/>
        </w:rPr>
        <w:t xml:space="preserve">Piezīme Nr. </w:t>
      </w:r>
      <w:r w:rsidR="003E4135" w:rsidRPr="00E72168">
        <w:rPr>
          <w:rFonts w:cs="Times New Roman"/>
        </w:rPr>
        <w:t>KB.</w:t>
      </w:r>
      <w:r w:rsidR="00F35EDE" w:rsidRPr="00E72168">
        <w:rPr>
          <w:rFonts w:cs="Times New Roman"/>
        </w:rPr>
        <w:t>1.</w:t>
      </w:r>
      <w:r w:rsidR="003E4135" w:rsidRPr="00E72168">
        <w:rPr>
          <w:rFonts w:cs="Times New Roman"/>
        </w:rPr>
        <w:t xml:space="preserve">3. </w:t>
      </w:r>
      <w:r w:rsidR="00414B4E" w:rsidRPr="00E72168">
        <w:rPr>
          <w:rFonts w:cs="Times New Roman"/>
        </w:rPr>
        <w:t>Ilgtermiņa finanšu ieguldījumi</w:t>
      </w:r>
    </w:p>
    <w:p w14:paraId="7A6C7A73" w14:textId="6F853167" w:rsidR="00414B4E" w:rsidRPr="00E72168" w:rsidRDefault="00CA5D9A" w:rsidP="00A75AB2">
      <w:pPr>
        <w:pStyle w:val="Tabulasnosaukums1"/>
        <w:spacing w:before="120"/>
        <w:rPr>
          <w:rFonts w:cs="Times New Roman"/>
          <w:i/>
          <w:color w:val="17365D"/>
        </w:rPr>
      </w:pPr>
      <w:r>
        <w:rPr>
          <w:rFonts w:cs="Times New Roman"/>
          <w:i/>
          <w:color w:val="17365D"/>
        </w:rPr>
        <w:t>1.</w:t>
      </w:r>
      <w:r w:rsidR="00212DF3" w:rsidRPr="00E72168">
        <w:rPr>
          <w:rFonts w:cs="Times New Roman"/>
          <w:i/>
          <w:color w:val="17365D"/>
        </w:rPr>
        <w:t>5</w:t>
      </w:r>
      <w:r w:rsidR="00414B4E" w:rsidRPr="00E72168">
        <w:rPr>
          <w:rFonts w:cs="Times New Roman"/>
          <w:i/>
          <w:color w:val="17365D"/>
        </w:rPr>
        <w:t>. tabula</w:t>
      </w:r>
      <w:r w:rsidR="003D15F9" w:rsidRPr="00E72168">
        <w:rPr>
          <w:rFonts w:cs="Times New Roman"/>
          <w:i/>
          <w:color w:val="17365D"/>
        </w:rPr>
        <w:t>.</w:t>
      </w:r>
      <w:r w:rsidR="003D15F9" w:rsidRPr="00E72168">
        <w:rPr>
          <w:rFonts w:cs="Times New Roman"/>
          <w:i/>
          <w:color w:val="17365D"/>
          <w:lang w:eastAsia="lv-LV"/>
        </w:rPr>
        <w:t xml:space="preserve"> Ilgtermiņa finanšu ieguldījumi </w:t>
      </w:r>
      <w:r w:rsidR="003D15F9" w:rsidRPr="00E72168">
        <w:rPr>
          <w:rFonts w:eastAsia="Times New Roman" w:cs="Times New Roman"/>
          <w:i/>
          <w:color w:val="17365D"/>
          <w:szCs w:val="20"/>
          <w:lang w:eastAsia="lv-LV"/>
        </w:rPr>
        <w:t>(</w:t>
      </w:r>
      <w:r w:rsidR="00D02702" w:rsidRPr="00E72168">
        <w:rPr>
          <w:rFonts w:eastAsia="Times New Roman" w:cs="Times New Roman"/>
          <w:i/>
          <w:color w:val="17365D"/>
          <w:szCs w:val="20"/>
          <w:lang w:eastAsia="lv-LV"/>
        </w:rPr>
        <w:t>euro</w:t>
      </w:r>
      <w:r w:rsidR="003D15F9" w:rsidRPr="00E72168">
        <w:rPr>
          <w:rFonts w:eastAsia="Times New Roman" w:cs="Times New Roman"/>
          <w:i/>
          <w:color w:val="17365D"/>
          <w:szCs w:val="20"/>
          <w:lang w:eastAsia="lv-LV"/>
        </w:rPr>
        <w:t>)</w:t>
      </w:r>
    </w:p>
    <w:tbl>
      <w:tblPr>
        <w:tblW w:w="4999" w:type="pct"/>
        <w:tblBorders>
          <w:insideH w:val="single" w:sz="4" w:space="0" w:color="012169"/>
        </w:tblBorders>
        <w:tblLayout w:type="fixed"/>
        <w:tblLook w:val="04A0" w:firstRow="1" w:lastRow="0" w:firstColumn="1" w:lastColumn="0" w:noHBand="0" w:noVBand="1"/>
      </w:tblPr>
      <w:tblGrid>
        <w:gridCol w:w="2670"/>
        <w:gridCol w:w="238"/>
        <w:gridCol w:w="679"/>
        <w:gridCol w:w="286"/>
        <w:gridCol w:w="1190"/>
        <w:gridCol w:w="282"/>
        <w:gridCol w:w="1193"/>
        <w:gridCol w:w="262"/>
        <w:gridCol w:w="1214"/>
        <w:gridCol w:w="75"/>
        <w:gridCol w:w="1263"/>
      </w:tblGrid>
      <w:tr w:rsidR="000C1009" w:rsidRPr="00E72168" w14:paraId="089D335D" w14:textId="77777777" w:rsidTr="003F0D49">
        <w:trPr>
          <w:trHeight w:val="601"/>
          <w:tblHeader/>
        </w:trPr>
        <w:tc>
          <w:tcPr>
            <w:tcW w:w="1428" w:type="pct"/>
            <w:tcBorders>
              <w:bottom w:val="single" w:sz="4" w:space="0" w:color="17365D"/>
            </w:tcBorders>
            <w:shd w:val="clear" w:color="auto" w:fill="B9CDE5"/>
            <w:vAlign w:val="center"/>
            <w:hideMark/>
          </w:tcPr>
          <w:p w14:paraId="0F2C3296" w14:textId="1018FCD8"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Rādītāji</w:t>
            </w:r>
          </w:p>
        </w:tc>
        <w:tc>
          <w:tcPr>
            <w:tcW w:w="490" w:type="pct"/>
            <w:gridSpan w:val="2"/>
            <w:tcBorders>
              <w:bottom w:val="single" w:sz="4" w:space="0" w:color="17365D"/>
            </w:tcBorders>
            <w:shd w:val="clear" w:color="auto" w:fill="B9CDE5"/>
            <w:vAlign w:val="center"/>
            <w:hideMark/>
          </w:tcPr>
          <w:p w14:paraId="2D9D703F"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89" w:type="pct"/>
            <w:gridSpan w:val="2"/>
            <w:tcBorders>
              <w:bottom w:val="single" w:sz="4" w:space="0" w:color="17365D"/>
            </w:tcBorders>
            <w:shd w:val="clear" w:color="auto" w:fill="B9CDE5"/>
            <w:vAlign w:val="center"/>
            <w:hideMark/>
          </w:tcPr>
          <w:p w14:paraId="0BE7ECDE"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789" w:type="pct"/>
            <w:gridSpan w:val="2"/>
            <w:tcBorders>
              <w:bottom w:val="single" w:sz="4" w:space="0" w:color="17365D"/>
            </w:tcBorders>
            <w:shd w:val="clear" w:color="auto" w:fill="B9CDE5"/>
            <w:vAlign w:val="center"/>
            <w:hideMark/>
          </w:tcPr>
          <w:p w14:paraId="5B76BB2B"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89" w:type="pct"/>
            <w:gridSpan w:val="2"/>
            <w:tcBorders>
              <w:bottom w:val="single" w:sz="4" w:space="0" w:color="17365D"/>
            </w:tcBorders>
            <w:shd w:val="clear" w:color="auto" w:fill="B9CDE5"/>
            <w:vAlign w:val="center"/>
            <w:hideMark/>
          </w:tcPr>
          <w:p w14:paraId="74F73523" w14:textId="3C55A59A"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t>(+,</w:t>
            </w:r>
            <w:r w:rsidR="002B1B27" w:rsidRPr="00E72168">
              <w:rPr>
                <w:rFonts w:eastAsia="Times New Roman" w:cs="Times New Roman"/>
                <w:b/>
                <w:color w:val="17365D"/>
                <w:sz w:val="18"/>
                <w:szCs w:val="18"/>
                <w:lang w:eastAsia="lv-LV"/>
              </w:rPr>
              <w:t xml:space="preserve"> – </w:t>
            </w:r>
            <w:r w:rsidRPr="00E72168">
              <w:rPr>
                <w:rFonts w:eastAsia="Times New Roman" w:cs="Times New Roman"/>
                <w:b/>
                <w:color w:val="17365D"/>
                <w:sz w:val="18"/>
                <w:szCs w:val="18"/>
                <w:lang w:eastAsia="lv-LV"/>
              </w:rPr>
              <w:t>)</w:t>
            </w:r>
          </w:p>
        </w:tc>
        <w:tc>
          <w:tcPr>
            <w:tcW w:w="715" w:type="pct"/>
            <w:gridSpan w:val="2"/>
            <w:tcBorders>
              <w:bottom w:val="single" w:sz="4" w:space="0" w:color="17365D"/>
            </w:tcBorders>
            <w:shd w:val="clear" w:color="auto" w:fill="B9CDE5"/>
            <w:vAlign w:val="center"/>
            <w:hideMark/>
          </w:tcPr>
          <w:p w14:paraId="4ABE7BB9"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A27896" w:rsidRPr="00E72168" w14:paraId="1037E777" w14:textId="77777777" w:rsidTr="00D55032">
        <w:trPr>
          <w:trHeight w:val="190"/>
        </w:trPr>
        <w:tc>
          <w:tcPr>
            <w:tcW w:w="1428" w:type="pct"/>
            <w:tcBorders>
              <w:top w:val="single" w:sz="4" w:space="0" w:color="17365D"/>
              <w:bottom w:val="single" w:sz="4" w:space="0" w:color="auto"/>
            </w:tcBorders>
            <w:shd w:val="clear" w:color="auto" w:fill="auto"/>
            <w:vAlign w:val="center"/>
            <w:hideMark/>
          </w:tcPr>
          <w:p w14:paraId="11C83162"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490" w:type="pct"/>
            <w:gridSpan w:val="2"/>
            <w:tcBorders>
              <w:top w:val="single" w:sz="4" w:space="0" w:color="17365D"/>
              <w:bottom w:val="single" w:sz="4" w:space="0" w:color="auto"/>
            </w:tcBorders>
            <w:shd w:val="clear" w:color="auto" w:fill="auto"/>
            <w:vAlign w:val="center"/>
            <w:hideMark/>
          </w:tcPr>
          <w:p w14:paraId="481B31BA"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89" w:type="pct"/>
            <w:gridSpan w:val="2"/>
            <w:tcBorders>
              <w:top w:val="single" w:sz="4" w:space="0" w:color="17365D"/>
              <w:bottom w:val="single" w:sz="4" w:space="0" w:color="auto"/>
            </w:tcBorders>
            <w:shd w:val="clear" w:color="auto" w:fill="auto"/>
            <w:vAlign w:val="center"/>
            <w:hideMark/>
          </w:tcPr>
          <w:p w14:paraId="564F7E17"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789" w:type="pct"/>
            <w:gridSpan w:val="2"/>
            <w:tcBorders>
              <w:top w:val="single" w:sz="4" w:space="0" w:color="17365D"/>
              <w:bottom w:val="single" w:sz="4" w:space="0" w:color="auto"/>
            </w:tcBorders>
            <w:shd w:val="clear" w:color="auto" w:fill="auto"/>
            <w:vAlign w:val="center"/>
            <w:hideMark/>
          </w:tcPr>
          <w:p w14:paraId="42A52A2C"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89" w:type="pct"/>
            <w:gridSpan w:val="2"/>
            <w:tcBorders>
              <w:top w:val="single" w:sz="4" w:space="0" w:color="17365D"/>
              <w:bottom w:val="single" w:sz="4" w:space="0" w:color="auto"/>
            </w:tcBorders>
            <w:shd w:val="clear" w:color="auto" w:fill="auto"/>
            <w:vAlign w:val="center"/>
            <w:hideMark/>
          </w:tcPr>
          <w:p w14:paraId="554FB073"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715" w:type="pct"/>
            <w:gridSpan w:val="2"/>
            <w:tcBorders>
              <w:top w:val="single" w:sz="4" w:space="0" w:color="17365D"/>
              <w:bottom w:val="single" w:sz="4" w:space="0" w:color="auto"/>
            </w:tcBorders>
            <w:shd w:val="clear" w:color="auto" w:fill="auto"/>
            <w:vAlign w:val="center"/>
            <w:hideMark/>
          </w:tcPr>
          <w:p w14:paraId="6D311D24" w14:textId="77777777" w:rsidR="00B131AA" w:rsidRPr="00E72168" w:rsidRDefault="00B131AA"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E44D9C" w:rsidRPr="00E72168" w14:paraId="6E7C7975" w14:textId="77777777" w:rsidTr="00276E68">
        <w:trPr>
          <w:trHeight w:val="264"/>
        </w:trPr>
        <w:tc>
          <w:tcPr>
            <w:tcW w:w="1428" w:type="pct"/>
            <w:tcBorders>
              <w:top w:val="single" w:sz="4" w:space="0" w:color="auto"/>
              <w:bottom w:val="single" w:sz="4" w:space="0" w:color="auto"/>
              <w:right w:val="nil"/>
            </w:tcBorders>
            <w:shd w:val="clear" w:color="auto" w:fill="auto"/>
            <w:vAlign w:val="center"/>
            <w:hideMark/>
          </w:tcPr>
          <w:p w14:paraId="4BB77D99" w14:textId="4C7DF01F" w:rsidR="00E44D9C" w:rsidRPr="00E72168" w:rsidRDefault="00E44D9C" w:rsidP="00E44D9C">
            <w:pPr>
              <w:spacing w:after="0" w:line="240" w:lineRule="auto"/>
              <w:rPr>
                <w:rFonts w:cs="Times New Roman"/>
                <w:b/>
                <w:color w:val="17365D"/>
                <w:sz w:val="18"/>
                <w:szCs w:val="18"/>
              </w:rPr>
            </w:pPr>
            <w:r w:rsidRPr="00E72168">
              <w:rPr>
                <w:rFonts w:cs="Times New Roman"/>
                <w:b/>
                <w:color w:val="17365D"/>
                <w:sz w:val="18"/>
                <w:szCs w:val="18"/>
              </w:rPr>
              <w:t>Ilgtermiņa finanšu ieguldījumi</w:t>
            </w:r>
          </w:p>
        </w:tc>
        <w:tc>
          <w:tcPr>
            <w:tcW w:w="490" w:type="pct"/>
            <w:gridSpan w:val="2"/>
            <w:tcBorders>
              <w:top w:val="single" w:sz="4" w:space="0" w:color="auto"/>
              <w:left w:val="nil"/>
              <w:bottom w:val="single" w:sz="4" w:space="0" w:color="auto"/>
              <w:right w:val="nil"/>
            </w:tcBorders>
            <w:shd w:val="clear" w:color="auto" w:fill="auto"/>
            <w:vAlign w:val="center"/>
            <w:hideMark/>
          </w:tcPr>
          <w:p w14:paraId="595A275A" w14:textId="3BD208EA" w:rsidR="00E44D9C" w:rsidRPr="00E72168" w:rsidRDefault="00E44D9C" w:rsidP="00E44D9C">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KB.1.3.</w:t>
            </w:r>
          </w:p>
        </w:tc>
        <w:tc>
          <w:tcPr>
            <w:tcW w:w="789" w:type="pct"/>
            <w:gridSpan w:val="2"/>
            <w:tcBorders>
              <w:top w:val="single" w:sz="4" w:space="0" w:color="auto"/>
              <w:left w:val="nil"/>
              <w:bottom w:val="single" w:sz="4" w:space="0" w:color="auto"/>
              <w:right w:val="nil"/>
            </w:tcBorders>
            <w:shd w:val="clear" w:color="auto" w:fill="auto"/>
            <w:hideMark/>
          </w:tcPr>
          <w:p w14:paraId="72A4A08D" w14:textId="3464A362" w:rsidR="00E44D9C" w:rsidRPr="00E44D9C" w:rsidRDefault="00E44D9C" w:rsidP="00E44D9C">
            <w:pPr>
              <w:spacing w:after="0" w:line="240" w:lineRule="auto"/>
              <w:jc w:val="right"/>
              <w:rPr>
                <w:rFonts w:cs="Times New Roman"/>
                <w:b/>
                <w:bCs/>
                <w:color w:val="17365D"/>
                <w:sz w:val="18"/>
                <w:szCs w:val="18"/>
              </w:rPr>
            </w:pPr>
            <w:r w:rsidRPr="00C87349">
              <w:rPr>
                <w:rFonts w:cs="Times New Roman"/>
                <w:b/>
                <w:bCs/>
                <w:color w:val="17365D"/>
                <w:sz w:val="18"/>
                <w:szCs w:val="18"/>
              </w:rPr>
              <w:t>16 255 603 400</w:t>
            </w:r>
          </w:p>
        </w:tc>
        <w:tc>
          <w:tcPr>
            <w:tcW w:w="789" w:type="pct"/>
            <w:gridSpan w:val="2"/>
            <w:tcBorders>
              <w:top w:val="single" w:sz="4" w:space="0" w:color="auto"/>
              <w:left w:val="nil"/>
              <w:bottom w:val="single" w:sz="4" w:space="0" w:color="auto"/>
              <w:right w:val="nil"/>
            </w:tcBorders>
            <w:shd w:val="clear" w:color="auto" w:fill="auto"/>
            <w:hideMark/>
          </w:tcPr>
          <w:p w14:paraId="30B040E7" w14:textId="13DCB115" w:rsidR="00E44D9C" w:rsidRPr="00E44D9C" w:rsidRDefault="00E44D9C" w:rsidP="00E44D9C">
            <w:pPr>
              <w:spacing w:after="0" w:line="240" w:lineRule="auto"/>
              <w:jc w:val="right"/>
              <w:rPr>
                <w:rFonts w:cs="Times New Roman"/>
                <w:b/>
                <w:bCs/>
                <w:color w:val="17365D"/>
                <w:sz w:val="18"/>
                <w:szCs w:val="18"/>
              </w:rPr>
            </w:pPr>
            <w:r w:rsidRPr="00C87349">
              <w:rPr>
                <w:rFonts w:cs="Times New Roman"/>
                <w:b/>
                <w:bCs/>
                <w:color w:val="17365D"/>
                <w:sz w:val="18"/>
                <w:szCs w:val="18"/>
              </w:rPr>
              <w:t>13 930 037 932</w:t>
            </w:r>
          </w:p>
        </w:tc>
        <w:tc>
          <w:tcPr>
            <w:tcW w:w="789" w:type="pct"/>
            <w:gridSpan w:val="2"/>
            <w:tcBorders>
              <w:top w:val="single" w:sz="4" w:space="0" w:color="auto"/>
              <w:left w:val="nil"/>
              <w:bottom w:val="single" w:sz="4" w:space="0" w:color="auto"/>
              <w:right w:val="nil"/>
            </w:tcBorders>
            <w:shd w:val="clear" w:color="auto" w:fill="auto"/>
            <w:noWrap/>
            <w:hideMark/>
          </w:tcPr>
          <w:p w14:paraId="74B6A52C" w14:textId="14823B3D" w:rsidR="00E44D9C" w:rsidRPr="00E44D9C" w:rsidRDefault="00E44D9C" w:rsidP="00E44D9C">
            <w:pPr>
              <w:spacing w:after="0" w:line="240" w:lineRule="auto"/>
              <w:jc w:val="right"/>
              <w:rPr>
                <w:rFonts w:cs="Times New Roman"/>
                <w:b/>
                <w:bCs/>
                <w:color w:val="17365D"/>
                <w:sz w:val="18"/>
                <w:szCs w:val="18"/>
              </w:rPr>
            </w:pPr>
            <w:r w:rsidRPr="00C87349">
              <w:rPr>
                <w:rFonts w:cs="Times New Roman"/>
                <w:b/>
                <w:bCs/>
                <w:color w:val="17365D"/>
                <w:sz w:val="18"/>
                <w:szCs w:val="18"/>
              </w:rPr>
              <w:t>2 325 565 468</w:t>
            </w:r>
          </w:p>
        </w:tc>
        <w:tc>
          <w:tcPr>
            <w:tcW w:w="715" w:type="pct"/>
            <w:gridSpan w:val="2"/>
            <w:tcBorders>
              <w:top w:val="single" w:sz="4" w:space="0" w:color="auto"/>
              <w:left w:val="nil"/>
              <w:bottom w:val="single" w:sz="4" w:space="0" w:color="auto"/>
              <w:right w:val="nil"/>
            </w:tcBorders>
            <w:shd w:val="clear" w:color="auto" w:fill="auto"/>
            <w:noWrap/>
            <w:hideMark/>
          </w:tcPr>
          <w:p w14:paraId="1DEB7F39" w14:textId="63274702" w:rsidR="00E44D9C" w:rsidRPr="00E44D9C" w:rsidRDefault="00E44D9C" w:rsidP="00E44D9C">
            <w:pPr>
              <w:spacing w:after="0" w:line="240" w:lineRule="auto"/>
              <w:jc w:val="right"/>
              <w:rPr>
                <w:rFonts w:cs="Times New Roman"/>
                <w:b/>
                <w:bCs/>
                <w:color w:val="17365D"/>
                <w:sz w:val="18"/>
                <w:szCs w:val="18"/>
              </w:rPr>
            </w:pPr>
            <w:r w:rsidRPr="00C87349">
              <w:rPr>
                <w:rFonts w:cs="Times New Roman"/>
                <w:b/>
                <w:bCs/>
                <w:color w:val="17365D"/>
                <w:sz w:val="18"/>
                <w:szCs w:val="18"/>
              </w:rPr>
              <w:t>16.69</w:t>
            </w:r>
          </w:p>
        </w:tc>
      </w:tr>
      <w:tr w:rsidR="00E44D9C" w:rsidRPr="00E72168" w14:paraId="7B450828" w14:textId="77777777" w:rsidTr="00C87349">
        <w:trPr>
          <w:trHeight w:val="264"/>
        </w:trPr>
        <w:tc>
          <w:tcPr>
            <w:tcW w:w="1428" w:type="pct"/>
            <w:tcBorders>
              <w:top w:val="single" w:sz="4" w:space="0" w:color="auto"/>
              <w:bottom w:val="single" w:sz="4" w:space="0" w:color="auto"/>
              <w:right w:val="nil"/>
            </w:tcBorders>
            <w:shd w:val="clear" w:color="auto" w:fill="auto"/>
            <w:vAlign w:val="center"/>
            <w:hideMark/>
          </w:tcPr>
          <w:p w14:paraId="384C6FD8" w14:textId="13588851" w:rsidR="00E44D9C" w:rsidRPr="00E72168" w:rsidRDefault="00E44D9C" w:rsidP="00E44D9C">
            <w:pPr>
              <w:spacing w:after="0" w:line="240" w:lineRule="auto"/>
              <w:rPr>
                <w:rFonts w:cs="Times New Roman"/>
                <w:color w:val="17365D"/>
                <w:sz w:val="18"/>
                <w:szCs w:val="18"/>
              </w:rPr>
            </w:pPr>
            <w:r w:rsidRPr="00E72168">
              <w:rPr>
                <w:rFonts w:cs="Times New Roman"/>
                <w:color w:val="17365D"/>
                <w:sz w:val="18"/>
                <w:szCs w:val="18"/>
              </w:rPr>
              <w:t>Līdzdalība radniecīgo kapitālsabiedrību kapitālā</w:t>
            </w:r>
          </w:p>
        </w:tc>
        <w:tc>
          <w:tcPr>
            <w:tcW w:w="490" w:type="pct"/>
            <w:gridSpan w:val="2"/>
            <w:tcBorders>
              <w:top w:val="single" w:sz="4" w:space="0" w:color="auto"/>
              <w:left w:val="nil"/>
              <w:bottom w:val="single" w:sz="4" w:space="0" w:color="auto"/>
              <w:right w:val="nil"/>
            </w:tcBorders>
            <w:shd w:val="clear" w:color="auto" w:fill="auto"/>
            <w:noWrap/>
            <w:vAlign w:val="center"/>
            <w:hideMark/>
          </w:tcPr>
          <w:p w14:paraId="676B9280" w14:textId="7BDBA72C" w:rsidR="00E44D9C" w:rsidRPr="00E72168" w:rsidRDefault="00E44D9C" w:rsidP="00E44D9C">
            <w:pPr>
              <w:spacing w:after="0" w:line="240" w:lineRule="auto"/>
              <w:jc w:val="center"/>
              <w:rPr>
                <w:rFonts w:eastAsia="Times New Roman" w:cs="Times New Roman"/>
                <w:color w:val="17365D"/>
                <w:sz w:val="18"/>
                <w:szCs w:val="18"/>
                <w:lang w:eastAsia="lv-LV"/>
              </w:rPr>
            </w:pPr>
            <w:r w:rsidRPr="00E72168">
              <w:rPr>
                <w:rFonts w:cs="Times New Roman"/>
                <w:color w:val="17365D"/>
                <w:sz w:val="18"/>
                <w:szCs w:val="18"/>
              </w:rPr>
              <w:t>KB.1.3.1.</w:t>
            </w:r>
          </w:p>
        </w:tc>
        <w:tc>
          <w:tcPr>
            <w:tcW w:w="789" w:type="pct"/>
            <w:gridSpan w:val="2"/>
            <w:tcBorders>
              <w:top w:val="single" w:sz="4" w:space="0" w:color="auto"/>
              <w:left w:val="nil"/>
              <w:bottom w:val="single" w:sz="4" w:space="0" w:color="auto"/>
              <w:right w:val="nil"/>
            </w:tcBorders>
            <w:shd w:val="clear" w:color="auto" w:fill="auto"/>
            <w:hideMark/>
          </w:tcPr>
          <w:p w14:paraId="24E01AF5" w14:textId="74DC0C3D" w:rsidR="00E44D9C" w:rsidRPr="00E72168" w:rsidRDefault="00E44D9C" w:rsidP="00E44D9C">
            <w:pPr>
              <w:spacing w:after="0" w:line="240" w:lineRule="auto"/>
              <w:jc w:val="right"/>
              <w:rPr>
                <w:rFonts w:cs="Times New Roman"/>
                <w:color w:val="17365D"/>
                <w:sz w:val="18"/>
                <w:szCs w:val="18"/>
              </w:rPr>
            </w:pPr>
            <w:r w:rsidRPr="00C87349">
              <w:rPr>
                <w:rFonts w:cs="Times New Roman"/>
                <w:color w:val="17365D"/>
                <w:sz w:val="18"/>
                <w:szCs w:val="18"/>
              </w:rPr>
              <w:t>7 851 540 426</w:t>
            </w:r>
          </w:p>
        </w:tc>
        <w:tc>
          <w:tcPr>
            <w:tcW w:w="789" w:type="pct"/>
            <w:gridSpan w:val="2"/>
            <w:tcBorders>
              <w:top w:val="single" w:sz="4" w:space="0" w:color="auto"/>
              <w:left w:val="nil"/>
              <w:bottom w:val="single" w:sz="4" w:space="0" w:color="auto"/>
              <w:right w:val="nil"/>
            </w:tcBorders>
            <w:shd w:val="clear" w:color="auto" w:fill="auto"/>
            <w:hideMark/>
          </w:tcPr>
          <w:p w14:paraId="4476F668" w14:textId="38CE6B4F" w:rsidR="00E44D9C" w:rsidRPr="00E72168" w:rsidRDefault="00E44D9C" w:rsidP="00C87349">
            <w:pPr>
              <w:spacing w:after="0" w:line="240" w:lineRule="auto"/>
              <w:ind w:left="-57" w:right="-57"/>
              <w:jc w:val="right"/>
              <w:rPr>
                <w:rFonts w:cs="Times New Roman"/>
                <w:color w:val="17365D"/>
                <w:sz w:val="18"/>
                <w:szCs w:val="18"/>
              </w:rPr>
            </w:pPr>
            <w:r w:rsidRPr="00C87349">
              <w:rPr>
                <w:rFonts w:cs="Times New Roman"/>
                <w:color w:val="17365D"/>
                <w:sz w:val="18"/>
                <w:szCs w:val="18"/>
              </w:rPr>
              <w:t>6 967 939 221</w:t>
            </w:r>
          </w:p>
        </w:tc>
        <w:tc>
          <w:tcPr>
            <w:tcW w:w="789" w:type="pct"/>
            <w:gridSpan w:val="2"/>
            <w:tcBorders>
              <w:top w:val="single" w:sz="4" w:space="0" w:color="auto"/>
              <w:left w:val="nil"/>
              <w:bottom w:val="single" w:sz="4" w:space="0" w:color="auto"/>
              <w:right w:val="nil"/>
            </w:tcBorders>
            <w:shd w:val="clear" w:color="auto" w:fill="auto"/>
            <w:noWrap/>
            <w:hideMark/>
          </w:tcPr>
          <w:p w14:paraId="22D7BF9C" w14:textId="61F785F2" w:rsidR="00E44D9C" w:rsidRPr="00E72168" w:rsidRDefault="00E44D9C" w:rsidP="00E44D9C">
            <w:pPr>
              <w:spacing w:after="0" w:line="240" w:lineRule="auto"/>
              <w:jc w:val="right"/>
              <w:rPr>
                <w:rFonts w:cs="Times New Roman"/>
                <w:color w:val="17365D"/>
                <w:sz w:val="18"/>
                <w:szCs w:val="18"/>
              </w:rPr>
            </w:pPr>
            <w:r w:rsidRPr="00C87349">
              <w:rPr>
                <w:rFonts w:cs="Times New Roman"/>
                <w:color w:val="17365D"/>
                <w:sz w:val="18"/>
                <w:szCs w:val="18"/>
              </w:rPr>
              <w:t>883 601 205</w:t>
            </w:r>
          </w:p>
        </w:tc>
        <w:tc>
          <w:tcPr>
            <w:tcW w:w="715" w:type="pct"/>
            <w:gridSpan w:val="2"/>
            <w:tcBorders>
              <w:top w:val="single" w:sz="4" w:space="0" w:color="auto"/>
              <w:left w:val="nil"/>
              <w:bottom w:val="single" w:sz="4" w:space="0" w:color="auto"/>
              <w:right w:val="nil"/>
            </w:tcBorders>
            <w:shd w:val="clear" w:color="auto" w:fill="auto"/>
            <w:noWrap/>
            <w:hideMark/>
          </w:tcPr>
          <w:p w14:paraId="49DE969E" w14:textId="6FDA835B" w:rsidR="00E44D9C" w:rsidRPr="00E72168" w:rsidRDefault="00E44D9C" w:rsidP="00E44D9C">
            <w:pPr>
              <w:spacing w:after="0" w:line="240" w:lineRule="auto"/>
              <w:jc w:val="right"/>
              <w:rPr>
                <w:rFonts w:cs="Times New Roman"/>
                <w:color w:val="17365D"/>
                <w:sz w:val="18"/>
                <w:szCs w:val="18"/>
              </w:rPr>
            </w:pPr>
            <w:r w:rsidRPr="00C87349">
              <w:rPr>
                <w:rFonts w:cs="Times New Roman"/>
                <w:color w:val="17365D"/>
                <w:sz w:val="18"/>
                <w:szCs w:val="18"/>
              </w:rPr>
              <w:t>12.68</w:t>
            </w:r>
          </w:p>
        </w:tc>
      </w:tr>
      <w:tr w:rsidR="00177448" w:rsidRPr="00E72168" w14:paraId="5E86C90F" w14:textId="77777777" w:rsidTr="00177448">
        <w:trPr>
          <w:trHeight w:val="408"/>
        </w:trPr>
        <w:tc>
          <w:tcPr>
            <w:tcW w:w="1428" w:type="pct"/>
            <w:tcBorders>
              <w:top w:val="single" w:sz="4" w:space="0" w:color="auto"/>
              <w:bottom w:val="single" w:sz="4" w:space="0" w:color="auto"/>
              <w:right w:val="nil"/>
            </w:tcBorders>
            <w:shd w:val="clear" w:color="auto" w:fill="auto"/>
            <w:vAlign w:val="center"/>
            <w:hideMark/>
          </w:tcPr>
          <w:p w14:paraId="2256E1CA" w14:textId="00C2197C" w:rsidR="00177448" w:rsidRPr="00E72168" w:rsidRDefault="00177448" w:rsidP="00177448">
            <w:pPr>
              <w:spacing w:after="0" w:line="240" w:lineRule="auto"/>
              <w:rPr>
                <w:rFonts w:cs="Times New Roman"/>
                <w:color w:val="17365D"/>
                <w:sz w:val="18"/>
                <w:szCs w:val="18"/>
              </w:rPr>
            </w:pPr>
            <w:r w:rsidRPr="00E72168">
              <w:rPr>
                <w:rFonts w:cs="Times New Roman"/>
                <w:color w:val="17365D"/>
                <w:sz w:val="18"/>
                <w:szCs w:val="18"/>
              </w:rPr>
              <w:t>Līdzdalība asociēto kapitālsabiedrību kapitālā</w:t>
            </w:r>
          </w:p>
        </w:tc>
        <w:tc>
          <w:tcPr>
            <w:tcW w:w="490" w:type="pct"/>
            <w:gridSpan w:val="2"/>
            <w:tcBorders>
              <w:top w:val="single" w:sz="4" w:space="0" w:color="auto"/>
              <w:left w:val="nil"/>
              <w:bottom w:val="single" w:sz="4" w:space="0" w:color="auto"/>
              <w:right w:val="nil"/>
            </w:tcBorders>
            <w:shd w:val="clear" w:color="auto" w:fill="auto"/>
            <w:noWrap/>
            <w:vAlign w:val="center"/>
          </w:tcPr>
          <w:p w14:paraId="7A20D493" w14:textId="3D8474B3" w:rsidR="00177448" w:rsidRPr="00E72168" w:rsidRDefault="00177448" w:rsidP="00C72FC3">
            <w:pPr>
              <w:spacing w:after="0" w:line="240" w:lineRule="auto"/>
              <w:jc w:val="center"/>
              <w:rPr>
                <w:rFonts w:eastAsia="Times New Roman" w:cs="Times New Roman"/>
                <w:color w:val="17365D"/>
                <w:sz w:val="18"/>
                <w:szCs w:val="18"/>
                <w:lang w:eastAsia="lv-LV"/>
              </w:rPr>
            </w:pPr>
          </w:p>
        </w:tc>
        <w:tc>
          <w:tcPr>
            <w:tcW w:w="789" w:type="pct"/>
            <w:gridSpan w:val="2"/>
            <w:tcBorders>
              <w:top w:val="single" w:sz="4" w:space="0" w:color="auto"/>
              <w:left w:val="nil"/>
              <w:bottom w:val="single" w:sz="4" w:space="0" w:color="auto"/>
              <w:right w:val="nil"/>
            </w:tcBorders>
            <w:shd w:val="clear" w:color="auto" w:fill="auto"/>
            <w:vAlign w:val="center"/>
            <w:hideMark/>
          </w:tcPr>
          <w:p w14:paraId="58881592" w14:textId="0AFD4F4D"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26 040 868</w:t>
            </w:r>
          </w:p>
        </w:tc>
        <w:tc>
          <w:tcPr>
            <w:tcW w:w="789" w:type="pct"/>
            <w:gridSpan w:val="2"/>
            <w:tcBorders>
              <w:top w:val="single" w:sz="4" w:space="0" w:color="auto"/>
              <w:left w:val="nil"/>
              <w:bottom w:val="single" w:sz="4" w:space="0" w:color="auto"/>
              <w:right w:val="nil"/>
            </w:tcBorders>
            <w:shd w:val="clear" w:color="auto" w:fill="auto"/>
            <w:vAlign w:val="center"/>
            <w:hideMark/>
          </w:tcPr>
          <w:p w14:paraId="77B059C7" w14:textId="210DBF01"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25 197 202</w:t>
            </w:r>
          </w:p>
        </w:tc>
        <w:tc>
          <w:tcPr>
            <w:tcW w:w="789" w:type="pct"/>
            <w:gridSpan w:val="2"/>
            <w:tcBorders>
              <w:top w:val="single" w:sz="4" w:space="0" w:color="auto"/>
              <w:left w:val="nil"/>
              <w:bottom w:val="single" w:sz="4" w:space="0" w:color="auto"/>
              <w:right w:val="nil"/>
            </w:tcBorders>
            <w:shd w:val="clear" w:color="auto" w:fill="auto"/>
            <w:noWrap/>
            <w:vAlign w:val="center"/>
            <w:hideMark/>
          </w:tcPr>
          <w:p w14:paraId="43711C08" w14:textId="73740369"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843 666</w:t>
            </w:r>
          </w:p>
        </w:tc>
        <w:tc>
          <w:tcPr>
            <w:tcW w:w="715" w:type="pct"/>
            <w:gridSpan w:val="2"/>
            <w:tcBorders>
              <w:top w:val="single" w:sz="4" w:space="0" w:color="auto"/>
              <w:left w:val="nil"/>
              <w:bottom w:val="single" w:sz="4" w:space="0" w:color="auto"/>
              <w:right w:val="nil"/>
            </w:tcBorders>
            <w:shd w:val="clear" w:color="auto" w:fill="auto"/>
            <w:noWrap/>
            <w:vAlign w:val="center"/>
            <w:hideMark/>
          </w:tcPr>
          <w:p w14:paraId="654D38BE" w14:textId="4038E0AB"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3.35</w:t>
            </w:r>
          </w:p>
        </w:tc>
      </w:tr>
      <w:tr w:rsidR="00177448" w:rsidRPr="00E72168" w14:paraId="26E67C7E" w14:textId="77777777" w:rsidTr="00177448">
        <w:trPr>
          <w:trHeight w:val="264"/>
        </w:trPr>
        <w:tc>
          <w:tcPr>
            <w:tcW w:w="1428" w:type="pct"/>
            <w:tcBorders>
              <w:top w:val="single" w:sz="4" w:space="0" w:color="auto"/>
              <w:bottom w:val="single" w:sz="4" w:space="0" w:color="auto"/>
              <w:right w:val="nil"/>
            </w:tcBorders>
            <w:shd w:val="clear" w:color="auto" w:fill="auto"/>
            <w:vAlign w:val="center"/>
            <w:hideMark/>
          </w:tcPr>
          <w:p w14:paraId="73DC1DD6" w14:textId="77BF6F3E" w:rsidR="00177448" w:rsidRPr="00E72168" w:rsidRDefault="00177448" w:rsidP="00177448">
            <w:pPr>
              <w:spacing w:after="0" w:line="240" w:lineRule="auto"/>
              <w:rPr>
                <w:rFonts w:cs="Times New Roman"/>
                <w:color w:val="17365D"/>
                <w:sz w:val="18"/>
                <w:szCs w:val="18"/>
              </w:rPr>
            </w:pPr>
            <w:r w:rsidRPr="00E72168">
              <w:rPr>
                <w:rFonts w:cs="Times New Roman"/>
                <w:color w:val="17365D"/>
                <w:sz w:val="18"/>
                <w:szCs w:val="18"/>
              </w:rPr>
              <w:t>Ilgtermiņa aizdevumi</w:t>
            </w:r>
          </w:p>
        </w:tc>
        <w:tc>
          <w:tcPr>
            <w:tcW w:w="490" w:type="pct"/>
            <w:gridSpan w:val="2"/>
            <w:tcBorders>
              <w:top w:val="single" w:sz="4" w:space="0" w:color="auto"/>
              <w:left w:val="nil"/>
              <w:bottom w:val="single" w:sz="4" w:space="0" w:color="auto"/>
              <w:right w:val="nil"/>
            </w:tcBorders>
            <w:shd w:val="clear" w:color="auto" w:fill="auto"/>
            <w:noWrap/>
            <w:vAlign w:val="center"/>
          </w:tcPr>
          <w:p w14:paraId="5E718F54" w14:textId="1D4110D6" w:rsidR="00177448" w:rsidRPr="00E72168" w:rsidRDefault="00177448" w:rsidP="00C72FC3">
            <w:pPr>
              <w:spacing w:after="0" w:line="240" w:lineRule="auto"/>
              <w:jc w:val="center"/>
              <w:rPr>
                <w:rFonts w:eastAsia="Times New Roman" w:cs="Times New Roman"/>
                <w:color w:val="17365D"/>
                <w:sz w:val="18"/>
                <w:szCs w:val="18"/>
                <w:lang w:eastAsia="lv-LV"/>
              </w:rPr>
            </w:pPr>
          </w:p>
        </w:tc>
        <w:tc>
          <w:tcPr>
            <w:tcW w:w="789" w:type="pct"/>
            <w:gridSpan w:val="2"/>
            <w:tcBorders>
              <w:top w:val="single" w:sz="4" w:space="0" w:color="auto"/>
              <w:left w:val="nil"/>
              <w:bottom w:val="single" w:sz="4" w:space="0" w:color="auto"/>
              <w:right w:val="nil"/>
            </w:tcBorders>
            <w:shd w:val="clear" w:color="auto" w:fill="auto"/>
            <w:vAlign w:val="center"/>
          </w:tcPr>
          <w:p w14:paraId="45947BA2" w14:textId="36E4B2A7"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415 120 683</w:t>
            </w:r>
          </w:p>
        </w:tc>
        <w:tc>
          <w:tcPr>
            <w:tcW w:w="789" w:type="pct"/>
            <w:gridSpan w:val="2"/>
            <w:tcBorders>
              <w:top w:val="single" w:sz="4" w:space="0" w:color="auto"/>
              <w:left w:val="nil"/>
              <w:bottom w:val="single" w:sz="4" w:space="0" w:color="auto"/>
              <w:right w:val="nil"/>
            </w:tcBorders>
            <w:shd w:val="clear" w:color="auto" w:fill="auto"/>
            <w:vAlign w:val="center"/>
          </w:tcPr>
          <w:p w14:paraId="6C57C1D4" w14:textId="56D7467E"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352 868 102</w:t>
            </w:r>
          </w:p>
        </w:tc>
        <w:tc>
          <w:tcPr>
            <w:tcW w:w="789" w:type="pct"/>
            <w:gridSpan w:val="2"/>
            <w:tcBorders>
              <w:top w:val="single" w:sz="4" w:space="0" w:color="auto"/>
              <w:left w:val="nil"/>
              <w:bottom w:val="single" w:sz="4" w:space="0" w:color="auto"/>
              <w:right w:val="nil"/>
            </w:tcBorders>
            <w:shd w:val="clear" w:color="auto" w:fill="auto"/>
            <w:noWrap/>
            <w:vAlign w:val="center"/>
          </w:tcPr>
          <w:p w14:paraId="7DB3C2E5" w14:textId="032CBD32"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62 252 581</w:t>
            </w:r>
          </w:p>
        </w:tc>
        <w:tc>
          <w:tcPr>
            <w:tcW w:w="715" w:type="pct"/>
            <w:gridSpan w:val="2"/>
            <w:tcBorders>
              <w:top w:val="single" w:sz="4" w:space="0" w:color="auto"/>
              <w:left w:val="nil"/>
              <w:bottom w:val="single" w:sz="4" w:space="0" w:color="auto"/>
              <w:right w:val="nil"/>
            </w:tcBorders>
            <w:shd w:val="clear" w:color="auto" w:fill="auto"/>
            <w:noWrap/>
            <w:vAlign w:val="center"/>
          </w:tcPr>
          <w:p w14:paraId="7448C625" w14:textId="76E0F47A"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17.64</w:t>
            </w:r>
          </w:p>
        </w:tc>
      </w:tr>
      <w:tr w:rsidR="00177448" w:rsidRPr="00E72168" w14:paraId="094A7E2D" w14:textId="77777777" w:rsidTr="00177448">
        <w:trPr>
          <w:trHeight w:val="396"/>
        </w:trPr>
        <w:tc>
          <w:tcPr>
            <w:tcW w:w="1428" w:type="pct"/>
            <w:tcBorders>
              <w:top w:val="single" w:sz="4" w:space="0" w:color="auto"/>
              <w:bottom w:val="single" w:sz="4" w:space="0" w:color="auto"/>
              <w:right w:val="nil"/>
            </w:tcBorders>
            <w:shd w:val="clear" w:color="auto" w:fill="auto"/>
            <w:vAlign w:val="center"/>
            <w:hideMark/>
          </w:tcPr>
          <w:p w14:paraId="7342BBC5" w14:textId="13AAC35C" w:rsidR="00177448" w:rsidRPr="00E72168" w:rsidRDefault="00177448" w:rsidP="00177448">
            <w:pPr>
              <w:spacing w:after="0" w:line="240" w:lineRule="auto"/>
              <w:rPr>
                <w:rFonts w:cs="Times New Roman"/>
                <w:color w:val="17365D"/>
                <w:sz w:val="18"/>
                <w:szCs w:val="18"/>
              </w:rPr>
            </w:pPr>
            <w:r w:rsidRPr="00E72168">
              <w:rPr>
                <w:rFonts w:cs="Times New Roman"/>
                <w:color w:val="17365D"/>
                <w:sz w:val="18"/>
                <w:szCs w:val="18"/>
              </w:rPr>
              <w:t>Ilgtermiņa finanšu ieguldījumi vērtspapīros</w:t>
            </w:r>
          </w:p>
        </w:tc>
        <w:tc>
          <w:tcPr>
            <w:tcW w:w="490" w:type="pct"/>
            <w:gridSpan w:val="2"/>
            <w:tcBorders>
              <w:top w:val="single" w:sz="4" w:space="0" w:color="auto"/>
              <w:left w:val="nil"/>
              <w:bottom w:val="single" w:sz="4" w:space="0" w:color="auto"/>
              <w:right w:val="nil"/>
            </w:tcBorders>
            <w:shd w:val="clear" w:color="auto" w:fill="auto"/>
            <w:noWrap/>
            <w:vAlign w:val="center"/>
          </w:tcPr>
          <w:p w14:paraId="622A7824" w14:textId="34A94C8E" w:rsidR="00177448" w:rsidRPr="00E72168" w:rsidRDefault="00177448" w:rsidP="00C72FC3">
            <w:pPr>
              <w:spacing w:after="0" w:line="240" w:lineRule="auto"/>
              <w:jc w:val="center"/>
              <w:rPr>
                <w:rFonts w:eastAsia="Times New Roman" w:cs="Times New Roman"/>
                <w:color w:val="17365D"/>
                <w:sz w:val="18"/>
                <w:szCs w:val="18"/>
                <w:lang w:eastAsia="lv-LV"/>
              </w:rPr>
            </w:pPr>
          </w:p>
        </w:tc>
        <w:tc>
          <w:tcPr>
            <w:tcW w:w="789" w:type="pct"/>
            <w:gridSpan w:val="2"/>
            <w:tcBorders>
              <w:top w:val="single" w:sz="4" w:space="0" w:color="auto"/>
              <w:left w:val="nil"/>
              <w:bottom w:val="single" w:sz="4" w:space="0" w:color="auto"/>
              <w:right w:val="nil"/>
            </w:tcBorders>
            <w:shd w:val="clear" w:color="auto" w:fill="auto"/>
            <w:vAlign w:val="center"/>
          </w:tcPr>
          <w:p w14:paraId="124FD56C" w14:textId="102B4B6E"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6 194</w:t>
            </w:r>
          </w:p>
        </w:tc>
        <w:tc>
          <w:tcPr>
            <w:tcW w:w="789" w:type="pct"/>
            <w:gridSpan w:val="2"/>
            <w:tcBorders>
              <w:top w:val="single" w:sz="4" w:space="0" w:color="auto"/>
              <w:left w:val="nil"/>
              <w:bottom w:val="single" w:sz="4" w:space="0" w:color="auto"/>
              <w:right w:val="nil"/>
            </w:tcBorders>
            <w:shd w:val="clear" w:color="auto" w:fill="auto"/>
            <w:vAlign w:val="center"/>
          </w:tcPr>
          <w:p w14:paraId="1BBB49A2" w14:textId="65B2C001"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6 133</w:t>
            </w:r>
          </w:p>
        </w:tc>
        <w:tc>
          <w:tcPr>
            <w:tcW w:w="789" w:type="pct"/>
            <w:gridSpan w:val="2"/>
            <w:tcBorders>
              <w:top w:val="single" w:sz="4" w:space="0" w:color="auto"/>
              <w:left w:val="nil"/>
              <w:bottom w:val="single" w:sz="4" w:space="0" w:color="auto"/>
              <w:right w:val="nil"/>
            </w:tcBorders>
            <w:shd w:val="clear" w:color="auto" w:fill="auto"/>
            <w:noWrap/>
            <w:vAlign w:val="center"/>
          </w:tcPr>
          <w:p w14:paraId="7B048492" w14:textId="7391FB40"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61</w:t>
            </w:r>
          </w:p>
        </w:tc>
        <w:tc>
          <w:tcPr>
            <w:tcW w:w="715" w:type="pct"/>
            <w:gridSpan w:val="2"/>
            <w:tcBorders>
              <w:top w:val="single" w:sz="4" w:space="0" w:color="auto"/>
              <w:left w:val="nil"/>
              <w:bottom w:val="single" w:sz="4" w:space="0" w:color="auto"/>
              <w:right w:val="nil"/>
            </w:tcBorders>
            <w:shd w:val="clear" w:color="auto" w:fill="auto"/>
            <w:noWrap/>
            <w:vAlign w:val="center"/>
          </w:tcPr>
          <w:p w14:paraId="775EC222" w14:textId="142BD32A"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0.99</w:t>
            </w:r>
          </w:p>
        </w:tc>
      </w:tr>
      <w:tr w:rsidR="00177448" w:rsidRPr="00E72168" w14:paraId="5FB50A46" w14:textId="77777777" w:rsidTr="00177448">
        <w:trPr>
          <w:trHeight w:val="408"/>
        </w:trPr>
        <w:tc>
          <w:tcPr>
            <w:tcW w:w="1428" w:type="pct"/>
            <w:tcBorders>
              <w:top w:val="single" w:sz="4" w:space="0" w:color="auto"/>
              <w:bottom w:val="single" w:sz="4" w:space="0" w:color="auto"/>
              <w:right w:val="nil"/>
            </w:tcBorders>
            <w:shd w:val="clear" w:color="auto" w:fill="auto"/>
            <w:vAlign w:val="center"/>
            <w:hideMark/>
          </w:tcPr>
          <w:p w14:paraId="09D74683" w14:textId="403042C9" w:rsidR="00177448" w:rsidRPr="00E72168" w:rsidRDefault="00177448" w:rsidP="00177448">
            <w:pPr>
              <w:spacing w:after="0" w:line="240" w:lineRule="auto"/>
              <w:rPr>
                <w:rFonts w:cs="Times New Roman"/>
                <w:color w:val="17365D"/>
                <w:sz w:val="18"/>
                <w:szCs w:val="18"/>
              </w:rPr>
            </w:pPr>
            <w:r w:rsidRPr="00E72168">
              <w:rPr>
                <w:rFonts w:cs="Times New Roman"/>
                <w:color w:val="17365D"/>
                <w:sz w:val="18"/>
                <w:szCs w:val="18"/>
              </w:rPr>
              <w:t>Pārējie ilgtermiņa finanšu ieguldījumi</w:t>
            </w:r>
          </w:p>
        </w:tc>
        <w:tc>
          <w:tcPr>
            <w:tcW w:w="490" w:type="pct"/>
            <w:gridSpan w:val="2"/>
            <w:tcBorders>
              <w:top w:val="single" w:sz="4" w:space="0" w:color="auto"/>
              <w:left w:val="nil"/>
              <w:bottom w:val="single" w:sz="4" w:space="0" w:color="auto"/>
              <w:right w:val="nil"/>
            </w:tcBorders>
            <w:shd w:val="clear" w:color="auto" w:fill="auto"/>
            <w:noWrap/>
            <w:vAlign w:val="center"/>
          </w:tcPr>
          <w:p w14:paraId="22B8D1FA" w14:textId="78C548E1" w:rsidR="00177448" w:rsidRPr="00E72168" w:rsidRDefault="0072299D" w:rsidP="00C72FC3">
            <w:pPr>
              <w:spacing w:after="0" w:line="240" w:lineRule="auto"/>
              <w:jc w:val="center"/>
              <w:rPr>
                <w:rFonts w:eastAsia="Times New Roman" w:cs="Times New Roman"/>
                <w:color w:val="17365D"/>
                <w:sz w:val="18"/>
                <w:szCs w:val="18"/>
                <w:lang w:eastAsia="lv-LV"/>
              </w:rPr>
            </w:pPr>
            <w:r w:rsidRPr="00E72168">
              <w:rPr>
                <w:rFonts w:cs="Times New Roman"/>
                <w:color w:val="17365D"/>
                <w:sz w:val="18"/>
                <w:szCs w:val="18"/>
              </w:rPr>
              <w:t>KB.1.3.2.</w:t>
            </w:r>
          </w:p>
        </w:tc>
        <w:tc>
          <w:tcPr>
            <w:tcW w:w="789" w:type="pct"/>
            <w:gridSpan w:val="2"/>
            <w:tcBorders>
              <w:top w:val="single" w:sz="4" w:space="0" w:color="auto"/>
              <w:left w:val="nil"/>
              <w:bottom w:val="single" w:sz="4" w:space="0" w:color="auto"/>
              <w:right w:val="nil"/>
            </w:tcBorders>
            <w:shd w:val="clear" w:color="auto" w:fill="auto"/>
            <w:vAlign w:val="center"/>
          </w:tcPr>
          <w:p w14:paraId="275C3B1D" w14:textId="649EE4AD"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7 817 278 476</w:t>
            </w:r>
          </w:p>
        </w:tc>
        <w:tc>
          <w:tcPr>
            <w:tcW w:w="789" w:type="pct"/>
            <w:gridSpan w:val="2"/>
            <w:tcBorders>
              <w:top w:val="single" w:sz="4" w:space="0" w:color="auto"/>
              <w:left w:val="nil"/>
              <w:bottom w:val="single" w:sz="4" w:space="0" w:color="auto"/>
              <w:right w:val="nil"/>
            </w:tcBorders>
            <w:shd w:val="clear" w:color="auto" w:fill="auto"/>
            <w:vAlign w:val="center"/>
          </w:tcPr>
          <w:p w14:paraId="18549277" w14:textId="29ACAA73"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6 438 794 505</w:t>
            </w:r>
          </w:p>
        </w:tc>
        <w:tc>
          <w:tcPr>
            <w:tcW w:w="789" w:type="pct"/>
            <w:gridSpan w:val="2"/>
            <w:tcBorders>
              <w:top w:val="single" w:sz="4" w:space="0" w:color="auto"/>
              <w:left w:val="nil"/>
              <w:bottom w:val="single" w:sz="4" w:space="0" w:color="auto"/>
              <w:right w:val="nil"/>
            </w:tcBorders>
            <w:shd w:val="clear" w:color="auto" w:fill="auto"/>
            <w:noWrap/>
            <w:vAlign w:val="center"/>
          </w:tcPr>
          <w:p w14:paraId="7F83AB47" w14:textId="716F3AA8"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1 378 483 971</w:t>
            </w:r>
          </w:p>
        </w:tc>
        <w:tc>
          <w:tcPr>
            <w:tcW w:w="715" w:type="pct"/>
            <w:gridSpan w:val="2"/>
            <w:tcBorders>
              <w:top w:val="single" w:sz="4" w:space="0" w:color="auto"/>
              <w:left w:val="nil"/>
              <w:bottom w:val="single" w:sz="4" w:space="0" w:color="auto"/>
              <w:right w:val="nil"/>
            </w:tcBorders>
            <w:shd w:val="clear" w:color="auto" w:fill="auto"/>
            <w:noWrap/>
            <w:vAlign w:val="center"/>
          </w:tcPr>
          <w:p w14:paraId="794ED101" w14:textId="171EEEAB"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21.41</w:t>
            </w:r>
          </w:p>
        </w:tc>
      </w:tr>
      <w:tr w:rsidR="00177448" w:rsidRPr="00E72168" w14:paraId="35D184FE" w14:textId="77777777" w:rsidTr="00177448">
        <w:trPr>
          <w:trHeight w:val="408"/>
        </w:trPr>
        <w:tc>
          <w:tcPr>
            <w:tcW w:w="1428" w:type="pct"/>
            <w:tcBorders>
              <w:top w:val="single" w:sz="4" w:space="0" w:color="auto"/>
              <w:bottom w:val="single" w:sz="4" w:space="0" w:color="auto"/>
              <w:right w:val="nil"/>
            </w:tcBorders>
            <w:shd w:val="clear" w:color="auto" w:fill="auto"/>
            <w:vAlign w:val="center"/>
          </w:tcPr>
          <w:p w14:paraId="3F580376" w14:textId="3ABB5799" w:rsidR="00177448" w:rsidRPr="00E72168" w:rsidRDefault="00177448" w:rsidP="00177448">
            <w:pPr>
              <w:spacing w:after="0" w:line="240" w:lineRule="auto"/>
              <w:rPr>
                <w:rFonts w:cs="Times New Roman"/>
                <w:color w:val="17365D"/>
                <w:sz w:val="18"/>
                <w:szCs w:val="18"/>
              </w:rPr>
            </w:pPr>
            <w:r w:rsidRPr="00E72168">
              <w:rPr>
                <w:rFonts w:cs="Times New Roman"/>
                <w:color w:val="17365D"/>
                <w:sz w:val="18"/>
                <w:szCs w:val="18"/>
              </w:rPr>
              <w:t>Turējumā nodoti ilgtermiņa finanšu ieguldījumi</w:t>
            </w:r>
          </w:p>
        </w:tc>
        <w:tc>
          <w:tcPr>
            <w:tcW w:w="490" w:type="pct"/>
            <w:gridSpan w:val="2"/>
            <w:tcBorders>
              <w:top w:val="single" w:sz="4" w:space="0" w:color="auto"/>
              <w:left w:val="nil"/>
              <w:bottom w:val="single" w:sz="4" w:space="0" w:color="auto"/>
              <w:right w:val="nil"/>
            </w:tcBorders>
            <w:shd w:val="clear" w:color="auto" w:fill="auto"/>
            <w:noWrap/>
            <w:vAlign w:val="center"/>
          </w:tcPr>
          <w:p w14:paraId="2E898C27" w14:textId="125B7558" w:rsidR="00177448" w:rsidRPr="00E72168" w:rsidRDefault="00177448" w:rsidP="00177448">
            <w:pPr>
              <w:spacing w:after="0" w:line="240" w:lineRule="auto"/>
              <w:jc w:val="right"/>
              <w:rPr>
                <w:rFonts w:cs="Times New Roman"/>
                <w:color w:val="17365D"/>
                <w:sz w:val="18"/>
                <w:szCs w:val="18"/>
              </w:rPr>
            </w:pPr>
          </w:p>
        </w:tc>
        <w:tc>
          <w:tcPr>
            <w:tcW w:w="789" w:type="pct"/>
            <w:gridSpan w:val="2"/>
            <w:tcBorders>
              <w:top w:val="single" w:sz="4" w:space="0" w:color="auto"/>
              <w:left w:val="nil"/>
              <w:bottom w:val="single" w:sz="4" w:space="0" w:color="auto"/>
              <w:right w:val="nil"/>
            </w:tcBorders>
            <w:shd w:val="clear" w:color="auto" w:fill="auto"/>
            <w:vAlign w:val="center"/>
          </w:tcPr>
          <w:p w14:paraId="6DD2762D" w14:textId="65904E6E"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131 342 980</w:t>
            </w:r>
          </w:p>
        </w:tc>
        <w:tc>
          <w:tcPr>
            <w:tcW w:w="789" w:type="pct"/>
            <w:gridSpan w:val="2"/>
            <w:tcBorders>
              <w:top w:val="single" w:sz="4" w:space="0" w:color="auto"/>
              <w:left w:val="nil"/>
              <w:bottom w:val="single" w:sz="4" w:space="0" w:color="auto"/>
              <w:right w:val="nil"/>
            </w:tcBorders>
            <w:shd w:val="clear" w:color="auto" w:fill="auto"/>
            <w:vAlign w:val="center"/>
          </w:tcPr>
          <w:p w14:paraId="3E0C9D86" w14:textId="49F2C208"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135 806 368</w:t>
            </w:r>
          </w:p>
        </w:tc>
        <w:tc>
          <w:tcPr>
            <w:tcW w:w="789" w:type="pct"/>
            <w:gridSpan w:val="2"/>
            <w:tcBorders>
              <w:top w:val="single" w:sz="4" w:space="0" w:color="auto"/>
              <w:left w:val="nil"/>
              <w:bottom w:val="single" w:sz="4" w:space="0" w:color="auto"/>
              <w:right w:val="nil"/>
            </w:tcBorders>
            <w:shd w:val="clear" w:color="auto" w:fill="auto"/>
            <w:noWrap/>
            <w:vAlign w:val="center"/>
          </w:tcPr>
          <w:p w14:paraId="0503FD38" w14:textId="0C58D9A1"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-4 463 388</w:t>
            </w:r>
          </w:p>
        </w:tc>
        <w:tc>
          <w:tcPr>
            <w:tcW w:w="715" w:type="pct"/>
            <w:gridSpan w:val="2"/>
            <w:tcBorders>
              <w:top w:val="single" w:sz="4" w:space="0" w:color="auto"/>
              <w:left w:val="nil"/>
              <w:bottom w:val="single" w:sz="4" w:space="0" w:color="auto"/>
              <w:right w:val="nil"/>
            </w:tcBorders>
            <w:shd w:val="clear" w:color="auto" w:fill="auto"/>
            <w:noWrap/>
            <w:vAlign w:val="center"/>
          </w:tcPr>
          <w:p w14:paraId="0515F12A" w14:textId="2299495A"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-3.29</w:t>
            </w:r>
          </w:p>
        </w:tc>
      </w:tr>
      <w:tr w:rsidR="00177448" w:rsidRPr="00E72168" w14:paraId="799BF281" w14:textId="77777777" w:rsidTr="00177448">
        <w:trPr>
          <w:trHeight w:val="408"/>
        </w:trPr>
        <w:tc>
          <w:tcPr>
            <w:tcW w:w="1428" w:type="pct"/>
            <w:tcBorders>
              <w:top w:val="single" w:sz="4" w:space="0" w:color="auto"/>
              <w:bottom w:val="single" w:sz="4" w:space="0" w:color="auto"/>
              <w:right w:val="nil"/>
            </w:tcBorders>
            <w:shd w:val="clear" w:color="auto" w:fill="auto"/>
            <w:vAlign w:val="center"/>
          </w:tcPr>
          <w:p w14:paraId="41E7C89C" w14:textId="01E5548D" w:rsidR="00177448" w:rsidRPr="00E72168" w:rsidRDefault="00177448" w:rsidP="00177448">
            <w:pPr>
              <w:spacing w:after="0" w:line="240" w:lineRule="auto"/>
              <w:rPr>
                <w:rFonts w:cs="Times New Roman"/>
                <w:color w:val="17365D"/>
                <w:sz w:val="18"/>
                <w:szCs w:val="18"/>
              </w:rPr>
            </w:pPr>
            <w:r w:rsidRPr="00E72168">
              <w:rPr>
                <w:rFonts w:cs="Times New Roman"/>
                <w:color w:val="17365D"/>
                <w:sz w:val="18"/>
                <w:szCs w:val="18"/>
              </w:rPr>
              <w:t>Avansa maksājumi par ilgtermiņa finanšu ieguldījumiem</w:t>
            </w:r>
          </w:p>
        </w:tc>
        <w:tc>
          <w:tcPr>
            <w:tcW w:w="490" w:type="pct"/>
            <w:gridSpan w:val="2"/>
            <w:tcBorders>
              <w:top w:val="single" w:sz="4" w:space="0" w:color="auto"/>
              <w:left w:val="nil"/>
              <w:bottom w:val="single" w:sz="4" w:space="0" w:color="auto"/>
              <w:right w:val="nil"/>
            </w:tcBorders>
            <w:shd w:val="clear" w:color="auto" w:fill="auto"/>
            <w:noWrap/>
            <w:vAlign w:val="center"/>
          </w:tcPr>
          <w:p w14:paraId="7407D552" w14:textId="39E178DD" w:rsidR="00177448" w:rsidRPr="00E72168" w:rsidRDefault="00177448" w:rsidP="00177448">
            <w:pPr>
              <w:spacing w:after="0" w:line="240" w:lineRule="auto"/>
              <w:jc w:val="right"/>
              <w:rPr>
                <w:rFonts w:cs="Times New Roman"/>
                <w:color w:val="17365D"/>
                <w:sz w:val="18"/>
                <w:szCs w:val="18"/>
              </w:rPr>
            </w:pPr>
          </w:p>
        </w:tc>
        <w:tc>
          <w:tcPr>
            <w:tcW w:w="789" w:type="pct"/>
            <w:gridSpan w:val="2"/>
            <w:tcBorders>
              <w:top w:val="single" w:sz="4" w:space="0" w:color="auto"/>
              <w:left w:val="nil"/>
              <w:bottom w:val="single" w:sz="4" w:space="0" w:color="auto"/>
              <w:right w:val="nil"/>
            </w:tcBorders>
            <w:shd w:val="clear" w:color="auto" w:fill="auto"/>
            <w:vAlign w:val="center"/>
          </w:tcPr>
          <w:p w14:paraId="6B8FA405" w14:textId="23DF002F"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14 273 773</w:t>
            </w:r>
          </w:p>
        </w:tc>
        <w:tc>
          <w:tcPr>
            <w:tcW w:w="789" w:type="pct"/>
            <w:gridSpan w:val="2"/>
            <w:tcBorders>
              <w:top w:val="single" w:sz="4" w:space="0" w:color="auto"/>
              <w:left w:val="nil"/>
              <w:bottom w:val="single" w:sz="4" w:space="0" w:color="auto"/>
              <w:right w:val="nil"/>
            </w:tcBorders>
            <w:shd w:val="clear" w:color="auto" w:fill="auto"/>
            <w:vAlign w:val="center"/>
          </w:tcPr>
          <w:p w14:paraId="00945020" w14:textId="2E4265C1"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9 426 401</w:t>
            </w:r>
          </w:p>
        </w:tc>
        <w:tc>
          <w:tcPr>
            <w:tcW w:w="789" w:type="pct"/>
            <w:gridSpan w:val="2"/>
            <w:tcBorders>
              <w:top w:val="single" w:sz="4" w:space="0" w:color="auto"/>
              <w:left w:val="nil"/>
              <w:bottom w:val="single" w:sz="4" w:space="0" w:color="auto"/>
              <w:right w:val="nil"/>
            </w:tcBorders>
            <w:shd w:val="clear" w:color="auto" w:fill="auto"/>
            <w:noWrap/>
            <w:vAlign w:val="center"/>
          </w:tcPr>
          <w:p w14:paraId="54D29C4A" w14:textId="5ED27A5D"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4 847 372</w:t>
            </w:r>
          </w:p>
        </w:tc>
        <w:tc>
          <w:tcPr>
            <w:tcW w:w="715" w:type="pct"/>
            <w:gridSpan w:val="2"/>
            <w:tcBorders>
              <w:top w:val="single" w:sz="4" w:space="0" w:color="auto"/>
              <w:left w:val="nil"/>
              <w:bottom w:val="single" w:sz="4" w:space="0" w:color="auto"/>
              <w:right w:val="nil"/>
            </w:tcBorders>
            <w:shd w:val="clear" w:color="auto" w:fill="auto"/>
            <w:noWrap/>
            <w:vAlign w:val="center"/>
          </w:tcPr>
          <w:p w14:paraId="2EC2935C" w14:textId="4B4E97B1" w:rsidR="00177448" w:rsidRPr="00E72168" w:rsidRDefault="00177448" w:rsidP="00177448">
            <w:pPr>
              <w:spacing w:after="0" w:line="240" w:lineRule="auto"/>
              <w:jc w:val="right"/>
              <w:rPr>
                <w:rFonts w:cs="Times New Roman"/>
                <w:color w:val="17365D"/>
                <w:sz w:val="18"/>
                <w:szCs w:val="18"/>
              </w:rPr>
            </w:pPr>
            <w:r w:rsidRPr="00E72168">
              <w:rPr>
                <w:rFonts w:cs="Times New Roman"/>
                <w:color w:val="17365D"/>
                <w:sz w:val="18"/>
                <w:szCs w:val="18"/>
              </w:rPr>
              <w:t>51.42</w:t>
            </w:r>
          </w:p>
        </w:tc>
      </w:tr>
      <w:tr w:rsidR="000C1009" w:rsidRPr="00E72168" w14:paraId="651642F6" w14:textId="77777777" w:rsidTr="0085170B">
        <w:trPr>
          <w:trHeight w:val="202"/>
        </w:trPr>
        <w:tc>
          <w:tcPr>
            <w:tcW w:w="1555" w:type="pct"/>
            <w:gridSpan w:val="2"/>
            <w:tcBorders>
              <w:top w:val="single" w:sz="4" w:space="0" w:color="auto"/>
            </w:tcBorders>
            <w:shd w:val="clear" w:color="auto" w:fill="B9CDE5"/>
            <w:vAlign w:val="center"/>
          </w:tcPr>
          <w:p w14:paraId="72C26D5A" w14:textId="77777777" w:rsidR="00B131AA" w:rsidRPr="00E72168" w:rsidRDefault="00B131AA" w:rsidP="00B52074">
            <w:pPr>
              <w:spacing w:after="0"/>
              <w:rPr>
                <w:rFonts w:eastAsia="Times New Roman" w:cs="Times New Roman"/>
                <w:color w:val="17365D"/>
                <w:sz w:val="18"/>
                <w:szCs w:val="18"/>
                <w:lang w:eastAsia="lv-LV"/>
              </w:rPr>
            </w:pPr>
          </w:p>
        </w:tc>
        <w:tc>
          <w:tcPr>
            <w:tcW w:w="516" w:type="pct"/>
            <w:gridSpan w:val="2"/>
            <w:tcBorders>
              <w:top w:val="single" w:sz="4" w:space="0" w:color="auto"/>
            </w:tcBorders>
            <w:shd w:val="clear" w:color="auto" w:fill="B9CDE5"/>
            <w:noWrap/>
            <w:vAlign w:val="center"/>
          </w:tcPr>
          <w:p w14:paraId="27EA1513" w14:textId="77777777" w:rsidR="00B131AA" w:rsidRPr="00E72168" w:rsidRDefault="00B131AA" w:rsidP="00B52074">
            <w:pPr>
              <w:spacing w:after="0"/>
              <w:jc w:val="center"/>
              <w:rPr>
                <w:rFonts w:eastAsia="Times New Roman" w:cs="Times New Roman"/>
                <w:color w:val="17365D"/>
                <w:sz w:val="18"/>
                <w:szCs w:val="18"/>
                <w:lang w:eastAsia="lv-LV"/>
              </w:rPr>
            </w:pPr>
          </w:p>
        </w:tc>
        <w:tc>
          <w:tcPr>
            <w:tcW w:w="787" w:type="pct"/>
            <w:gridSpan w:val="2"/>
            <w:tcBorders>
              <w:top w:val="single" w:sz="4" w:space="0" w:color="auto"/>
            </w:tcBorders>
            <w:shd w:val="clear" w:color="auto" w:fill="B9CDE5"/>
            <w:noWrap/>
            <w:vAlign w:val="center"/>
          </w:tcPr>
          <w:p w14:paraId="5A374BA6" w14:textId="77777777" w:rsidR="00B131AA" w:rsidRPr="00E72168" w:rsidRDefault="00B131AA" w:rsidP="00B52074">
            <w:pPr>
              <w:spacing w:after="0"/>
              <w:jc w:val="right"/>
              <w:rPr>
                <w:rFonts w:eastAsia="Times New Roman" w:cs="Times New Roman"/>
                <w:color w:val="17365D"/>
                <w:sz w:val="18"/>
                <w:szCs w:val="18"/>
                <w:lang w:eastAsia="lv-LV"/>
              </w:rPr>
            </w:pPr>
          </w:p>
        </w:tc>
        <w:tc>
          <w:tcPr>
            <w:tcW w:w="778" w:type="pct"/>
            <w:gridSpan w:val="2"/>
            <w:tcBorders>
              <w:top w:val="single" w:sz="4" w:space="0" w:color="auto"/>
            </w:tcBorders>
            <w:shd w:val="clear" w:color="auto" w:fill="B9CDE5"/>
            <w:noWrap/>
            <w:vAlign w:val="center"/>
          </w:tcPr>
          <w:p w14:paraId="165DFFAA" w14:textId="77777777" w:rsidR="00B131AA" w:rsidRPr="00E72168" w:rsidRDefault="00B131AA" w:rsidP="00B52074">
            <w:pPr>
              <w:spacing w:after="0"/>
              <w:jc w:val="right"/>
              <w:rPr>
                <w:rFonts w:eastAsia="Times New Roman" w:cs="Times New Roman"/>
                <w:color w:val="17365D"/>
                <w:sz w:val="18"/>
                <w:szCs w:val="18"/>
                <w:lang w:eastAsia="lv-LV"/>
              </w:rPr>
            </w:pPr>
          </w:p>
        </w:tc>
        <w:tc>
          <w:tcPr>
            <w:tcW w:w="689" w:type="pct"/>
            <w:gridSpan w:val="2"/>
            <w:tcBorders>
              <w:top w:val="single" w:sz="4" w:space="0" w:color="auto"/>
            </w:tcBorders>
            <w:shd w:val="clear" w:color="auto" w:fill="B9CDE5"/>
            <w:noWrap/>
            <w:vAlign w:val="center"/>
          </w:tcPr>
          <w:p w14:paraId="2F25E6DD" w14:textId="77777777" w:rsidR="00B131AA" w:rsidRPr="00E72168" w:rsidRDefault="00B131AA" w:rsidP="00B52074">
            <w:pPr>
              <w:spacing w:after="0"/>
              <w:jc w:val="right"/>
              <w:rPr>
                <w:rFonts w:eastAsia="Times New Roman" w:cs="Times New Roman"/>
                <w:color w:val="17365D"/>
                <w:sz w:val="18"/>
                <w:szCs w:val="18"/>
                <w:lang w:eastAsia="lv-LV"/>
              </w:rPr>
            </w:pPr>
          </w:p>
        </w:tc>
        <w:tc>
          <w:tcPr>
            <w:tcW w:w="675" w:type="pct"/>
            <w:tcBorders>
              <w:top w:val="single" w:sz="4" w:space="0" w:color="auto"/>
            </w:tcBorders>
            <w:shd w:val="clear" w:color="auto" w:fill="B9CDE5"/>
            <w:noWrap/>
            <w:vAlign w:val="center"/>
          </w:tcPr>
          <w:p w14:paraId="5C167869" w14:textId="77777777" w:rsidR="00B131AA" w:rsidRPr="00E72168" w:rsidRDefault="00B131AA" w:rsidP="00B52074">
            <w:pPr>
              <w:spacing w:after="0"/>
              <w:jc w:val="right"/>
              <w:rPr>
                <w:rFonts w:eastAsia="Times New Roman" w:cs="Times New Roman"/>
                <w:color w:val="17365D"/>
                <w:sz w:val="18"/>
                <w:szCs w:val="18"/>
                <w:lang w:eastAsia="lv-LV"/>
              </w:rPr>
            </w:pPr>
          </w:p>
        </w:tc>
      </w:tr>
    </w:tbl>
    <w:p w14:paraId="16419B95" w14:textId="310A47AE" w:rsidR="00A65871" w:rsidRPr="00E72168" w:rsidRDefault="00A65871" w:rsidP="005A1105">
      <w:pPr>
        <w:pStyle w:val="Heading5"/>
        <w:rPr>
          <w:rFonts w:cs="Times New Roman"/>
        </w:rPr>
      </w:pPr>
      <w:r w:rsidRPr="00E72168">
        <w:rPr>
          <w:rFonts w:cs="Times New Roman"/>
        </w:rPr>
        <w:t>Piezīme Nr. KB.1.3.</w:t>
      </w:r>
      <w:r w:rsidRPr="00E72168" w:rsidDel="007D63EC">
        <w:rPr>
          <w:rFonts w:cs="Times New Roman"/>
        </w:rPr>
        <w:t>1</w:t>
      </w:r>
      <w:r w:rsidRPr="00E72168">
        <w:rPr>
          <w:rFonts w:cs="Times New Roman"/>
        </w:rPr>
        <w:t>. Līdzdalība radniecīgo kapitālsabiedrību kapitālā</w:t>
      </w:r>
    </w:p>
    <w:p w14:paraId="5A5ECA70" w14:textId="77777777" w:rsidR="00CB3465" w:rsidRDefault="005A1105" w:rsidP="00ED1E06">
      <w:pPr>
        <w:spacing w:after="120" w:line="240" w:lineRule="auto"/>
        <w:ind w:firstLine="284"/>
        <w:jc w:val="both"/>
        <w:rPr>
          <w:rFonts w:cs="Times New Roman"/>
          <w:color w:val="17365D"/>
        </w:rPr>
      </w:pPr>
      <w:r w:rsidRPr="00E72168">
        <w:rPr>
          <w:rFonts w:cs="Times New Roman"/>
          <w:color w:val="17365D"/>
        </w:rPr>
        <w:t>Lielākās izmaiņas posteņa vērtībā bijušas</w:t>
      </w:r>
      <w:r w:rsidR="00CB3465">
        <w:rPr>
          <w:rFonts w:cs="Times New Roman"/>
          <w:color w:val="17365D"/>
        </w:rPr>
        <w:t>:</w:t>
      </w:r>
      <w:r w:rsidR="008458DF" w:rsidRPr="00E72168">
        <w:rPr>
          <w:rFonts w:cs="Times New Roman"/>
          <w:color w:val="17365D"/>
        </w:rPr>
        <w:t xml:space="preserve"> </w:t>
      </w:r>
    </w:p>
    <w:p w14:paraId="74F7E3F5" w14:textId="653E6927" w:rsidR="00CB3465" w:rsidRPr="00CB3465" w:rsidRDefault="005A1105" w:rsidP="00146A16">
      <w:pPr>
        <w:pStyle w:val="ListParagraph"/>
        <w:numPr>
          <w:ilvl w:val="0"/>
          <w:numId w:val="32"/>
        </w:numPr>
        <w:spacing w:after="120" w:line="240" w:lineRule="auto"/>
        <w:ind w:left="1003" w:hanging="357"/>
        <w:contextualSpacing w:val="0"/>
        <w:jc w:val="both"/>
        <w:rPr>
          <w:rFonts w:cs="Times New Roman"/>
          <w:color w:val="17365D"/>
        </w:rPr>
      </w:pPr>
      <w:r w:rsidRPr="00CB3465">
        <w:rPr>
          <w:rFonts w:cs="Times New Roman"/>
          <w:color w:val="17365D"/>
        </w:rPr>
        <w:t xml:space="preserve">Ekonomikas ministrijai saistībā ar radniecīgās kapitālsabiedrības AS </w:t>
      </w:r>
      <w:r w:rsidR="002375B3" w:rsidRPr="00CB3465">
        <w:rPr>
          <w:rFonts w:cs="Times New Roman"/>
          <w:color w:val="17365D"/>
        </w:rPr>
        <w:t>“</w:t>
      </w:r>
      <w:r w:rsidRPr="00CB3465">
        <w:rPr>
          <w:rFonts w:cs="Times New Roman"/>
          <w:color w:val="17365D"/>
        </w:rPr>
        <w:t>Latvenergo</w:t>
      </w:r>
      <w:r w:rsidR="002375B3" w:rsidRPr="00CB3465">
        <w:rPr>
          <w:rFonts w:cs="Times New Roman"/>
          <w:color w:val="17365D"/>
        </w:rPr>
        <w:t>”</w:t>
      </w:r>
      <w:r w:rsidRPr="00CB3465">
        <w:rPr>
          <w:rFonts w:cs="Times New Roman"/>
          <w:color w:val="17365D"/>
        </w:rPr>
        <w:t xml:space="preserve"> kapitāla daļu vērtības </w:t>
      </w:r>
      <w:r w:rsidR="00140540" w:rsidRPr="00CB3465">
        <w:rPr>
          <w:rFonts w:cs="Times New Roman"/>
          <w:color w:val="17365D"/>
        </w:rPr>
        <w:t>izmaiņām</w:t>
      </w:r>
      <w:r w:rsidRPr="00CB3465">
        <w:rPr>
          <w:rFonts w:cs="Times New Roman"/>
          <w:color w:val="17365D"/>
        </w:rPr>
        <w:t xml:space="preserve"> kapitālsabiedrības pašu kapitālā </w:t>
      </w:r>
      <w:r w:rsidR="00490E37" w:rsidRPr="00490E37">
        <w:rPr>
          <w:rFonts w:cs="Times New Roman"/>
          <w:bCs/>
          <w:color w:val="17365D"/>
        </w:rPr>
        <w:t>605</w:t>
      </w:r>
      <w:r w:rsidR="00490E37">
        <w:rPr>
          <w:rFonts w:cs="Times New Roman"/>
          <w:bCs/>
          <w:color w:val="17365D"/>
        </w:rPr>
        <w:t> </w:t>
      </w:r>
      <w:r w:rsidR="00490E37" w:rsidRPr="00490E37">
        <w:rPr>
          <w:rFonts w:cs="Times New Roman"/>
          <w:bCs/>
          <w:color w:val="17365D"/>
        </w:rPr>
        <w:t>943</w:t>
      </w:r>
      <w:r w:rsidR="00490E37">
        <w:rPr>
          <w:rFonts w:cs="Times New Roman"/>
          <w:bCs/>
          <w:color w:val="17365D"/>
        </w:rPr>
        <w:t> </w:t>
      </w:r>
      <w:r w:rsidR="00490E37" w:rsidRPr="00490E37">
        <w:rPr>
          <w:rFonts w:cs="Times New Roman"/>
          <w:bCs/>
          <w:color w:val="17365D"/>
        </w:rPr>
        <w:t>000</w:t>
      </w:r>
      <w:r w:rsidR="00490E37">
        <w:rPr>
          <w:rFonts w:cs="Times New Roman"/>
          <w:bCs/>
          <w:color w:val="17365D"/>
        </w:rPr>
        <w:t xml:space="preserve"> </w:t>
      </w:r>
      <w:r w:rsidRPr="00CB3465">
        <w:rPr>
          <w:rFonts w:cs="Times New Roman"/>
          <w:bCs/>
          <w:i/>
          <w:color w:val="17365D"/>
        </w:rPr>
        <w:t>euro</w:t>
      </w:r>
      <w:r w:rsidRPr="00CB3465">
        <w:rPr>
          <w:rFonts w:cs="Times New Roman"/>
          <w:color w:val="17365D"/>
        </w:rPr>
        <w:t xml:space="preserve"> vērtībā</w:t>
      </w:r>
      <w:r w:rsidR="00140540" w:rsidRPr="00CB3465">
        <w:rPr>
          <w:rFonts w:cs="Times New Roman"/>
          <w:color w:val="17365D"/>
        </w:rPr>
        <w:t xml:space="preserve">, </w:t>
      </w:r>
    </w:p>
    <w:p w14:paraId="64ED30FD" w14:textId="2654EAF1" w:rsidR="00CB3465" w:rsidRPr="00CB3465" w:rsidRDefault="00140540" w:rsidP="00146A16">
      <w:pPr>
        <w:pStyle w:val="ListParagraph"/>
        <w:numPr>
          <w:ilvl w:val="0"/>
          <w:numId w:val="32"/>
        </w:numPr>
        <w:spacing w:after="120" w:line="240" w:lineRule="auto"/>
        <w:ind w:left="1003" w:hanging="357"/>
        <w:contextualSpacing w:val="0"/>
        <w:jc w:val="both"/>
        <w:rPr>
          <w:rFonts w:cs="Times New Roman"/>
          <w:color w:val="17365D"/>
        </w:rPr>
      </w:pPr>
      <w:r w:rsidRPr="00CB3465">
        <w:rPr>
          <w:rFonts w:cs="Times New Roman"/>
          <w:color w:val="17365D"/>
        </w:rPr>
        <w:t xml:space="preserve">Satiksmes ministrijai palielinājumu </w:t>
      </w:r>
      <w:r w:rsidR="00490E37" w:rsidRPr="00490E37">
        <w:rPr>
          <w:rFonts w:cs="Times New Roman"/>
          <w:bCs/>
          <w:color w:val="17365D"/>
        </w:rPr>
        <w:t>160</w:t>
      </w:r>
      <w:r w:rsidR="00490E37">
        <w:rPr>
          <w:rFonts w:cs="Times New Roman"/>
          <w:bCs/>
          <w:color w:val="17365D"/>
        </w:rPr>
        <w:t> </w:t>
      </w:r>
      <w:r w:rsidR="00490E37" w:rsidRPr="00490E37">
        <w:rPr>
          <w:rFonts w:cs="Times New Roman"/>
          <w:bCs/>
          <w:color w:val="17365D"/>
        </w:rPr>
        <w:t>913</w:t>
      </w:r>
      <w:r w:rsidR="00490E37">
        <w:rPr>
          <w:rFonts w:cs="Times New Roman"/>
          <w:bCs/>
          <w:color w:val="17365D"/>
        </w:rPr>
        <w:t> </w:t>
      </w:r>
      <w:r w:rsidR="00490E37" w:rsidRPr="00490E37">
        <w:rPr>
          <w:rFonts w:cs="Times New Roman"/>
          <w:bCs/>
          <w:color w:val="17365D"/>
        </w:rPr>
        <w:t>342</w:t>
      </w:r>
      <w:r w:rsidR="00490E37">
        <w:rPr>
          <w:rFonts w:cs="Times New Roman"/>
          <w:bCs/>
          <w:color w:val="17365D"/>
        </w:rPr>
        <w:t xml:space="preserve"> </w:t>
      </w:r>
      <w:r w:rsidR="00D3156C" w:rsidRPr="00CB3465">
        <w:rPr>
          <w:rFonts w:cs="Times New Roman"/>
          <w:bCs/>
          <w:i/>
          <w:color w:val="17365D"/>
        </w:rPr>
        <w:t>euro</w:t>
      </w:r>
      <w:r w:rsidR="00D3156C" w:rsidRPr="00CB3465">
        <w:rPr>
          <w:rFonts w:cs="Times New Roman"/>
          <w:bCs/>
          <w:color w:val="17365D"/>
        </w:rPr>
        <w:t xml:space="preserve"> vērtībā</w:t>
      </w:r>
      <w:r w:rsidR="00D3156C" w:rsidRPr="00CB3465">
        <w:rPr>
          <w:rFonts w:cs="Times New Roman"/>
          <w:color w:val="17365D"/>
        </w:rPr>
        <w:t xml:space="preserve"> </w:t>
      </w:r>
      <w:r w:rsidRPr="00CB3465">
        <w:rPr>
          <w:rFonts w:cs="Times New Roman"/>
          <w:color w:val="17365D"/>
        </w:rPr>
        <w:t>veido atzītās līdzdalības vērtības izmaiņas un vērtības samazinājums sas</w:t>
      </w:r>
      <w:r w:rsidRPr="00CB3465">
        <w:rPr>
          <w:rFonts w:cs="Times New Roman"/>
          <w:bCs/>
          <w:color w:val="17365D"/>
        </w:rPr>
        <w:t xml:space="preserve">kaņā ar novērtējuma aktu VAS </w:t>
      </w:r>
      <w:r w:rsidR="002375B3" w:rsidRPr="00CB3465">
        <w:rPr>
          <w:rFonts w:cs="Times New Roman"/>
          <w:bCs/>
          <w:color w:val="17365D"/>
        </w:rPr>
        <w:t>“</w:t>
      </w:r>
      <w:r w:rsidRPr="00CB3465">
        <w:rPr>
          <w:rFonts w:cs="Times New Roman"/>
          <w:bCs/>
          <w:color w:val="17365D"/>
        </w:rPr>
        <w:t>Latvijas dzelzceļš</w:t>
      </w:r>
      <w:r w:rsidR="002375B3" w:rsidRPr="00CB3465">
        <w:rPr>
          <w:rFonts w:cs="Times New Roman"/>
          <w:bCs/>
          <w:color w:val="17365D"/>
        </w:rPr>
        <w:t>”</w:t>
      </w:r>
      <w:r w:rsidRPr="00CB3465">
        <w:rPr>
          <w:rFonts w:cs="Times New Roman"/>
          <w:bCs/>
          <w:color w:val="17365D"/>
        </w:rPr>
        <w:t xml:space="preserve"> un SIA </w:t>
      </w:r>
      <w:r w:rsidR="002375B3" w:rsidRPr="00CB3465">
        <w:rPr>
          <w:rFonts w:cs="Times New Roman"/>
          <w:bCs/>
          <w:color w:val="17365D"/>
        </w:rPr>
        <w:t>“</w:t>
      </w:r>
      <w:r w:rsidRPr="00CB3465">
        <w:rPr>
          <w:rFonts w:cs="Times New Roman"/>
          <w:bCs/>
          <w:color w:val="17365D"/>
        </w:rPr>
        <w:t>Eiropas dzelzceļa līnijas</w:t>
      </w:r>
      <w:r w:rsidR="002375B3" w:rsidRPr="00CB3465">
        <w:rPr>
          <w:rFonts w:cs="Times New Roman"/>
          <w:bCs/>
          <w:color w:val="17365D"/>
        </w:rPr>
        <w:t>”</w:t>
      </w:r>
      <w:r w:rsidR="00D3156C">
        <w:rPr>
          <w:rFonts w:cs="Times New Roman"/>
          <w:color w:val="17365D"/>
        </w:rPr>
        <w:t>,</w:t>
      </w:r>
    </w:p>
    <w:p w14:paraId="726CB367" w14:textId="22C5D700" w:rsidR="005A1105" w:rsidRPr="00CB3465" w:rsidRDefault="00140540" w:rsidP="00146A16">
      <w:pPr>
        <w:pStyle w:val="ListParagraph"/>
        <w:numPr>
          <w:ilvl w:val="0"/>
          <w:numId w:val="32"/>
        </w:numPr>
        <w:spacing w:after="120" w:line="240" w:lineRule="auto"/>
        <w:ind w:left="1003" w:hanging="357"/>
        <w:contextualSpacing w:val="0"/>
        <w:jc w:val="both"/>
        <w:rPr>
          <w:rFonts w:cs="Times New Roman"/>
          <w:i/>
          <w:color w:val="17365D"/>
        </w:rPr>
      </w:pPr>
      <w:r w:rsidRPr="00CB3465">
        <w:rPr>
          <w:rFonts w:cs="Times New Roman"/>
          <w:color w:val="17365D"/>
        </w:rPr>
        <w:t xml:space="preserve">Zemkopības ministrijai palielinājumu </w:t>
      </w:r>
      <w:r w:rsidR="00490E37" w:rsidRPr="00490E37">
        <w:rPr>
          <w:rFonts w:cs="Times New Roman"/>
          <w:color w:val="17365D"/>
        </w:rPr>
        <w:t>249</w:t>
      </w:r>
      <w:r w:rsidR="00490E37">
        <w:rPr>
          <w:rFonts w:cs="Times New Roman"/>
          <w:color w:val="17365D"/>
        </w:rPr>
        <w:t> </w:t>
      </w:r>
      <w:r w:rsidR="00490E37" w:rsidRPr="00490E37">
        <w:rPr>
          <w:rFonts w:cs="Times New Roman"/>
          <w:color w:val="17365D"/>
        </w:rPr>
        <w:t>735</w:t>
      </w:r>
      <w:r w:rsidR="00490E37">
        <w:rPr>
          <w:rFonts w:cs="Times New Roman"/>
          <w:color w:val="17365D"/>
        </w:rPr>
        <w:t> </w:t>
      </w:r>
      <w:r w:rsidR="00490E37" w:rsidRPr="00490E37">
        <w:rPr>
          <w:rFonts w:cs="Times New Roman"/>
          <w:color w:val="17365D"/>
        </w:rPr>
        <w:t>589</w:t>
      </w:r>
      <w:r w:rsidR="00490E37">
        <w:rPr>
          <w:rFonts w:cs="Times New Roman"/>
          <w:color w:val="17365D"/>
        </w:rPr>
        <w:t xml:space="preserve"> </w:t>
      </w:r>
      <w:r w:rsidR="00D3156C" w:rsidRPr="00CB3465">
        <w:rPr>
          <w:rFonts w:cs="Times New Roman"/>
          <w:i/>
          <w:color w:val="17365D"/>
        </w:rPr>
        <w:t xml:space="preserve">euro </w:t>
      </w:r>
      <w:r w:rsidR="00D3156C" w:rsidRPr="00CB3465">
        <w:rPr>
          <w:rFonts w:cs="Times New Roman"/>
          <w:color w:val="17365D"/>
        </w:rPr>
        <w:t xml:space="preserve">vērtībā </w:t>
      </w:r>
      <w:r w:rsidRPr="00CB3465">
        <w:rPr>
          <w:rFonts w:cs="Times New Roman"/>
          <w:color w:val="17365D"/>
        </w:rPr>
        <w:t xml:space="preserve">veido </w:t>
      </w:r>
      <w:r w:rsidR="003B73B4" w:rsidRPr="00CB3465">
        <w:rPr>
          <w:rFonts w:cs="Times New Roman"/>
          <w:color w:val="17365D"/>
        </w:rPr>
        <w:t xml:space="preserve">izmaiņas </w:t>
      </w:r>
      <w:r w:rsidRPr="00CB3465">
        <w:rPr>
          <w:rFonts w:cs="Times New Roman"/>
          <w:color w:val="17365D"/>
        </w:rPr>
        <w:t xml:space="preserve">kapitālsabiedrības AS </w:t>
      </w:r>
      <w:r w:rsidR="002375B3" w:rsidRPr="00CB3465">
        <w:rPr>
          <w:rFonts w:cs="Times New Roman"/>
          <w:color w:val="17365D"/>
        </w:rPr>
        <w:t>“</w:t>
      </w:r>
      <w:r w:rsidRPr="00CB3465">
        <w:rPr>
          <w:rFonts w:cs="Times New Roman"/>
          <w:color w:val="17365D"/>
        </w:rPr>
        <w:t>Latvijas valsts meži</w:t>
      </w:r>
      <w:r w:rsidR="002375B3" w:rsidRPr="00CB3465">
        <w:rPr>
          <w:rFonts w:cs="Times New Roman"/>
          <w:color w:val="17365D"/>
        </w:rPr>
        <w:t>”</w:t>
      </w:r>
      <w:r w:rsidRPr="00CB3465">
        <w:rPr>
          <w:rFonts w:cs="Times New Roman"/>
          <w:color w:val="17365D"/>
        </w:rPr>
        <w:t xml:space="preserve"> </w:t>
      </w:r>
      <w:r w:rsidR="003B73B4" w:rsidRPr="00CB3465">
        <w:rPr>
          <w:rFonts w:cs="Times New Roman"/>
          <w:color w:val="17365D"/>
        </w:rPr>
        <w:t>pašu kapitālā</w:t>
      </w:r>
      <w:r w:rsidRPr="00CB3465">
        <w:rPr>
          <w:rFonts w:cs="Times New Roman"/>
          <w:color w:val="17365D"/>
        </w:rPr>
        <w:t xml:space="preserve">, </w:t>
      </w:r>
      <w:r w:rsidR="003B73B4" w:rsidRPr="00CB3465">
        <w:rPr>
          <w:rFonts w:cs="Times New Roman"/>
          <w:color w:val="17365D"/>
        </w:rPr>
        <w:t>bet</w:t>
      </w:r>
      <w:r w:rsidRPr="00CB3465">
        <w:rPr>
          <w:rFonts w:cs="Times New Roman"/>
          <w:color w:val="17365D"/>
        </w:rPr>
        <w:t xml:space="preserve"> posteņa samazinājum</w:t>
      </w:r>
      <w:r w:rsidR="00D3156C">
        <w:rPr>
          <w:rFonts w:cs="Times New Roman"/>
          <w:color w:val="17365D"/>
        </w:rPr>
        <w:t xml:space="preserve">u par </w:t>
      </w:r>
      <w:r w:rsidR="00D3156C" w:rsidRPr="00CB3465">
        <w:rPr>
          <w:rFonts w:cs="Times New Roman"/>
          <w:color w:val="17365D"/>
        </w:rPr>
        <w:t xml:space="preserve">(191 297 618) </w:t>
      </w:r>
      <w:r w:rsidR="00D3156C" w:rsidRPr="00CB3465">
        <w:rPr>
          <w:rFonts w:cs="Times New Roman"/>
          <w:i/>
          <w:color w:val="17365D"/>
        </w:rPr>
        <w:t>euro</w:t>
      </w:r>
      <w:r w:rsidR="00D3156C" w:rsidRPr="00CB3465">
        <w:rPr>
          <w:rFonts w:cs="Times New Roman"/>
          <w:color w:val="17365D"/>
        </w:rPr>
        <w:t xml:space="preserve"> </w:t>
      </w:r>
      <w:r w:rsidR="003B73B4" w:rsidRPr="00CB3465">
        <w:rPr>
          <w:rFonts w:cs="Times New Roman"/>
          <w:color w:val="17365D"/>
        </w:rPr>
        <w:t>–</w:t>
      </w:r>
      <w:r w:rsidRPr="00CB3465">
        <w:rPr>
          <w:rFonts w:cs="Times New Roman"/>
          <w:color w:val="17365D"/>
        </w:rPr>
        <w:t xml:space="preserve"> kapitālsabiedrības AS </w:t>
      </w:r>
      <w:r w:rsidR="002375B3" w:rsidRPr="00CB3465">
        <w:rPr>
          <w:rFonts w:cs="Times New Roman"/>
          <w:color w:val="17365D"/>
        </w:rPr>
        <w:t>“</w:t>
      </w:r>
      <w:r w:rsidRPr="00CB3465">
        <w:rPr>
          <w:rFonts w:cs="Times New Roman"/>
          <w:color w:val="17365D"/>
        </w:rPr>
        <w:t>Latvijas valsts meži</w:t>
      </w:r>
      <w:r w:rsidR="002375B3" w:rsidRPr="00CB3465">
        <w:rPr>
          <w:rFonts w:cs="Times New Roman"/>
          <w:color w:val="17365D"/>
        </w:rPr>
        <w:t>”</w:t>
      </w:r>
      <w:r w:rsidRPr="00CB3465">
        <w:rPr>
          <w:rFonts w:cs="Times New Roman"/>
          <w:color w:val="17365D"/>
        </w:rPr>
        <w:t xml:space="preserve"> </w:t>
      </w:r>
      <w:r w:rsidR="003B73B4" w:rsidRPr="00CB3465">
        <w:rPr>
          <w:rFonts w:cs="Times New Roman"/>
          <w:color w:val="17365D"/>
        </w:rPr>
        <w:t>pašu kapi</w:t>
      </w:r>
      <w:r w:rsidR="00490E37">
        <w:rPr>
          <w:rFonts w:cs="Times New Roman"/>
          <w:color w:val="17365D"/>
        </w:rPr>
        <w:t>t</w:t>
      </w:r>
      <w:r w:rsidR="003B73B4" w:rsidRPr="00CB3465">
        <w:rPr>
          <w:rFonts w:cs="Times New Roman"/>
          <w:color w:val="17365D"/>
        </w:rPr>
        <w:t>ālā</w:t>
      </w:r>
      <w:r w:rsidR="00983AC8" w:rsidRPr="00CB3465">
        <w:rPr>
          <w:rFonts w:cs="Times New Roman"/>
          <w:i/>
          <w:color w:val="17365D"/>
        </w:rPr>
        <w:t>.</w:t>
      </w:r>
    </w:p>
    <w:p w14:paraId="290F1F87" w14:textId="24AE73A7" w:rsidR="009C482E" w:rsidRPr="00E72168" w:rsidRDefault="00987D7D" w:rsidP="00E72168">
      <w:pPr>
        <w:spacing w:after="120" w:line="240" w:lineRule="auto"/>
        <w:ind w:firstLine="284"/>
        <w:jc w:val="both"/>
        <w:rPr>
          <w:rFonts w:cs="Times New Roman"/>
          <w:color w:val="17365D"/>
        </w:rPr>
      </w:pPr>
      <w:r w:rsidRPr="00E72168">
        <w:rPr>
          <w:rFonts w:cs="Times New Roman"/>
          <w:color w:val="17365D"/>
        </w:rPr>
        <w:t>L</w:t>
      </w:r>
      <w:r w:rsidR="002020FF" w:rsidRPr="00E72168">
        <w:rPr>
          <w:rFonts w:cs="Times New Roman"/>
          <w:color w:val="17365D"/>
        </w:rPr>
        <w:t>īdzdalības radniecīgās un asociētās kapitālsabiedrībās</w:t>
      </w:r>
      <w:r w:rsidRPr="00E72168">
        <w:rPr>
          <w:rFonts w:cs="Times New Roman"/>
          <w:color w:val="17365D"/>
        </w:rPr>
        <w:t>, tai skaitā turējumā nodot</w:t>
      </w:r>
      <w:r w:rsidR="002375B3">
        <w:rPr>
          <w:rFonts w:cs="Times New Roman"/>
          <w:color w:val="17365D"/>
        </w:rPr>
        <w:t>ā</w:t>
      </w:r>
      <w:r w:rsidRPr="00E72168">
        <w:rPr>
          <w:rFonts w:cs="Times New Roman"/>
          <w:color w:val="17365D"/>
        </w:rPr>
        <w:t>s līdzdalības,</w:t>
      </w:r>
      <w:r w:rsidR="002020FF" w:rsidRPr="00E72168">
        <w:rPr>
          <w:rFonts w:cs="Times New Roman"/>
          <w:color w:val="17365D"/>
        </w:rPr>
        <w:t xml:space="preserve"> vērtība pēc pašu kapitāla metodes </w:t>
      </w:r>
      <w:r w:rsidRPr="00E72168">
        <w:rPr>
          <w:rFonts w:cs="Times New Roman"/>
          <w:color w:val="17365D"/>
        </w:rPr>
        <w:t xml:space="preserve">atsevišķos gadījumos </w:t>
      </w:r>
      <w:r w:rsidR="002020FF" w:rsidRPr="00E72168">
        <w:rPr>
          <w:rFonts w:cs="Times New Roman"/>
          <w:color w:val="17365D"/>
        </w:rPr>
        <w:t>pārrēķināta, izmantojot kapitālsabiedrību pašu kapitāla datus par iepriekšējiem pārskata periodiem vai nepilnu pārskata periodu. Dati par pilnu pārskata periodu nav izmantoti, j</w:t>
      </w:r>
      <w:r w:rsidR="000313B4" w:rsidRPr="00E72168">
        <w:rPr>
          <w:rFonts w:cs="Times New Roman"/>
          <w:color w:val="17365D"/>
        </w:rPr>
        <w:t>a</w:t>
      </w:r>
      <w:r w:rsidR="002020FF" w:rsidRPr="00E72168">
        <w:rPr>
          <w:rFonts w:cs="Times New Roman"/>
          <w:color w:val="17365D"/>
        </w:rPr>
        <w:t xml:space="preserve"> attiecīgā kapitālsabiedrība tādus nav iesniegusi, uzsākts</w:t>
      </w:r>
      <w:r w:rsidR="00FE1DE2" w:rsidRPr="00E72168">
        <w:rPr>
          <w:rFonts w:cs="Times New Roman"/>
          <w:color w:val="17365D"/>
        </w:rPr>
        <w:t xml:space="preserve"> kapitālsabiedrības</w:t>
      </w:r>
      <w:r w:rsidR="001235C4" w:rsidRPr="00E72168">
        <w:rPr>
          <w:rFonts w:cs="Times New Roman"/>
          <w:color w:val="17365D"/>
        </w:rPr>
        <w:t xml:space="preserve"> likvidācijas process, </w:t>
      </w:r>
      <w:r w:rsidR="00FE1DE2" w:rsidRPr="00E72168">
        <w:rPr>
          <w:rFonts w:cs="Times New Roman"/>
          <w:color w:val="17365D"/>
        </w:rPr>
        <w:t>attiecīgā kapitālsabiedrība pārskata gadā reorganizēta</w:t>
      </w:r>
      <w:r w:rsidR="001235C4" w:rsidRPr="00E72168">
        <w:rPr>
          <w:rFonts w:cs="Times New Roman"/>
          <w:color w:val="17365D"/>
        </w:rPr>
        <w:t xml:space="preserve"> vai atsavinātas tās kapitāla daļas.</w:t>
      </w:r>
    </w:p>
    <w:p w14:paraId="12C1E7E9" w14:textId="77777777" w:rsidR="00304751" w:rsidRPr="002375B3" w:rsidRDefault="00304751" w:rsidP="00304751">
      <w:pPr>
        <w:spacing w:after="120" w:line="240" w:lineRule="auto"/>
        <w:ind w:firstLine="284"/>
        <w:jc w:val="both"/>
        <w:rPr>
          <w:rFonts w:cs="Times New Roman"/>
          <w:color w:val="17365D"/>
        </w:rPr>
      </w:pPr>
      <w:r w:rsidRPr="002375B3">
        <w:rPr>
          <w:rFonts w:cs="Times New Roman"/>
          <w:color w:val="17365D"/>
        </w:rPr>
        <w:t>Pielietojot pašu kapitāla metodi līdzdalības radniecīgās un asociētās kapitālsabiedrībās novērtēšanai, ieguldījuma vērtību samazina līdz nullei, ja kapitālsabiedrības pašu kapitāla vērtība ir negatīva. Pārskata perioda beigās saskaņā ar ministriju, centrālo valsts iestāžu un pašvaldību sniegto informāciju:</w:t>
      </w:r>
    </w:p>
    <w:p w14:paraId="33EA842D" w14:textId="014F3572" w:rsidR="00304751" w:rsidRPr="00E72168" w:rsidRDefault="00304751" w:rsidP="00146A16">
      <w:pPr>
        <w:pStyle w:val="tv2131"/>
        <w:numPr>
          <w:ilvl w:val="0"/>
          <w:numId w:val="27"/>
        </w:numPr>
        <w:spacing w:after="120" w:line="240" w:lineRule="auto"/>
        <w:jc w:val="both"/>
        <w:rPr>
          <w:color w:val="17365D"/>
          <w:sz w:val="24"/>
          <w:szCs w:val="24"/>
        </w:rPr>
      </w:pPr>
      <w:r w:rsidRPr="00E72168">
        <w:rPr>
          <w:color w:val="17365D"/>
          <w:sz w:val="24"/>
          <w:szCs w:val="24"/>
        </w:rPr>
        <w:t xml:space="preserve">kapitālsabiedrības neatzītā kopējā zaudējumu daļa, ja kapitāla daļu turētājs pārstājis atzīt savu daļu kapitālsabiedrības zaudējumos, ir </w:t>
      </w:r>
      <w:r w:rsidR="007E5528" w:rsidRPr="00E72168">
        <w:rPr>
          <w:color w:val="17365D"/>
          <w:sz w:val="24"/>
          <w:szCs w:val="24"/>
        </w:rPr>
        <w:t>48</w:t>
      </w:r>
      <w:r w:rsidR="002375B3">
        <w:rPr>
          <w:color w:val="17365D"/>
          <w:sz w:val="24"/>
          <w:szCs w:val="24"/>
        </w:rPr>
        <w:t> </w:t>
      </w:r>
      <w:r w:rsidR="007E5528" w:rsidRPr="00E72168">
        <w:rPr>
          <w:color w:val="17365D"/>
          <w:sz w:val="24"/>
          <w:szCs w:val="24"/>
        </w:rPr>
        <w:t xml:space="preserve">338 533 </w:t>
      </w:r>
      <w:r w:rsidRPr="00E72168">
        <w:rPr>
          <w:i/>
          <w:color w:val="17365D"/>
          <w:sz w:val="24"/>
          <w:szCs w:val="24"/>
        </w:rPr>
        <w:t>euro</w:t>
      </w:r>
      <w:r w:rsidRPr="00E72168">
        <w:rPr>
          <w:color w:val="17365D"/>
          <w:sz w:val="24"/>
          <w:szCs w:val="24"/>
        </w:rPr>
        <w:t xml:space="preserve"> (lielākie </w:t>
      </w:r>
      <w:r w:rsidR="00C96482" w:rsidRPr="00E72168">
        <w:rPr>
          <w:color w:val="17365D"/>
          <w:sz w:val="24"/>
          <w:szCs w:val="24"/>
        </w:rPr>
        <w:t>AS “Air Baltic Corporation”</w:t>
      </w:r>
      <w:r w:rsidRPr="00E72168">
        <w:rPr>
          <w:color w:val="17365D"/>
          <w:sz w:val="24"/>
          <w:szCs w:val="24"/>
        </w:rPr>
        <w:t xml:space="preserve"> </w:t>
      </w:r>
      <w:r w:rsidR="002375B3" w:rsidRPr="00E72168">
        <w:rPr>
          <w:color w:val="17365D"/>
          <w:sz w:val="24"/>
          <w:szCs w:val="24"/>
        </w:rPr>
        <w:t>46</w:t>
      </w:r>
      <w:r w:rsidR="002375B3">
        <w:rPr>
          <w:color w:val="17365D"/>
          <w:sz w:val="24"/>
          <w:szCs w:val="24"/>
        </w:rPr>
        <w:t> </w:t>
      </w:r>
      <w:r w:rsidR="007E5528" w:rsidRPr="00E72168">
        <w:rPr>
          <w:color w:val="17365D"/>
          <w:sz w:val="24"/>
          <w:szCs w:val="24"/>
        </w:rPr>
        <w:t xml:space="preserve">916 127 </w:t>
      </w:r>
      <w:r w:rsidRPr="00E72168">
        <w:rPr>
          <w:i/>
          <w:color w:val="17365D"/>
          <w:sz w:val="24"/>
          <w:szCs w:val="24"/>
        </w:rPr>
        <w:t>euro</w:t>
      </w:r>
      <w:r w:rsidRPr="00E72168">
        <w:rPr>
          <w:color w:val="17365D"/>
          <w:sz w:val="24"/>
          <w:szCs w:val="24"/>
        </w:rPr>
        <w:t xml:space="preserve">), t.sk. pārskata periodā </w:t>
      </w:r>
      <w:r w:rsidR="007E5528" w:rsidRPr="00E72168">
        <w:rPr>
          <w:color w:val="17365D"/>
          <w:sz w:val="24"/>
          <w:szCs w:val="24"/>
        </w:rPr>
        <w:t xml:space="preserve">148 011 </w:t>
      </w:r>
      <w:r w:rsidRPr="00E72168">
        <w:rPr>
          <w:i/>
          <w:color w:val="17365D"/>
          <w:sz w:val="24"/>
          <w:szCs w:val="24"/>
        </w:rPr>
        <w:t>euro</w:t>
      </w:r>
      <w:r w:rsidRPr="00E72168">
        <w:rPr>
          <w:color w:val="17365D"/>
          <w:sz w:val="24"/>
          <w:szCs w:val="24"/>
        </w:rPr>
        <w:t xml:space="preserve"> (lielākie </w:t>
      </w:r>
      <w:r w:rsidR="002F1E9A">
        <w:rPr>
          <w:color w:val="17365D"/>
          <w:sz w:val="24"/>
          <w:szCs w:val="24"/>
        </w:rPr>
        <w:t>SIA</w:t>
      </w:r>
      <w:r w:rsidR="00C36594">
        <w:rPr>
          <w:color w:val="17365D"/>
          <w:sz w:val="24"/>
          <w:szCs w:val="24"/>
        </w:rPr>
        <w:t> </w:t>
      </w:r>
      <w:r w:rsidR="002F1E9A">
        <w:rPr>
          <w:color w:val="17365D"/>
          <w:sz w:val="24"/>
          <w:szCs w:val="24"/>
        </w:rPr>
        <w:t>“</w:t>
      </w:r>
      <w:r w:rsidR="007E5528" w:rsidRPr="00E72168">
        <w:rPr>
          <w:color w:val="17365D"/>
          <w:sz w:val="24"/>
          <w:szCs w:val="24"/>
        </w:rPr>
        <w:t>Vidusdaugavas SPAAO</w:t>
      </w:r>
      <w:r w:rsidR="002F1E9A">
        <w:rPr>
          <w:color w:val="17365D"/>
          <w:sz w:val="24"/>
          <w:szCs w:val="24"/>
        </w:rPr>
        <w:t>”</w:t>
      </w:r>
      <w:r w:rsidR="007E5528" w:rsidRPr="00E72168">
        <w:rPr>
          <w:color w:val="17365D"/>
          <w:sz w:val="24"/>
          <w:szCs w:val="24"/>
        </w:rPr>
        <w:t xml:space="preserve"> 101 631 </w:t>
      </w:r>
      <w:r w:rsidRPr="00E72168">
        <w:rPr>
          <w:i/>
          <w:color w:val="17365D"/>
          <w:sz w:val="24"/>
          <w:szCs w:val="24"/>
        </w:rPr>
        <w:t>euro</w:t>
      </w:r>
      <w:r w:rsidRPr="00E72168">
        <w:rPr>
          <w:color w:val="17365D"/>
          <w:sz w:val="24"/>
          <w:szCs w:val="24"/>
        </w:rPr>
        <w:t>);</w:t>
      </w:r>
    </w:p>
    <w:p w14:paraId="46DD8478" w14:textId="0E14697A" w:rsidR="00304751" w:rsidRPr="00E72168" w:rsidRDefault="00304751" w:rsidP="00146A16">
      <w:pPr>
        <w:pStyle w:val="tv2131"/>
        <w:numPr>
          <w:ilvl w:val="0"/>
          <w:numId w:val="27"/>
        </w:numPr>
        <w:spacing w:after="120" w:line="240" w:lineRule="auto"/>
        <w:jc w:val="both"/>
        <w:rPr>
          <w:color w:val="17365D"/>
          <w:sz w:val="24"/>
          <w:szCs w:val="24"/>
        </w:rPr>
      </w:pPr>
      <w:r w:rsidRPr="00E72168">
        <w:rPr>
          <w:color w:val="17365D"/>
          <w:sz w:val="24"/>
          <w:szCs w:val="24"/>
        </w:rPr>
        <w:t xml:space="preserve">peļņas daļa, kas nepārsniedz zaudējumus, ir </w:t>
      </w:r>
      <w:r w:rsidR="00B922F1" w:rsidRPr="00E72168">
        <w:rPr>
          <w:color w:val="17365D"/>
          <w:sz w:val="24"/>
          <w:szCs w:val="24"/>
        </w:rPr>
        <w:t>33</w:t>
      </w:r>
      <w:r w:rsidR="002F1E9A">
        <w:rPr>
          <w:color w:val="17365D"/>
          <w:sz w:val="24"/>
          <w:szCs w:val="24"/>
        </w:rPr>
        <w:t> </w:t>
      </w:r>
      <w:r w:rsidR="00B922F1" w:rsidRPr="00E72168">
        <w:rPr>
          <w:color w:val="17365D"/>
          <w:sz w:val="24"/>
          <w:szCs w:val="24"/>
        </w:rPr>
        <w:t xml:space="preserve">166 927 </w:t>
      </w:r>
      <w:r w:rsidRPr="00E72168">
        <w:rPr>
          <w:i/>
          <w:color w:val="17365D"/>
          <w:sz w:val="24"/>
          <w:szCs w:val="24"/>
        </w:rPr>
        <w:t>euro</w:t>
      </w:r>
      <w:r w:rsidRPr="00E72168">
        <w:rPr>
          <w:color w:val="17365D"/>
          <w:sz w:val="24"/>
          <w:szCs w:val="24"/>
        </w:rPr>
        <w:t>;</w:t>
      </w:r>
    </w:p>
    <w:p w14:paraId="3B2FCC6E" w14:textId="05FDD97A" w:rsidR="00304751" w:rsidRPr="00E72168" w:rsidRDefault="00304751" w:rsidP="00146A16">
      <w:pPr>
        <w:pStyle w:val="tv2131"/>
        <w:numPr>
          <w:ilvl w:val="0"/>
          <w:numId w:val="27"/>
        </w:numPr>
        <w:spacing w:after="120" w:line="240" w:lineRule="auto"/>
        <w:jc w:val="both"/>
        <w:rPr>
          <w:color w:val="17365D"/>
          <w:sz w:val="24"/>
          <w:szCs w:val="24"/>
        </w:rPr>
      </w:pPr>
      <w:r w:rsidRPr="00E72168">
        <w:rPr>
          <w:color w:val="17365D"/>
          <w:sz w:val="24"/>
          <w:szCs w:val="24"/>
        </w:rPr>
        <w:lastRenderedPageBreak/>
        <w:t>uz ieguldījumiem radniecīgās un asociētās kapitālsabiedrībās attiecinām</w:t>
      </w:r>
      <w:r w:rsidR="00D95669" w:rsidRPr="00E72168">
        <w:rPr>
          <w:color w:val="17365D"/>
          <w:sz w:val="24"/>
          <w:szCs w:val="24"/>
        </w:rPr>
        <w:t>as</w:t>
      </w:r>
      <w:r w:rsidRPr="00E72168">
        <w:rPr>
          <w:color w:val="17365D"/>
          <w:sz w:val="24"/>
          <w:szCs w:val="24"/>
        </w:rPr>
        <w:t xml:space="preserve"> iespējam</w:t>
      </w:r>
      <w:r w:rsidR="00D95669" w:rsidRPr="00E72168">
        <w:rPr>
          <w:color w:val="17365D"/>
          <w:sz w:val="24"/>
          <w:szCs w:val="24"/>
        </w:rPr>
        <w:t>ās</w:t>
      </w:r>
      <w:r w:rsidRPr="00E72168">
        <w:rPr>
          <w:color w:val="17365D"/>
          <w:sz w:val="24"/>
          <w:szCs w:val="24"/>
        </w:rPr>
        <w:t xml:space="preserve"> saistīb</w:t>
      </w:r>
      <w:r w:rsidR="00D95669" w:rsidRPr="00E72168">
        <w:rPr>
          <w:color w:val="17365D"/>
          <w:sz w:val="24"/>
          <w:szCs w:val="24"/>
        </w:rPr>
        <w:t xml:space="preserve">as ir </w:t>
      </w:r>
      <w:r w:rsidR="001F186E" w:rsidRPr="00E72168">
        <w:rPr>
          <w:color w:val="17365D"/>
          <w:sz w:val="24"/>
          <w:szCs w:val="24"/>
        </w:rPr>
        <w:t xml:space="preserve">175 627 </w:t>
      </w:r>
      <w:r w:rsidR="00D95669" w:rsidRPr="00E72168">
        <w:rPr>
          <w:i/>
          <w:color w:val="17365D"/>
          <w:sz w:val="24"/>
          <w:szCs w:val="24"/>
        </w:rPr>
        <w:t>euro</w:t>
      </w:r>
      <w:r w:rsidRPr="00E72168">
        <w:rPr>
          <w:color w:val="17365D"/>
          <w:sz w:val="24"/>
          <w:szCs w:val="24"/>
        </w:rPr>
        <w:t xml:space="preserve">, </w:t>
      </w:r>
    </w:p>
    <w:p w14:paraId="40A07FD3" w14:textId="7B93CEDC" w:rsidR="003D1ECC" w:rsidRDefault="00D95669" w:rsidP="00146A16">
      <w:pPr>
        <w:pStyle w:val="tv2131"/>
        <w:numPr>
          <w:ilvl w:val="0"/>
          <w:numId w:val="27"/>
        </w:numPr>
        <w:spacing w:after="120" w:line="240" w:lineRule="auto"/>
        <w:jc w:val="both"/>
        <w:rPr>
          <w:color w:val="17365D"/>
          <w:sz w:val="24"/>
          <w:szCs w:val="24"/>
        </w:rPr>
      </w:pPr>
      <w:r w:rsidRPr="00E72168">
        <w:rPr>
          <w:color w:val="17365D"/>
          <w:sz w:val="24"/>
          <w:szCs w:val="24"/>
        </w:rPr>
        <w:t>uzņēmumu zaudējumu un likvidācijas procesa rezultātā konstatēti</w:t>
      </w:r>
      <w:r w:rsidRPr="00E72168" w:rsidDel="00D95669">
        <w:rPr>
          <w:color w:val="17365D"/>
          <w:sz w:val="24"/>
          <w:szCs w:val="24"/>
        </w:rPr>
        <w:t xml:space="preserve"> </w:t>
      </w:r>
      <w:r w:rsidR="00304751" w:rsidRPr="00E72168">
        <w:rPr>
          <w:color w:val="17365D"/>
          <w:sz w:val="24"/>
          <w:szCs w:val="24"/>
        </w:rPr>
        <w:t>ierobežojumi, kas ietekmē kapitālsabiedrību spēju pārskaitīt naudas līdzekļus ieguldītājam dividenžu vai tamlīdzīgu maksājumu veidā</w:t>
      </w:r>
      <w:r w:rsidRPr="00E72168">
        <w:rPr>
          <w:color w:val="17365D"/>
          <w:sz w:val="24"/>
          <w:szCs w:val="24"/>
        </w:rPr>
        <w:t xml:space="preserve">, </w:t>
      </w:r>
      <w:r w:rsidR="001F186E" w:rsidRPr="00E72168">
        <w:rPr>
          <w:color w:val="17365D"/>
          <w:sz w:val="24"/>
          <w:szCs w:val="24"/>
        </w:rPr>
        <w:t xml:space="preserve">175 627 </w:t>
      </w:r>
      <w:r w:rsidRPr="00E72168">
        <w:rPr>
          <w:i/>
          <w:color w:val="17365D"/>
          <w:sz w:val="24"/>
          <w:szCs w:val="24"/>
        </w:rPr>
        <w:t>euro</w:t>
      </w:r>
      <w:r w:rsidR="00304751" w:rsidRPr="00E72168">
        <w:rPr>
          <w:color w:val="17365D"/>
          <w:sz w:val="24"/>
          <w:szCs w:val="24"/>
        </w:rPr>
        <w:t>.</w:t>
      </w:r>
    </w:p>
    <w:p w14:paraId="09EA546E" w14:textId="3B3DC9F7" w:rsidR="002375B3" w:rsidRPr="002F1E9A" w:rsidRDefault="002375B3" w:rsidP="002F1E9A">
      <w:pPr>
        <w:spacing w:after="120" w:line="240" w:lineRule="auto"/>
        <w:ind w:firstLine="284"/>
        <w:jc w:val="both"/>
        <w:rPr>
          <w:rFonts w:cs="Times New Roman"/>
          <w:bCs/>
          <w:color w:val="17365D"/>
        </w:rPr>
      </w:pPr>
      <w:r w:rsidRPr="002F1E9A">
        <w:rPr>
          <w:rFonts w:cs="Times New Roman"/>
          <w:bCs/>
          <w:color w:val="17365D"/>
        </w:rPr>
        <w:t>Bilances postenī “Ilgtermiņa aizdevumi” konsolidēti valsts budžeta finanšu uzskaites aizdevumi valsts un pašvaldību budžeta iestādēm.</w:t>
      </w:r>
    </w:p>
    <w:p w14:paraId="5AB7000A" w14:textId="77777777" w:rsidR="002375B3" w:rsidRPr="00E72168" w:rsidRDefault="002375B3" w:rsidP="002375B3">
      <w:pPr>
        <w:pStyle w:val="Heading5"/>
        <w:rPr>
          <w:rFonts w:cs="Times New Roman"/>
        </w:rPr>
      </w:pPr>
      <w:r w:rsidRPr="00E72168">
        <w:rPr>
          <w:rFonts w:cs="Times New Roman"/>
        </w:rPr>
        <w:t>Piezīme Nr. KB.1.3.2. Pārējie ilgtermiņa finanšu ieguldījumi</w:t>
      </w:r>
    </w:p>
    <w:p w14:paraId="39896814" w14:textId="45C7690F" w:rsidR="002375B3" w:rsidRPr="00E72168" w:rsidRDefault="002375B3" w:rsidP="00ED1E06">
      <w:pPr>
        <w:spacing w:after="120" w:line="240" w:lineRule="auto"/>
        <w:ind w:firstLine="284"/>
        <w:jc w:val="both"/>
        <w:rPr>
          <w:rFonts w:cs="Times New Roman"/>
          <w:color w:val="17365D"/>
        </w:rPr>
      </w:pPr>
      <w:r w:rsidRPr="00E72168">
        <w:rPr>
          <w:rFonts w:cs="Times New Roman"/>
          <w:color w:val="17365D"/>
        </w:rPr>
        <w:t xml:space="preserve">Lielākās izmaiņas posteņa vērtībā veido Labklājības ministrijas </w:t>
      </w:r>
      <w:r w:rsidR="00ED1E06">
        <w:rPr>
          <w:rFonts w:cs="Times New Roman"/>
          <w:color w:val="17365D"/>
        </w:rPr>
        <w:t xml:space="preserve">administrēto </w:t>
      </w:r>
      <w:r w:rsidR="00977A22">
        <w:rPr>
          <w:rFonts w:cs="Times New Roman"/>
          <w:color w:val="17365D"/>
        </w:rPr>
        <w:t xml:space="preserve">valsts fondēto pensiju shēmas </w:t>
      </w:r>
      <w:r w:rsidRPr="00E72168">
        <w:rPr>
          <w:rFonts w:cs="Times New Roman"/>
          <w:color w:val="17365D"/>
        </w:rPr>
        <w:t>ieguldījumu plāna līdzekļu vērtības palielinājums 726</w:t>
      </w:r>
      <w:r>
        <w:rPr>
          <w:rFonts w:cs="Times New Roman"/>
          <w:color w:val="17365D"/>
        </w:rPr>
        <w:t> </w:t>
      </w:r>
      <w:r w:rsidRPr="00E72168">
        <w:rPr>
          <w:rFonts w:cs="Times New Roman"/>
          <w:color w:val="17365D"/>
        </w:rPr>
        <w:t>724</w:t>
      </w:r>
      <w:r>
        <w:rPr>
          <w:rFonts w:cs="Times New Roman"/>
          <w:color w:val="17365D"/>
        </w:rPr>
        <w:t> </w:t>
      </w:r>
      <w:r w:rsidRPr="00E72168">
        <w:rPr>
          <w:rFonts w:cs="Times New Roman"/>
          <w:color w:val="17365D"/>
        </w:rPr>
        <w:t xml:space="preserve">103 </w:t>
      </w:r>
      <w:r w:rsidRPr="00E72168">
        <w:rPr>
          <w:rFonts w:cs="Times New Roman"/>
          <w:i/>
          <w:color w:val="17365D"/>
        </w:rPr>
        <w:t>euro</w:t>
      </w:r>
      <w:r w:rsidRPr="00E72168">
        <w:rPr>
          <w:rFonts w:cs="Times New Roman"/>
          <w:color w:val="17365D"/>
        </w:rPr>
        <w:t xml:space="preserve"> apmērā un pārvaldīšanā nodotās valsts fondēto pensiju shēmas dalībnieku iemaksas 776</w:t>
      </w:r>
      <w:r>
        <w:rPr>
          <w:rFonts w:cs="Times New Roman"/>
          <w:color w:val="17365D"/>
        </w:rPr>
        <w:t> </w:t>
      </w:r>
      <w:r w:rsidRPr="00E72168">
        <w:rPr>
          <w:rFonts w:cs="Times New Roman"/>
          <w:color w:val="17365D"/>
        </w:rPr>
        <w:t>621</w:t>
      </w:r>
      <w:r>
        <w:rPr>
          <w:rFonts w:cs="Times New Roman"/>
          <w:color w:val="17365D"/>
        </w:rPr>
        <w:t> </w:t>
      </w:r>
      <w:r w:rsidRPr="00E72168">
        <w:rPr>
          <w:rFonts w:cs="Times New Roman"/>
          <w:color w:val="17365D"/>
        </w:rPr>
        <w:t xml:space="preserve">069 </w:t>
      </w:r>
      <w:r w:rsidRPr="00E72168">
        <w:rPr>
          <w:rFonts w:cs="Times New Roman"/>
          <w:i/>
          <w:color w:val="17365D"/>
        </w:rPr>
        <w:t>euro</w:t>
      </w:r>
      <w:r w:rsidRPr="00E72168">
        <w:rPr>
          <w:rFonts w:cs="Times New Roman"/>
          <w:color w:val="17365D"/>
        </w:rPr>
        <w:t xml:space="preserve"> apmērā</w:t>
      </w:r>
      <w:r w:rsidR="00977A22">
        <w:rPr>
          <w:rFonts w:cs="Times New Roman"/>
          <w:color w:val="17365D"/>
        </w:rPr>
        <w:t>,</w:t>
      </w:r>
      <w:r w:rsidRPr="00E72168">
        <w:rPr>
          <w:rFonts w:cs="Times New Roman"/>
          <w:color w:val="17365D"/>
        </w:rPr>
        <w:t xml:space="preserve"> samazinājums par </w:t>
      </w:r>
      <w:r w:rsidR="00977A22" w:rsidRPr="00ED1E06">
        <w:rPr>
          <w:rFonts w:cs="Times New Roman"/>
          <w:color w:val="17365D"/>
        </w:rPr>
        <w:t>līdzekļu</w:t>
      </w:r>
      <w:r w:rsidRPr="00ED1E06">
        <w:rPr>
          <w:rFonts w:cs="Times New Roman"/>
          <w:color w:val="17365D"/>
        </w:rPr>
        <w:t xml:space="preserve"> atlikumu</w:t>
      </w:r>
      <w:r w:rsidR="00ED1E06" w:rsidRPr="00ED1E06">
        <w:rPr>
          <w:rFonts w:cs="Times New Roman"/>
          <w:color w:val="17365D"/>
        </w:rPr>
        <w:t xml:space="preserve"> (33 563 664</w:t>
      </w:r>
      <w:r w:rsidR="00ED1E06" w:rsidRPr="00E72168">
        <w:rPr>
          <w:rFonts w:cs="Times New Roman"/>
          <w:color w:val="17365D"/>
        </w:rPr>
        <w:t xml:space="preserve">) </w:t>
      </w:r>
      <w:r w:rsidR="00ED1E06" w:rsidRPr="00E72168">
        <w:rPr>
          <w:rFonts w:cs="Times New Roman"/>
          <w:i/>
          <w:color w:val="17365D"/>
        </w:rPr>
        <w:t>euro</w:t>
      </w:r>
      <w:r w:rsidR="00ED1E06" w:rsidRPr="00E72168">
        <w:rPr>
          <w:rFonts w:cs="Times New Roman"/>
          <w:color w:val="17365D"/>
        </w:rPr>
        <w:t xml:space="preserve"> apmērā</w:t>
      </w:r>
      <w:r w:rsidRPr="00E72168">
        <w:rPr>
          <w:rFonts w:cs="Times New Roman"/>
          <w:color w:val="17365D"/>
        </w:rPr>
        <w:t>, jo shēmas dalībnieks nav veicis izvēli par uzkrāto pensijas kapitālu</w:t>
      </w:r>
      <w:r w:rsidR="00ED1E06">
        <w:rPr>
          <w:rFonts w:cs="Times New Roman"/>
          <w:color w:val="17365D"/>
        </w:rPr>
        <w:t>,</w:t>
      </w:r>
      <w:r w:rsidRPr="00E72168">
        <w:rPr>
          <w:rFonts w:cs="Times New Roman"/>
          <w:color w:val="17365D"/>
        </w:rPr>
        <w:t xml:space="preserve"> par </w:t>
      </w:r>
      <w:r w:rsidR="00ED1E06" w:rsidRPr="00E72168">
        <w:rPr>
          <w:rFonts w:cs="Times New Roman"/>
          <w:color w:val="17365D"/>
        </w:rPr>
        <w:t>(29</w:t>
      </w:r>
      <w:r w:rsidR="00ED1E06">
        <w:rPr>
          <w:rFonts w:cs="Times New Roman"/>
          <w:color w:val="17365D"/>
        </w:rPr>
        <w:t> </w:t>
      </w:r>
      <w:r w:rsidR="00ED1E06" w:rsidRPr="00E72168">
        <w:rPr>
          <w:rFonts w:cs="Times New Roman"/>
          <w:color w:val="17365D"/>
        </w:rPr>
        <w:t xml:space="preserve">345 604) </w:t>
      </w:r>
      <w:r w:rsidR="00ED1E06" w:rsidRPr="00E72168">
        <w:rPr>
          <w:rFonts w:cs="Times New Roman"/>
          <w:i/>
          <w:color w:val="17365D"/>
        </w:rPr>
        <w:t>euro</w:t>
      </w:r>
      <w:r w:rsidR="00ED1E06" w:rsidRPr="00E72168" w:rsidDel="00ED1E06">
        <w:rPr>
          <w:rFonts w:cs="Times New Roman"/>
          <w:color w:val="17365D"/>
        </w:rPr>
        <w:t xml:space="preserve"> </w:t>
      </w:r>
      <w:r w:rsidRPr="00E72168">
        <w:rPr>
          <w:rFonts w:cs="Times New Roman"/>
          <w:color w:val="17365D"/>
        </w:rPr>
        <w:t>uzkrātā pensijas kapitāla daļu dzēšan</w:t>
      </w:r>
      <w:r w:rsidR="00ED1E06">
        <w:rPr>
          <w:rFonts w:cs="Times New Roman"/>
          <w:color w:val="17365D"/>
        </w:rPr>
        <w:t>u</w:t>
      </w:r>
      <w:r w:rsidRPr="00E72168">
        <w:rPr>
          <w:rFonts w:cs="Times New Roman"/>
          <w:color w:val="17365D"/>
        </w:rPr>
        <w:t xml:space="preserve"> mūža polises iegādei, par </w:t>
      </w:r>
      <w:r w:rsidR="00ED1E06" w:rsidRPr="00E72168">
        <w:rPr>
          <w:rFonts w:cs="Times New Roman"/>
          <w:color w:val="17365D"/>
        </w:rPr>
        <w:t>(37</w:t>
      </w:r>
      <w:r w:rsidR="00ED1E06">
        <w:rPr>
          <w:rFonts w:cs="Times New Roman"/>
          <w:color w:val="17365D"/>
        </w:rPr>
        <w:t> </w:t>
      </w:r>
      <w:r w:rsidR="00ED1E06" w:rsidRPr="00E72168">
        <w:rPr>
          <w:rFonts w:cs="Times New Roman"/>
          <w:color w:val="17365D"/>
        </w:rPr>
        <w:t xml:space="preserve">050 914) </w:t>
      </w:r>
      <w:r w:rsidR="00ED1E06" w:rsidRPr="00E72168">
        <w:rPr>
          <w:rFonts w:cs="Times New Roman"/>
          <w:i/>
          <w:color w:val="17365D"/>
        </w:rPr>
        <w:t>euro</w:t>
      </w:r>
      <w:r w:rsidR="00ED1E06" w:rsidRPr="00E72168">
        <w:rPr>
          <w:rFonts w:cs="Times New Roman"/>
          <w:color w:val="17365D"/>
        </w:rPr>
        <w:t xml:space="preserve"> </w:t>
      </w:r>
      <w:r w:rsidRPr="00E72168">
        <w:rPr>
          <w:rFonts w:cs="Times New Roman"/>
          <w:color w:val="17365D"/>
        </w:rPr>
        <w:t>uzkrātā pensijas kapitāla daļu dzēšan</w:t>
      </w:r>
      <w:r w:rsidR="00ED1E06">
        <w:rPr>
          <w:rFonts w:cs="Times New Roman"/>
          <w:color w:val="17365D"/>
        </w:rPr>
        <w:t xml:space="preserve">u </w:t>
      </w:r>
      <w:r w:rsidRPr="00E72168">
        <w:rPr>
          <w:rFonts w:cs="Times New Roman"/>
          <w:color w:val="17365D"/>
        </w:rPr>
        <w:t>vecuma pensijas saņemšanai.</w:t>
      </w:r>
    </w:p>
    <w:p w14:paraId="44A366D4" w14:textId="07227030" w:rsidR="00FE5358" w:rsidRPr="00E72168" w:rsidRDefault="00B539A5" w:rsidP="003A693D">
      <w:pPr>
        <w:pStyle w:val="Heading4"/>
        <w:spacing w:after="40"/>
        <w:rPr>
          <w:rFonts w:cs="Times New Roman"/>
        </w:rPr>
      </w:pPr>
      <w:r w:rsidRPr="00E72168">
        <w:rPr>
          <w:rFonts w:cs="Times New Roman"/>
        </w:rPr>
        <w:t xml:space="preserve">Piezīme Nr. </w:t>
      </w:r>
      <w:r w:rsidR="003E4135" w:rsidRPr="00E72168">
        <w:rPr>
          <w:rFonts w:cs="Times New Roman"/>
        </w:rPr>
        <w:t>KB.</w:t>
      </w:r>
      <w:r w:rsidR="00F73CE6" w:rsidRPr="00E72168">
        <w:rPr>
          <w:rFonts w:cs="Times New Roman"/>
        </w:rPr>
        <w:t>1.</w:t>
      </w:r>
      <w:r w:rsidR="003E4135" w:rsidRPr="00E72168">
        <w:rPr>
          <w:rFonts w:cs="Times New Roman"/>
        </w:rPr>
        <w:t xml:space="preserve">4. </w:t>
      </w:r>
      <w:r w:rsidR="007F3C4C" w:rsidRPr="00E72168">
        <w:rPr>
          <w:rFonts w:cs="Times New Roman"/>
        </w:rPr>
        <w:t>Ilgtermiņa prasības</w:t>
      </w:r>
    </w:p>
    <w:p w14:paraId="4BACA6D3" w14:textId="7421D3AD" w:rsidR="00C71A07" w:rsidRPr="00E72168" w:rsidRDefault="000357A0" w:rsidP="003A693D">
      <w:pPr>
        <w:pStyle w:val="Tabulasnosaukums1"/>
        <w:spacing w:before="0" w:line="240" w:lineRule="auto"/>
        <w:rPr>
          <w:rFonts w:cs="Times New Roman"/>
          <w:i/>
          <w:color w:val="17365D"/>
        </w:rPr>
      </w:pPr>
      <w:r>
        <w:rPr>
          <w:rFonts w:cs="Times New Roman"/>
          <w:i/>
          <w:color w:val="17365D"/>
        </w:rPr>
        <w:t>1.</w:t>
      </w:r>
      <w:r w:rsidR="00212DF3" w:rsidRPr="00E72168">
        <w:rPr>
          <w:rFonts w:cs="Times New Roman"/>
          <w:i/>
          <w:color w:val="17365D"/>
        </w:rPr>
        <w:t>6</w:t>
      </w:r>
      <w:r w:rsidR="00B533FD" w:rsidRPr="00E72168">
        <w:rPr>
          <w:rFonts w:cs="Times New Roman"/>
          <w:i/>
          <w:color w:val="17365D"/>
        </w:rPr>
        <w:t>. tabula</w:t>
      </w:r>
      <w:r w:rsidR="00C71A07" w:rsidRPr="00E72168">
        <w:rPr>
          <w:rFonts w:cs="Times New Roman"/>
          <w:i/>
          <w:color w:val="17365D"/>
        </w:rPr>
        <w:t>. Ilgtermiņa prasības (</w:t>
      </w:r>
      <w:r w:rsidR="0025409F" w:rsidRPr="00E72168">
        <w:rPr>
          <w:rFonts w:cs="Times New Roman"/>
          <w:i/>
          <w:color w:val="17365D"/>
        </w:rPr>
        <w:t>euro</w:t>
      </w:r>
      <w:r w:rsidR="00C71A07" w:rsidRPr="00E72168">
        <w:rPr>
          <w:rFonts w:cs="Times New Roman"/>
          <w:i/>
          <w:color w:val="17365D"/>
        </w:rPr>
        <w:t>)</w:t>
      </w:r>
    </w:p>
    <w:tbl>
      <w:tblPr>
        <w:tblW w:w="4991" w:type="pct"/>
        <w:tblBorders>
          <w:insideH w:val="single" w:sz="4" w:space="0" w:color="012169"/>
        </w:tblBorders>
        <w:tblLayout w:type="fixed"/>
        <w:tblLook w:val="04A0" w:firstRow="1" w:lastRow="0" w:firstColumn="1" w:lastColumn="0" w:noHBand="0" w:noVBand="1"/>
      </w:tblPr>
      <w:tblGrid>
        <w:gridCol w:w="3402"/>
        <w:gridCol w:w="241"/>
        <w:gridCol w:w="753"/>
        <w:gridCol w:w="166"/>
        <w:gridCol w:w="1035"/>
        <w:gridCol w:w="293"/>
        <w:gridCol w:w="973"/>
        <w:gridCol w:w="269"/>
        <w:gridCol w:w="924"/>
        <w:gridCol w:w="82"/>
        <w:gridCol w:w="1199"/>
      </w:tblGrid>
      <w:tr w:rsidR="000C1009" w:rsidRPr="00E72168" w14:paraId="7FC44B16" w14:textId="77777777" w:rsidTr="00D12490">
        <w:trPr>
          <w:trHeight w:val="684"/>
        </w:trPr>
        <w:tc>
          <w:tcPr>
            <w:tcW w:w="1822" w:type="pct"/>
            <w:tcBorders>
              <w:bottom w:val="single" w:sz="4" w:space="0" w:color="17365D"/>
            </w:tcBorders>
            <w:shd w:val="clear" w:color="auto" w:fill="B9CDE5"/>
            <w:vAlign w:val="center"/>
            <w:hideMark/>
          </w:tcPr>
          <w:p w14:paraId="3506810E"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Rādītāji</w:t>
            </w:r>
          </w:p>
        </w:tc>
        <w:tc>
          <w:tcPr>
            <w:tcW w:w="532" w:type="pct"/>
            <w:gridSpan w:val="2"/>
            <w:tcBorders>
              <w:bottom w:val="single" w:sz="4" w:space="0" w:color="17365D"/>
            </w:tcBorders>
            <w:shd w:val="clear" w:color="auto" w:fill="B9CDE5"/>
            <w:vAlign w:val="center"/>
            <w:hideMark/>
          </w:tcPr>
          <w:p w14:paraId="5591CAFB"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643" w:type="pct"/>
            <w:gridSpan w:val="2"/>
            <w:tcBorders>
              <w:bottom w:val="single" w:sz="4" w:space="0" w:color="17365D"/>
            </w:tcBorders>
            <w:shd w:val="clear" w:color="auto" w:fill="B9CDE5"/>
            <w:vAlign w:val="center"/>
            <w:hideMark/>
          </w:tcPr>
          <w:p w14:paraId="5524D14E"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678" w:type="pct"/>
            <w:gridSpan w:val="2"/>
            <w:tcBorders>
              <w:bottom w:val="single" w:sz="4" w:space="0" w:color="17365D"/>
            </w:tcBorders>
            <w:shd w:val="clear" w:color="auto" w:fill="B9CDE5"/>
            <w:vAlign w:val="center"/>
            <w:hideMark/>
          </w:tcPr>
          <w:p w14:paraId="007E7A2D"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639" w:type="pct"/>
            <w:gridSpan w:val="2"/>
            <w:tcBorders>
              <w:bottom w:val="single" w:sz="4" w:space="0" w:color="17365D"/>
            </w:tcBorders>
            <w:shd w:val="clear" w:color="auto" w:fill="B9CDE5"/>
            <w:vAlign w:val="center"/>
            <w:hideMark/>
          </w:tcPr>
          <w:p w14:paraId="0F21C5DA" w14:textId="216C218B"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 </w:t>
            </w:r>
            <w:r w:rsidRPr="00E72168">
              <w:rPr>
                <w:rFonts w:eastAsia="Times New Roman" w:cs="Times New Roman"/>
                <w:b/>
                <w:color w:val="17365D"/>
                <w:sz w:val="18"/>
                <w:szCs w:val="18"/>
                <w:lang w:eastAsia="lv-LV"/>
              </w:rPr>
              <w:t>)</w:t>
            </w:r>
          </w:p>
        </w:tc>
        <w:tc>
          <w:tcPr>
            <w:tcW w:w="686" w:type="pct"/>
            <w:gridSpan w:val="2"/>
            <w:tcBorders>
              <w:bottom w:val="single" w:sz="4" w:space="0" w:color="17365D"/>
            </w:tcBorders>
            <w:shd w:val="clear" w:color="auto" w:fill="B9CDE5"/>
            <w:vAlign w:val="center"/>
            <w:hideMark/>
          </w:tcPr>
          <w:p w14:paraId="1DAFE3D6"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57DF5F98" w14:textId="77777777" w:rsidTr="00D12490">
        <w:trPr>
          <w:trHeight w:val="98"/>
        </w:trPr>
        <w:tc>
          <w:tcPr>
            <w:tcW w:w="1822" w:type="pct"/>
            <w:tcBorders>
              <w:top w:val="single" w:sz="4" w:space="0" w:color="17365D"/>
              <w:bottom w:val="single" w:sz="4" w:space="0" w:color="17365D"/>
            </w:tcBorders>
            <w:shd w:val="clear" w:color="auto" w:fill="auto"/>
            <w:vAlign w:val="center"/>
            <w:hideMark/>
          </w:tcPr>
          <w:p w14:paraId="28819859"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532" w:type="pct"/>
            <w:gridSpan w:val="2"/>
            <w:tcBorders>
              <w:top w:val="single" w:sz="4" w:space="0" w:color="17365D"/>
              <w:bottom w:val="single" w:sz="4" w:space="0" w:color="17365D"/>
            </w:tcBorders>
            <w:shd w:val="clear" w:color="auto" w:fill="auto"/>
            <w:vAlign w:val="center"/>
            <w:hideMark/>
          </w:tcPr>
          <w:p w14:paraId="0EBE4841"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643" w:type="pct"/>
            <w:gridSpan w:val="2"/>
            <w:tcBorders>
              <w:top w:val="single" w:sz="4" w:space="0" w:color="17365D"/>
              <w:bottom w:val="single" w:sz="4" w:space="0" w:color="17365D"/>
            </w:tcBorders>
            <w:shd w:val="clear" w:color="auto" w:fill="auto"/>
            <w:vAlign w:val="center"/>
            <w:hideMark/>
          </w:tcPr>
          <w:p w14:paraId="34E6A8C0"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678" w:type="pct"/>
            <w:gridSpan w:val="2"/>
            <w:tcBorders>
              <w:top w:val="single" w:sz="4" w:space="0" w:color="17365D"/>
              <w:bottom w:val="single" w:sz="4" w:space="0" w:color="17365D"/>
            </w:tcBorders>
            <w:shd w:val="clear" w:color="auto" w:fill="auto"/>
            <w:vAlign w:val="center"/>
            <w:hideMark/>
          </w:tcPr>
          <w:p w14:paraId="0FE49E00"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639" w:type="pct"/>
            <w:gridSpan w:val="2"/>
            <w:tcBorders>
              <w:top w:val="single" w:sz="4" w:space="0" w:color="17365D"/>
              <w:bottom w:val="single" w:sz="4" w:space="0" w:color="17365D"/>
            </w:tcBorders>
            <w:shd w:val="clear" w:color="auto" w:fill="auto"/>
            <w:vAlign w:val="center"/>
            <w:hideMark/>
          </w:tcPr>
          <w:p w14:paraId="508E2E15" w14:textId="77777777" w:rsidR="004B31D0" w:rsidRPr="00E72168" w:rsidRDefault="004B31D0" w:rsidP="00B5207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86" w:type="pct"/>
            <w:gridSpan w:val="2"/>
            <w:tcBorders>
              <w:top w:val="single" w:sz="4" w:space="0" w:color="17365D"/>
              <w:bottom w:val="single" w:sz="4" w:space="0" w:color="17365D"/>
            </w:tcBorders>
            <w:shd w:val="clear" w:color="auto" w:fill="auto"/>
            <w:vAlign w:val="center"/>
            <w:hideMark/>
          </w:tcPr>
          <w:p w14:paraId="798AAB6D" w14:textId="77777777" w:rsidR="004B31D0" w:rsidRPr="00E72168" w:rsidRDefault="004B31D0" w:rsidP="00366C14">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8D2664" w:rsidRPr="00E72168" w14:paraId="457BDBFC" w14:textId="77777777" w:rsidTr="00475A10">
        <w:trPr>
          <w:trHeight w:val="264"/>
        </w:trPr>
        <w:tc>
          <w:tcPr>
            <w:tcW w:w="1822" w:type="pct"/>
            <w:tcBorders>
              <w:top w:val="single" w:sz="4" w:space="0" w:color="17365D"/>
              <w:bottom w:val="single" w:sz="4" w:space="0" w:color="17365D"/>
            </w:tcBorders>
            <w:shd w:val="clear" w:color="auto" w:fill="auto"/>
            <w:vAlign w:val="center"/>
            <w:hideMark/>
          </w:tcPr>
          <w:p w14:paraId="2F6332BF" w14:textId="5D17C750" w:rsidR="008D2664" w:rsidRPr="00E72168" w:rsidRDefault="008D2664" w:rsidP="008D2664">
            <w:pPr>
              <w:spacing w:after="0" w:line="240" w:lineRule="auto"/>
              <w:rPr>
                <w:rFonts w:eastAsia="Times New Roman" w:cs="Times New Roman"/>
                <w:b/>
                <w:color w:val="17365D"/>
                <w:sz w:val="18"/>
                <w:szCs w:val="18"/>
                <w:lang w:eastAsia="lv-LV"/>
              </w:rPr>
            </w:pPr>
            <w:r w:rsidRPr="00E72168">
              <w:rPr>
                <w:rFonts w:cs="Times New Roman"/>
                <w:b/>
                <w:color w:val="17365D"/>
                <w:sz w:val="18"/>
                <w:szCs w:val="18"/>
              </w:rPr>
              <w:t>llgtermiņa prasības</w:t>
            </w:r>
          </w:p>
        </w:tc>
        <w:tc>
          <w:tcPr>
            <w:tcW w:w="532" w:type="pct"/>
            <w:gridSpan w:val="2"/>
            <w:tcBorders>
              <w:top w:val="single" w:sz="4" w:space="0" w:color="17365D"/>
              <w:bottom w:val="single" w:sz="4" w:space="0" w:color="17365D"/>
              <w:right w:val="nil"/>
            </w:tcBorders>
            <w:shd w:val="clear" w:color="auto" w:fill="auto"/>
            <w:vAlign w:val="center"/>
            <w:hideMark/>
          </w:tcPr>
          <w:p w14:paraId="0B9E8BC7" w14:textId="7971D51E" w:rsidR="008D2664" w:rsidRPr="00E72168" w:rsidRDefault="008D2664" w:rsidP="008D2664">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KB.1.4.</w:t>
            </w:r>
          </w:p>
        </w:tc>
        <w:tc>
          <w:tcPr>
            <w:tcW w:w="643" w:type="pct"/>
            <w:gridSpan w:val="2"/>
            <w:tcBorders>
              <w:top w:val="single" w:sz="4" w:space="0" w:color="17365D"/>
              <w:left w:val="nil"/>
              <w:bottom w:val="single" w:sz="4" w:space="0" w:color="17365D"/>
              <w:right w:val="nil"/>
            </w:tcBorders>
            <w:shd w:val="clear" w:color="auto" w:fill="auto"/>
            <w:vAlign w:val="center"/>
            <w:hideMark/>
          </w:tcPr>
          <w:p w14:paraId="5C650238" w14:textId="1AD5DE5D" w:rsidR="008D2664" w:rsidRPr="008D2664" w:rsidRDefault="008D2664" w:rsidP="008D2664">
            <w:pPr>
              <w:spacing w:after="0" w:line="240" w:lineRule="auto"/>
              <w:jc w:val="right"/>
              <w:rPr>
                <w:rFonts w:cs="Times New Roman"/>
                <w:b/>
                <w:bCs/>
                <w:color w:val="17365D"/>
                <w:sz w:val="18"/>
                <w:szCs w:val="18"/>
              </w:rPr>
            </w:pPr>
            <w:r w:rsidRPr="00C87349">
              <w:rPr>
                <w:rFonts w:cs="Times New Roman"/>
                <w:b/>
                <w:bCs/>
                <w:color w:val="17365D"/>
                <w:sz w:val="18"/>
                <w:szCs w:val="18"/>
              </w:rPr>
              <w:t>540 295 938</w:t>
            </w:r>
          </w:p>
        </w:tc>
        <w:tc>
          <w:tcPr>
            <w:tcW w:w="678" w:type="pct"/>
            <w:gridSpan w:val="2"/>
            <w:tcBorders>
              <w:top w:val="single" w:sz="4" w:space="0" w:color="17365D"/>
              <w:left w:val="nil"/>
              <w:bottom w:val="single" w:sz="4" w:space="0" w:color="17365D"/>
              <w:right w:val="nil"/>
            </w:tcBorders>
            <w:shd w:val="clear" w:color="auto" w:fill="auto"/>
            <w:vAlign w:val="center"/>
            <w:hideMark/>
          </w:tcPr>
          <w:p w14:paraId="2A130FA3" w14:textId="19C05494" w:rsidR="008D2664" w:rsidRPr="008D2664" w:rsidRDefault="008D2664" w:rsidP="008D2664">
            <w:pPr>
              <w:spacing w:after="0" w:line="240" w:lineRule="auto"/>
              <w:jc w:val="right"/>
              <w:rPr>
                <w:rFonts w:cs="Times New Roman"/>
                <w:b/>
                <w:bCs/>
                <w:color w:val="17365D"/>
                <w:sz w:val="18"/>
                <w:szCs w:val="18"/>
              </w:rPr>
            </w:pPr>
            <w:r w:rsidRPr="00C87349">
              <w:rPr>
                <w:rFonts w:cs="Times New Roman"/>
                <w:b/>
                <w:bCs/>
                <w:color w:val="17365D"/>
                <w:sz w:val="18"/>
                <w:szCs w:val="18"/>
              </w:rPr>
              <w:t>347 902 751</w:t>
            </w:r>
          </w:p>
        </w:tc>
        <w:tc>
          <w:tcPr>
            <w:tcW w:w="639" w:type="pct"/>
            <w:gridSpan w:val="2"/>
            <w:tcBorders>
              <w:top w:val="single" w:sz="4" w:space="0" w:color="17365D"/>
              <w:left w:val="nil"/>
              <w:bottom w:val="single" w:sz="4" w:space="0" w:color="17365D"/>
              <w:right w:val="nil"/>
            </w:tcBorders>
            <w:shd w:val="clear" w:color="auto" w:fill="auto"/>
            <w:noWrap/>
            <w:vAlign w:val="center"/>
            <w:hideMark/>
          </w:tcPr>
          <w:p w14:paraId="384BAC45" w14:textId="02796D7D" w:rsidR="008D2664" w:rsidRPr="008D2664" w:rsidRDefault="008D2664" w:rsidP="008D2664">
            <w:pPr>
              <w:spacing w:after="0" w:line="240" w:lineRule="auto"/>
              <w:jc w:val="right"/>
              <w:rPr>
                <w:rFonts w:cs="Times New Roman"/>
                <w:b/>
                <w:bCs/>
                <w:color w:val="17365D"/>
                <w:sz w:val="18"/>
                <w:szCs w:val="18"/>
              </w:rPr>
            </w:pPr>
            <w:r w:rsidRPr="00C87349">
              <w:rPr>
                <w:rFonts w:cs="Times New Roman"/>
                <w:b/>
                <w:bCs/>
                <w:color w:val="17365D"/>
                <w:sz w:val="18"/>
                <w:szCs w:val="18"/>
              </w:rPr>
              <w:t>192 393 187</w:t>
            </w:r>
          </w:p>
        </w:tc>
        <w:tc>
          <w:tcPr>
            <w:tcW w:w="686" w:type="pct"/>
            <w:gridSpan w:val="2"/>
            <w:tcBorders>
              <w:top w:val="single" w:sz="4" w:space="0" w:color="17365D"/>
              <w:left w:val="nil"/>
              <w:bottom w:val="single" w:sz="4" w:space="0" w:color="17365D"/>
              <w:right w:val="nil"/>
            </w:tcBorders>
            <w:shd w:val="clear" w:color="auto" w:fill="auto"/>
            <w:noWrap/>
            <w:vAlign w:val="center"/>
            <w:hideMark/>
          </w:tcPr>
          <w:p w14:paraId="4A1C948E" w14:textId="0769FEF9" w:rsidR="008D2664" w:rsidRPr="008D2664" w:rsidRDefault="008D2664" w:rsidP="008D2664">
            <w:pPr>
              <w:spacing w:after="0" w:line="240" w:lineRule="auto"/>
              <w:jc w:val="right"/>
              <w:rPr>
                <w:rFonts w:cs="Times New Roman"/>
                <w:b/>
                <w:bCs/>
                <w:color w:val="17365D"/>
                <w:sz w:val="18"/>
                <w:szCs w:val="18"/>
              </w:rPr>
            </w:pPr>
            <w:r w:rsidRPr="00C87349">
              <w:rPr>
                <w:rFonts w:cs="Times New Roman"/>
                <w:b/>
                <w:bCs/>
                <w:color w:val="17365D"/>
                <w:sz w:val="18"/>
                <w:szCs w:val="18"/>
              </w:rPr>
              <w:t>55.30</w:t>
            </w:r>
          </w:p>
        </w:tc>
      </w:tr>
      <w:tr w:rsidR="00272F75" w:rsidRPr="00E72168" w14:paraId="02AF860A" w14:textId="77777777" w:rsidTr="00272F75">
        <w:trPr>
          <w:trHeight w:val="264"/>
        </w:trPr>
        <w:tc>
          <w:tcPr>
            <w:tcW w:w="1822" w:type="pct"/>
            <w:tcBorders>
              <w:top w:val="single" w:sz="4" w:space="0" w:color="17365D"/>
              <w:bottom w:val="single" w:sz="4" w:space="0" w:color="17365D"/>
            </w:tcBorders>
            <w:shd w:val="clear" w:color="auto" w:fill="auto"/>
            <w:vAlign w:val="center"/>
            <w:hideMark/>
          </w:tcPr>
          <w:p w14:paraId="3BB32891" w14:textId="393E0467" w:rsidR="00272F75" w:rsidRPr="00E72168" w:rsidRDefault="00272F75" w:rsidP="00272F75">
            <w:pPr>
              <w:spacing w:after="0" w:line="240" w:lineRule="auto"/>
              <w:rPr>
                <w:rFonts w:eastAsia="Times New Roman" w:cs="Times New Roman"/>
                <w:color w:val="17365D"/>
                <w:sz w:val="18"/>
                <w:szCs w:val="18"/>
                <w:lang w:eastAsia="lv-LV"/>
              </w:rPr>
            </w:pPr>
            <w:r w:rsidRPr="00E72168">
              <w:rPr>
                <w:rFonts w:cs="Times New Roman"/>
                <w:color w:val="17365D"/>
                <w:sz w:val="18"/>
                <w:szCs w:val="18"/>
              </w:rPr>
              <w:t>Ilgtermiņa prasības par Eiropas Savienību politiku instrumentu un pārējās ārvalstu finanšu palīdzības finansētajiem projektiem (pasākumiem)</w:t>
            </w:r>
          </w:p>
        </w:tc>
        <w:tc>
          <w:tcPr>
            <w:tcW w:w="532" w:type="pct"/>
            <w:gridSpan w:val="2"/>
            <w:tcBorders>
              <w:top w:val="single" w:sz="4" w:space="0" w:color="17365D"/>
              <w:bottom w:val="single" w:sz="4" w:space="0" w:color="17365D"/>
              <w:right w:val="nil"/>
            </w:tcBorders>
            <w:shd w:val="clear" w:color="auto" w:fill="auto"/>
            <w:noWrap/>
            <w:vAlign w:val="center"/>
            <w:hideMark/>
          </w:tcPr>
          <w:p w14:paraId="63280A3B" w14:textId="16864914" w:rsidR="00272F75" w:rsidRPr="00E72168" w:rsidRDefault="00272F75" w:rsidP="00272F75">
            <w:pPr>
              <w:spacing w:after="0" w:line="240" w:lineRule="auto"/>
              <w:jc w:val="center"/>
              <w:rPr>
                <w:rFonts w:eastAsia="Times New Roman" w:cs="Times New Roman"/>
                <w:color w:val="17365D"/>
                <w:sz w:val="18"/>
                <w:szCs w:val="18"/>
                <w:lang w:eastAsia="lv-LV"/>
              </w:rPr>
            </w:pPr>
            <w:r w:rsidRPr="00E72168">
              <w:rPr>
                <w:rFonts w:eastAsia="Times New Roman" w:cs="Times New Roman"/>
                <w:color w:val="17365D"/>
                <w:sz w:val="18"/>
                <w:szCs w:val="18"/>
                <w:lang w:eastAsia="lv-LV"/>
              </w:rPr>
              <w:t>KB.1.4.1.</w:t>
            </w:r>
          </w:p>
        </w:tc>
        <w:tc>
          <w:tcPr>
            <w:tcW w:w="643" w:type="pct"/>
            <w:gridSpan w:val="2"/>
            <w:tcBorders>
              <w:top w:val="single" w:sz="4" w:space="0" w:color="17365D"/>
              <w:left w:val="nil"/>
              <w:bottom w:val="single" w:sz="4" w:space="0" w:color="17365D"/>
              <w:right w:val="nil"/>
            </w:tcBorders>
            <w:shd w:val="clear" w:color="auto" w:fill="auto"/>
            <w:vAlign w:val="center"/>
            <w:hideMark/>
          </w:tcPr>
          <w:p w14:paraId="121D652F" w14:textId="7F435779" w:rsidR="00272F75" w:rsidRPr="00E72168" w:rsidRDefault="00272F75" w:rsidP="00272F75">
            <w:pPr>
              <w:spacing w:after="0" w:line="240" w:lineRule="auto"/>
              <w:jc w:val="right"/>
              <w:rPr>
                <w:rFonts w:cs="Times New Roman"/>
                <w:color w:val="17365D"/>
                <w:sz w:val="18"/>
                <w:szCs w:val="18"/>
              </w:rPr>
            </w:pPr>
            <w:r w:rsidRPr="00E72168">
              <w:rPr>
                <w:rFonts w:cs="Times New Roman"/>
                <w:color w:val="17365D"/>
                <w:sz w:val="18"/>
                <w:szCs w:val="18"/>
              </w:rPr>
              <w:t>237 507 808</w:t>
            </w:r>
          </w:p>
        </w:tc>
        <w:tc>
          <w:tcPr>
            <w:tcW w:w="678" w:type="pct"/>
            <w:gridSpan w:val="2"/>
            <w:tcBorders>
              <w:top w:val="single" w:sz="4" w:space="0" w:color="17365D"/>
              <w:left w:val="nil"/>
              <w:bottom w:val="single" w:sz="4" w:space="0" w:color="17365D"/>
              <w:right w:val="nil"/>
            </w:tcBorders>
            <w:shd w:val="clear" w:color="auto" w:fill="auto"/>
            <w:vAlign w:val="center"/>
            <w:hideMark/>
          </w:tcPr>
          <w:p w14:paraId="0CBF7732" w14:textId="1D836282" w:rsidR="00272F75" w:rsidRPr="00E72168" w:rsidRDefault="00272F75" w:rsidP="00272F75">
            <w:pPr>
              <w:spacing w:after="0" w:line="240" w:lineRule="auto"/>
              <w:jc w:val="right"/>
              <w:rPr>
                <w:rFonts w:cs="Times New Roman"/>
                <w:color w:val="17365D"/>
                <w:sz w:val="18"/>
                <w:szCs w:val="18"/>
              </w:rPr>
            </w:pPr>
            <w:r w:rsidRPr="00E72168">
              <w:rPr>
                <w:rFonts w:cs="Times New Roman"/>
                <w:color w:val="17365D"/>
                <w:sz w:val="18"/>
                <w:szCs w:val="18"/>
              </w:rPr>
              <w:t>75 082 166</w:t>
            </w:r>
          </w:p>
        </w:tc>
        <w:tc>
          <w:tcPr>
            <w:tcW w:w="639" w:type="pct"/>
            <w:gridSpan w:val="2"/>
            <w:tcBorders>
              <w:top w:val="single" w:sz="4" w:space="0" w:color="17365D"/>
              <w:left w:val="nil"/>
              <w:bottom w:val="single" w:sz="4" w:space="0" w:color="17365D"/>
              <w:right w:val="nil"/>
            </w:tcBorders>
            <w:shd w:val="clear" w:color="auto" w:fill="auto"/>
            <w:noWrap/>
            <w:vAlign w:val="center"/>
            <w:hideMark/>
          </w:tcPr>
          <w:p w14:paraId="284C78B4" w14:textId="079B82A4" w:rsidR="00272F75" w:rsidRPr="00E72168" w:rsidRDefault="00272F75" w:rsidP="00272F75">
            <w:pPr>
              <w:spacing w:after="0" w:line="240" w:lineRule="auto"/>
              <w:jc w:val="right"/>
              <w:rPr>
                <w:rFonts w:cs="Times New Roman"/>
                <w:color w:val="17365D"/>
                <w:sz w:val="18"/>
                <w:szCs w:val="18"/>
              </w:rPr>
            </w:pPr>
            <w:r w:rsidRPr="00E72168">
              <w:rPr>
                <w:rFonts w:cs="Times New Roman"/>
                <w:color w:val="17365D"/>
                <w:sz w:val="18"/>
                <w:szCs w:val="18"/>
              </w:rPr>
              <w:t>162 425 642</w:t>
            </w:r>
          </w:p>
        </w:tc>
        <w:tc>
          <w:tcPr>
            <w:tcW w:w="686" w:type="pct"/>
            <w:gridSpan w:val="2"/>
            <w:tcBorders>
              <w:top w:val="single" w:sz="4" w:space="0" w:color="17365D"/>
              <w:left w:val="nil"/>
              <w:bottom w:val="single" w:sz="4" w:space="0" w:color="17365D"/>
              <w:right w:val="nil"/>
            </w:tcBorders>
            <w:shd w:val="clear" w:color="auto" w:fill="auto"/>
            <w:noWrap/>
            <w:vAlign w:val="center"/>
            <w:hideMark/>
          </w:tcPr>
          <w:p w14:paraId="18BF6C6E" w14:textId="483390DE" w:rsidR="00272F75" w:rsidRPr="00E72168" w:rsidRDefault="00272F75" w:rsidP="00272F75">
            <w:pPr>
              <w:spacing w:after="0" w:line="240" w:lineRule="auto"/>
              <w:jc w:val="right"/>
              <w:rPr>
                <w:rFonts w:cs="Times New Roman"/>
                <w:color w:val="17365D"/>
                <w:sz w:val="18"/>
                <w:szCs w:val="18"/>
              </w:rPr>
            </w:pPr>
            <w:r w:rsidRPr="00E72168">
              <w:rPr>
                <w:rFonts w:cs="Times New Roman"/>
                <w:color w:val="17365D"/>
                <w:sz w:val="18"/>
                <w:szCs w:val="18"/>
              </w:rPr>
              <w:t>216.33</w:t>
            </w:r>
          </w:p>
        </w:tc>
      </w:tr>
      <w:tr w:rsidR="008D2664" w:rsidRPr="00E72168" w14:paraId="661A9F93" w14:textId="77777777" w:rsidTr="00475A10">
        <w:trPr>
          <w:trHeight w:val="266"/>
        </w:trPr>
        <w:tc>
          <w:tcPr>
            <w:tcW w:w="1822" w:type="pct"/>
            <w:tcBorders>
              <w:top w:val="single" w:sz="4" w:space="0" w:color="17365D"/>
              <w:bottom w:val="single" w:sz="4" w:space="0" w:color="17365D"/>
            </w:tcBorders>
            <w:shd w:val="clear" w:color="auto" w:fill="auto"/>
            <w:vAlign w:val="center"/>
            <w:hideMark/>
          </w:tcPr>
          <w:p w14:paraId="22B5EB73" w14:textId="2DF89374" w:rsidR="008D2664" w:rsidRPr="00E72168" w:rsidRDefault="008D2664" w:rsidP="008D2664">
            <w:pPr>
              <w:spacing w:after="0" w:line="240" w:lineRule="auto"/>
              <w:rPr>
                <w:rFonts w:eastAsia="Times New Roman" w:cs="Times New Roman"/>
                <w:color w:val="17365D"/>
                <w:sz w:val="18"/>
                <w:szCs w:val="18"/>
                <w:lang w:eastAsia="lv-LV"/>
              </w:rPr>
            </w:pPr>
            <w:r w:rsidRPr="00E72168">
              <w:rPr>
                <w:rFonts w:cs="Times New Roman"/>
                <w:color w:val="17365D"/>
                <w:sz w:val="18"/>
                <w:szCs w:val="18"/>
              </w:rPr>
              <w:t>Citas ilgtermiņa prasības</w:t>
            </w:r>
          </w:p>
        </w:tc>
        <w:tc>
          <w:tcPr>
            <w:tcW w:w="532" w:type="pct"/>
            <w:gridSpan w:val="2"/>
            <w:tcBorders>
              <w:top w:val="single" w:sz="4" w:space="0" w:color="17365D"/>
              <w:bottom w:val="single" w:sz="4" w:space="0" w:color="17365D"/>
              <w:right w:val="nil"/>
            </w:tcBorders>
            <w:shd w:val="clear" w:color="auto" w:fill="auto"/>
            <w:noWrap/>
            <w:vAlign w:val="center"/>
          </w:tcPr>
          <w:p w14:paraId="38166F00" w14:textId="6996DC83" w:rsidR="008D2664" w:rsidRPr="00E72168" w:rsidRDefault="008D2664" w:rsidP="008D2664">
            <w:pPr>
              <w:spacing w:after="0" w:line="240" w:lineRule="auto"/>
              <w:jc w:val="center"/>
              <w:rPr>
                <w:rFonts w:eastAsia="Times New Roman" w:cs="Times New Roman"/>
                <w:color w:val="17365D"/>
                <w:sz w:val="18"/>
                <w:szCs w:val="18"/>
                <w:lang w:eastAsia="lv-LV"/>
              </w:rPr>
            </w:pPr>
          </w:p>
        </w:tc>
        <w:tc>
          <w:tcPr>
            <w:tcW w:w="643" w:type="pct"/>
            <w:gridSpan w:val="2"/>
            <w:tcBorders>
              <w:top w:val="single" w:sz="4" w:space="0" w:color="17365D"/>
              <w:left w:val="nil"/>
              <w:bottom w:val="single" w:sz="4" w:space="0" w:color="17365D"/>
              <w:right w:val="nil"/>
            </w:tcBorders>
            <w:shd w:val="clear" w:color="auto" w:fill="auto"/>
            <w:vAlign w:val="center"/>
            <w:hideMark/>
          </w:tcPr>
          <w:p w14:paraId="4FAD23C6" w14:textId="08675088" w:rsidR="008D2664" w:rsidRPr="00E72168" w:rsidRDefault="008D2664" w:rsidP="008D2664">
            <w:pPr>
              <w:spacing w:after="0" w:line="240" w:lineRule="auto"/>
              <w:jc w:val="right"/>
              <w:rPr>
                <w:rFonts w:cs="Times New Roman"/>
                <w:color w:val="17365D"/>
                <w:sz w:val="18"/>
                <w:szCs w:val="18"/>
              </w:rPr>
            </w:pPr>
            <w:r w:rsidRPr="00C87349">
              <w:rPr>
                <w:rFonts w:cs="Times New Roman"/>
                <w:color w:val="17365D"/>
                <w:sz w:val="18"/>
                <w:szCs w:val="18"/>
              </w:rPr>
              <w:t>302 788 130</w:t>
            </w:r>
          </w:p>
        </w:tc>
        <w:tc>
          <w:tcPr>
            <w:tcW w:w="678" w:type="pct"/>
            <w:gridSpan w:val="2"/>
            <w:tcBorders>
              <w:top w:val="single" w:sz="4" w:space="0" w:color="17365D"/>
              <w:left w:val="nil"/>
              <w:bottom w:val="single" w:sz="4" w:space="0" w:color="17365D"/>
              <w:right w:val="nil"/>
            </w:tcBorders>
            <w:shd w:val="clear" w:color="auto" w:fill="auto"/>
            <w:vAlign w:val="center"/>
            <w:hideMark/>
          </w:tcPr>
          <w:p w14:paraId="4042356D" w14:textId="7E89331B" w:rsidR="008D2664" w:rsidRPr="00E72168" w:rsidRDefault="008D2664" w:rsidP="008D2664">
            <w:pPr>
              <w:spacing w:after="0" w:line="240" w:lineRule="auto"/>
              <w:jc w:val="right"/>
              <w:rPr>
                <w:rFonts w:cs="Times New Roman"/>
                <w:color w:val="17365D"/>
                <w:sz w:val="18"/>
                <w:szCs w:val="18"/>
              </w:rPr>
            </w:pPr>
            <w:r w:rsidRPr="00C87349">
              <w:rPr>
                <w:rFonts w:cs="Times New Roman"/>
                <w:color w:val="17365D"/>
                <w:sz w:val="18"/>
                <w:szCs w:val="18"/>
              </w:rPr>
              <w:t>272 820 585</w:t>
            </w:r>
          </w:p>
        </w:tc>
        <w:tc>
          <w:tcPr>
            <w:tcW w:w="639" w:type="pct"/>
            <w:gridSpan w:val="2"/>
            <w:tcBorders>
              <w:top w:val="single" w:sz="4" w:space="0" w:color="17365D"/>
              <w:left w:val="nil"/>
              <w:bottom w:val="single" w:sz="4" w:space="0" w:color="17365D"/>
              <w:right w:val="nil"/>
            </w:tcBorders>
            <w:shd w:val="clear" w:color="auto" w:fill="auto"/>
            <w:noWrap/>
            <w:vAlign w:val="center"/>
            <w:hideMark/>
          </w:tcPr>
          <w:p w14:paraId="47086FE9" w14:textId="707A8F37" w:rsidR="008D2664" w:rsidRPr="00E72168" w:rsidRDefault="008D2664" w:rsidP="008D2664">
            <w:pPr>
              <w:spacing w:after="0" w:line="240" w:lineRule="auto"/>
              <w:jc w:val="right"/>
              <w:rPr>
                <w:rFonts w:cs="Times New Roman"/>
                <w:color w:val="17365D"/>
                <w:sz w:val="18"/>
                <w:szCs w:val="18"/>
              </w:rPr>
            </w:pPr>
            <w:r w:rsidRPr="00C87349">
              <w:rPr>
                <w:rFonts w:cs="Times New Roman"/>
                <w:color w:val="17365D"/>
                <w:sz w:val="18"/>
                <w:szCs w:val="18"/>
              </w:rPr>
              <w:t>29 967 545</w:t>
            </w:r>
          </w:p>
        </w:tc>
        <w:tc>
          <w:tcPr>
            <w:tcW w:w="686" w:type="pct"/>
            <w:gridSpan w:val="2"/>
            <w:tcBorders>
              <w:top w:val="single" w:sz="4" w:space="0" w:color="17365D"/>
              <w:left w:val="nil"/>
              <w:bottom w:val="single" w:sz="4" w:space="0" w:color="17365D"/>
              <w:right w:val="nil"/>
            </w:tcBorders>
            <w:shd w:val="clear" w:color="auto" w:fill="auto"/>
            <w:noWrap/>
            <w:vAlign w:val="center"/>
            <w:hideMark/>
          </w:tcPr>
          <w:p w14:paraId="29BA2B44" w14:textId="28D52665" w:rsidR="008D2664" w:rsidRPr="00E72168" w:rsidRDefault="008D2664" w:rsidP="008D2664">
            <w:pPr>
              <w:spacing w:after="0" w:line="240" w:lineRule="auto"/>
              <w:jc w:val="right"/>
              <w:rPr>
                <w:rFonts w:cs="Times New Roman"/>
                <w:color w:val="17365D"/>
                <w:sz w:val="18"/>
                <w:szCs w:val="18"/>
              </w:rPr>
            </w:pPr>
            <w:r w:rsidRPr="00C87349">
              <w:rPr>
                <w:rFonts w:cs="Times New Roman"/>
                <w:color w:val="17365D"/>
                <w:sz w:val="18"/>
                <w:szCs w:val="18"/>
              </w:rPr>
              <w:t>10.98</w:t>
            </w:r>
          </w:p>
        </w:tc>
      </w:tr>
      <w:tr w:rsidR="000C1009" w:rsidRPr="00E72168" w14:paraId="6D8FD991" w14:textId="77777777" w:rsidTr="00D12490">
        <w:trPr>
          <w:trHeight w:val="202"/>
        </w:trPr>
        <w:tc>
          <w:tcPr>
            <w:tcW w:w="1951" w:type="pct"/>
            <w:gridSpan w:val="2"/>
            <w:tcBorders>
              <w:top w:val="single" w:sz="4" w:space="0" w:color="17365D"/>
            </w:tcBorders>
            <w:shd w:val="clear" w:color="auto" w:fill="B9CDE5"/>
            <w:vAlign w:val="center"/>
          </w:tcPr>
          <w:p w14:paraId="589B8B90" w14:textId="77777777" w:rsidR="004B31D0" w:rsidRPr="00E72168" w:rsidRDefault="004B31D0" w:rsidP="006138D3">
            <w:pPr>
              <w:spacing w:after="0" w:line="240" w:lineRule="auto"/>
              <w:rPr>
                <w:rFonts w:eastAsia="Times New Roman" w:cs="Times New Roman"/>
                <w:color w:val="17365D"/>
                <w:sz w:val="18"/>
                <w:szCs w:val="18"/>
                <w:lang w:eastAsia="lv-LV"/>
              </w:rPr>
            </w:pPr>
          </w:p>
        </w:tc>
        <w:tc>
          <w:tcPr>
            <w:tcW w:w="492" w:type="pct"/>
            <w:gridSpan w:val="2"/>
            <w:tcBorders>
              <w:top w:val="single" w:sz="4" w:space="0" w:color="17365D"/>
            </w:tcBorders>
            <w:shd w:val="clear" w:color="auto" w:fill="B9CDE5"/>
            <w:noWrap/>
            <w:vAlign w:val="center"/>
          </w:tcPr>
          <w:p w14:paraId="624608E0" w14:textId="77777777" w:rsidR="004B31D0" w:rsidRPr="00E72168" w:rsidRDefault="004B31D0" w:rsidP="00B917D1">
            <w:pPr>
              <w:spacing w:after="0" w:line="240" w:lineRule="auto"/>
              <w:jc w:val="right"/>
              <w:rPr>
                <w:rFonts w:eastAsia="Times New Roman" w:cs="Times New Roman"/>
                <w:color w:val="17365D"/>
                <w:sz w:val="18"/>
                <w:szCs w:val="18"/>
                <w:lang w:eastAsia="lv-LV"/>
              </w:rPr>
            </w:pPr>
          </w:p>
        </w:tc>
        <w:tc>
          <w:tcPr>
            <w:tcW w:w="711" w:type="pct"/>
            <w:gridSpan w:val="2"/>
            <w:tcBorders>
              <w:top w:val="single" w:sz="4" w:space="0" w:color="17365D"/>
            </w:tcBorders>
            <w:shd w:val="clear" w:color="auto" w:fill="B9CDE5"/>
            <w:noWrap/>
            <w:vAlign w:val="center"/>
          </w:tcPr>
          <w:p w14:paraId="33CF52FE" w14:textId="77777777" w:rsidR="004B31D0" w:rsidRPr="00E72168" w:rsidRDefault="004B31D0" w:rsidP="00B917D1">
            <w:pPr>
              <w:spacing w:after="0" w:line="240" w:lineRule="auto"/>
              <w:jc w:val="right"/>
              <w:rPr>
                <w:rFonts w:cs="Times New Roman"/>
                <w:color w:val="17365D"/>
                <w:sz w:val="18"/>
                <w:szCs w:val="18"/>
              </w:rPr>
            </w:pPr>
          </w:p>
        </w:tc>
        <w:tc>
          <w:tcPr>
            <w:tcW w:w="665" w:type="pct"/>
            <w:gridSpan w:val="2"/>
            <w:tcBorders>
              <w:top w:val="single" w:sz="4" w:space="0" w:color="17365D"/>
            </w:tcBorders>
            <w:shd w:val="clear" w:color="auto" w:fill="B9CDE5"/>
            <w:noWrap/>
            <w:vAlign w:val="center"/>
          </w:tcPr>
          <w:p w14:paraId="33AF970B" w14:textId="77777777" w:rsidR="004B31D0" w:rsidRPr="00E72168" w:rsidRDefault="004B31D0" w:rsidP="00B917D1">
            <w:pPr>
              <w:spacing w:after="0" w:line="240" w:lineRule="auto"/>
              <w:jc w:val="right"/>
              <w:rPr>
                <w:rFonts w:cs="Times New Roman"/>
                <w:color w:val="17365D"/>
                <w:sz w:val="18"/>
                <w:szCs w:val="18"/>
              </w:rPr>
            </w:pPr>
          </w:p>
        </w:tc>
        <w:tc>
          <w:tcPr>
            <w:tcW w:w="539" w:type="pct"/>
            <w:gridSpan w:val="2"/>
            <w:tcBorders>
              <w:top w:val="single" w:sz="4" w:space="0" w:color="17365D"/>
            </w:tcBorders>
            <w:shd w:val="clear" w:color="auto" w:fill="B9CDE5"/>
            <w:noWrap/>
            <w:vAlign w:val="center"/>
          </w:tcPr>
          <w:p w14:paraId="72424062" w14:textId="77777777" w:rsidR="004B31D0" w:rsidRPr="00E72168" w:rsidRDefault="004B31D0" w:rsidP="00B917D1">
            <w:pPr>
              <w:spacing w:after="0" w:line="240" w:lineRule="auto"/>
              <w:jc w:val="right"/>
              <w:rPr>
                <w:rFonts w:cs="Times New Roman"/>
                <w:color w:val="17365D"/>
                <w:sz w:val="18"/>
                <w:szCs w:val="18"/>
              </w:rPr>
            </w:pPr>
          </w:p>
        </w:tc>
        <w:tc>
          <w:tcPr>
            <w:tcW w:w="642" w:type="pct"/>
            <w:tcBorders>
              <w:top w:val="single" w:sz="4" w:space="0" w:color="17365D"/>
            </w:tcBorders>
            <w:shd w:val="clear" w:color="auto" w:fill="B9CDE5"/>
            <w:noWrap/>
            <w:vAlign w:val="center"/>
          </w:tcPr>
          <w:p w14:paraId="72ACE310" w14:textId="77777777" w:rsidR="004B31D0" w:rsidRPr="00E72168" w:rsidRDefault="004B31D0" w:rsidP="00B917D1">
            <w:pPr>
              <w:spacing w:after="0" w:line="240" w:lineRule="auto"/>
              <w:jc w:val="right"/>
              <w:rPr>
                <w:rFonts w:cs="Times New Roman"/>
                <w:color w:val="17365D"/>
                <w:sz w:val="18"/>
                <w:szCs w:val="18"/>
              </w:rPr>
            </w:pPr>
          </w:p>
        </w:tc>
      </w:tr>
    </w:tbl>
    <w:p w14:paraId="6840577D" w14:textId="133125BA" w:rsidR="00707F5E" w:rsidRPr="00E72168" w:rsidRDefault="00707F5E" w:rsidP="00391A37">
      <w:pPr>
        <w:pStyle w:val="Heading5"/>
        <w:jc w:val="both"/>
        <w:rPr>
          <w:rFonts w:cs="Times New Roman"/>
        </w:rPr>
      </w:pPr>
      <w:r w:rsidRPr="00E72168">
        <w:rPr>
          <w:rFonts w:cs="Times New Roman"/>
        </w:rPr>
        <w:t>Piezīme Nr. KB.1.4.1. Ilgtermiņa prasības par Eiropas Savienību politiku instrumentu un pārējās ārvalstu finanšu palīdzības finansētajiem projektiem (pasākumiem)</w:t>
      </w:r>
    </w:p>
    <w:p w14:paraId="430F0EE9" w14:textId="75D5ACE1" w:rsidR="00CB3465" w:rsidRDefault="00CB3465" w:rsidP="00707F5E">
      <w:pPr>
        <w:pStyle w:val="Pamatteksts1"/>
        <w:ind w:firstLine="284"/>
        <w:rPr>
          <w:rFonts w:eastAsiaTheme="minorHAnsi"/>
          <w:bCs/>
          <w:noProof w:val="0"/>
          <w:color w:val="17365D"/>
          <w:szCs w:val="22"/>
          <w:lang w:eastAsia="en-US"/>
        </w:rPr>
      </w:pPr>
      <w:r>
        <w:rPr>
          <w:rFonts w:eastAsiaTheme="minorHAnsi"/>
          <w:bCs/>
          <w:noProof w:val="0"/>
          <w:color w:val="17365D"/>
          <w:szCs w:val="22"/>
          <w:lang w:eastAsia="en-US"/>
        </w:rPr>
        <w:t>Bilances posteņa lielākās</w:t>
      </w:r>
      <w:r w:rsidR="002433BF" w:rsidRPr="00E72168">
        <w:rPr>
          <w:rFonts w:eastAsiaTheme="minorHAnsi"/>
          <w:bCs/>
          <w:noProof w:val="0"/>
          <w:color w:val="17365D"/>
          <w:szCs w:val="22"/>
          <w:lang w:eastAsia="en-US"/>
        </w:rPr>
        <w:t xml:space="preserve"> </w:t>
      </w:r>
      <w:r>
        <w:rPr>
          <w:rFonts w:eastAsiaTheme="minorHAnsi"/>
          <w:bCs/>
          <w:noProof w:val="0"/>
          <w:color w:val="17365D"/>
          <w:szCs w:val="22"/>
          <w:lang w:eastAsia="en-US"/>
        </w:rPr>
        <w:t>izmaiņas</w:t>
      </w:r>
      <w:r w:rsidR="002433BF" w:rsidRPr="00E72168">
        <w:rPr>
          <w:rFonts w:eastAsiaTheme="minorHAnsi"/>
          <w:bCs/>
          <w:noProof w:val="0"/>
          <w:color w:val="17365D"/>
          <w:szCs w:val="22"/>
          <w:lang w:eastAsia="en-US"/>
        </w:rPr>
        <w:t xml:space="preserve"> bij</w:t>
      </w:r>
      <w:r>
        <w:rPr>
          <w:rFonts w:eastAsiaTheme="minorHAnsi"/>
          <w:bCs/>
          <w:noProof w:val="0"/>
          <w:color w:val="17365D"/>
          <w:szCs w:val="22"/>
          <w:lang w:eastAsia="en-US"/>
        </w:rPr>
        <w:t>ušas:</w:t>
      </w:r>
      <w:r w:rsidR="002433BF" w:rsidRPr="00E72168">
        <w:rPr>
          <w:rFonts w:eastAsiaTheme="minorHAnsi"/>
          <w:bCs/>
          <w:noProof w:val="0"/>
          <w:color w:val="17365D"/>
          <w:szCs w:val="22"/>
          <w:lang w:eastAsia="en-US"/>
        </w:rPr>
        <w:t xml:space="preserve"> </w:t>
      </w:r>
    </w:p>
    <w:p w14:paraId="52CA137A" w14:textId="0C110B4A" w:rsidR="00CB3465" w:rsidRDefault="002433BF" w:rsidP="00146A16">
      <w:pPr>
        <w:pStyle w:val="Pamatteksts1"/>
        <w:numPr>
          <w:ilvl w:val="0"/>
          <w:numId w:val="33"/>
        </w:numPr>
        <w:rPr>
          <w:rFonts w:eastAsiaTheme="minorHAnsi"/>
          <w:bCs/>
          <w:noProof w:val="0"/>
          <w:color w:val="17365D"/>
          <w:szCs w:val="22"/>
          <w:lang w:eastAsia="en-US"/>
        </w:rPr>
      </w:pPr>
      <w:r w:rsidRPr="00E72168">
        <w:rPr>
          <w:rFonts w:eastAsiaTheme="minorHAnsi"/>
          <w:bCs/>
          <w:noProof w:val="0"/>
          <w:color w:val="17365D"/>
          <w:szCs w:val="22"/>
          <w:lang w:eastAsia="en-US"/>
        </w:rPr>
        <w:t xml:space="preserve">Ekonomikas ministrijai </w:t>
      </w:r>
      <w:r w:rsidR="00D3156C" w:rsidRPr="00E72168">
        <w:rPr>
          <w:rFonts w:eastAsiaTheme="minorHAnsi"/>
          <w:bCs/>
          <w:noProof w:val="0"/>
          <w:color w:val="17365D"/>
          <w:szCs w:val="22"/>
          <w:lang w:eastAsia="en-US"/>
        </w:rPr>
        <w:t>66</w:t>
      </w:r>
      <w:r w:rsidR="00D3156C">
        <w:rPr>
          <w:rFonts w:eastAsiaTheme="minorHAnsi"/>
          <w:bCs/>
          <w:noProof w:val="0"/>
          <w:color w:val="17365D"/>
          <w:szCs w:val="22"/>
          <w:lang w:eastAsia="en-US"/>
        </w:rPr>
        <w:t> </w:t>
      </w:r>
      <w:r w:rsidR="00D3156C" w:rsidRPr="00E72168">
        <w:rPr>
          <w:rFonts w:eastAsiaTheme="minorHAnsi"/>
          <w:bCs/>
          <w:noProof w:val="0"/>
          <w:color w:val="17365D"/>
          <w:szCs w:val="22"/>
          <w:lang w:eastAsia="en-US"/>
        </w:rPr>
        <w:t>413</w:t>
      </w:r>
      <w:r w:rsidR="00D3156C">
        <w:rPr>
          <w:rFonts w:eastAsiaTheme="minorHAnsi"/>
          <w:bCs/>
          <w:noProof w:val="0"/>
          <w:color w:val="17365D"/>
          <w:szCs w:val="22"/>
          <w:lang w:eastAsia="en-US"/>
        </w:rPr>
        <w:t> </w:t>
      </w:r>
      <w:r w:rsidR="00D3156C" w:rsidRPr="00E72168">
        <w:rPr>
          <w:rFonts w:eastAsiaTheme="minorHAnsi"/>
          <w:bCs/>
          <w:noProof w:val="0"/>
          <w:color w:val="17365D"/>
          <w:szCs w:val="22"/>
          <w:lang w:eastAsia="en-US"/>
        </w:rPr>
        <w:t>443</w:t>
      </w:r>
      <w:r w:rsidR="00D3156C">
        <w:rPr>
          <w:rFonts w:eastAsiaTheme="minorHAnsi"/>
          <w:bCs/>
          <w:noProof w:val="0"/>
          <w:color w:val="17365D"/>
          <w:szCs w:val="22"/>
          <w:lang w:eastAsia="en-US"/>
        </w:rPr>
        <w:t> </w:t>
      </w:r>
      <w:r w:rsidR="00D3156C" w:rsidRPr="00E72168">
        <w:rPr>
          <w:rFonts w:eastAsiaTheme="minorHAnsi"/>
          <w:bCs/>
          <w:i/>
          <w:noProof w:val="0"/>
          <w:color w:val="17365D"/>
          <w:szCs w:val="22"/>
          <w:lang w:eastAsia="en-US"/>
        </w:rPr>
        <w:t>euro</w:t>
      </w:r>
      <w:r w:rsidR="00D3156C" w:rsidRPr="00E72168">
        <w:rPr>
          <w:rFonts w:eastAsiaTheme="minorHAnsi"/>
          <w:bCs/>
          <w:noProof w:val="0"/>
          <w:color w:val="17365D"/>
          <w:szCs w:val="22"/>
          <w:lang w:eastAsia="en-US"/>
        </w:rPr>
        <w:t xml:space="preserve"> apmērā </w:t>
      </w:r>
      <w:r w:rsidRPr="00E72168">
        <w:rPr>
          <w:rFonts w:eastAsiaTheme="minorHAnsi"/>
          <w:bCs/>
          <w:noProof w:val="0"/>
          <w:color w:val="17365D"/>
          <w:szCs w:val="22"/>
          <w:lang w:eastAsia="en-US"/>
        </w:rPr>
        <w:t xml:space="preserve">par AS </w:t>
      </w:r>
      <w:r w:rsidR="002F1E9A">
        <w:rPr>
          <w:rFonts w:eastAsiaTheme="minorHAnsi"/>
          <w:bCs/>
          <w:noProof w:val="0"/>
          <w:color w:val="17365D"/>
          <w:szCs w:val="22"/>
          <w:lang w:eastAsia="en-US"/>
        </w:rPr>
        <w:t>“</w:t>
      </w:r>
      <w:r w:rsidRPr="00E72168">
        <w:rPr>
          <w:rFonts w:eastAsiaTheme="minorHAnsi"/>
          <w:bCs/>
          <w:noProof w:val="0"/>
          <w:color w:val="17365D"/>
          <w:szCs w:val="22"/>
          <w:lang w:eastAsia="en-US"/>
        </w:rPr>
        <w:t>Attīstības finanšu institūcija Altum</w:t>
      </w:r>
      <w:r w:rsidR="002F1E9A">
        <w:rPr>
          <w:rFonts w:eastAsiaTheme="minorHAnsi"/>
          <w:bCs/>
          <w:noProof w:val="0"/>
          <w:color w:val="17365D"/>
          <w:szCs w:val="22"/>
          <w:lang w:eastAsia="en-US"/>
        </w:rPr>
        <w:t>”</w:t>
      </w:r>
      <w:r w:rsidRPr="00E72168">
        <w:rPr>
          <w:rFonts w:eastAsiaTheme="minorHAnsi"/>
          <w:bCs/>
          <w:noProof w:val="0"/>
          <w:color w:val="17365D"/>
          <w:szCs w:val="22"/>
          <w:lang w:eastAsia="en-US"/>
        </w:rPr>
        <w:t xml:space="preserve"> līgumiem, atbilstoši to noteikumiem Eiropas atveseļošanas fondā, palielinājums </w:t>
      </w:r>
      <w:r w:rsidR="00D3156C" w:rsidRPr="00E72168">
        <w:rPr>
          <w:rFonts w:eastAsiaTheme="minorHAnsi"/>
          <w:bCs/>
          <w:noProof w:val="0"/>
          <w:color w:val="17365D"/>
          <w:szCs w:val="22"/>
          <w:lang w:eastAsia="en-US"/>
        </w:rPr>
        <w:t>11</w:t>
      </w:r>
      <w:r w:rsidR="00D3156C">
        <w:rPr>
          <w:rFonts w:eastAsiaTheme="minorHAnsi"/>
          <w:bCs/>
          <w:noProof w:val="0"/>
          <w:color w:val="17365D"/>
          <w:szCs w:val="22"/>
          <w:lang w:eastAsia="en-US"/>
        </w:rPr>
        <w:t> </w:t>
      </w:r>
      <w:r w:rsidR="00D3156C" w:rsidRPr="00E72168">
        <w:rPr>
          <w:rFonts w:eastAsiaTheme="minorHAnsi"/>
          <w:bCs/>
          <w:noProof w:val="0"/>
          <w:color w:val="17365D"/>
          <w:szCs w:val="22"/>
          <w:lang w:eastAsia="en-US"/>
        </w:rPr>
        <w:t>092</w:t>
      </w:r>
      <w:r w:rsidR="00D3156C">
        <w:rPr>
          <w:rFonts w:eastAsiaTheme="minorHAnsi"/>
          <w:bCs/>
          <w:noProof w:val="0"/>
          <w:color w:val="17365D"/>
          <w:szCs w:val="22"/>
          <w:lang w:eastAsia="en-US"/>
        </w:rPr>
        <w:t> </w:t>
      </w:r>
      <w:r w:rsidR="00D3156C" w:rsidRPr="00E72168">
        <w:rPr>
          <w:rFonts w:eastAsiaTheme="minorHAnsi"/>
          <w:bCs/>
          <w:noProof w:val="0"/>
          <w:color w:val="17365D"/>
          <w:szCs w:val="22"/>
          <w:lang w:eastAsia="en-US"/>
        </w:rPr>
        <w:t xml:space="preserve">246 </w:t>
      </w:r>
      <w:r w:rsidR="00D3156C" w:rsidRPr="00E72168">
        <w:rPr>
          <w:rFonts w:eastAsiaTheme="minorHAnsi"/>
          <w:bCs/>
          <w:i/>
          <w:noProof w:val="0"/>
          <w:color w:val="17365D"/>
          <w:szCs w:val="22"/>
          <w:lang w:eastAsia="en-US"/>
        </w:rPr>
        <w:t>euro</w:t>
      </w:r>
      <w:r w:rsidR="00D3156C" w:rsidRPr="00E72168">
        <w:rPr>
          <w:rFonts w:eastAsiaTheme="minorHAnsi"/>
          <w:bCs/>
          <w:noProof w:val="0"/>
          <w:color w:val="17365D"/>
          <w:szCs w:val="22"/>
          <w:lang w:eastAsia="en-US"/>
        </w:rPr>
        <w:t xml:space="preserve"> apmērā </w:t>
      </w:r>
      <w:r w:rsidRPr="00E72168">
        <w:rPr>
          <w:rFonts w:eastAsiaTheme="minorHAnsi"/>
          <w:bCs/>
          <w:noProof w:val="0"/>
          <w:color w:val="17365D"/>
          <w:szCs w:val="22"/>
          <w:lang w:eastAsia="en-US"/>
        </w:rPr>
        <w:t xml:space="preserve">par AS </w:t>
      </w:r>
      <w:r w:rsidR="002F1E9A">
        <w:rPr>
          <w:rFonts w:eastAsiaTheme="minorHAnsi"/>
          <w:bCs/>
          <w:noProof w:val="0"/>
          <w:color w:val="17365D"/>
          <w:szCs w:val="22"/>
          <w:lang w:eastAsia="en-US"/>
        </w:rPr>
        <w:t>“</w:t>
      </w:r>
      <w:r w:rsidRPr="00E72168">
        <w:rPr>
          <w:rFonts w:eastAsiaTheme="minorHAnsi"/>
          <w:bCs/>
          <w:noProof w:val="0"/>
          <w:color w:val="17365D"/>
          <w:szCs w:val="22"/>
          <w:lang w:eastAsia="en-US"/>
        </w:rPr>
        <w:t>Sadales tīkls</w:t>
      </w:r>
      <w:r w:rsidR="002F1E9A">
        <w:rPr>
          <w:rFonts w:eastAsiaTheme="minorHAnsi"/>
          <w:bCs/>
          <w:noProof w:val="0"/>
          <w:color w:val="17365D"/>
          <w:szCs w:val="22"/>
          <w:lang w:eastAsia="en-US"/>
        </w:rPr>
        <w:t>”</w:t>
      </w:r>
      <w:r w:rsidRPr="00E72168">
        <w:rPr>
          <w:rFonts w:eastAsiaTheme="minorHAnsi"/>
          <w:bCs/>
          <w:noProof w:val="0"/>
          <w:color w:val="17365D"/>
          <w:szCs w:val="22"/>
          <w:lang w:eastAsia="en-US"/>
        </w:rPr>
        <w:t xml:space="preserve"> noslēgto līgumu ES Atveseļošanas un noturības mehānisma plāna Elektroenerģijas sadales sistēmas modernizācijas projektā, palielinājums </w:t>
      </w:r>
      <w:r w:rsidR="00D3156C" w:rsidRPr="00E72168">
        <w:rPr>
          <w:rFonts w:eastAsiaTheme="minorHAnsi"/>
          <w:bCs/>
          <w:noProof w:val="0"/>
          <w:color w:val="17365D"/>
          <w:szCs w:val="22"/>
          <w:lang w:eastAsia="en-US"/>
        </w:rPr>
        <w:t>7</w:t>
      </w:r>
      <w:r w:rsidR="00D3156C">
        <w:rPr>
          <w:rFonts w:eastAsiaTheme="minorHAnsi"/>
          <w:bCs/>
          <w:noProof w:val="0"/>
          <w:color w:val="17365D"/>
          <w:szCs w:val="22"/>
          <w:lang w:eastAsia="en-US"/>
        </w:rPr>
        <w:t> </w:t>
      </w:r>
      <w:r w:rsidR="00D3156C" w:rsidRPr="00E72168">
        <w:rPr>
          <w:rFonts w:eastAsiaTheme="minorHAnsi"/>
          <w:bCs/>
          <w:noProof w:val="0"/>
          <w:color w:val="17365D"/>
          <w:szCs w:val="22"/>
          <w:lang w:eastAsia="en-US"/>
        </w:rPr>
        <w:t>239</w:t>
      </w:r>
      <w:r w:rsidR="00D3156C">
        <w:rPr>
          <w:rFonts w:eastAsiaTheme="minorHAnsi"/>
          <w:bCs/>
          <w:noProof w:val="0"/>
          <w:color w:val="17365D"/>
          <w:szCs w:val="22"/>
          <w:lang w:eastAsia="en-US"/>
        </w:rPr>
        <w:t> </w:t>
      </w:r>
      <w:r w:rsidR="00D3156C" w:rsidRPr="00E72168">
        <w:rPr>
          <w:rFonts w:eastAsiaTheme="minorHAnsi"/>
          <w:bCs/>
          <w:noProof w:val="0"/>
          <w:color w:val="17365D"/>
          <w:szCs w:val="22"/>
          <w:lang w:eastAsia="en-US"/>
        </w:rPr>
        <w:t xml:space="preserve">338 </w:t>
      </w:r>
      <w:r w:rsidR="00D3156C" w:rsidRPr="00E72168">
        <w:rPr>
          <w:rFonts w:eastAsiaTheme="minorHAnsi"/>
          <w:bCs/>
          <w:i/>
          <w:noProof w:val="0"/>
          <w:color w:val="17365D"/>
          <w:szCs w:val="22"/>
          <w:lang w:eastAsia="en-US"/>
        </w:rPr>
        <w:t>euro</w:t>
      </w:r>
      <w:r w:rsidR="00D3156C">
        <w:rPr>
          <w:rFonts w:eastAsiaTheme="minorHAnsi"/>
          <w:bCs/>
          <w:noProof w:val="0"/>
          <w:color w:val="17365D"/>
          <w:szCs w:val="22"/>
          <w:lang w:eastAsia="en-US"/>
        </w:rPr>
        <w:t xml:space="preserve"> apmērā</w:t>
      </w:r>
      <w:r w:rsidR="00D3156C" w:rsidRPr="00E72168">
        <w:rPr>
          <w:rFonts w:eastAsiaTheme="minorHAnsi"/>
          <w:bCs/>
          <w:noProof w:val="0"/>
          <w:color w:val="17365D"/>
          <w:szCs w:val="22"/>
          <w:lang w:eastAsia="en-US"/>
        </w:rPr>
        <w:t xml:space="preserve"> </w:t>
      </w:r>
      <w:r w:rsidRPr="00E72168">
        <w:rPr>
          <w:rFonts w:eastAsiaTheme="minorHAnsi"/>
          <w:bCs/>
          <w:noProof w:val="0"/>
          <w:color w:val="17365D"/>
          <w:szCs w:val="22"/>
          <w:lang w:eastAsia="en-US"/>
        </w:rPr>
        <w:t xml:space="preserve">par AS </w:t>
      </w:r>
      <w:r w:rsidR="002F1E9A">
        <w:rPr>
          <w:rFonts w:eastAsiaTheme="minorHAnsi"/>
          <w:bCs/>
          <w:noProof w:val="0"/>
          <w:color w:val="17365D"/>
          <w:szCs w:val="22"/>
          <w:lang w:eastAsia="en-US"/>
        </w:rPr>
        <w:t>“</w:t>
      </w:r>
      <w:r w:rsidRPr="00E72168">
        <w:rPr>
          <w:rFonts w:eastAsiaTheme="minorHAnsi"/>
          <w:bCs/>
          <w:noProof w:val="0"/>
          <w:color w:val="17365D"/>
          <w:szCs w:val="22"/>
          <w:lang w:eastAsia="en-US"/>
        </w:rPr>
        <w:t>Augstsprieguma tīkls</w:t>
      </w:r>
      <w:r w:rsidR="002F1E9A">
        <w:rPr>
          <w:rFonts w:eastAsiaTheme="minorHAnsi"/>
          <w:bCs/>
          <w:noProof w:val="0"/>
          <w:color w:val="17365D"/>
          <w:szCs w:val="22"/>
          <w:lang w:eastAsia="en-US"/>
        </w:rPr>
        <w:t>”</w:t>
      </w:r>
      <w:r w:rsidRPr="00E72168">
        <w:rPr>
          <w:rFonts w:eastAsiaTheme="minorHAnsi"/>
          <w:bCs/>
          <w:noProof w:val="0"/>
          <w:color w:val="17365D"/>
          <w:szCs w:val="22"/>
          <w:lang w:eastAsia="en-US"/>
        </w:rPr>
        <w:t xml:space="preserve"> noslēgto līgumu ES Atveseļošanas un noturības mehānisma plāna Elektroenerģijas pārvades sistēmas modernizācijas projektā</w:t>
      </w:r>
      <w:r w:rsidR="00CB3465">
        <w:rPr>
          <w:rFonts w:eastAsiaTheme="minorHAnsi"/>
          <w:bCs/>
          <w:noProof w:val="0"/>
          <w:color w:val="17365D"/>
          <w:szCs w:val="22"/>
          <w:lang w:eastAsia="en-US"/>
        </w:rPr>
        <w:t>;</w:t>
      </w:r>
      <w:r w:rsidR="00D42EBD" w:rsidRPr="00E72168">
        <w:rPr>
          <w:rFonts w:eastAsiaTheme="minorHAnsi"/>
          <w:bCs/>
          <w:noProof w:val="0"/>
          <w:color w:val="17365D"/>
          <w:szCs w:val="22"/>
          <w:lang w:eastAsia="en-US"/>
        </w:rPr>
        <w:t xml:space="preserve"> </w:t>
      </w:r>
    </w:p>
    <w:p w14:paraId="2BB1DAC1" w14:textId="29AE9052" w:rsidR="00CB3465" w:rsidRDefault="00D42EBD" w:rsidP="00146A16">
      <w:pPr>
        <w:pStyle w:val="Pamatteksts1"/>
        <w:numPr>
          <w:ilvl w:val="0"/>
          <w:numId w:val="33"/>
        </w:numPr>
        <w:rPr>
          <w:rFonts w:eastAsiaTheme="minorHAnsi"/>
          <w:bCs/>
          <w:i/>
          <w:noProof w:val="0"/>
          <w:color w:val="17365D"/>
          <w:szCs w:val="22"/>
          <w:lang w:eastAsia="en-US"/>
        </w:rPr>
      </w:pPr>
      <w:r w:rsidRPr="00E72168">
        <w:rPr>
          <w:rFonts w:eastAsiaTheme="minorHAnsi"/>
          <w:bCs/>
          <w:noProof w:val="0"/>
          <w:color w:val="17365D"/>
          <w:szCs w:val="22"/>
          <w:lang w:eastAsia="en-US"/>
        </w:rPr>
        <w:t xml:space="preserve">Finanšu ministrijai palielinājums </w:t>
      </w:r>
      <w:r w:rsidR="00D3156C" w:rsidRPr="00E72168">
        <w:rPr>
          <w:rFonts w:eastAsiaTheme="minorHAnsi"/>
          <w:bCs/>
          <w:noProof w:val="0"/>
          <w:color w:val="17365D"/>
          <w:szCs w:val="22"/>
          <w:lang w:eastAsia="en-US"/>
        </w:rPr>
        <w:t>54</w:t>
      </w:r>
      <w:r w:rsidR="00D3156C">
        <w:rPr>
          <w:rFonts w:eastAsiaTheme="minorHAnsi"/>
          <w:bCs/>
          <w:noProof w:val="0"/>
          <w:color w:val="17365D"/>
          <w:szCs w:val="22"/>
          <w:lang w:eastAsia="en-US"/>
        </w:rPr>
        <w:t> </w:t>
      </w:r>
      <w:r w:rsidR="00D3156C" w:rsidRPr="00E72168">
        <w:rPr>
          <w:rFonts w:eastAsiaTheme="minorHAnsi"/>
          <w:bCs/>
          <w:noProof w:val="0"/>
          <w:color w:val="17365D"/>
          <w:szCs w:val="22"/>
          <w:lang w:eastAsia="en-US"/>
        </w:rPr>
        <w:t xml:space="preserve">724 066 </w:t>
      </w:r>
      <w:r w:rsidR="00D3156C" w:rsidRPr="00E72168">
        <w:rPr>
          <w:rFonts w:eastAsiaTheme="minorHAnsi"/>
          <w:bCs/>
          <w:i/>
          <w:noProof w:val="0"/>
          <w:color w:val="17365D"/>
          <w:szCs w:val="22"/>
          <w:lang w:eastAsia="en-US"/>
        </w:rPr>
        <w:t>euro</w:t>
      </w:r>
      <w:r w:rsidR="00D3156C" w:rsidRPr="00E72168">
        <w:rPr>
          <w:rFonts w:eastAsiaTheme="minorHAnsi"/>
          <w:bCs/>
          <w:noProof w:val="0"/>
          <w:color w:val="17365D"/>
          <w:szCs w:val="22"/>
          <w:lang w:eastAsia="en-US"/>
        </w:rPr>
        <w:t xml:space="preserve"> </w:t>
      </w:r>
      <w:r w:rsidRPr="00E72168">
        <w:rPr>
          <w:rFonts w:eastAsiaTheme="minorHAnsi"/>
          <w:bCs/>
          <w:noProof w:val="0"/>
          <w:color w:val="17365D"/>
          <w:szCs w:val="22"/>
          <w:lang w:eastAsia="en-US"/>
        </w:rPr>
        <w:t>par avansā pārskaitītām subsīdijām Eiropas Savienības politiku instrumentu un pārējās ārvalstu finanšu pa</w:t>
      </w:r>
      <w:r w:rsidR="00690BF8" w:rsidRPr="00E72168">
        <w:rPr>
          <w:rFonts w:eastAsiaTheme="minorHAnsi"/>
          <w:bCs/>
          <w:noProof w:val="0"/>
          <w:color w:val="17365D"/>
          <w:szCs w:val="22"/>
          <w:lang w:eastAsia="en-US"/>
        </w:rPr>
        <w:t>līdzības finansētajiem projektiem</w:t>
      </w:r>
      <w:r w:rsidR="00CB3465">
        <w:rPr>
          <w:rFonts w:eastAsiaTheme="minorHAnsi"/>
          <w:bCs/>
          <w:i/>
          <w:noProof w:val="0"/>
          <w:color w:val="17365D"/>
          <w:szCs w:val="22"/>
          <w:lang w:eastAsia="en-US"/>
        </w:rPr>
        <w:t>;</w:t>
      </w:r>
    </w:p>
    <w:p w14:paraId="6D69FDFC" w14:textId="03FA65B9" w:rsidR="002433BF" w:rsidRPr="00E72168" w:rsidRDefault="00EC3B6C" w:rsidP="00146A16">
      <w:pPr>
        <w:pStyle w:val="Pamatteksts1"/>
        <w:numPr>
          <w:ilvl w:val="0"/>
          <w:numId w:val="33"/>
        </w:numPr>
        <w:rPr>
          <w:rFonts w:eastAsiaTheme="minorHAnsi"/>
          <w:bCs/>
          <w:noProof w:val="0"/>
          <w:color w:val="17365D"/>
          <w:szCs w:val="22"/>
          <w:lang w:eastAsia="en-US"/>
        </w:rPr>
      </w:pPr>
      <w:r w:rsidRPr="00E72168">
        <w:rPr>
          <w:rFonts w:eastAsiaTheme="minorHAnsi"/>
          <w:bCs/>
          <w:noProof w:val="0"/>
          <w:color w:val="17365D"/>
          <w:szCs w:val="22"/>
          <w:lang w:eastAsia="en-US"/>
        </w:rPr>
        <w:t xml:space="preserve">Satiksmes ministrijai izmaiņas </w:t>
      </w:r>
      <w:r w:rsidR="00D3156C" w:rsidRPr="00E72168">
        <w:rPr>
          <w:rFonts w:eastAsiaTheme="minorHAnsi"/>
          <w:bCs/>
          <w:noProof w:val="0"/>
          <w:color w:val="17365D"/>
          <w:szCs w:val="22"/>
          <w:lang w:eastAsia="en-US"/>
        </w:rPr>
        <w:t>8</w:t>
      </w:r>
      <w:r w:rsidR="00D3156C">
        <w:rPr>
          <w:rFonts w:eastAsiaTheme="minorHAnsi"/>
          <w:bCs/>
          <w:noProof w:val="0"/>
          <w:color w:val="17365D"/>
          <w:szCs w:val="22"/>
          <w:lang w:eastAsia="en-US"/>
        </w:rPr>
        <w:t> </w:t>
      </w:r>
      <w:r w:rsidR="00D3156C" w:rsidRPr="00E72168">
        <w:rPr>
          <w:rFonts w:eastAsiaTheme="minorHAnsi"/>
          <w:bCs/>
          <w:noProof w:val="0"/>
          <w:color w:val="17365D"/>
          <w:szCs w:val="22"/>
          <w:lang w:eastAsia="en-US"/>
        </w:rPr>
        <w:t>248</w:t>
      </w:r>
      <w:r w:rsidR="00D3156C">
        <w:rPr>
          <w:rFonts w:eastAsiaTheme="minorHAnsi"/>
          <w:bCs/>
          <w:noProof w:val="0"/>
          <w:color w:val="17365D"/>
          <w:szCs w:val="22"/>
          <w:lang w:eastAsia="en-US"/>
        </w:rPr>
        <w:t> </w:t>
      </w:r>
      <w:r w:rsidR="00D3156C" w:rsidRPr="00E72168">
        <w:rPr>
          <w:rFonts w:eastAsiaTheme="minorHAnsi"/>
          <w:bCs/>
          <w:noProof w:val="0"/>
          <w:color w:val="17365D"/>
          <w:szCs w:val="22"/>
          <w:lang w:eastAsia="en-US"/>
        </w:rPr>
        <w:t>697</w:t>
      </w:r>
      <w:r w:rsidR="00D3156C">
        <w:rPr>
          <w:rFonts w:eastAsiaTheme="minorHAnsi"/>
          <w:bCs/>
          <w:noProof w:val="0"/>
          <w:color w:val="17365D"/>
          <w:szCs w:val="22"/>
          <w:lang w:eastAsia="en-US"/>
        </w:rPr>
        <w:t> </w:t>
      </w:r>
      <w:r w:rsidR="00D3156C" w:rsidRPr="00E72168">
        <w:rPr>
          <w:rFonts w:eastAsiaTheme="minorHAnsi"/>
          <w:bCs/>
          <w:i/>
          <w:noProof w:val="0"/>
          <w:color w:val="17365D"/>
          <w:szCs w:val="22"/>
          <w:lang w:eastAsia="en-US"/>
        </w:rPr>
        <w:t>euro</w:t>
      </w:r>
      <w:r w:rsidR="00D3156C">
        <w:rPr>
          <w:rFonts w:eastAsiaTheme="minorHAnsi"/>
          <w:bCs/>
          <w:noProof w:val="0"/>
          <w:color w:val="17365D"/>
          <w:szCs w:val="22"/>
          <w:lang w:eastAsia="en-US"/>
        </w:rPr>
        <w:t xml:space="preserve"> apmērā</w:t>
      </w:r>
      <w:r w:rsidR="00D3156C" w:rsidRPr="00E72168">
        <w:rPr>
          <w:rFonts w:eastAsiaTheme="minorHAnsi"/>
          <w:bCs/>
          <w:noProof w:val="0"/>
          <w:color w:val="17365D"/>
          <w:szCs w:val="22"/>
          <w:lang w:eastAsia="en-US"/>
        </w:rPr>
        <w:t xml:space="preserve"> </w:t>
      </w:r>
      <w:r w:rsidRPr="00E72168">
        <w:rPr>
          <w:rFonts w:eastAsiaTheme="minorHAnsi"/>
          <w:bCs/>
          <w:noProof w:val="0"/>
          <w:color w:val="17365D"/>
          <w:szCs w:val="22"/>
          <w:lang w:eastAsia="en-US"/>
        </w:rPr>
        <w:t xml:space="preserve">veido Rail Baltic projekta ilgtermiņa prasību palielinājums par ārvalstu finanšu palīdzību pret AS </w:t>
      </w:r>
      <w:r w:rsidR="00B569C5">
        <w:rPr>
          <w:rFonts w:eastAsiaTheme="minorHAnsi"/>
          <w:bCs/>
          <w:noProof w:val="0"/>
          <w:color w:val="17365D"/>
          <w:szCs w:val="22"/>
          <w:lang w:eastAsia="en-US"/>
        </w:rPr>
        <w:t>“</w:t>
      </w:r>
      <w:r w:rsidRPr="00E72168">
        <w:rPr>
          <w:rFonts w:eastAsiaTheme="minorHAnsi"/>
          <w:bCs/>
          <w:noProof w:val="0"/>
          <w:color w:val="17365D"/>
          <w:szCs w:val="22"/>
          <w:lang w:eastAsia="en-US"/>
        </w:rPr>
        <w:t>RB Rail</w:t>
      </w:r>
      <w:r w:rsidR="00B569C5">
        <w:rPr>
          <w:rFonts w:eastAsiaTheme="minorHAnsi"/>
          <w:bCs/>
          <w:noProof w:val="0"/>
          <w:color w:val="17365D"/>
          <w:szCs w:val="22"/>
          <w:lang w:eastAsia="en-US"/>
        </w:rPr>
        <w:t>”</w:t>
      </w:r>
      <w:r w:rsidR="00D3156C">
        <w:rPr>
          <w:rFonts w:eastAsiaTheme="minorHAnsi"/>
          <w:bCs/>
          <w:noProof w:val="0"/>
          <w:color w:val="17365D"/>
          <w:szCs w:val="22"/>
          <w:lang w:eastAsia="en-US"/>
        </w:rPr>
        <w:t>.</w:t>
      </w:r>
    </w:p>
    <w:p w14:paraId="2FF0EBD1" w14:textId="026059FD" w:rsidR="00A44A7D" w:rsidRPr="00E72168" w:rsidRDefault="00A44A7D" w:rsidP="0054346C">
      <w:pPr>
        <w:spacing w:after="120" w:line="240" w:lineRule="auto"/>
        <w:ind w:firstLine="284"/>
        <w:jc w:val="both"/>
        <w:rPr>
          <w:rFonts w:cs="Times New Roman"/>
          <w:bCs/>
          <w:color w:val="17365D"/>
        </w:rPr>
      </w:pPr>
      <w:r w:rsidRPr="00E72168">
        <w:rPr>
          <w:rFonts w:cs="Times New Roman"/>
          <w:color w:val="17365D"/>
        </w:rPr>
        <w:t>Bilances postenī “Ilgtermiņa prasības” konsolidēti valsts un pašvaldību budžeta iestāžu savstarpējie avansa maksājumi un attiecīgās saistības.</w:t>
      </w:r>
    </w:p>
    <w:p w14:paraId="0A18FC71" w14:textId="464F7ED0" w:rsidR="004548EE" w:rsidRDefault="00EB4440" w:rsidP="00863204">
      <w:pPr>
        <w:spacing w:after="120" w:line="240" w:lineRule="auto"/>
        <w:ind w:firstLine="284"/>
        <w:jc w:val="both"/>
        <w:rPr>
          <w:rFonts w:cs="Times New Roman"/>
          <w:bCs/>
          <w:color w:val="17365D"/>
        </w:rPr>
      </w:pPr>
      <w:r w:rsidRPr="00E72168">
        <w:rPr>
          <w:rFonts w:cs="Times New Roman"/>
          <w:color w:val="17365D"/>
        </w:rPr>
        <w:t>Valsts budžeta finanšu uzskaitē</w:t>
      </w:r>
      <w:r w:rsidR="005B15DD" w:rsidRPr="00E72168">
        <w:rPr>
          <w:rFonts w:cs="Times New Roman"/>
          <w:color w:val="17365D"/>
        </w:rPr>
        <w:t xml:space="preserve"> galvojumiem un citām</w:t>
      </w:r>
      <w:r w:rsidRPr="00E72168">
        <w:rPr>
          <w:rFonts w:cs="Times New Roman"/>
          <w:color w:val="17365D"/>
        </w:rPr>
        <w:t xml:space="preserve"> ilgtermiņa prasībām</w:t>
      </w:r>
      <w:r w:rsidR="005B15DD" w:rsidRPr="00E72168">
        <w:rPr>
          <w:rFonts w:cs="Times New Roman"/>
          <w:color w:val="17365D"/>
        </w:rPr>
        <w:t xml:space="preserve"> iepriekšējos pārskata periodos ir izveidots vērtības samazinājums pilnā prasību apmērā</w:t>
      </w:r>
      <w:r w:rsidR="009B1CBB" w:rsidRPr="00E72168">
        <w:rPr>
          <w:rFonts w:cs="Times New Roman"/>
          <w:bCs/>
          <w:color w:val="17365D"/>
        </w:rPr>
        <w:t xml:space="preserve"> (340</w:t>
      </w:r>
      <w:r w:rsidRPr="00E72168">
        <w:rPr>
          <w:rFonts w:cs="Times New Roman"/>
          <w:bCs/>
          <w:color w:val="17365D"/>
        </w:rPr>
        <w:t> </w:t>
      </w:r>
      <w:r w:rsidR="009B1CBB" w:rsidRPr="00E72168">
        <w:rPr>
          <w:rFonts w:cs="Times New Roman"/>
          <w:bCs/>
          <w:color w:val="17365D"/>
        </w:rPr>
        <w:t>465</w:t>
      </w:r>
      <w:r w:rsidRPr="00E72168">
        <w:rPr>
          <w:rFonts w:cs="Times New Roman"/>
          <w:bCs/>
          <w:color w:val="17365D"/>
        </w:rPr>
        <w:t> </w:t>
      </w:r>
      <w:r w:rsidR="009B1CBB" w:rsidRPr="00E72168">
        <w:rPr>
          <w:rFonts w:cs="Times New Roman"/>
          <w:bCs/>
          <w:color w:val="17365D"/>
        </w:rPr>
        <w:t>781</w:t>
      </w:r>
      <w:r w:rsidRPr="00E72168">
        <w:rPr>
          <w:rFonts w:cs="Times New Roman"/>
          <w:bCs/>
          <w:color w:val="17365D"/>
        </w:rPr>
        <w:t>)</w:t>
      </w:r>
      <w:r w:rsidR="008071C5" w:rsidRPr="00E72168">
        <w:rPr>
          <w:rStyle w:val="CommentReference"/>
        </w:rPr>
        <w:t xml:space="preserve"> </w:t>
      </w:r>
      <w:r w:rsidR="008071C5" w:rsidRPr="00E72168">
        <w:rPr>
          <w:rFonts w:cs="Times New Roman"/>
          <w:bCs/>
          <w:i/>
          <w:color w:val="17365D"/>
        </w:rPr>
        <w:t>e</w:t>
      </w:r>
      <w:r w:rsidRPr="00E72168">
        <w:rPr>
          <w:rFonts w:cs="Times New Roman"/>
          <w:bCs/>
          <w:i/>
          <w:color w:val="17365D"/>
        </w:rPr>
        <w:t>uro</w:t>
      </w:r>
      <w:r w:rsidRPr="00E72168">
        <w:rPr>
          <w:rFonts w:cs="Times New Roman"/>
          <w:bCs/>
          <w:color w:val="17365D"/>
        </w:rPr>
        <w:t xml:space="preserve"> vērtībā</w:t>
      </w:r>
      <w:r w:rsidR="008071C5" w:rsidRPr="00E72168">
        <w:rPr>
          <w:rFonts w:cs="Times New Roman"/>
          <w:bCs/>
          <w:color w:val="17365D"/>
        </w:rPr>
        <w:t xml:space="preserve">. </w:t>
      </w:r>
      <w:r w:rsidR="00852BE3" w:rsidRPr="00E72168">
        <w:rPr>
          <w:rFonts w:cs="Times New Roman"/>
          <w:bCs/>
          <w:color w:val="17365D"/>
        </w:rPr>
        <w:t xml:space="preserve">Saskaņā ar pašvaldību sniegto informāciju </w:t>
      </w:r>
      <w:r w:rsidR="005D25CC" w:rsidRPr="00E72168">
        <w:rPr>
          <w:rFonts w:cs="Times New Roman"/>
          <w:bCs/>
          <w:color w:val="17365D"/>
        </w:rPr>
        <w:t>ilgtermiņa prasību</w:t>
      </w:r>
      <w:r w:rsidR="00852BE3" w:rsidRPr="00E72168">
        <w:rPr>
          <w:rFonts w:cs="Times New Roman"/>
          <w:bCs/>
          <w:color w:val="17365D"/>
        </w:rPr>
        <w:t xml:space="preserve"> </w:t>
      </w:r>
      <w:r w:rsidR="005D25CC" w:rsidRPr="00E72168">
        <w:rPr>
          <w:rFonts w:cs="Times New Roman"/>
          <w:bCs/>
          <w:color w:val="17365D"/>
        </w:rPr>
        <w:t xml:space="preserve">vērtības samazinājums </w:t>
      </w:r>
      <w:r w:rsidR="00502A25" w:rsidRPr="00E72168">
        <w:rPr>
          <w:rFonts w:cs="Times New Roman"/>
          <w:bCs/>
          <w:color w:val="17365D"/>
        </w:rPr>
        <w:lastRenderedPageBreak/>
        <w:t>202</w:t>
      </w:r>
      <w:r w:rsidR="00FB23D1" w:rsidRPr="00E72168">
        <w:rPr>
          <w:rFonts w:cs="Times New Roman"/>
          <w:bCs/>
          <w:color w:val="17365D"/>
        </w:rPr>
        <w:t>3</w:t>
      </w:r>
      <w:r w:rsidR="00852BE3" w:rsidRPr="00E72168">
        <w:rPr>
          <w:rFonts w:cs="Times New Roman"/>
          <w:bCs/>
          <w:color w:val="17365D"/>
        </w:rPr>
        <w:t>. gada beigās ir (</w:t>
      </w:r>
      <w:r w:rsidR="00586A9E" w:rsidRPr="00E72168">
        <w:rPr>
          <w:rFonts w:cs="Times New Roman"/>
          <w:bCs/>
          <w:color w:val="17365D"/>
        </w:rPr>
        <w:t>3</w:t>
      </w:r>
      <w:r w:rsidR="00502A25" w:rsidRPr="00E72168">
        <w:rPr>
          <w:rFonts w:cs="Times New Roman"/>
          <w:bCs/>
          <w:color w:val="17365D"/>
        </w:rPr>
        <w:t> </w:t>
      </w:r>
      <w:r w:rsidR="00FB23D1" w:rsidRPr="00E72168">
        <w:rPr>
          <w:rFonts w:cs="Times New Roman"/>
          <w:bCs/>
          <w:color w:val="17365D"/>
        </w:rPr>
        <w:t>159</w:t>
      </w:r>
      <w:r w:rsidR="00852BE3" w:rsidRPr="00E72168">
        <w:rPr>
          <w:rFonts w:cs="Times New Roman"/>
          <w:bCs/>
          <w:color w:val="17365D"/>
        </w:rPr>
        <w:t>) </w:t>
      </w:r>
      <w:r w:rsidR="00852BE3" w:rsidRPr="00E72168">
        <w:rPr>
          <w:rFonts w:cs="Times New Roman"/>
          <w:bCs/>
          <w:i/>
          <w:color w:val="17365D"/>
        </w:rPr>
        <w:t>euro,</w:t>
      </w:r>
      <w:r w:rsidR="00852BE3" w:rsidRPr="00E72168">
        <w:rPr>
          <w:rFonts w:cs="Times New Roman"/>
          <w:bCs/>
          <w:color w:val="17365D"/>
        </w:rPr>
        <w:t xml:space="preserve"> </w:t>
      </w:r>
      <w:r w:rsidR="00EC5723" w:rsidRPr="00E72168">
        <w:rPr>
          <w:rFonts w:cs="Times New Roman"/>
          <w:bCs/>
          <w:color w:val="17365D"/>
        </w:rPr>
        <w:t xml:space="preserve">kas noteikts </w:t>
      </w:r>
      <w:r w:rsidR="00586A9E" w:rsidRPr="00E72168">
        <w:rPr>
          <w:rFonts w:cs="Times New Roman"/>
          <w:bCs/>
          <w:color w:val="17365D"/>
        </w:rPr>
        <w:t>prasību pilnā apmērā</w:t>
      </w:r>
      <w:r w:rsidR="00EC6774" w:rsidRPr="00E72168">
        <w:rPr>
          <w:rFonts w:cs="Times New Roman"/>
          <w:bCs/>
          <w:color w:val="17365D"/>
        </w:rPr>
        <w:t xml:space="preserve"> saskaņā ar budžeta iestāžu grāmatvedības uzskaites kārtībā noteikto</w:t>
      </w:r>
      <w:r w:rsidR="00863204" w:rsidRPr="00E72168">
        <w:rPr>
          <w:rFonts w:cs="Times New Roman"/>
          <w:bCs/>
          <w:color w:val="17365D"/>
        </w:rPr>
        <w:t>, m</w:t>
      </w:r>
      <w:r w:rsidR="00852BE3" w:rsidRPr="00E72168">
        <w:rPr>
          <w:rFonts w:cs="Times New Roman"/>
          <w:bCs/>
          <w:color w:val="17365D"/>
        </w:rPr>
        <w:t>inistrijas un centrālās iestādes</w:t>
      </w:r>
      <w:r w:rsidR="008071C5" w:rsidRPr="00E72168">
        <w:rPr>
          <w:rFonts w:cs="Times New Roman"/>
          <w:bCs/>
          <w:color w:val="17365D"/>
        </w:rPr>
        <w:t xml:space="preserve"> 2023. gada </w:t>
      </w:r>
      <w:r w:rsidR="00863204" w:rsidRPr="00E72168">
        <w:rPr>
          <w:rFonts w:cs="Times New Roman"/>
          <w:bCs/>
          <w:color w:val="17365D"/>
        </w:rPr>
        <w:t>beigās izveidojušas ilgtermiņa prasību vērtības samazinājumu (1</w:t>
      </w:r>
      <w:r w:rsidR="002F1E9A">
        <w:rPr>
          <w:rFonts w:cs="Times New Roman"/>
          <w:bCs/>
          <w:color w:val="17365D"/>
        </w:rPr>
        <w:t> </w:t>
      </w:r>
      <w:r w:rsidR="00863204" w:rsidRPr="00E72168">
        <w:rPr>
          <w:rFonts w:cs="Times New Roman"/>
          <w:bCs/>
          <w:color w:val="17365D"/>
        </w:rPr>
        <w:t>795)</w:t>
      </w:r>
      <w:r w:rsidR="00863204" w:rsidRPr="00E72168">
        <w:rPr>
          <w:rFonts w:cs="Times New Roman"/>
          <w:bCs/>
          <w:i/>
          <w:color w:val="17365D"/>
        </w:rPr>
        <w:t xml:space="preserve"> euro</w:t>
      </w:r>
      <w:r w:rsidR="00863204" w:rsidRPr="00E72168">
        <w:rPr>
          <w:rFonts w:cs="Times New Roman"/>
          <w:bCs/>
          <w:color w:val="17365D"/>
        </w:rPr>
        <w:t xml:space="preserve"> vērtībā atbilstoši izpildes termiņa kavējuma dienām.</w:t>
      </w:r>
    </w:p>
    <w:p w14:paraId="6F42ED48" w14:textId="17A508BA" w:rsidR="00486B84" w:rsidRPr="00E72168" w:rsidRDefault="002B58FA" w:rsidP="005A3758">
      <w:pPr>
        <w:pStyle w:val="Heading4"/>
        <w:rPr>
          <w:rFonts w:cs="Times New Roman"/>
        </w:rPr>
      </w:pPr>
      <w:r w:rsidRPr="00E72168">
        <w:rPr>
          <w:rFonts w:cs="Times New Roman"/>
        </w:rPr>
        <w:t>Piezīme Nr. KB.</w:t>
      </w:r>
      <w:r w:rsidR="00F73CE6" w:rsidRPr="00E72168">
        <w:rPr>
          <w:rFonts w:cs="Times New Roman"/>
        </w:rPr>
        <w:t>1.</w:t>
      </w:r>
      <w:r w:rsidRPr="00E72168">
        <w:rPr>
          <w:rFonts w:cs="Times New Roman"/>
        </w:rPr>
        <w:t xml:space="preserve">5. </w:t>
      </w:r>
      <w:r w:rsidR="00486B84" w:rsidRPr="00E72168">
        <w:rPr>
          <w:rFonts w:cs="Times New Roman"/>
        </w:rPr>
        <w:t>Ieguldījuma īpašumi</w:t>
      </w:r>
    </w:p>
    <w:p w14:paraId="7F92B454" w14:textId="334C00AC" w:rsidR="00DB1118" w:rsidRPr="00E72168" w:rsidRDefault="003B30FD" w:rsidP="00DB1118">
      <w:pPr>
        <w:pStyle w:val="Tabulasnosaukums1"/>
        <w:rPr>
          <w:rFonts w:cs="Times New Roman"/>
          <w:i/>
          <w:color w:val="17365D"/>
        </w:rPr>
      </w:pPr>
      <w:r>
        <w:rPr>
          <w:rFonts w:cs="Times New Roman"/>
          <w:i/>
          <w:color w:val="17365D"/>
        </w:rPr>
        <w:t>1.</w:t>
      </w:r>
      <w:r w:rsidR="00212DF3" w:rsidRPr="00E72168">
        <w:rPr>
          <w:rFonts w:cs="Times New Roman"/>
          <w:i/>
          <w:color w:val="17365D"/>
        </w:rPr>
        <w:t>7</w:t>
      </w:r>
      <w:r w:rsidR="00DB1118" w:rsidRPr="00E72168">
        <w:rPr>
          <w:rFonts w:cs="Times New Roman"/>
          <w:i/>
          <w:color w:val="17365D"/>
        </w:rPr>
        <w:t xml:space="preserve">. tabula. </w:t>
      </w:r>
      <w:r w:rsidR="00486B84" w:rsidRPr="00E72168">
        <w:rPr>
          <w:rFonts w:cs="Times New Roman"/>
          <w:bCs/>
          <w:i/>
          <w:iCs/>
          <w:color w:val="17365D"/>
        </w:rPr>
        <w:t>Ieguldījuma īpašumi</w:t>
      </w:r>
      <w:r w:rsidR="00DB1118" w:rsidRPr="00E72168">
        <w:rPr>
          <w:rFonts w:cs="Times New Roman"/>
          <w:i/>
          <w:color w:val="17365D"/>
        </w:rPr>
        <w:t xml:space="preserve"> (euro)</w:t>
      </w:r>
    </w:p>
    <w:tbl>
      <w:tblPr>
        <w:tblW w:w="5016" w:type="pct"/>
        <w:tblBorders>
          <w:insideH w:val="single" w:sz="4" w:space="0" w:color="012169"/>
        </w:tblBorders>
        <w:tblLayout w:type="fixed"/>
        <w:tblLook w:val="04A0" w:firstRow="1" w:lastRow="0" w:firstColumn="1" w:lastColumn="0" w:noHBand="0" w:noVBand="1"/>
      </w:tblPr>
      <w:tblGrid>
        <w:gridCol w:w="2815"/>
        <w:gridCol w:w="236"/>
        <w:gridCol w:w="796"/>
        <w:gridCol w:w="156"/>
        <w:gridCol w:w="1242"/>
        <w:gridCol w:w="205"/>
        <w:gridCol w:w="1355"/>
        <w:gridCol w:w="77"/>
        <w:gridCol w:w="1269"/>
        <w:gridCol w:w="73"/>
        <w:gridCol w:w="1160"/>
      </w:tblGrid>
      <w:tr w:rsidR="000C1009" w:rsidRPr="00E72168" w14:paraId="30729003" w14:textId="77777777" w:rsidTr="00674038">
        <w:trPr>
          <w:trHeight w:val="684"/>
          <w:tblHeader/>
        </w:trPr>
        <w:tc>
          <w:tcPr>
            <w:tcW w:w="1500" w:type="pct"/>
            <w:tcBorders>
              <w:bottom w:val="single" w:sz="4" w:space="0" w:color="17365D"/>
            </w:tcBorders>
            <w:shd w:val="clear" w:color="auto" w:fill="B9CDE5"/>
            <w:vAlign w:val="center"/>
            <w:hideMark/>
          </w:tcPr>
          <w:p w14:paraId="1E0C55EA"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Rādītāji</w:t>
            </w:r>
          </w:p>
        </w:tc>
        <w:tc>
          <w:tcPr>
            <w:tcW w:w="550" w:type="pct"/>
            <w:gridSpan w:val="2"/>
            <w:tcBorders>
              <w:bottom w:val="single" w:sz="4" w:space="0" w:color="17365D"/>
            </w:tcBorders>
            <w:shd w:val="clear" w:color="auto" w:fill="B9CDE5"/>
            <w:vAlign w:val="center"/>
            <w:hideMark/>
          </w:tcPr>
          <w:p w14:paraId="5A48A39C"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45" w:type="pct"/>
            <w:gridSpan w:val="2"/>
            <w:tcBorders>
              <w:bottom w:val="single" w:sz="4" w:space="0" w:color="17365D"/>
            </w:tcBorders>
            <w:shd w:val="clear" w:color="auto" w:fill="B9CDE5"/>
            <w:vAlign w:val="center"/>
            <w:hideMark/>
          </w:tcPr>
          <w:p w14:paraId="2FB97AF4"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831" w:type="pct"/>
            <w:gridSpan w:val="2"/>
            <w:tcBorders>
              <w:bottom w:val="single" w:sz="4" w:space="0" w:color="17365D"/>
            </w:tcBorders>
            <w:shd w:val="clear" w:color="auto" w:fill="B9CDE5"/>
            <w:vAlign w:val="center"/>
            <w:hideMark/>
          </w:tcPr>
          <w:p w14:paraId="79AEAFF7"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56" w:type="pct"/>
            <w:gridSpan w:val="3"/>
            <w:tcBorders>
              <w:bottom w:val="single" w:sz="4" w:space="0" w:color="17365D"/>
            </w:tcBorders>
            <w:shd w:val="clear" w:color="auto" w:fill="B9CDE5"/>
            <w:vAlign w:val="center"/>
            <w:hideMark/>
          </w:tcPr>
          <w:p w14:paraId="3DA181F4"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Pr="00E72168">
              <w:rPr>
                <w:rFonts w:eastAsia="Times New Roman" w:cs="Times New Roman"/>
                <w:b/>
                <w:color w:val="17365D"/>
                <w:sz w:val="18"/>
                <w:szCs w:val="18"/>
                <w:lang w:eastAsia="lv-LV"/>
              </w:rPr>
              <w:t xml:space="preserve"> – )</w:t>
            </w:r>
          </w:p>
        </w:tc>
        <w:tc>
          <w:tcPr>
            <w:tcW w:w="618" w:type="pct"/>
            <w:tcBorders>
              <w:bottom w:val="single" w:sz="4" w:space="0" w:color="17365D"/>
            </w:tcBorders>
            <w:shd w:val="clear" w:color="auto" w:fill="B9CDE5"/>
            <w:vAlign w:val="center"/>
            <w:hideMark/>
          </w:tcPr>
          <w:p w14:paraId="780344C7"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779300A4" w14:textId="77777777" w:rsidTr="00674038">
        <w:trPr>
          <w:trHeight w:val="264"/>
          <w:tblHeader/>
        </w:trPr>
        <w:tc>
          <w:tcPr>
            <w:tcW w:w="1500" w:type="pct"/>
            <w:tcBorders>
              <w:top w:val="single" w:sz="4" w:space="0" w:color="17365D"/>
              <w:bottom w:val="single" w:sz="4" w:space="0" w:color="17365D"/>
            </w:tcBorders>
            <w:shd w:val="clear" w:color="auto" w:fill="auto"/>
            <w:vAlign w:val="center"/>
            <w:hideMark/>
          </w:tcPr>
          <w:p w14:paraId="360B9789"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550" w:type="pct"/>
            <w:gridSpan w:val="2"/>
            <w:tcBorders>
              <w:top w:val="single" w:sz="4" w:space="0" w:color="17365D"/>
              <w:bottom w:val="single" w:sz="4" w:space="0" w:color="17365D"/>
            </w:tcBorders>
            <w:shd w:val="clear" w:color="auto" w:fill="auto"/>
            <w:vAlign w:val="center"/>
            <w:hideMark/>
          </w:tcPr>
          <w:p w14:paraId="75C13171"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45" w:type="pct"/>
            <w:gridSpan w:val="2"/>
            <w:tcBorders>
              <w:top w:val="single" w:sz="4" w:space="0" w:color="17365D"/>
              <w:bottom w:val="single" w:sz="4" w:space="0" w:color="17365D"/>
            </w:tcBorders>
            <w:shd w:val="clear" w:color="auto" w:fill="auto"/>
            <w:vAlign w:val="center"/>
            <w:hideMark/>
          </w:tcPr>
          <w:p w14:paraId="0F92B19E"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831" w:type="pct"/>
            <w:gridSpan w:val="2"/>
            <w:tcBorders>
              <w:top w:val="single" w:sz="4" w:space="0" w:color="17365D"/>
              <w:bottom w:val="single" w:sz="4" w:space="0" w:color="17365D"/>
            </w:tcBorders>
            <w:shd w:val="clear" w:color="auto" w:fill="auto"/>
            <w:vAlign w:val="center"/>
            <w:hideMark/>
          </w:tcPr>
          <w:p w14:paraId="09B4ADBA"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56" w:type="pct"/>
            <w:gridSpan w:val="3"/>
            <w:tcBorders>
              <w:top w:val="single" w:sz="4" w:space="0" w:color="17365D"/>
              <w:bottom w:val="single" w:sz="4" w:space="0" w:color="17365D"/>
            </w:tcBorders>
            <w:shd w:val="clear" w:color="auto" w:fill="auto"/>
            <w:vAlign w:val="center"/>
            <w:hideMark/>
          </w:tcPr>
          <w:p w14:paraId="73797C4D"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18" w:type="pct"/>
            <w:tcBorders>
              <w:top w:val="single" w:sz="4" w:space="0" w:color="17365D"/>
              <w:bottom w:val="single" w:sz="4" w:space="0" w:color="17365D"/>
            </w:tcBorders>
            <w:shd w:val="clear" w:color="auto" w:fill="auto"/>
            <w:vAlign w:val="center"/>
            <w:hideMark/>
          </w:tcPr>
          <w:p w14:paraId="16A29DF8" w14:textId="77777777" w:rsidR="00C2495B" w:rsidRPr="00E72168" w:rsidRDefault="00C2495B"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FA114B" w:rsidRPr="00E72168" w14:paraId="49D85CD7" w14:textId="77777777" w:rsidTr="00475A10">
        <w:trPr>
          <w:trHeight w:val="264"/>
          <w:tblHeader/>
        </w:trPr>
        <w:tc>
          <w:tcPr>
            <w:tcW w:w="1500" w:type="pct"/>
            <w:tcBorders>
              <w:top w:val="single" w:sz="4" w:space="0" w:color="17365D"/>
              <w:bottom w:val="single" w:sz="4" w:space="0" w:color="17365D"/>
            </w:tcBorders>
            <w:shd w:val="clear" w:color="auto" w:fill="auto"/>
            <w:vAlign w:val="center"/>
            <w:hideMark/>
          </w:tcPr>
          <w:p w14:paraId="5D8C93B4" w14:textId="7B26E227" w:rsidR="00FA114B" w:rsidRPr="00E72168" w:rsidRDefault="00FA114B" w:rsidP="00FA114B">
            <w:pPr>
              <w:spacing w:after="0" w:line="240" w:lineRule="auto"/>
              <w:rPr>
                <w:rFonts w:eastAsia="Times New Roman" w:cs="Times New Roman"/>
                <w:b/>
                <w:color w:val="17365D"/>
                <w:sz w:val="18"/>
                <w:szCs w:val="18"/>
                <w:lang w:eastAsia="lv-LV"/>
              </w:rPr>
            </w:pPr>
            <w:r w:rsidRPr="00E72168">
              <w:rPr>
                <w:rFonts w:cs="Times New Roman"/>
                <w:b/>
                <w:color w:val="17365D"/>
                <w:sz w:val="18"/>
                <w:szCs w:val="18"/>
              </w:rPr>
              <w:t>Ieguldījuma īpašumi</w:t>
            </w:r>
          </w:p>
        </w:tc>
        <w:tc>
          <w:tcPr>
            <w:tcW w:w="550" w:type="pct"/>
            <w:gridSpan w:val="2"/>
            <w:tcBorders>
              <w:top w:val="single" w:sz="4" w:space="0" w:color="17365D"/>
              <w:bottom w:val="single" w:sz="4" w:space="0" w:color="17365D"/>
            </w:tcBorders>
            <w:shd w:val="clear" w:color="auto" w:fill="auto"/>
            <w:vAlign w:val="center"/>
            <w:hideMark/>
          </w:tcPr>
          <w:p w14:paraId="750B519B" w14:textId="456F80E8" w:rsidR="00FA114B" w:rsidRPr="00E72168" w:rsidRDefault="00FA114B" w:rsidP="00FA114B">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KB.1.5.</w:t>
            </w:r>
          </w:p>
        </w:tc>
        <w:tc>
          <w:tcPr>
            <w:tcW w:w="745" w:type="pct"/>
            <w:gridSpan w:val="2"/>
            <w:tcBorders>
              <w:top w:val="single" w:sz="4" w:space="0" w:color="17365D"/>
              <w:bottom w:val="single" w:sz="4" w:space="0" w:color="17365D"/>
            </w:tcBorders>
            <w:shd w:val="clear" w:color="auto" w:fill="auto"/>
            <w:vAlign w:val="center"/>
            <w:hideMark/>
          </w:tcPr>
          <w:p w14:paraId="4E4692C1" w14:textId="10D6F523" w:rsidR="00FA114B" w:rsidRPr="00E72168" w:rsidRDefault="00FA114B" w:rsidP="00FA114B">
            <w:pPr>
              <w:spacing w:after="0" w:line="240" w:lineRule="auto"/>
              <w:jc w:val="right"/>
              <w:rPr>
                <w:rFonts w:cs="Times New Roman"/>
                <w:b/>
                <w:color w:val="17365D"/>
                <w:sz w:val="18"/>
                <w:szCs w:val="18"/>
              </w:rPr>
            </w:pPr>
            <w:r w:rsidRPr="00E72168">
              <w:rPr>
                <w:rFonts w:cs="Times New Roman"/>
                <w:b/>
                <w:color w:val="17365D"/>
                <w:sz w:val="18"/>
                <w:szCs w:val="18"/>
              </w:rPr>
              <w:t>681 918 211</w:t>
            </w:r>
          </w:p>
        </w:tc>
        <w:tc>
          <w:tcPr>
            <w:tcW w:w="831" w:type="pct"/>
            <w:gridSpan w:val="2"/>
            <w:tcBorders>
              <w:top w:val="single" w:sz="4" w:space="0" w:color="17365D"/>
              <w:bottom w:val="single" w:sz="4" w:space="0" w:color="17365D"/>
            </w:tcBorders>
            <w:shd w:val="clear" w:color="auto" w:fill="auto"/>
            <w:vAlign w:val="center"/>
            <w:hideMark/>
          </w:tcPr>
          <w:p w14:paraId="0478E23D" w14:textId="54964928" w:rsidR="00FA114B" w:rsidRPr="00E72168" w:rsidRDefault="00FA114B" w:rsidP="00FA114B">
            <w:pPr>
              <w:spacing w:after="0" w:line="240" w:lineRule="auto"/>
              <w:jc w:val="right"/>
              <w:rPr>
                <w:rFonts w:cs="Times New Roman"/>
                <w:b/>
                <w:color w:val="17365D"/>
                <w:sz w:val="18"/>
                <w:szCs w:val="18"/>
              </w:rPr>
            </w:pPr>
            <w:r w:rsidRPr="00E72168">
              <w:rPr>
                <w:rFonts w:cs="Times New Roman"/>
                <w:b/>
                <w:color w:val="17365D"/>
                <w:sz w:val="18"/>
                <w:szCs w:val="18"/>
              </w:rPr>
              <w:t>641 696 524</w:t>
            </w:r>
          </w:p>
        </w:tc>
        <w:tc>
          <w:tcPr>
            <w:tcW w:w="756" w:type="pct"/>
            <w:gridSpan w:val="3"/>
            <w:tcBorders>
              <w:top w:val="single" w:sz="4" w:space="0" w:color="17365D"/>
              <w:bottom w:val="single" w:sz="4" w:space="0" w:color="17365D"/>
            </w:tcBorders>
            <w:shd w:val="clear" w:color="auto" w:fill="auto"/>
            <w:noWrap/>
            <w:vAlign w:val="center"/>
            <w:hideMark/>
          </w:tcPr>
          <w:p w14:paraId="2C8BF5C2" w14:textId="13D08134" w:rsidR="00FA114B" w:rsidRPr="00E72168" w:rsidRDefault="00FA114B" w:rsidP="00FA114B">
            <w:pPr>
              <w:spacing w:after="0" w:line="240" w:lineRule="auto"/>
              <w:jc w:val="right"/>
              <w:rPr>
                <w:rFonts w:cs="Times New Roman"/>
                <w:b/>
                <w:color w:val="17365D"/>
                <w:sz w:val="18"/>
                <w:szCs w:val="18"/>
              </w:rPr>
            </w:pPr>
            <w:r w:rsidRPr="00E72168">
              <w:rPr>
                <w:rFonts w:cs="Times New Roman"/>
                <w:b/>
                <w:color w:val="17365D"/>
                <w:sz w:val="18"/>
                <w:szCs w:val="18"/>
              </w:rPr>
              <w:t>40 221 687</w:t>
            </w:r>
          </w:p>
        </w:tc>
        <w:tc>
          <w:tcPr>
            <w:tcW w:w="618" w:type="pct"/>
            <w:tcBorders>
              <w:top w:val="single" w:sz="4" w:space="0" w:color="17365D"/>
              <w:bottom w:val="single" w:sz="4" w:space="0" w:color="17365D"/>
            </w:tcBorders>
            <w:shd w:val="clear" w:color="auto" w:fill="auto"/>
            <w:noWrap/>
            <w:vAlign w:val="center"/>
            <w:hideMark/>
          </w:tcPr>
          <w:p w14:paraId="105FE4C7" w14:textId="37A088ED" w:rsidR="00FA114B" w:rsidRPr="00E72168" w:rsidRDefault="00FA114B" w:rsidP="00FA114B">
            <w:pPr>
              <w:spacing w:after="0" w:line="240" w:lineRule="auto"/>
              <w:jc w:val="right"/>
              <w:rPr>
                <w:rFonts w:cs="Times New Roman"/>
                <w:b/>
                <w:color w:val="17365D"/>
                <w:sz w:val="18"/>
                <w:szCs w:val="18"/>
              </w:rPr>
            </w:pPr>
            <w:r w:rsidRPr="00E72168">
              <w:rPr>
                <w:rFonts w:cs="Times New Roman"/>
                <w:b/>
                <w:color w:val="17365D"/>
                <w:sz w:val="18"/>
                <w:szCs w:val="18"/>
              </w:rPr>
              <w:t>6.27</w:t>
            </w:r>
          </w:p>
        </w:tc>
      </w:tr>
      <w:tr w:rsidR="00FA114B" w:rsidRPr="00E72168" w14:paraId="2166076A" w14:textId="77777777" w:rsidTr="00475A10">
        <w:trPr>
          <w:trHeight w:val="264"/>
          <w:tblHeader/>
        </w:trPr>
        <w:tc>
          <w:tcPr>
            <w:tcW w:w="1500" w:type="pct"/>
            <w:tcBorders>
              <w:top w:val="single" w:sz="4" w:space="0" w:color="17365D"/>
              <w:bottom w:val="single" w:sz="4" w:space="0" w:color="17365D"/>
            </w:tcBorders>
            <w:shd w:val="clear" w:color="auto" w:fill="auto"/>
            <w:vAlign w:val="center"/>
            <w:hideMark/>
          </w:tcPr>
          <w:p w14:paraId="0C6E86F0" w14:textId="4BC185B8" w:rsidR="00FA114B" w:rsidRPr="00E72168" w:rsidRDefault="00FA114B" w:rsidP="00FA114B">
            <w:pPr>
              <w:spacing w:after="0" w:line="240" w:lineRule="auto"/>
              <w:rPr>
                <w:rFonts w:eastAsia="Times New Roman" w:cs="Times New Roman"/>
                <w:color w:val="17365D"/>
                <w:sz w:val="18"/>
                <w:szCs w:val="18"/>
                <w:lang w:eastAsia="lv-LV"/>
              </w:rPr>
            </w:pPr>
            <w:r w:rsidRPr="00E72168">
              <w:rPr>
                <w:rFonts w:cs="Times New Roman"/>
                <w:color w:val="17365D"/>
                <w:sz w:val="18"/>
                <w:szCs w:val="18"/>
              </w:rPr>
              <w:t>Ieguldījuma īpašumi</w:t>
            </w:r>
          </w:p>
        </w:tc>
        <w:tc>
          <w:tcPr>
            <w:tcW w:w="550" w:type="pct"/>
            <w:gridSpan w:val="2"/>
            <w:tcBorders>
              <w:top w:val="single" w:sz="4" w:space="0" w:color="17365D"/>
              <w:bottom w:val="single" w:sz="4" w:space="0" w:color="17365D"/>
            </w:tcBorders>
            <w:shd w:val="clear" w:color="auto" w:fill="auto"/>
            <w:noWrap/>
            <w:vAlign w:val="center"/>
          </w:tcPr>
          <w:p w14:paraId="073B6F12" w14:textId="0204E8A3" w:rsidR="00FA114B" w:rsidRPr="00E72168" w:rsidRDefault="00FA114B" w:rsidP="00FA114B">
            <w:pPr>
              <w:spacing w:after="0" w:line="240" w:lineRule="auto"/>
              <w:jc w:val="right"/>
              <w:rPr>
                <w:rFonts w:eastAsia="Times New Roman" w:cs="Times New Roman"/>
                <w:color w:val="17365D"/>
                <w:sz w:val="18"/>
                <w:szCs w:val="18"/>
                <w:lang w:eastAsia="lv-LV"/>
              </w:rPr>
            </w:pPr>
          </w:p>
        </w:tc>
        <w:tc>
          <w:tcPr>
            <w:tcW w:w="745" w:type="pct"/>
            <w:gridSpan w:val="2"/>
            <w:tcBorders>
              <w:top w:val="single" w:sz="4" w:space="0" w:color="17365D"/>
              <w:bottom w:val="single" w:sz="4" w:space="0" w:color="17365D"/>
            </w:tcBorders>
            <w:shd w:val="clear" w:color="auto" w:fill="auto"/>
            <w:vAlign w:val="center"/>
            <w:hideMark/>
          </w:tcPr>
          <w:p w14:paraId="0E20BCC4" w14:textId="68AC4499"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444 098 478</w:t>
            </w:r>
          </w:p>
        </w:tc>
        <w:tc>
          <w:tcPr>
            <w:tcW w:w="831" w:type="pct"/>
            <w:gridSpan w:val="2"/>
            <w:tcBorders>
              <w:top w:val="single" w:sz="4" w:space="0" w:color="17365D"/>
              <w:bottom w:val="single" w:sz="4" w:space="0" w:color="17365D"/>
            </w:tcBorders>
            <w:shd w:val="clear" w:color="auto" w:fill="auto"/>
            <w:vAlign w:val="center"/>
            <w:hideMark/>
          </w:tcPr>
          <w:p w14:paraId="18F659A9" w14:textId="60E7C6B9"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430 809 579</w:t>
            </w:r>
          </w:p>
        </w:tc>
        <w:tc>
          <w:tcPr>
            <w:tcW w:w="756" w:type="pct"/>
            <w:gridSpan w:val="3"/>
            <w:tcBorders>
              <w:top w:val="single" w:sz="4" w:space="0" w:color="17365D"/>
              <w:bottom w:val="single" w:sz="4" w:space="0" w:color="17365D"/>
            </w:tcBorders>
            <w:shd w:val="clear" w:color="auto" w:fill="auto"/>
            <w:noWrap/>
            <w:vAlign w:val="center"/>
            <w:hideMark/>
          </w:tcPr>
          <w:p w14:paraId="3DDA738C" w14:textId="6DDA431A"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13 288 899</w:t>
            </w:r>
          </w:p>
        </w:tc>
        <w:tc>
          <w:tcPr>
            <w:tcW w:w="618" w:type="pct"/>
            <w:tcBorders>
              <w:top w:val="single" w:sz="4" w:space="0" w:color="17365D"/>
              <w:bottom w:val="single" w:sz="4" w:space="0" w:color="17365D"/>
            </w:tcBorders>
            <w:shd w:val="clear" w:color="auto" w:fill="auto"/>
            <w:noWrap/>
            <w:vAlign w:val="center"/>
            <w:hideMark/>
          </w:tcPr>
          <w:p w14:paraId="008FA2D2" w14:textId="53C6167F"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3.08</w:t>
            </w:r>
          </w:p>
        </w:tc>
      </w:tr>
      <w:tr w:rsidR="00FA114B" w:rsidRPr="00E72168" w14:paraId="29EFE130" w14:textId="77777777" w:rsidTr="00475A10">
        <w:trPr>
          <w:trHeight w:val="264"/>
          <w:tblHeader/>
        </w:trPr>
        <w:tc>
          <w:tcPr>
            <w:tcW w:w="1500" w:type="pct"/>
            <w:tcBorders>
              <w:top w:val="single" w:sz="4" w:space="0" w:color="17365D"/>
              <w:bottom w:val="single" w:sz="4" w:space="0" w:color="17365D"/>
            </w:tcBorders>
            <w:shd w:val="clear" w:color="auto" w:fill="auto"/>
            <w:vAlign w:val="center"/>
          </w:tcPr>
          <w:p w14:paraId="5C354C70" w14:textId="49838FD1" w:rsidR="00FA114B" w:rsidRPr="00E72168" w:rsidRDefault="00FA114B" w:rsidP="00FA114B">
            <w:pPr>
              <w:spacing w:after="0" w:line="240" w:lineRule="auto"/>
              <w:rPr>
                <w:rFonts w:cs="Times New Roman"/>
                <w:color w:val="17365D"/>
                <w:sz w:val="18"/>
                <w:szCs w:val="18"/>
              </w:rPr>
            </w:pPr>
            <w:r w:rsidRPr="00E72168">
              <w:rPr>
                <w:rFonts w:cs="Times New Roman"/>
                <w:color w:val="17365D"/>
                <w:sz w:val="18"/>
                <w:szCs w:val="18"/>
              </w:rPr>
              <w:t>Ieguldījuma īpašumu izveidošana un nepabeigtā būvniecība</w:t>
            </w:r>
          </w:p>
        </w:tc>
        <w:tc>
          <w:tcPr>
            <w:tcW w:w="550" w:type="pct"/>
            <w:gridSpan w:val="2"/>
            <w:tcBorders>
              <w:top w:val="single" w:sz="4" w:space="0" w:color="17365D"/>
              <w:bottom w:val="single" w:sz="4" w:space="0" w:color="17365D"/>
            </w:tcBorders>
            <w:shd w:val="clear" w:color="auto" w:fill="auto"/>
            <w:noWrap/>
            <w:vAlign w:val="center"/>
          </w:tcPr>
          <w:p w14:paraId="03C24FFD" w14:textId="08C51461" w:rsidR="00FA114B" w:rsidRPr="00E72168" w:rsidRDefault="00FA114B" w:rsidP="00FA114B">
            <w:pPr>
              <w:spacing w:after="0" w:line="240" w:lineRule="auto"/>
              <w:jc w:val="right"/>
              <w:rPr>
                <w:rFonts w:cs="Times New Roman"/>
                <w:color w:val="17365D"/>
                <w:sz w:val="18"/>
                <w:szCs w:val="18"/>
              </w:rPr>
            </w:pPr>
          </w:p>
        </w:tc>
        <w:tc>
          <w:tcPr>
            <w:tcW w:w="745" w:type="pct"/>
            <w:gridSpan w:val="2"/>
            <w:tcBorders>
              <w:top w:val="single" w:sz="4" w:space="0" w:color="17365D"/>
              <w:bottom w:val="single" w:sz="4" w:space="0" w:color="17365D"/>
            </w:tcBorders>
            <w:shd w:val="clear" w:color="auto" w:fill="auto"/>
            <w:vAlign w:val="center"/>
          </w:tcPr>
          <w:p w14:paraId="50835495" w14:textId="20066A97"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347 798</w:t>
            </w:r>
          </w:p>
        </w:tc>
        <w:tc>
          <w:tcPr>
            <w:tcW w:w="831" w:type="pct"/>
            <w:gridSpan w:val="2"/>
            <w:tcBorders>
              <w:top w:val="single" w:sz="4" w:space="0" w:color="17365D"/>
              <w:bottom w:val="single" w:sz="4" w:space="0" w:color="17365D"/>
            </w:tcBorders>
            <w:shd w:val="clear" w:color="auto" w:fill="auto"/>
            <w:vAlign w:val="center"/>
          </w:tcPr>
          <w:p w14:paraId="5950B065" w14:textId="2E10FCC6"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14 816 414</w:t>
            </w:r>
          </w:p>
        </w:tc>
        <w:tc>
          <w:tcPr>
            <w:tcW w:w="756" w:type="pct"/>
            <w:gridSpan w:val="3"/>
            <w:tcBorders>
              <w:top w:val="single" w:sz="4" w:space="0" w:color="17365D"/>
              <w:bottom w:val="single" w:sz="4" w:space="0" w:color="17365D"/>
            </w:tcBorders>
            <w:shd w:val="clear" w:color="auto" w:fill="auto"/>
            <w:noWrap/>
            <w:vAlign w:val="center"/>
          </w:tcPr>
          <w:p w14:paraId="078BEB7C" w14:textId="02100C00"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-14 468 616</w:t>
            </w:r>
          </w:p>
        </w:tc>
        <w:tc>
          <w:tcPr>
            <w:tcW w:w="618" w:type="pct"/>
            <w:tcBorders>
              <w:top w:val="single" w:sz="4" w:space="0" w:color="17365D"/>
              <w:bottom w:val="single" w:sz="4" w:space="0" w:color="17365D"/>
            </w:tcBorders>
            <w:shd w:val="clear" w:color="auto" w:fill="auto"/>
            <w:noWrap/>
            <w:vAlign w:val="center"/>
          </w:tcPr>
          <w:p w14:paraId="1DD5B0E4" w14:textId="3F41B049"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-97.65</w:t>
            </w:r>
          </w:p>
        </w:tc>
      </w:tr>
      <w:tr w:rsidR="00FA114B" w:rsidRPr="00E72168" w14:paraId="41618C0F" w14:textId="77777777" w:rsidTr="00475A10">
        <w:trPr>
          <w:trHeight w:val="264"/>
          <w:tblHeader/>
        </w:trPr>
        <w:tc>
          <w:tcPr>
            <w:tcW w:w="1500" w:type="pct"/>
            <w:tcBorders>
              <w:top w:val="single" w:sz="4" w:space="0" w:color="17365D"/>
              <w:bottom w:val="single" w:sz="4" w:space="0" w:color="17365D"/>
            </w:tcBorders>
            <w:shd w:val="clear" w:color="auto" w:fill="auto"/>
            <w:vAlign w:val="center"/>
          </w:tcPr>
          <w:p w14:paraId="224866DC" w14:textId="688378FA" w:rsidR="00FA114B" w:rsidRPr="00E72168" w:rsidRDefault="00FA114B" w:rsidP="00FA114B">
            <w:pPr>
              <w:spacing w:after="0" w:line="240" w:lineRule="auto"/>
              <w:rPr>
                <w:rFonts w:cs="Times New Roman"/>
                <w:color w:val="17365D"/>
                <w:sz w:val="18"/>
                <w:szCs w:val="18"/>
              </w:rPr>
            </w:pPr>
            <w:r w:rsidRPr="00E72168">
              <w:rPr>
                <w:rFonts w:cs="Times New Roman"/>
                <w:color w:val="17365D"/>
                <w:sz w:val="18"/>
                <w:szCs w:val="18"/>
              </w:rPr>
              <w:t>Turējumā nodotie ieguldījuma īpašumi</w:t>
            </w:r>
          </w:p>
        </w:tc>
        <w:tc>
          <w:tcPr>
            <w:tcW w:w="550" w:type="pct"/>
            <w:gridSpan w:val="2"/>
            <w:tcBorders>
              <w:top w:val="single" w:sz="4" w:space="0" w:color="17365D"/>
              <w:bottom w:val="single" w:sz="4" w:space="0" w:color="17365D"/>
            </w:tcBorders>
            <w:shd w:val="clear" w:color="auto" w:fill="auto"/>
            <w:noWrap/>
            <w:vAlign w:val="center"/>
          </w:tcPr>
          <w:p w14:paraId="4E9EB9B2" w14:textId="60DBF3AA" w:rsidR="00FA114B" w:rsidRPr="00E72168" w:rsidRDefault="00FA114B" w:rsidP="00FA114B">
            <w:pPr>
              <w:spacing w:after="0" w:line="240" w:lineRule="auto"/>
              <w:jc w:val="right"/>
              <w:rPr>
                <w:rFonts w:cs="Times New Roman"/>
                <w:color w:val="17365D"/>
                <w:sz w:val="18"/>
                <w:szCs w:val="18"/>
              </w:rPr>
            </w:pPr>
          </w:p>
        </w:tc>
        <w:tc>
          <w:tcPr>
            <w:tcW w:w="745" w:type="pct"/>
            <w:gridSpan w:val="2"/>
            <w:tcBorders>
              <w:top w:val="single" w:sz="4" w:space="0" w:color="17365D"/>
              <w:bottom w:val="single" w:sz="4" w:space="0" w:color="17365D"/>
            </w:tcBorders>
            <w:shd w:val="clear" w:color="auto" w:fill="auto"/>
            <w:vAlign w:val="center"/>
          </w:tcPr>
          <w:p w14:paraId="3A46CF36" w14:textId="72BFDE4B"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237 471 935</w:t>
            </w:r>
          </w:p>
        </w:tc>
        <w:tc>
          <w:tcPr>
            <w:tcW w:w="831" w:type="pct"/>
            <w:gridSpan w:val="2"/>
            <w:tcBorders>
              <w:top w:val="single" w:sz="4" w:space="0" w:color="17365D"/>
              <w:bottom w:val="single" w:sz="4" w:space="0" w:color="17365D"/>
            </w:tcBorders>
            <w:shd w:val="clear" w:color="auto" w:fill="auto"/>
            <w:vAlign w:val="center"/>
          </w:tcPr>
          <w:p w14:paraId="49881386" w14:textId="695B146D"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195 967 608</w:t>
            </w:r>
          </w:p>
        </w:tc>
        <w:tc>
          <w:tcPr>
            <w:tcW w:w="756" w:type="pct"/>
            <w:gridSpan w:val="3"/>
            <w:tcBorders>
              <w:top w:val="single" w:sz="4" w:space="0" w:color="17365D"/>
              <w:bottom w:val="single" w:sz="4" w:space="0" w:color="17365D"/>
            </w:tcBorders>
            <w:shd w:val="clear" w:color="auto" w:fill="auto"/>
            <w:noWrap/>
            <w:vAlign w:val="center"/>
          </w:tcPr>
          <w:p w14:paraId="0461CB68" w14:textId="30CF499F"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41 504 327</w:t>
            </w:r>
          </w:p>
        </w:tc>
        <w:tc>
          <w:tcPr>
            <w:tcW w:w="618" w:type="pct"/>
            <w:tcBorders>
              <w:top w:val="single" w:sz="4" w:space="0" w:color="17365D"/>
              <w:bottom w:val="single" w:sz="4" w:space="0" w:color="17365D"/>
            </w:tcBorders>
            <w:shd w:val="clear" w:color="auto" w:fill="auto"/>
            <w:noWrap/>
            <w:vAlign w:val="center"/>
          </w:tcPr>
          <w:p w14:paraId="36C51273" w14:textId="3A01042E"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21.18</w:t>
            </w:r>
          </w:p>
        </w:tc>
      </w:tr>
      <w:tr w:rsidR="00FA114B" w:rsidRPr="00E72168" w14:paraId="2DEF92EA" w14:textId="77777777" w:rsidTr="00475A10">
        <w:trPr>
          <w:trHeight w:val="54"/>
          <w:tblHeader/>
        </w:trPr>
        <w:tc>
          <w:tcPr>
            <w:tcW w:w="1500" w:type="pct"/>
            <w:tcBorders>
              <w:top w:val="single" w:sz="4" w:space="0" w:color="17365D"/>
              <w:bottom w:val="single" w:sz="4" w:space="0" w:color="17365D"/>
            </w:tcBorders>
            <w:shd w:val="clear" w:color="auto" w:fill="auto"/>
            <w:vAlign w:val="center"/>
            <w:hideMark/>
          </w:tcPr>
          <w:p w14:paraId="62373F07" w14:textId="5BA66B49" w:rsidR="00FA114B" w:rsidRPr="00E72168" w:rsidRDefault="00FA114B" w:rsidP="00FA114B">
            <w:pPr>
              <w:spacing w:after="0" w:line="240" w:lineRule="auto"/>
              <w:rPr>
                <w:rFonts w:eastAsia="Times New Roman" w:cs="Times New Roman"/>
                <w:color w:val="17365D"/>
                <w:sz w:val="18"/>
                <w:szCs w:val="18"/>
                <w:lang w:eastAsia="lv-LV"/>
              </w:rPr>
            </w:pPr>
            <w:r w:rsidRPr="00E72168">
              <w:rPr>
                <w:rFonts w:cs="Times New Roman"/>
                <w:color w:val="17365D"/>
                <w:sz w:val="18"/>
                <w:szCs w:val="18"/>
              </w:rPr>
              <w:t>Avansa maksājumi par ieguldījuma īpašumiem</w:t>
            </w:r>
          </w:p>
        </w:tc>
        <w:tc>
          <w:tcPr>
            <w:tcW w:w="550" w:type="pct"/>
            <w:gridSpan w:val="2"/>
            <w:tcBorders>
              <w:top w:val="single" w:sz="4" w:space="0" w:color="17365D"/>
              <w:bottom w:val="single" w:sz="4" w:space="0" w:color="17365D"/>
            </w:tcBorders>
            <w:shd w:val="clear" w:color="auto" w:fill="auto"/>
            <w:noWrap/>
            <w:vAlign w:val="center"/>
          </w:tcPr>
          <w:p w14:paraId="7C79ECDB" w14:textId="77777777" w:rsidR="00FA114B" w:rsidRPr="00E72168" w:rsidRDefault="00FA114B" w:rsidP="00FA114B">
            <w:pPr>
              <w:spacing w:after="0" w:line="240" w:lineRule="auto"/>
              <w:jc w:val="right"/>
              <w:rPr>
                <w:rFonts w:eastAsia="Times New Roman" w:cs="Times New Roman"/>
                <w:color w:val="17365D"/>
                <w:sz w:val="18"/>
                <w:szCs w:val="18"/>
                <w:lang w:eastAsia="lv-LV"/>
              </w:rPr>
            </w:pPr>
            <w:r w:rsidRPr="00E72168">
              <w:rPr>
                <w:rFonts w:cs="Times New Roman"/>
                <w:color w:val="17365D"/>
                <w:sz w:val="18"/>
                <w:szCs w:val="18"/>
              </w:rPr>
              <w:t xml:space="preserve"> </w:t>
            </w:r>
          </w:p>
        </w:tc>
        <w:tc>
          <w:tcPr>
            <w:tcW w:w="745" w:type="pct"/>
            <w:gridSpan w:val="2"/>
            <w:tcBorders>
              <w:top w:val="single" w:sz="4" w:space="0" w:color="17365D"/>
              <w:bottom w:val="single" w:sz="4" w:space="0" w:color="17365D"/>
            </w:tcBorders>
            <w:shd w:val="clear" w:color="auto" w:fill="auto"/>
            <w:vAlign w:val="center"/>
            <w:hideMark/>
          </w:tcPr>
          <w:p w14:paraId="6C809913" w14:textId="26A6B85F"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0</w:t>
            </w:r>
          </w:p>
        </w:tc>
        <w:tc>
          <w:tcPr>
            <w:tcW w:w="831" w:type="pct"/>
            <w:gridSpan w:val="2"/>
            <w:tcBorders>
              <w:top w:val="single" w:sz="4" w:space="0" w:color="17365D"/>
              <w:bottom w:val="single" w:sz="4" w:space="0" w:color="17365D"/>
            </w:tcBorders>
            <w:shd w:val="clear" w:color="auto" w:fill="auto"/>
            <w:vAlign w:val="center"/>
            <w:hideMark/>
          </w:tcPr>
          <w:p w14:paraId="1C7D5023" w14:textId="2B845774"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102 923</w:t>
            </w:r>
          </w:p>
        </w:tc>
        <w:tc>
          <w:tcPr>
            <w:tcW w:w="756" w:type="pct"/>
            <w:gridSpan w:val="3"/>
            <w:tcBorders>
              <w:top w:val="single" w:sz="4" w:space="0" w:color="17365D"/>
              <w:bottom w:val="single" w:sz="4" w:space="0" w:color="17365D"/>
            </w:tcBorders>
            <w:shd w:val="clear" w:color="auto" w:fill="auto"/>
            <w:noWrap/>
            <w:vAlign w:val="center"/>
            <w:hideMark/>
          </w:tcPr>
          <w:p w14:paraId="0E78074A" w14:textId="36BD7344"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-102 923</w:t>
            </w:r>
          </w:p>
        </w:tc>
        <w:tc>
          <w:tcPr>
            <w:tcW w:w="618" w:type="pct"/>
            <w:tcBorders>
              <w:top w:val="single" w:sz="4" w:space="0" w:color="17365D"/>
              <w:bottom w:val="single" w:sz="4" w:space="0" w:color="17365D"/>
            </w:tcBorders>
            <w:shd w:val="clear" w:color="auto" w:fill="auto"/>
            <w:noWrap/>
            <w:vAlign w:val="center"/>
            <w:hideMark/>
          </w:tcPr>
          <w:p w14:paraId="2DBC5AAE" w14:textId="03047A49" w:rsidR="00FA114B" w:rsidRPr="00E72168" w:rsidRDefault="00FA114B" w:rsidP="00FA114B">
            <w:pPr>
              <w:spacing w:after="0" w:line="240" w:lineRule="auto"/>
              <w:jc w:val="right"/>
              <w:rPr>
                <w:rFonts w:cs="Times New Roman"/>
                <w:color w:val="17365D"/>
                <w:sz w:val="18"/>
                <w:szCs w:val="18"/>
              </w:rPr>
            </w:pPr>
            <w:r w:rsidRPr="00E72168">
              <w:rPr>
                <w:rFonts w:cs="Times New Roman"/>
                <w:color w:val="17365D"/>
                <w:sz w:val="18"/>
                <w:szCs w:val="18"/>
              </w:rPr>
              <w:t>-100.00</w:t>
            </w:r>
          </w:p>
        </w:tc>
      </w:tr>
      <w:tr w:rsidR="000C1009" w:rsidRPr="00E72168" w14:paraId="32E02F27" w14:textId="77777777" w:rsidTr="00432761">
        <w:trPr>
          <w:trHeight w:val="202"/>
          <w:tblHeader/>
        </w:trPr>
        <w:tc>
          <w:tcPr>
            <w:tcW w:w="1626" w:type="pct"/>
            <w:gridSpan w:val="2"/>
            <w:tcBorders>
              <w:top w:val="single" w:sz="4" w:space="0" w:color="17365D"/>
            </w:tcBorders>
            <w:shd w:val="clear" w:color="auto" w:fill="B9CDE5"/>
            <w:vAlign w:val="center"/>
          </w:tcPr>
          <w:p w14:paraId="5AE3DC58" w14:textId="77777777" w:rsidR="00C2495B" w:rsidRPr="00E72168" w:rsidRDefault="00C2495B" w:rsidP="00D92FFA">
            <w:pPr>
              <w:spacing w:after="0" w:line="240" w:lineRule="auto"/>
              <w:rPr>
                <w:rFonts w:eastAsia="Times New Roman" w:cs="Times New Roman"/>
                <w:color w:val="17365D"/>
                <w:sz w:val="18"/>
                <w:szCs w:val="18"/>
                <w:lang w:eastAsia="lv-LV"/>
              </w:rPr>
            </w:pPr>
          </w:p>
        </w:tc>
        <w:tc>
          <w:tcPr>
            <w:tcW w:w="507" w:type="pct"/>
            <w:gridSpan w:val="2"/>
            <w:tcBorders>
              <w:top w:val="single" w:sz="4" w:space="0" w:color="17365D"/>
            </w:tcBorders>
            <w:shd w:val="clear" w:color="auto" w:fill="B9CDE5"/>
            <w:noWrap/>
            <w:vAlign w:val="center"/>
          </w:tcPr>
          <w:p w14:paraId="728904CA" w14:textId="77777777" w:rsidR="00C2495B" w:rsidRPr="00E72168" w:rsidRDefault="00C2495B" w:rsidP="00D92FFA">
            <w:pPr>
              <w:spacing w:after="0" w:line="240" w:lineRule="auto"/>
              <w:jc w:val="center"/>
              <w:rPr>
                <w:rFonts w:eastAsia="Times New Roman" w:cs="Times New Roman"/>
                <w:color w:val="17365D"/>
                <w:sz w:val="18"/>
                <w:szCs w:val="18"/>
                <w:lang w:eastAsia="lv-LV"/>
              </w:rPr>
            </w:pPr>
          </w:p>
        </w:tc>
        <w:tc>
          <w:tcPr>
            <w:tcW w:w="771" w:type="pct"/>
            <w:gridSpan w:val="2"/>
            <w:tcBorders>
              <w:top w:val="single" w:sz="4" w:space="0" w:color="17365D"/>
            </w:tcBorders>
            <w:shd w:val="clear" w:color="auto" w:fill="B9CDE5"/>
            <w:noWrap/>
            <w:vAlign w:val="center"/>
          </w:tcPr>
          <w:p w14:paraId="0D89BE02" w14:textId="77777777" w:rsidR="00C2495B" w:rsidRPr="00E72168" w:rsidRDefault="00C2495B" w:rsidP="00D92FFA">
            <w:pPr>
              <w:spacing w:after="0" w:line="240" w:lineRule="auto"/>
              <w:jc w:val="right"/>
              <w:rPr>
                <w:rFonts w:eastAsia="Times New Roman" w:cs="Times New Roman"/>
                <w:color w:val="17365D"/>
                <w:sz w:val="18"/>
                <w:szCs w:val="18"/>
                <w:lang w:eastAsia="lv-LV"/>
              </w:rPr>
            </w:pPr>
          </w:p>
        </w:tc>
        <w:tc>
          <w:tcPr>
            <w:tcW w:w="763" w:type="pct"/>
            <w:gridSpan w:val="2"/>
            <w:tcBorders>
              <w:top w:val="single" w:sz="4" w:space="0" w:color="17365D"/>
            </w:tcBorders>
            <w:shd w:val="clear" w:color="auto" w:fill="B9CDE5"/>
            <w:noWrap/>
            <w:vAlign w:val="center"/>
          </w:tcPr>
          <w:p w14:paraId="784B19AE" w14:textId="77777777" w:rsidR="00C2495B" w:rsidRPr="00E72168" w:rsidRDefault="00C2495B" w:rsidP="00D92FFA">
            <w:pPr>
              <w:spacing w:after="0" w:line="240" w:lineRule="auto"/>
              <w:jc w:val="right"/>
              <w:rPr>
                <w:rFonts w:eastAsia="Times New Roman" w:cs="Times New Roman"/>
                <w:color w:val="17365D"/>
                <w:sz w:val="18"/>
                <w:szCs w:val="18"/>
                <w:lang w:eastAsia="lv-LV"/>
              </w:rPr>
            </w:pPr>
          </w:p>
        </w:tc>
        <w:tc>
          <w:tcPr>
            <w:tcW w:w="676" w:type="pct"/>
            <w:tcBorders>
              <w:top w:val="single" w:sz="4" w:space="0" w:color="17365D"/>
            </w:tcBorders>
            <w:shd w:val="clear" w:color="auto" w:fill="B9CDE5"/>
            <w:noWrap/>
            <w:vAlign w:val="center"/>
          </w:tcPr>
          <w:p w14:paraId="742528EF" w14:textId="77777777" w:rsidR="00C2495B" w:rsidRPr="00E72168" w:rsidRDefault="00C2495B" w:rsidP="00D92FFA">
            <w:pPr>
              <w:spacing w:after="0" w:line="240" w:lineRule="auto"/>
              <w:jc w:val="right"/>
              <w:rPr>
                <w:rFonts w:eastAsia="Times New Roman" w:cs="Times New Roman"/>
                <w:color w:val="17365D"/>
                <w:sz w:val="18"/>
                <w:szCs w:val="18"/>
                <w:lang w:eastAsia="lv-LV"/>
              </w:rPr>
            </w:pPr>
          </w:p>
        </w:tc>
        <w:tc>
          <w:tcPr>
            <w:tcW w:w="657" w:type="pct"/>
            <w:gridSpan w:val="2"/>
            <w:tcBorders>
              <w:top w:val="single" w:sz="4" w:space="0" w:color="17365D"/>
            </w:tcBorders>
            <w:shd w:val="clear" w:color="auto" w:fill="B9CDE5"/>
            <w:noWrap/>
            <w:vAlign w:val="center"/>
          </w:tcPr>
          <w:p w14:paraId="50A05B6C" w14:textId="77777777" w:rsidR="00C2495B" w:rsidRPr="00E72168" w:rsidRDefault="00C2495B" w:rsidP="00D92FFA">
            <w:pPr>
              <w:spacing w:after="0" w:line="240" w:lineRule="auto"/>
              <w:jc w:val="right"/>
              <w:rPr>
                <w:rFonts w:eastAsia="Times New Roman" w:cs="Times New Roman"/>
                <w:color w:val="17365D"/>
                <w:sz w:val="18"/>
                <w:szCs w:val="18"/>
                <w:lang w:eastAsia="lv-LV"/>
              </w:rPr>
            </w:pPr>
          </w:p>
        </w:tc>
      </w:tr>
    </w:tbl>
    <w:p w14:paraId="30858C92" w14:textId="77777777" w:rsidR="00B44AC4" w:rsidRPr="00E72168" w:rsidRDefault="00B44AC4" w:rsidP="00280F28">
      <w:pPr>
        <w:spacing w:after="120" w:line="240" w:lineRule="auto"/>
        <w:ind w:firstLine="284"/>
        <w:jc w:val="both"/>
        <w:rPr>
          <w:rFonts w:cs="Times New Roman"/>
          <w:color w:val="17365D"/>
        </w:rPr>
      </w:pPr>
    </w:p>
    <w:p w14:paraId="2D2FB77D" w14:textId="11A5B674" w:rsidR="009F01EB" w:rsidRPr="00E72168" w:rsidRDefault="009F01EB" w:rsidP="00280F28">
      <w:pPr>
        <w:spacing w:after="120" w:line="240" w:lineRule="auto"/>
        <w:ind w:firstLine="284"/>
        <w:jc w:val="both"/>
        <w:rPr>
          <w:rFonts w:cs="Times New Roman"/>
          <w:bCs/>
          <w:color w:val="17365D"/>
        </w:rPr>
      </w:pPr>
      <w:r w:rsidRPr="00E72168">
        <w:rPr>
          <w:rFonts w:cs="Times New Roman"/>
          <w:color w:val="17365D"/>
        </w:rPr>
        <w:t xml:space="preserve">Bilances postenī “Ieguldījuma īpašumi” pārskata gadā būtisku izmaiņu nav. </w:t>
      </w:r>
    </w:p>
    <w:p w14:paraId="6ADE2055" w14:textId="0920434C" w:rsidR="000708CF" w:rsidRPr="00E72168" w:rsidRDefault="00EC1B09" w:rsidP="009A1A38">
      <w:pPr>
        <w:spacing w:after="120" w:line="240" w:lineRule="auto"/>
        <w:ind w:firstLine="284"/>
        <w:jc w:val="both"/>
        <w:rPr>
          <w:rFonts w:cs="Times New Roman"/>
          <w:color w:val="17365D"/>
        </w:rPr>
      </w:pPr>
      <w:r w:rsidRPr="00E72168">
        <w:rPr>
          <w:rFonts w:cs="Times New Roman"/>
          <w:color w:val="17365D"/>
        </w:rPr>
        <w:t xml:space="preserve">Ieguldījuma īpašumu vērtības samazinājums būtiski neietekmē posteņa vērtību. </w:t>
      </w:r>
      <w:r w:rsidR="00AB3C42" w:rsidRPr="00E72168">
        <w:rPr>
          <w:rFonts w:cs="Times New Roman"/>
          <w:color w:val="17365D"/>
        </w:rPr>
        <w:t xml:space="preserve">Tas konstatēts, izvērtējot </w:t>
      </w:r>
      <w:r w:rsidR="00DA27DF" w:rsidRPr="00E72168">
        <w:rPr>
          <w:rFonts w:cs="Times New Roman"/>
          <w:color w:val="17365D"/>
        </w:rPr>
        <w:t>zemes apgrūtinājuma apjomu</w:t>
      </w:r>
      <w:r w:rsidR="00783BFF" w:rsidRPr="00E72168">
        <w:rPr>
          <w:rFonts w:cs="Times New Roman"/>
          <w:color w:val="17365D"/>
        </w:rPr>
        <w:t>,</w:t>
      </w:r>
      <w:r w:rsidR="00DA27DF" w:rsidRPr="00E72168">
        <w:rPr>
          <w:rFonts w:cs="Times New Roman"/>
          <w:color w:val="17365D"/>
        </w:rPr>
        <w:t xml:space="preserve"> </w:t>
      </w:r>
      <w:r w:rsidR="00A23538" w:rsidRPr="00E72168">
        <w:rPr>
          <w:rFonts w:cs="Times New Roman"/>
          <w:color w:val="17365D"/>
        </w:rPr>
        <w:t>un novērtēts, izmantojot aktīva patiesās vērtības novērtējumu.</w:t>
      </w:r>
    </w:p>
    <w:p w14:paraId="55555CD0" w14:textId="328D2518" w:rsidR="00294B1A" w:rsidRPr="00E72168" w:rsidRDefault="00294B1A" w:rsidP="006D1C00">
      <w:pPr>
        <w:spacing w:before="240" w:after="480" w:line="240" w:lineRule="auto"/>
        <w:ind w:firstLine="284"/>
        <w:jc w:val="both"/>
        <w:rPr>
          <w:rFonts w:cs="Times New Roman"/>
          <w:bCs/>
          <w:color w:val="17365D"/>
        </w:rPr>
      </w:pPr>
      <w:r w:rsidRPr="00E72168">
        <w:rPr>
          <w:rFonts w:cs="Times New Roman"/>
          <w:bCs/>
          <w:color w:val="17365D"/>
        </w:rPr>
        <w:t>P</w:t>
      </w:r>
      <w:r w:rsidR="00773B41" w:rsidRPr="00E72168">
        <w:rPr>
          <w:rFonts w:cs="Times New Roman"/>
          <w:bCs/>
          <w:color w:val="17365D"/>
        </w:rPr>
        <w:t>ārskata gadā valsts un pašvaldību</w:t>
      </w:r>
      <w:r w:rsidRPr="00E72168">
        <w:rPr>
          <w:rFonts w:cs="Times New Roman"/>
          <w:bCs/>
          <w:color w:val="17365D"/>
        </w:rPr>
        <w:t xml:space="preserve"> ieguldījuma</w:t>
      </w:r>
      <w:r w:rsidR="00773B41" w:rsidRPr="00E72168">
        <w:rPr>
          <w:rFonts w:cs="Times New Roman"/>
          <w:bCs/>
          <w:color w:val="17365D"/>
        </w:rPr>
        <w:t xml:space="preserve"> īpašumos </w:t>
      </w:r>
      <w:r w:rsidRPr="00E72168">
        <w:rPr>
          <w:rFonts w:cs="Times New Roman"/>
          <w:bCs/>
          <w:color w:val="17365D"/>
        </w:rPr>
        <w:t xml:space="preserve">nav </w:t>
      </w:r>
      <w:r w:rsidR="00773B41" w:rsidRPr="00E72168">
        <w:rPr>
          <w:rFonts w:cs="Times New Roman"/>
          <w:bCs/>
          <w:color w:val="17365D"/>
        </w:rPr>
        <w:t>veikti kapitālsabiedrību ieguldījumi, kas nav iekļauti ieguldījuma īpašumu uzskaites vērtībā</w:t>
      </w:r>
      <w:bookmarkStart w:id="66" w:name="RANGE!A3"/>
      <w:r w:rsidR="00C93A9C" w:rsidRPr="00E72168">
        <w:rPr>
          <w:rFonts w:cs="Times New Roman"/>
          <w:bCs/>
          <w:color w:val="17365D"/>
        </w:rPr>
        <w:t>.</w:t>
      </w:r>
      <w:bookmarkEnd w:id="66"/>
    </w:p>
    <w:p w14:paraId="016AF518" w14:textId="33D1B9FA" w:rsidR="00AA06B8" w:rsidRPr="00E72168" w:rsidRDefault="00AA06B8" w:rsidP="006D1C00">
      <w:pPr>
        <w:pStyle w:val="Heading4"/>
        <w:rPr>
          <w:rFonts w:cs="Times New Roman"/>
        </w:rPr>
      </w:pPr>
      <w:r w:rsidRPr="00E72168">
        <w:rPr>
          <w:rFonts w:cs="Times New Roman"/>
        </w:rPr>
        <w:t>Piezīme Nr. KB.1.6. Bioloģiskie aktīvi lauksaimnieciskajai darbībai</w:t>
      </w:r>
    </w:p>
    <w:p w14:paraId="3620417B" w14:textId="37DB4299" w:rsidR="00DB1118" w:rsidRPr="00E72168" w:rsidRDefault="00F06FED" w:rsidP="006D1C00">
      <w:pPr>
        <w:pStyle w:val="Tabulasnosaukums1"/>
        <w:spacing w:before="0" w:line="240" w:lineRule="auto"/>
        <w:rPr>
          <w:rFonts w:cs="Times New Roman"/>
          <w:i/>
          <w:color w:val="17365D"/>
        </w:rPr>
      </w:pPr>
      <w:r>
        <w:rPr>
          <w:rFonts w:cs="Times New Roman"/>
          <w:i/>
          <w:color w:val="17365D"/>
        </w:rPr>
        <w:t>1.</w:t>
      </w:r>
      <w:r w:rsidR="00212DF3" w:rsidRPr="00E72168">
        <w:rPr>
          <w:rFonts w:cs="Times New Roman"/>
          <w:i/>
          <w:color w:val="17365D"/>
        </w:rPr>
        <w:t>8</w:t>
      </w:r>
      <w:r w:rsidR="00DB1118" w:rsidRPr="00E72168">
        <w:rPr>
          <w:rFonts w:cs="Times New Roman"/>
          <w:i/>
          <w:color w:val="17365D"/>
        </w:rPr>
        <w:t xml:space="preserve">. tabula. </w:t>
      </w:r>
      <w:r w:rsidR="00146B5D" w:rsidRPr="00E72168">
        <w:rPr>
          <w:rFonts w:cs="Times New Roman"/>
          <w:i/>
          <w:color w:val="17365D"/>
        </w:rPr>
        <w:t>Bioloģiskie aktīvi lauksaimnieciskajai darbībai</w:t>
      </w:r>
      <w:r w:rsidR="00DB1118" w:rsidRPr="00E72168">
        <w:rPr>
          <w:rFonts w:cs="Times New Roman"/>
          <w:i/>
          <w:color w:val="17365D"/>
        </w:rPr>
        <w:t xml:space="preserve"> (euro)</w:t>
      </w:r>
    </w:p>
    <w:tbl>
      <w:tblPr>
        <w:tblW w:w="5000" w:type="pct"/>
        <w:tblLayout w:type="fixed"/>
        <w:tblLook w:val="04A0" w:firstRow="1" w:lastRow="0" w:firstColumn="1" w:lastColumn="0" w:noHBand="0" w:noVBand="1"/>
      </w:tblPr>
      <w:tblGrid>
        <w:gridCol w:w="2554"/>
        <w:gridCol w:w="232"/>
        <w:gridCol w:w="692"/>
        <w:gridCol w:w="282"/>
        <w:gridCol w:w="1203"/>
        <w:gridCol w:w="279"/>
        <w:gridCol w:w="1207"/>
        <w:gridCol w:w="258"/>
        <w:gridCol w:w="1227"/>
        <w:gridCol w:w="71"/>
        <w:gridCol w:w="1349"/>
      </w:tblGrid>
      <w:tr w:rsidR="000C1009" w:rsidRPr="00E72168" w14:paraId="1A496ECE" w14:textId="77777777" w:rsidTr="00432761">
        <w:trPr>
          <w:trHeight w:val="684"/>
        </w:trPr>
        <w:tc>
          <w:tcPr>
            <w:tcW w:w="1365" w:type="pct"/>
            <w:tcBorders>
              <w:bottom w:val="single" w:sz="4" w:space="0" w:color="17365D"/>
            </w:tcBorders>
            <w:shd w:val="clear" w:color="auto" w:fill="B9CDE5"/>
            <w:vAlign w:val="center"/>
            <w:hideMark/>
          </w:tcPr>
          <w:p w14:paraId="33525A19"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Rādītāji</w:t>
            </w:r>
          </w:p>
        </w:tc>
        <w:tc>
          <w:tcPr>
            <w:tcW w:w="494" w:type="pct"/>
            <w:gridSpan w:val="2"/>
            <w:tcBorders>
              <w:bottom w:val="single" w:sz="4" w:space="0" w:color="17365D"/>
            </w:tcBorders>
            <w:shd w:val="clear" w:color="auto" w:fill="B9CDE5"/>
            <w:vAlign w:val="center"/>
            <w:hideMark/>
          </w:tcPr>
          <w:p w14:paraId="79574C7E"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94" w:type="pct"/>
            <w:gridSpan w:val="2"/>
            <w:tcBorders>
              <w:bottom w:val="single" w:sz="4" w:space="0" w:color="17365D"/>
            </w:tcBorders>
            <w:shd w:val="clear" w:color="auto" w:fill="B9CDE5"/>
            <w:vAlign w:val="center"/>
            <w:hideMark/>
          </w:tcPr>
          <w:p w14:paraId="251E6EB1"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794" w:type="pct"/>
            <w:gridSpan w:val="2"/>
            <w:tcBorders>
              <w:bottom w:val="single" w:sz="4" w:space="0" w:color="17365D"/>
            </w:tcBorders>
            <w:shd w:val="clear" w:color="auto" w:fill="B9CDE5"/>
            <w:vAlign w:val="center"/>
            <w:hideMark/>
          </w:tcPr>
          <w:p w14:paraId="1B894BF4"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94" w:type="pct"/>
            <w:gridSpan w:val="2"/>
            <w:tcBorders>
              <w:bottom w:val="single" w:sz="4" w:space="0" w:color="17365D"/>
            </w:tcBorders>
            <w:shd w:val="clear" w:color="auto" w:fill="B9CDE5"/>
            <w:vAlign w:val="center"/>
            <w:hideMark/>
          </w:tcPr>
          <w:p w14:paraId="7D338656"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Pr="00E72168">
              <w:rPr>
                <w:rFonts w:eastAsia="Times New Roman" w:cs="Times New Roman"/>
                <w:b/>
                <w:color w:val="17365D"/>
                <w:sz w:val="18"/>
                <w:szCs w:val="18"/>
                <w:lang w:eastAsia="lv-LV"/>
              </w:rPr>
              <w:t xml:space="preserve"> – )</w:t>
            </w:r>
          </w:p>
        </w:tc>
        <w:tc>
          <w:tcPr>
            <w:tcW w:w="759" w:type="pct"/>
            <w:gridSpan w:val="2"/>
            <w:tcBorders>
              <w:bottom w:val="single" w:sz="4" w:space="0" w:color="17365D"/>
            </w:tcBorders>
            <w:shd w:val="clear" w:color="auto" w:fill="B9CDE5"/>
            <w:vAlign w:val="center"/>
            <w:hideMark/>
          </w:tcPr>
          <w:p w14:paraId="3CB58203"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615987DB" w14:textId="77777777" w:rsidTr="00432761">
        <w:trPr>
          <w:trHeight w:val="264"/>
        </w:trPr>
        <w:tc>
          <w:tcPr>
            <w:tcW w:w="1365" w:type="pct"/>
            <w:tcBorders>
              <w:top w:val="single" w:sz="4" w:space="0" w:color="17365D"/>
              <w:bottom w:val="single" w:sz="4" w:space="0" w:color="17365D"/>
            </w:tcBorders>
            <w:shd w:val="clear" w:color="auto" w:fill="auto"/>
            <w:vAlign w:val="center"/>
            <w:hideMark/>
          </w:tcPr>
          <w:p w14:paraId="0E2C93C7"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494" w:type="pct"/>
            <w:gridSpan w:val="2"/>
            <w:tcBorders>
              <w:top w:val="single" w:sz="4" w:space="0" w:color="17365D"/>
              <w:bottom w:val="single" w:sz="4" w:space="0" w:color="17365D"/>
            </w:tcBorders>
            <w:shd w:val="clear" w:color="auto" w:fill="auto"/>
            <w:vAlign w:val="center"/>
            <w:hideMark/>
          </w:tcPr>
          <w:p w14:paraId="5F2E02F2"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94" w:type="pct"/>
            <w:gridSpan w:val="2"/>
            <w:tcBorders>
              <w:top w:val="single" w:sz="4" w:space="0" w:color="17365D"/>
              <w:bottom w:val="single" w:sz="4" w:space="0" w:color="17365D"/>
            </w:tcBorders>
            <w:shd w:val="clear" w:color="auto" w:fill="auto"/>
            <w:vAlign w:val="center"/>
            <w:hideMark/>
          </w:tcPr>
          <w:p w14:paraId="0333ECF6"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794" w:type="pct"/>
            <w:gridSpan w:val="2"/>
            <w:tcBorders>
              <w:top w:val="single" w:sz="4" w:space="0" w:color="17365D"/>
              <w:bottom w:val="single" w:sz="4" w:space="0" w:color="17365D"/>
            </w:tcBorders>
            <w:shd w:val="clear" w:color="auto" w:fill="auto"/>
            <w:vAlign w:val="center"/>
            <w:hideMark/>
          </w:tcPr>
          <w:p w14:paraId="7A16542F"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94" w:type="pct"/>
            <w:gridSpan w:val="2"/>
            <w:tcBorders>
              <w:top w:val="single" w:sz="4" w:space="0" w:color="17365D"/>
              <w:bottom w:val="single" w:sz="4" w:space="0" w:color="17365D"/>
            </w:tcBorders>
            <w:shd w:val="clear" w:color="auto" w:fill="auto"/>
            <w:vAlign w:val="center"/>
            <w:hideMark/>
          </w:tcPr>
          <w:p w14:paraId="45A87F78"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759" w:type="pct"/>
            <w:gridSpan w:val="2"/>
            <w:tcBorders>
              <w:top w:val="single" w:sz="4" w:space="0" w:color="17365D"/>
              <w:bottom w:val="single" w:sz="4" w:space="0" w:color="17365D"/>
            </w:tcBorders>
            <w:shd w:val="clear" w:color="auto" w:fill="auto"/>
            <w:vAlign w:val="center"/>
            <w:hideMark/>
          </w:tcPr>
          <w:p w14:paraId="6C2EFAD4" w14:textId="77777777" w:rsidR="002B58FA" w:rsidRPr="00E72168" w:rsidRDefault="002B58FA"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006F2A" w:rsidRPr="00E72168" w14:paraId="6A8FE412" w14:textId="77777777" w:rsidTr="00006F2A">
        <w:trPr>
          <w:trHeight w:val="264"/>
        </w:trPr>
        <w:tc>
          <w:tcPr>
            <w:tcW w:w="1365" w:type="pct"/>
            <w:tcBorders>
              <w:top w:val="single" w:sz="4" w:space="0" w:color="17365D"/>
              <w:bottom w:val="single" w:sz="4" w:space="0" w:color="17365D"/>
            </w:tcBorders>
            <w:shd w:val="clear" w:color="auto" w:fill="auto"/>
            <w:vAlign w:val="center"/>
            <w:hideMark/>
          </w:tcPr>
          <w:p w14:paraId="42BDCBAD" w14:textId="4151EB46" w:rsidR="00006F2A" w:rsidRPr="00E72168" w:rsidRDefault="00006F2A" w:rsidP="00006F2A">
            <w:pPr>
              <w:spacing w:after="0" w:line="240" w:lineRule="auto"/>
              <w:rPr>
                <w:rFonts w:eastAsia="Times New Roman" w:cs="Times New Roman"/>
                <w:b/>
                <w:color w:val="17365D"/>
                <w:sz w:val="18"/>
                <w:szCs w:val="18"/>
                <w:lang w:eastAsia="lv-LV"/>
              </w:rPr>
            </w:pPr>
            <w:r w:rsidRPr="00E72168">
              <w:rPr>
                <w:rFonts w:cs="Times New Roman"/>
                <w:b/>
                <w:color w:val="17365D"/>
                <w:sz w:val="18"/>
                <w:szCs w:val="18"/>
              </w:rPr>
              <w:t>Bioloģiskie aktīvi lauksaimnieciskajai darbībai</w:t>
            </w:r>
          </w:p>
        </w:tc>
        <w:tc>
          <w:tcPr>
            <w:tcW w:w="494" w:type="pct"/>
            <w:gridSpan w:val="2"/>
            <w:tcBorders>
              <w:top w:val="single" w:sz="4" w:space="0" w:color="17365D"/>
              <w:bottom w:val="single" w:sz="4" w:space="0" w:color="17365D"/>
            </w:tcBorders>
            <w:shd w:val="clear" w:color="auto" w:fill="auto"/>
            <w:vAlign w:val="center"/>
            <w:hideMark/>
          </w:tcPr>
          <w:p w14:paraId="063B9400" w14:textId="1767CC20" w:rsidR="00006F2A" w:rsidRPr="00E72168" w:rsidRDefault="00006F2A" w:rsidP="00006F2A">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KB.1.6.</w:t>
            </w:r>
          </w:p>
        </w:tc>
        <w:tc>
          <w:tcPr>
            <w:tcW w:w="794" w:type="pct"/>
            <w:gridSpan w:val="2"/>
            <w:tcBorders>
              <w:top w:val="single" w:sz="4" w:space="0" w:color="17365D"/>
              <w:bottom w:val="single" w:sz="4" w:space="0" w:color="17365D"/>
            </w:tcBorders>
            <w:shd w:val="clear" w:color="auto" w:fill="auto"/>
            <w:vAlign w:val="center"/>
            <w:hideMark/>
          </w:tcPr>
          <w:p w14:paraId="36A989E9" w14:textId="5B904316" w:rsidR="00006F2A" w:rsidRPr="00E72168" w:rsidRDefault="00F35B26" w:rsidP="00006F2A">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1 224 042 637</w:t>
            </w:r>
          </w:p>
        </w:tc>
        <w:tc>
          <w:tcPr>
            <w:tcW w:w="794" w:type="pct"/>
            <w:gridSpan w:val="2"/>
            <w:tcBorders>
              <w:top w:val="single" w:sz="4" w:space="0" w:color="17365D"/>
              <w:bottom w:val="single" w:sz="4" w:space="0" w:color="17365D"/>
            </w:tcBorders>
            <w:shd w:val="clear" w:color="auto" w:fill="auto"/>
            <w:vAlign w:val="center"/>
            <w:hideMark/>
          </w:tcPr>
          <w:p w14:paraId="211C752E" w14:textId="06C277EF" w:rsidR="00006F2A" w:rsidRPr="00E72168" w:rsidRDefault="00F35B26" w:rsidP="00006F2A">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1 214 749 464</w:t>
            </w:r>
          </w:p>
        </w:tc>
        <w:tc>
          <w:tcPr>
            <w:tcW w:w="794" w:type="pct"/>
            <w:gridSpan w:val="2"/>
            <w:tcBorders>
              <w:top w:val="single" w:sz="4" w:space="0" w:color="17365D"/>
              <w:bottom w:val="single" w:sz="4" w:space="0" w:color="17365D"/>
            </w:tcBorders>
            <w:shd w:val="clear" w:color="auto" w:fill="auto"/>
            <w:noWrap/>
            <w:vAlign w:val="center"/>
            <w:hideMark/>
          </w:tcPr>
          <w:p w14:paraId="5BC82EC4" w14:textId="0870F31B" w:rsidR="00006F2A" w:rsidRPr="00E72168" w:rsidRDefault="00F35B26" w:rsidP="00006F2A">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9 293 173</w:t>
            </w:r>
          </w:p>
        </w:tc>
        <w:tc>
          <w:tcPr>
            <w:tcW w:w="759" w:type="pct"/>
            <w:gridSpan w:val="2"/>
            <w:tcBorders>
              <w:top w:val="single" w:sz="4" w:space="0" w:color="17365D"/>
              <w:bottom w:val="single" w:sz="4" w:space="0" w:color="17365D"/>
            </w:tcBorders>
            <w:shd w:val="clear" w:color="auto" w:fill="auto"/>
            <w:noWrap/>
            <w:vAlign w:val="center"/>
            <w:hideMark/>
          </w:tcPr>
          <w:p w14:paraId="29B6F2DD" w14:textId="43E67327" w:rsidR="00006F2A" w:rsidRPr="00E72168" w:rsidRDefault="00F35B26" w:rsidP="00006F2A">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0.77</w:t>
            </w:r>
          </w:p>
        </w:tc>
      </w:tr>
      <w:tr w:rsidR="000C1009" w:rsidRPr="00E72168" w14:paraId="1731D344" w14:textId="77777777" w:rsidTr="00432761">
        <w:trPr>
          <w:trHeight w:val="202"/>
        </w:trPr>
        <w:tc>
          <w:tcPr>
            <w:tcW w:w="1489" w:type="pct"/>
            <w:gridSpan w:val="2"/>
            <w:tcBorders>
              <w:top w:val="single" w:sz="4" w:space="0" w:color="17365D"/>
            </w:tcBorders>
            <w:shd w:val="clear" w:color="auto" w:fill="B9CDE5"/>
            <w:vAlign w:val="center"/>
          </w:tcPr>
          <w:p w14:paraId="44D3DB29" w14:textId="77777777" w:rsidR="002B58FA" w:rsidRPr="00E72168" w:rsidRDefault="002B58FA" w:rsidP="00D92FFA">
            <w:pPr>
              <w:spacing w:after="0" w:line="240" w:lineRule="auto"/>
              <w:rPr>
                <w:rFonts w:eastAsia="Times New Roman" w:cs="Times New Roman"/>
                <w:color w:val="17365D"/>
                <w:sz w:val="18"/>
                <w:szCs w:val="18"/>
                <w:lang w:eastAsia="lv-LV"/>
              </w:rPr>
            </w:pPr>
          </w:p>
        </w:tc>
        <w:tc>
          <w:tcPr>
            <w:tcW w:w="521" w:type="pct"/>
            <w:gridSpan w:val="2"/>
            <w:tcBorders>
              <w:top w:val="single" w:sz="4" w:space="0" w:color="17365D"/>
            </w:tcBorders>
            <w:shd w:val="clear" w:color="auto" w:fill="B9CDE5"/>
            <w:noWrap/>
            <w:vAlign w:val="center"/>
          </w:tcPr>
          <w:p w14:paraId="0E8B91A2" w14:textId="77777777" w:rsidR="002B58FA" w:rsidRPr="00E72168" w:rsidRDefault="002B58FA" w:rsidP="00D92FFA">
            <w:pPr>
              <w:spacing w:after="0" w:line="240" w:lineRule="auto"/>
              <w:jc w:val="center"/>
              <w:rPr>
                <w:rFonts w:eastAsia="Times New Roman" w:cs="Times New Roman"/>
                <w:color w:val="17365D"/>
                <w:sz w:val="18"/>
                <w:szCs w:val="18"/>
                <w:lang w:eastAsia="lv-LV"/>
              </w:rPr>
            </w:pPr>
          </w:p>
        </w:tc>
        <w:tc>
          <w:tcPr>
            <w:tcW w:w="792" w:type="pct"/>
            <w:gridSpan w:val="2"/>
            <w:tcBorders>
              <w:top w:val="single" w:sz="4" w:space="0" w:color="17365D"/>
            </w:tcBorders>
            <w:shd w:val="clear" w:color="auto" w:fill="B9CDE5"/>
            <w:noWrap/>
            <w:vAlign w:val="center"/>
          </w:tcPr>
          <w:p w14:paraId="1B5EB03F" w14:textId="77777777" w:rsidR="002B58FA" w:rsidRPr="00E72168" w:rsidRDefault="002B58FA" w:rsidP="00D92FFA">
            <w:pPr>
              <w:spacing w:after="0" w:line="240" w:lineRule="auto"/>
              <w:jc w:val="right"/>
              <w:rPr>
                <w:rFonts w:eastAsia="Times New Roman" w:cs="Times New Roman"/>
                <w:color w:val="17365D"/>
                <w:sz w:val="18"/>
                <w:szCs w:val="18"/>
                <w:lang w:eastAsia="lv-LV"/>
              </w:rPr>
            </w:pPr>
          </w:p>
        </w:tc>
        <w:tc>
          <w:tcPr>
            <w:tcW w:w="783" w:type="pct"/>
            <w:gridSpan w:val="2"/>
            <w:tcBorders>
              <w:top w:val="single" w:sz="4" w:space="0" w:color="17365D"/>
            </w:tcBorders>
            <w:shd w:val="clear" w:color="auto" w:fill="B9CDE5"/>
            <w:noWrap/>
            <w:vAlign w:val="center"/>
          </w:tcPr>
          <w:p w14:paraId="1A9C23CD" w14:textId="77777777" w:rsidR="002B58FA" w:rsidRPr="00E72168" w:rsidRDefault="002B58FA" w:rsidP="00D92FFA">
            <w:pPr>
              <w:spacing w:after="0" w:line="240" w:lineRule="auto"/>
              <w:jc w:val="right"/>
              <w:rPr>
                <w:rFonts w:eastAsia="Times New Roman" w:cs="Times New Roman"/>
                <w:color w:val="17365D"/>
                <w:sz w:val="18"/>
                <w:szCs w:val="18"/>
                <w:lang w:eastAsia="lv-LV"/>
              </w:rPr>
            </w:pPr>
          </w:p>
        </w:tc>
        <w:tc>
          <w:tcPr>
            <w:tcW w:w="694" w:type="pct"/>
            <w:gridSpan w:val="2"/>
            <w:tcBorders>
              <w:top w:val="single" w:sz="4" w:space="0" w:color="17365D"/>
            </w:tcBorders>
            <w:shd w:val="clear" w:color="auto" w:fill="B9CDE5"/>
            <w:noWrap/>
            <w:vAlign w:val="center"/>
          </w:tcPr>
          <w:p w14:paraId="73162AD0" w14:textId="77777777" w:rsidR="002B58FA" w:rsidRPr="00E72168" w:rsidRDefault="002B58FA" w:rsidP="00D92FFA">
            <w:pPr>
              <w:spacing w:after="0" w:line="240" w:lineRule="auto"/>
              <w:jc w:val="right"/>
              <w:rPr>
                <w:rFonts w:eastAsia="Times New Roman" w:cs="Times New Roman"/>
                <w:color w:val="17365D"/>
                <w:sz w:val="18"/>
                <w:szCs w:val="18"/>
                <w:lang w:eastAsia="lv-LV"/>
              </w:rPr>
            </w:pPr>
          </w:p>
        </w:tc>
        <w:tc>
          <w:tcPr>
            <w:tcW w:w="721" w:type="pct"/>
            <w:tcBorders>
              <w:top w:val="single" w:sz="4" w:space="0" w:color="17365D"/>
            </w:tcBorders>
            <w:shd w:val="clear" w:color="auto" w:fill="B9CDE5"/>
            <w:noWrap/>
            <w:vAlign w:val="center"/>
          </w:tcPr>
          <w:p w14:paraId="3475685F" w14:textId="77777777" w:rsidR="002B58FA" w:rsidRPr="00E72168" w:rsidRDefault="002B58FA" w:rsidP="00D92FFA">
            <w:pPr>
              <w:spacing w:after="0" w:line="240" w:lineRule="auto"/>
              <w:jc w:val="right"/>
              <w:rPr>
                <w:rFonts w:eastAsia="Times New Roman" w:cs="Times New Roman"/>
                <w:color w:val="17365D"/>
                <w:sz w:val="18"/>
                <w:szCs w:val="18"/>
                <w:lang w:eastAsia="lv-LV"/>
              </w:rPr>
            </w:pPr>
          </w:p>
        </w:tc>
      </w:tr>
    </w:tbl>
    <w:p w14:paraId="37ED389F" w14:textId="4E7CAF70" w:rsidR="00D077C2" w:rsidRPr="00E72168" w:rsidRDefault="00D23F23" w:rsidP="00C93A9C">
      <w:pPr>
        <w:spacing w:before="240" w:after="120" w:line="240" w:lineRule="auto"/>
        <w:ind w:firstLine="284"/>
        <w:jc w:val="both"/>
        <w:rPr>
          <w:rFonts w:cs="Times New Roman"/>
          <w:bCs/>
          <w:color w:val="17365D"/>
        </w:rPr>
      </w:pPr>
      <w:r w:rsidRPr="00E72168">
        <w:rPr>
          <w:rFonts w:cs="Times New Roman"/>
          <w:bCs/>
          <w:color w:val="17365D"/>
        </w:rPr>
        <w:t>Šajā pos</w:t>
      </w:r>
      <w:r w:rsidR="003F15C6" w:rsidRPr="00E72168">
        <w:rPr>
          <w:rFonts w:cs="Times New Roman"/>
          <w:bCs/>
          <w:color w:val="17365D"/>
        </w:rPr>
        <w:t>t</w:t>
      </w:r>
      <w:r w:rsidRPr="00E72168">
        <w:rPr>
          <w:rFonts w:cs="Times New Roman"/>
          <w:bCs/>
          <w:color w:val="17365D"/>
        </w:rPr>
        <w:t>enī uzskaitīti</w:t>
      </w:r>
      <w:r w:rsidR="00146B5D" w:rsidRPr="00E72168">
        <w:rPr>
          <w:rFonts w:cs="Times New Roman"/>
          <w:bCs/>
          <w:color w:val="17365D"/>
        </w:rPr>
        <w:t xml:space="preserve"> bioloģiskie aktīvi, ku</w:t>
      </w:r>
      <w:r w:rsidR="00D077C2" w:rsidRPr="00E72168">
        <w:rPr>
          <w:rFonts w:cs="Times New Roman"/>
          <w:bCs/>
          <w:color w:val="17365D"/>
        </w:rPr>
        <w:t>r</w:t>
      </w:r>
      <w:r w:rsidR="00146B5D" w:rsidRPr="00E72168">
        <w:rPr>
          <w:rFonts w:cs="Times New Roman"/>
          <w:bCs/>
          <w:color w:val="17365D"/>
        </w:rPr>
        <w:t xml:space="preserve">us </w:t>
      </w:r>
      <w:r w:rsidR="00D077C2" w:rsidRPr="00E72168">
        <w:rPr>
          <w:rFonts w:cs="Times New Roman"/>
          <w:bCs/>
          <w:color w:val="17365D"/>
        </w:rPr>
        <w:t xml:space="preserve">budžeta iestādes </w:t>
      </w:r>
      <w:r w:rsidR="00146B5D" w:rsidRPr="00E72168">
        <w:rPr>
          <w:rFonts w:cs="Times New Roman"/>
          <w:bCs/>
          <w:color w:val="17365D"/>
        </w:rPr>
        <w:t>izmanto plānveidīgai darbībai lauksaimniecībā, zivsaimniecībā un mežsaimniecībā ieņēmumu gūšanai</w:t>
      </w:r>
      <w:r w:rsidR="00D077C2" w:rsidRPr="00E72168">
        <w:rPr>
          <w:rFonts w:cs="Times New Roman"/>
          <w:bCs/>
          <w:color w:val="17365D"/>
        </w:rPr>
        <w:t>.</w:t>
      </w:r>
    </w:p>
    <w:p w14:paraId="168C132C" w14:textId="6182D545" w:rsidR="003F15C6" w:rsidRPr="00E72168" w:rsidRDefault="00D23F23" w:rsidP="003F15C6">
      <w:pPr>
        <w:spacing w:after="120" w:line="240" w:lineRule="auto"/>
        <w:ind w:firstLine="284"/>
        <w:jc w:val="both"/>
        <w:rPr>
          <w:rFonts w:cs="Times New Roman"/>
          <w:bCs/>
          <w:color w:val="17365D"/>
        </w:rPr>
      </w:pPr>
      <w:r w:rsidRPr="00E72168">
        <w:rPr>
          <w:rFonts w:cs="Times New Roman"/>
          <w:bCs/>
          <w:color w:val="17365D"/>
        </w:rPr>
        <w:t xml:space="preserve">Pārskata periodā posteņa vērtība pieaugusi </w:t>
      </w:r>
      <w:r w:rsidR="003F15C6" w:rsidRPr="00E72168">
        <w:rPr>
          <w:rFonts w:cs="Times New Roman"/>
          <w:bCs/>
          <w:color w:val="17365D"/>
        </w:rPr>
        <w:t xml:space="preserve">aktīvu pārvērtēšanas rezultātā, galvenokārt par Zemkopības ministrijas uzskaitē esošo un VAS “Latvijas Valsts meži” turējumā nodoto mežaudžu vērtības izmaiņām </w:t>
      </w:r>
      <w:r w:rsidR="00EA0F97" w:rsidRPr="00E72168">
        <w:rPr>
          <w:rFonts w:cs="Times New Roman"/>
          <w:bCs/>
          <w:color w:val="17365D"/>
        </w:rPr>
        <w:t>8 751 </w:t>
      </w:r>
      <w:r w:rsidR="00B43E29" w:rsidRPr="00E72168">
        <w:rPr>
          <w:rFonts w:cs="Times New Roman"/>
          <w:bCs/>
          <w:color w:val="17365D"/>
        </w:rPr>
        <w:t>442</w:t>
      </w:r>
      <w:r w:rsidR="001E437B" w:rsidRPr="00E72168">
        <w:rPr>
          <w:rFonts w:cs="Times New Roman"/>
          <w:bCs/>
          <w:color w:val="17365D"/>
        </w:rPr>
        <w:t xml:space="preserve"> </w:t>
      </w:r>
      <w:r w:rsidR="003F15C6" w:rsidRPr="00E72168">
        <w:rPr>
          <w:rFonts w:cs="Times New Roman"/>
          <w:bCs/>
          <w:i/>
          <w:color w:val="17365D"/>
        </w:rPr>
        <w:t>euro</w:t>
      </w:r>
      <w:r w:rsidR="003F15C6" w:rsidRPr="00E72168">
        <w:rPr>
          <w:rFonts w:cs="Times New Roman"/>
          <w:bCs/>
          <w:color w:val="17365D"/>
        </w:rPr>
        <w:t>.</w:t>
      </w:r>
    </w:p>
    <w:p w14:paraId="0C194245" w14:textId="5BCC3327" w:rsidR="00146B5D" w:rsidRDefault="00773B41" w:rsidP="003F15C6">
      <w:pPr>
        <w:spacing w:after="120" w:line="240" w:lineRule="auto"/>
        <w:ind w:firstLine="284"/>
        <w:jc w:val="both"/>
        <w:rPr>
          <w:rFonts w:cs="Times New Roman"/>
          <w:bCs/>
          <w:color w:val="17365D"/>
        </w:rPr>
      </w:pPr>
      <w:r w:rsidRPr="00E72168">
        <w:rPr>
          <w:rFonts w:cs="Times New Roman"/>
          <w:bCs/>
          <w:color w:val="17365D"/>
        </w:rPr>
        <w:t>Mežaudzes novērtētas atbilstoši Meža valsts reģistrā norādītai pilnajai vērtībai.</w:t>
      </w:r>
    </w:p>
    <w:p w14:paraId="43D3545B" w14:textId="1831D4A8" w:rsidR="00ED1E06" w:rsidRDefault="00ED1E06" w:rsidP="003F15C6">
      <w:pPr>
        <w:spacing w:after="120" w:line="240" w:lineRule="auto"/>
        <w:ind w:firstLine="284"/>
        <w:jc w:val="both"/>
        <w:rPr>
          <w:rFonts w:cs="Times New Roman"/>
          <w:bCs/>
          <w:color w:val="17365D"/>
        </w:rPr>
      </w:pPr>
    </w:p>
    <w:p w14:paraId="4AB7F7C3" w14:textId="29D74DB2" w:rsidR="00102FD1" w:rsidRDefault="00102FD1" w:rsidP="003F15C6">
      <w:pPr>
        <w:spacing w:after="120" w:line="240" w:lineRule="auto"/>
        <w:ind w:firstLine="284"/>
        <w:jc w:val="both"/>
        <w:rPr>
          <w:rFonts w:cs="Times New Roman"/>
          <w:bCs/>
          <w:color w:val="17365D"/>
        </w:rPr>
      </w:pPr>
    </w:p>
    <w:p w14:paraId="43CC6594" w14:textId="1625C8CE" w:rsidR="00102FD1" w:rsidRDefault="00102FD1" w:rsidP="003F15C6">
      <w:pPr>
        <w:spacing w:after="120" w:line="240" w:lineRule="auto"/>
        <w:ind w:firstLine="284"/>
        <w:jc w:val="both"/>
        <w:rPr>
          <w:rFonts w:cs="Times New Roman"/>
          <w:bCs/>
          <w:color w:val="17365D"/>
        </w:rPr>
      </w:pPr>
    </w:p>
    <w:p w14:paraId="42954DF1" w14:textId="5439F6CA" w:rsidR="00102FD1" w:rsidRDefault="00102FD1" w:rsidP="003F15C6">
      <w:pPr>
        <w:spacing w:after="120" w:line="240" w:lineRule="auto"/>
        <w:ind w:firstLine="284"/>
        <w:jc w:val="both"/>
        <w:rPr>
          <w:rFonts w:cs="Times New Roman"/>
          <w:bCs/>
          <w:color w:val="17365D"/>
        </w:rPr>
      </w:pPr>
    </w:p>
    <w:p w14:paraId="0A00714D" w14:textId="252B45DB" w:rsidR="003E4135" w:rsidRPr="00E72168" w:rsidRDefault="00D41F06" w:rsidP="00FD10CC">
      <w:pPr>
        <w:pStyle w:val="Heading3"/>
      </w:pPr>
      <w:r w:rsidRPr="00E72168">
        <w:lastRenderedPageBreak/>
        <w:t>Apgrozāmie līdzekļi</w:t>
      </w:r>
      <w:r w:rsidR="00724752" w:rsidRPr="00E72168">
        <w:t xml:space="preserve"> </w:t>
      </w:r>
    </w:p>
    <w:p w14:paraId="4E074B0C" w14:textId="5A58DBF9" w:rsidR="00616585" w:rsidRDefault="00616585" w:rsidP="00836F9B">
      <w:pPr>
        <w:spacing w:after="120" w:line="240" w:lineRule="auto"/>
        <w:ind w:firstLine="284"/>
        <w:jc w:val="both"/>
        <w:rPr>
          <w:rFonts w:cs="Times New Roman"/>
          <w:bCs/>
          <w:color w:val="17365D"/>
        </w:rPr>
      </w:pPr>
      <w:r w:rsidRPr="00E72168">
        <w:rPr>
          <w:rFonts w:cs="Times New Roman"/>
          <w:bCs/>
          <w:color w:val="17365D"/>
        </w:rPr>
        <w:t>Apgrozāmie līdzekļi konsolidēti par valsts un pašvaldību budžeta iestāžu un valsts budžeta finanšu uzskaites savstarpējiem atlikumiem.</w:t>
      </w:r>
    </w:p>
    <w:p w14:paraId="08D6EE6B" w14:textId="7DF172C3" w:rsidR="00CA2DC5" w:rsidRPr="00E72168" w:rsidRDefault="00B539A5" w:rsidP="007B7C14">
      <w:pPr>
        <w:pStyle w:val="Heading4"/>
        <w:spacing w:after="0"/>
        <w:rPr>
          <w:rFonts w:cs="Times New Roman"/>
        </w:rPr>
      </w:pPr>
      <w:r w:rsidRPr="00E72168">
        <w:rPr>
          <w:rFonts w:cs="Times New Roman"/>
        </w:rPr>
        <w:t xml:space="preserve">Piezīme Nr. </w:t>
      </w:r>
      <w:r w:rsidR="00D41F06" w:rsidRPr="00E72168">
        <w:rPr>
          <w:rFonts w:cs="Times New Roman"/>
        </w:rPr>
        <w:t>KB.</w:t>
      </w:r>
      <w:r w:rsidR="00F73CE6" w:rsidRPr="00E72168">
        <w:rPr>
          <w:rFonts w:cs="Times New Roman"/>
        </w:rPr>
        <w:t>2.1</w:t>
      </w:r>
      <w:r w:rsidR="00D41F06" w:rsidRPr="00E72168">
        <w:rPr>
          <w:rFonts w:cs="Times New Roman"/>
        </w:rPr>
        <w:t>. Krājumi</w:t>
      </w:r>
    </w:p>
    <w:p w14:paraId="3885374B" w14:textId="518D1515" w:rsidR="00025567" w:rsidRPr="00E72168" w:rsidRDefault="003B30FD" w:rsidP="007B7C14">
      <w:pPr>
        <w:pStyle w:val="Tabulasnosaukums1"/>
        <w:spacing w:before="0" w:line="240" w:lineRule="auto"/>
        <w:rPr>
          <w:rFonts w:cs="Times New Roman"/>
          <w:i/>
          <w:color w:val="17365D"/>
        </w:rPr>
      </w:pPr>
      <w:r>
        <w:rPr>
          <w:rFonts w:cs="Times New Roman"/>
          <w:i/>
          <w:color w:val="17365D"/>
        </w:rPr>
        <w:t>1.</w:t>
      </w:r>
      <w:r w:rsidR="00212DF3" w:rsidRPr="00E72168">
        <w:rPr>
          <w:rFonts w:cs="Times New Roman"/>
          <w:i/>
          <w:color w:val="17365D"/>
        </w:rPr>
        <w:t>9</w:t>
      </w:r>
      <w:r w:rsidR="00025567" w:rsidRPr="00E72168">
        <w:rPr>
          <w:rFonts w:cs="Times New Roman"/>
          <w:i/>
          <w:color w:val="17365D"/>
        </w:rPr>
        <w:t>. tabula. Krājumi (euro)</w:t>
      </w:r>
    </w:p>
    <w:tbl>
      <w:tblPr>
        <w:tblW w:w="5016" w:type="pct"/>
        <w:jc w:val="center"/>
        <w:tblLayout w:type="fixed"/>
        <w:tblLook w:val="04A0" w:firstRow="1" w:lastRow="0" w:firstColumn="1" w:lastColumn="0" w:noHBand="0" w:noVBand="1"/>
      </w:tblPr>
      <w:tblGrid>
        <w:gridCol w:w="2268"/>
        <w:gridCol w:w="1275"/>
        <w:gridCol w:w="1560"/>
        <w:gridCol w:w="1560"/>
        <w:gridCol w:w="1505"/>
        <w:gridCol w:w="1216"/>
      </w:tblGrid>
      <w:tr w:rsidR="000C1009" w:rsidRPr="00E72168" w14:paraId="2F2D0B1A" w14:textId="77777777" w:rsidTr="00B7000B">
        <w:trPr>
          <w:trHeight w:val="684"/>
          <w:tblHeader/>
          <w:jc w:val="center"/>
        </w:trPr>
        <w:tc>
          <w:tcPr>
            <w:tcW w:w="1208" w:type="pct"/>
            <w:tcBorders>
              <w:bottom w:val="single" w:sz="4" w:space="0" w:color="17365D"/>
            </w:tcBorders>
            <w:shd w:val="clear" w:color="auto" w:fill="B9CDE5"/>
            <w:vAlign w:val="center"/>
            <w:hideMark/>
          </w:tcPr>
          <w:p w14:paraId="47C3FA3F"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Rādītāji</w:t>
            </w:r>
          </w:p>
        </w:tc>
        <w:tc>
          <w:tcPr>
            <w:tcW w:w="679" w:type="pct"/>
            <w:tcBorders>
              <w:bottom w:val="single" w:sz="4" w:space="0" w:color="17365D"/>
            </w:tcBorders>
            <w:shd w:val="clear" w:color="auto" w:fill="B9CDE5"/>
            <w:vAlign w:val="center"/>
            <w:hideMark/>
          </w:tcPr>
          <w:p w14:paraId="44641A67"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831" w:type="pct"/>
            <w:tcBorders>
              <w:bottom w:val="single" w:sz="4" w:space="0" w:color="17365D"/>
            </w:tcBorders>
            <w:shd w:val="clear" w:color="auto" w:fill="B9CDE5"/>
            <w:vAlign w:val="center"/>
            <w:hideMark/>
          </w:tcPr>
          <w:p w14:paraId="7B7B9A0A" w14:textId="77777777" w:rsidR="00F23E8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Pārskata </w:t>
            </w:r>
          </w:p>
          <w:p w14:paraId="4F55C140" w14:textId="0DB88965"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perioda beigās</w:t>
            </w:r>
          </w:p>
        </w:tc>
        <w:tc>
          <w:tcPr>
            <w:tcW w:w="831" w:type="pct"/>
            <w:tcBorders>
              <w:bottom w:val="single" w:sz="4" w:space="0" w:color="17365D"/>
            </w:tcBorders>
            <w:shd w:val="clear" w:color="auto" w:fill="B9CDE5"/>
            <w:vAlign w:val="center"/>
            <w:hideMark/>
          </w:tcPr>
          <w:p w14:paraId="27E39A4E" w14:textId="4412A475"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w:t>
            </w:r>
            <w:r w:rsidR="00D50D19" w:rsidRPr="00E72168">
              <w:rPr>
                <w:rFonts w:eastAsia="Times New Roman" w:cs="Times New Roman"/>
                <w:b/>
                <w:color w:val="17365D"/>
                <w:sz w:val="18"/>
                <w:szCs w:val="18"/>
                <w:lang w:eastAsia="lv-LV"/>
              </w:rPr>
              <w:t xml:space="preserve"> </w:t>
            </w:r>
            <w:r w:rsidRPr="00E72168">
              <w:rPr>
                <w:rFonts w:eastAsia="Times New Roman" w:cs="Times New Roman"/>
                <w:b/>
                <w:color w:val="17365D"/>
                <w:sz w:val="18"/>
                <w:szCs w:val="18"/>
                <w:lang w:eastAsia="lv-LV"/>
              </w:rPr>
              <w:t>perioda sākumā</w:t>
            </w:r>
          </w:p>
        </w:tc>
        <w:tc>
          <w:tcPr>
            <w:tcW w:w="802" w:type="pct"/>
            <w:tcBorders>
              <w:bottom w:val="single" w:sz="4" w:space="0" w:color="17365D"/>
            </w:tcBorders>
            <w:shd w:val="clear" w:color="auto" w:fill="B9CDE5"/>
            <w:vAlign w:val="center"/>
            <w:hideMark/>
          </w:tcPr>
          <w:p w14:paraId="61A364F2" w14:textId="29BFB5BE"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 </w:t>
            </w:r>
            <w:r w:rsidRPr="00E72168">
              <w:rPr>
                <w:rFonts w:eastAsia="Times New Roman" w:cs="Times New Roman"/>
                <w:b/>
                <w:color w:val="17365D"/>
                <w:sz w:val="18"/>
                <w:szCs w:val="18"/>
                <w:lang w:eastAsia="lv-LV"/>
              </w:rPr>
              <w:t>)</w:t>
            </w:r>
          </w:p>
        </w:tc>
        <w:tc>
          <w:tcPr>
            <w:tcW w:w="648" w:type="pct"/>
            <w:tcBorders>
              <w:bottom w:val="single" w:sz="4" w:space="0" w:color="17365D"/>
            </w:tcBorders>
            <w:shd w:val="clear" w:color="auto" w:fill="B9CDE5"/>
            <w:vAlign w:val="center"/>
            <w:hideMark/>
          </w:tcPr>
          <w:p w14:paraId="5464841C"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7565A4BB" w14:textId="77777777" w:rsidTr="00B7000B">
        <w:trPr>
          <w:trHeight w:val="240"/>
          <w:jc w:val="center"/>
        </w:trPr>
        <w:tc>
          <w:tcPr>
            <w:tcW w:w="1208" w:type="pct"/>
            <w:tcBorders>
              <w:top w:val="single" w:sz="4" w:space="0" w:color="17365D"/>
              <w:bottom w:val="single" w:sz="4" w:space="0" w:color="17365D"/>
            </w:tcBorders>
            <w:shd w:val="clear" w:color="auto" w:fill="auto"/>
            <w:vAlign w:val="center"/>
            <w:hideMark/>
          </w:tcPr>
          <w:p w14:paraId="6E0FB19E"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679" w:type="pct"/>
            <w:tcBorders>
              <w:top w:val="single" w:sz="4" w:space="0" w:color="17365D"/>
              <w:bottom w:val="single" w:sz="4" w:space="0" w:color="17365D"/>
            </w:tcBorders>
            <w:shd w:val="clear" w:color="auto" w:fill="auto"/>
            <w:vAlign w:val="center"/>
            <w:hideMark/>
          </w:tcPr>
          <w:p w14:paraId="6B1DFE0C"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831" w:type="pct"/>
            <w:tcBorders>
              <w:top w:val="single" w:sz="4" w:space="0" w:color="17365D"/>
              <w:bottom w:val="single" w:sz="4" w:space="0" w:color="17365D"/>
            </w:tcBorders>
            <w:shd w:val="clear" w:color="auto" w:fill="auto"/>
            <w:vAlign w:val="center"/>
            <w:hideMark/>
          </w:tcPr>
          <w:p w14:paraId="78A7F1BD"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831" w:type="pct"/>
            <w:tcBorders>
              <w:top w:val="single" w:sz="4" w:space="0" w:color="17365D"/>
              <w:bottom w:val="single" w:sz="4" w:space="0" w:color="17365D"/>
            </w:tcBorders>
            <w:shd w:val="clear" w:color="auto" w:fill="auto"/>
            <w:vAlign w:val="center"/>
            <w:hideMark/>
          </w:tcPr>
          <w:p w14:paraId="5DF1E8B4"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802" w:type="pct"/>
            <w:tcBorders>
              <w:top w:val="single" w:sz="4" w:space="0" w:color="17365D"/>
              <w:bottom w:val="single" w:sz="4" w:space="0" w:color="17365D"/>
            </w:tcBorders>
            <w:shd w:val="clear" w:color="auto" w:fill="auto"/>
            <w:vAlign w:val="center"/>
            <w:hideMark/>
          </w:tcPr>
          <w:p w14:paraId="247923C6"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48" w:type="pct"/>
            <w:tcBorders>
              <w:top w:val="single" w:sz="4" w:space="0" w:color="17365D"/>
              <w:bottom w:val="single" w:sz="4" w:space="0" w:color="17365D"/>
            </w:tcBorders>
            <w:shd w:val="clear" w:color="auto" w:fill="auto"/>
            <w:vAlign w:val="center"/>
            <w:hideMark/>
          </w:tcPr>
          <w:p w14:paraId="565E295C" w14:textId="77777777" w:rsidR="00751550" w:rsidRPr="00E72168" w:rsidRDefault="00751550" w:rsidP="008C701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E7166F" w:rsidRPr="00E72168" w14:paraId="28E23C7F" w14:textId="77777777" w:rsidTr="00EF57AF">
        <w:trPr>
          <w:trHeight w:val="325"/>
          <w:jc w:val="center"/>
        </w:trPr>
        <w:tc>
          <w:tcPr>
            <w:tcW w:w="1208" w:type="pct"/>
            <w:tcBorders>
              <w:top w:val="single" w:sz="4" w:space="0" w:color="17365D"/>
              <w:bottom w:val="single" w:sz="4" w:space="0" w:color="17365D"/>
            </w:tcBorders>
            <w:shd w:val="clear" w:color="auto" w:fill="auto"/>
            <w:vAlign w:val="center"/>
            <w:hideMark/>
          </w:tcPr>
          <w:p w14:paraId="576D92DE" w14:textId="05C2FB47" w:rsidR="00E7166F" w:rsidRPr="00E72168" w:rsidRDefault="00E7166F" w:rsidP="00E7166F">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Krājumi</w:t>
            </w:r>
          </w:p>
        </w:tc>
        <w:tc>
          <w:tcPr>
            <w:tcW w:w="679" w:type="pct"/>
            <w:tcBorders>
              <w:top w:val="single" w:sz="4" w:space="0" w:color="17365D"/>
              <w:bottom w:val="single" w:sz="4" w:space="0" w:color="17365D"/>
            </w:tcBorders>
            <w:shd w:val="clear" w:color="auto" w:fill="auto"/>
            <w:vAlign w:val="center"/>
            <w:hideMark/>
          </w:tcPr>
          <w:p w14:paraId="21A82F15" w14:textId="6F574A85" w:rsidR="00E7166F" w:rsidRPr="00E72168" w:rsidRDefault="00E7166F" w:rsidP="00E7166F">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KB.2.1.</w:t>
            </w:r>
          </w:p>
        </w:tc>
        <w:tc>
          <w:tcPr>
            <w:tcW w:w="831" w:type="pct"/>
            <w:tcBorders>
              <w:top w:val="single" w:sz="4" w:space="0" w:color="17365D"/>
              <w:bottom w:val="single" w:sz="4" w:space="0" w:color="17365D"/>
            </w:tcBorders>
            <w:shd w:val="clear" w:color="auto" w:fill="auto"/>
            <w:noWrap/>
            <w:vAlign w:val="center"/>
            <w:hideMark/>
          </w:tcPr>
          <w:p w14:paraId="4C2309B3" w14:textId="1C3064DF" w:rsidR="00E7166F" w:rsidRPr="00E72168" w:rsidRDefault="00E7166F" w:rsidP="00E7166F">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1 545 555 555</w:t>
            </w:r>
          </w:p>
        </w:tc>
        <w:tc>
          <w:tcPr>
            <w:tcW w:w="831" w:type="pct"/>
            <w:tcBorders>
              <w:top w:val="single" w:sz="4" w:space="0" w:color="17365D"/>
              <w:bottom w:val="single" w:sz="4" w:space="0" w:color="17365D"/>
            </w:tcBorders>
            <w:shd w:val="clear" w:color="auto" w:fill="auto"/>
            <w:noWrap/>
            <w:vAlign w:val="center"/>
            <w:hideMark/>
          </w:tcPr>
          <w:p w14:paraId="77380665" w14:textId="4DC1D914" w:rsidR="00E7166F" w:rsidRPr="00E72168" w:rsidRDefault="00E7166F" w:rsidP="00E7166F">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1 283 781 975</w:t>
            </w:r>
          </w:p>
        </w:tc>
        <w:tc>
          <w:tcPr>
            <w:tcW w:w="802" w:type="pct"/>
            <w:tcBorders>
              <w:top w:val="single" w:sz="4" w:space="0" w:color="17365D"/>
              <w:bottom w:val="single" w:sz="4" w:space="0" w:color="17365D"/>
            </w:tcBorders>
            <w:shd w:val="clear" w:color="auto" w:fill="auto"/>
            <w:noWrap/>
            <w:vAlign w:val="center"/>
            <w:hideMark/>
          </w:tcPr>
          <w:p w14:paraId="3B5A3FE3" w14:textId="5BD2CF15" w:rsidR="00E7166F" w:rsidRPr="00E72168" w:rsidRDefault="00E7166F" w:rsidP="00E7166F">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261 773 580</w:t>
            </w:r>
          </w:p>
        </w:tc>
        <w:tc>
          <w:tcPr>
            <w:tcW w:w="648" w:type="pct"/>
            <w:tcBorders>
              <w:top w:val="single" w:sz="4" w:space="0" w:color="17365D"/>
              <w:bottom w:val="single" w:sz="4" w:space="0" w:color="17365D"/>
            </w:tcBorders>
            <w:shd w:val="clear" w:color="auto" w:fill="auto"/>
            <w:noWrap/>
            <w:vAlign w:val="center"/>
            <w:hideMark/>
          </w:tcPr>
          <w:p w14:paraId="1051B039" w14:textId="7E0E6105" w:rsidR="00E7166F" w:rsidRPr="00E72168" w:rsidRDefault="00E7166F" w:rsidP="00E7166F">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20.39</w:t>
            </w:r>
          </w:p>
        </w:tc>
      </w:tr>
      <w:tr w:rsidR="000C1009" w:rsidRPr="00E72168" w14:paraId="1FF07C94" w14:textId="77777777" w:rsidTr="00B7000B">
        <w:trPr>
          <w:trHeight w:val="56"/>
          <w:jc w:val="center"/>
        </w:trPr>
        <w:tc>
          <w:tcPr>
            <w:tcW w:w="1208" w:type="pct"/>
            <w:tcBorders>
              <w:top w:val="single" w:sz="4" w:space="0" w:color="17365D"/>
            </w:tcBorders>
            <w:shd w:val="clear" w:color="auto" w:fill="B9CDE5"/>
            <w:vAlign w:val="center"/>
          </w:tcPr>
          <w:p w14:paraId="0A379A0C" w14:textId="77777777" w:rsidR="00751550" w:rsidRPr="00E72168" w:rsidRDefault="00751550" w:rsidP="008C7015">
            <w:pPr>
              <w:spacing w:after="0"/>
              <w:rPr>
                <w:rFonts w:eastAsia="Times New Roman" w:cs="Times New Roman"/>
                <w:color w:val="17365D"/>
                <w:sz w:val="16"/>
                <w:szCs w:val="18"/>
                <w:lang w:eastAsia="lv-LV"/>
              </w:rPr>
            </w:pPr>
          </w:p>
        </w:tc>
        <w:tc>
          <w:tcPr>
            <w:tcW w:w="679" w:type="pct"/>
            <w:tcBorders>
              <w:top w:val="single" w:sz="4" w:space="0" w:color="17365D"/>
            </w:tcBorders>
            <w:shd w:val="clear" w:color="auto" w:fill="B9CDE5"/>
            <w:noWrap/>
            <w:vAlign w:val="center"/>
          </w:tcPr>
          <w:p w14:paraId="121D83E5" w14:textId="77777777" w:rsidR="00751550" w:rsidRPr="00E72168" w:rsidRDefault="00751550" w:rsidP="008C7015">
            <w:pPr>
              <w:spacing w:after="0"/>
              <w:jc w:val="center"/>
              <w:rPr>
                <w:rFonts w:eastAsia="Times New Roman" w:cs="Times New Roman"/>
                <w:color w:val="17365D"/>
                <w:sz w:val="18"/>
                <w:szCs w:val="18"/>
                <w:lang w:eastAsia="lv-LV"/>
              </w:rPr>
            </w:pPr>
          </w:p>
        </w:tc>
        <w:tc>
          <w:tcPr>
            <w:tcW w:w="831" w:type="pct"/>
            <w:tcBorders>
              <w:top w:val="single" w:sz="4" w:space="0" w:color="17365D"/>
            </w:tcBorders>
            <w:shd w:val="clear" w:color="auto" w:fill="B9CDE5"/>
            <w:noWrap/>
            <w:vAlign w:val="center"/>
          </w:tcPr>
          <w:p w14:paraId="1159B140" w14:textId="77777777" w:rsidR="00751550" w:rsidRPr="00E72168" w:rsidRDefault="00751550" w:rsidP="008C7015">
            <w:pPr>
              <w:spacing w:after="0"/>
              <w:jc w:val="right"/>
              <w:rPr>
                <w:rFonts w:eastAsia="Times New Roman" w:cs="Times New Roman"/>
                <w:color w:val="17365D"/>
                <w:sz w:val="18"/>
                <w:szCs w:val="18"/>
                <w:lang w:eastAsia="lv-LV"/>
              </w:rPr>
            </w:pPr>
          </w:p>
        </w:tc>
        <w:tc>
          <w:tcPr>
            <w:tcW w:w="831" w:type="pct"/>
            <w:tcBorders>
              <w:top w:val="single" w:sz="4" w:space="0" w:color="17365D"/>
            </w:tcBorders>
            <w:shd w:val="clear" w:color="auto" w:fill="B9CDE5"/>
            <w:noWrap/>
            <w:vAlign w:val="center"/>
          </w:tcPr>
          <w:p w14:paraId="38F19B8C" w14:textId="77777777" w:rsidR="00751550" w:rsidRPr="00E72168" w:rsidRDefault="00751550" w:rsidP="008C7015">
            <w:pPr>
              <w:spacing w:after="0"/>
              <w:jc w:val="right"/>
              <w:rPr>
                <w:rFonts w:eastAsia="Times New Roman" w:cs="Times New Roman"/>
                <w:color w:val="17365D"/>
                <w:sz w:val="18"/>
                <w:szCs w:val="18"/>
                <w:lang w:eastAsia="lv-LV"/>
              </w:rPr>
            </w:pPr>
          </w:p>
        </w:tc>
        <w:tc>
          <w:tcPr>
            <w:tcW w:w="802" w:type="pct"/>
            <w:tcBorders>
              <w:top w:val="single" w:sz="4" w:space="0" w:color="17365D"/>
            </w:tcBorders>
            <w:shd w:val="clear" w:color="auto" w:fill="B9CDE5"/>
            <w:noWrap/>
            <w:vAlign w:val="center"/>
          </w:tcPr>
          <w:p w14:paraId="27E925A6" w14:textId="77777777" w:rsidR="00751550" w:rsidRPr="00E72168" w:rsidRDefault="00751550" w:rsidP="008C7015">
            <w:pPr>
              <w:spacing w:after="0"/>
              <w:jc w:val="right"/>
              <w:rPr>
                <w:rFonts w:eastAsia="Times New Roman" w:cs="Times New Roman"/>
                <w:color w:val="17365D"/>
                <w:sz w:val="18"/>
                <w:szCs w:val="18"/>
                <w:lang w:eastAsia="lv-LV"/>
              </w:rPr>
            </w:pPr>
          </w:p>
        </w:tc>
        <w:tc>
          <w:tcPr>
            <w:tcW w:w="648" w:type="pct"/>
            <w:tcBorders>
              <w:top w:val="single" w:sz="4" w:space="0" w:color="17365D"/>
            </w:tcBorders>
            <w:shd w:val="clear" w:color="auto" w:fill="B9CDE5"/>
            <w:noWrap/>
            <w:vAlign w:val="center"/>
          </w:tcPr>
          <w:p w14:paraId="36561856" w14:textId="77777777" w:rsidR="00751550" w:rsidRPr="00E72168" w:rsidRDefault="00751550" w:rsidP="008C7015">
            <w:pPr>
              <w:spacing w:after="0"/>
              <w:jc w:val="right"/>
              <w:rPr>
                <w:rFonts w:eastAsia="Times New Roman" w:cs="Times New Roman"/>
                <w:color w:val="17365D"/>
                <w:sz w:val="18"/>
                <w:szCs w:val="18"/>
                <w:lang w:eastAsia="lv-LV"/>
              </w:rPr>
            </w:pPr>
          </w:p>
        </w:tc>
      </w:tr>
    </w:tbl>
    <w:p w14:paraId="6D0F938C" w14:textId="77777777" w:rsidR="00E564B0" w:rsidRPr="00E72168" w:rsidRDefault="00E564B0" w:rsidP="00AF6D47">
      <w:pPr>
        <w:spacing w:before="75" w:after="75"/>
        <w:ind w:firstLine="284"/>
        <w:jc w:val="both"/>
        <w:rPr>
          <w:rFonts w:cs="Times New Roman"/>
          <w:bCs/>
          <w:color w:val="17365D"/>
        </w:rPr>
      </w:pPr>
    </w:p>
    <w:p w14:paraId="11C0B19F" w14:textId="77777777" w:rsidR="00D3156C" w:rsidRDefault="001F5B31" w:rsidP="006D7BEC">
      <w:pPr>
        <w:spacing w:after="120" w:line="240" w:lineRule="auto"/>
        <w:ind w:firstLine="284"/>
        <w:jc w:val="both"/>
        <w:rPr>
          <w:rFonts w:cs="Times New Roman"/>
          <w:bCs/>
          <w:color w:val="17365D"/>
        </w:rPr>
      </w:pPr>
      <w:r w:rsidRPr="00E72168">
        <w:rPr>
          <w:rFonts w:cs="Times New Roman"/>
          <w:bCs/>
          <w:color w:val="17365D"/>
        </w:rPr>
        <w:t>Pārskata gadā krājumu atlikuma izmaiņas galvenokārt ietekmēja</w:t>
      </w:r>
      <w:r w:rsidR="00D3156C">
        <w:rPr>
          <w:rFonts w:cs="Times New Roman"/>
          <w:bCs/>
          <w:color w:val="17365D"/>
        </w:rPr>
        <w:t>:</w:t>
      </w:r>
    </w:p>
    <w:p w14:paraId="680098C8" w14:textId="503E8638" w:rsidR="002F1E9A" w:rsidRPr="00D3156C" w:rsidRDefault="001F5B31" w:rsidP="00146A16">
      <w:pPr>
        <w:pStyle w:val="ListParagraph"/>
        <w:numPr>
          <w:ilvl w:val="0"/>
          <w:numId w:val="34"/>
        </w:numPr>
        <w:spacing w:after="120" w:line="240" w:lineRule="auto"/>
        <w:ind w:left="1003" w:hanging="357"/>
        <w:contextualSpacing w:val="0"/>
        <w:jc w:val="both"/>
        <w:rPr>
          <w:rFonts w:cs="Times New Roman"/>
          <w:bCs/>
          <w:color w:val="17365D"/>
        </w:rPr>
      </w:pPr>
      <w:r w:rsidRPr="00D3156C">
        <w:rPr>
          <w:rFonts w:cs="Times New Roman"/>
          <w:bCs/>
          <w:color w:val="17365D"/>
        </w:rPr>
        <w:t>Aizsardzības ministrijas izejvielu un materiālu iegāde iestādes darbības nodrošināšanai saistībā ar darb</w:t>
      </w:r>
      <w:r w:rsidR="00AF6D47" w:rsidRPr="00D3156C">
        <w:rPr>
          <w:rFonts w:cs="Times New Roman"/>
          <w:bCs/>
          <w:color w:val="17365D"/>
        </w:rPr>
        <w:t xml:space="preserve">inieku skaita palielināšanos, </w:t>
      </w:r>
      <w:r w:rsidRPr="00D3156C">
        <w:rPr>
          <w:rFonts w:cs="Times New Roman"/>
          <w:bCs/>
          <w:color w:val="17365D"/>
        </w:rPr>
        <w:t>darbinieku mācību procesa un pilsoniskās un patriotiskās audzināšanas</w:t>
      </w:r>
      <w:r w:rsidR="00EA0F97" w:rsidRPr="00D3156C">
        <w:rPr>
          <w:rFonts w:cs="Times New Roman"/>
          <w:bCs/>
          <w:color w:val="17365D"/>
        </w:rPr>
        <w:t xml:space="preserve"> proces</w:t>
      </w:r>
      <w:r w:rsidR="002F1E9A" w:rsidRPr="00D3156C">
        <w:rPr>
          <w:rFonts w:cs="Times New Roman"/>
          <w:bCs/>
          <w:color w:val="17365D"/>
        </w:rPr>
        <w:t>a</w:t>
      </w:r>
      <w:r w:rsidR="00EA0F97" w:rsidRPr="00D3156C">
        <w:rPr>
          <w:rFonts w:cs="Times New Roman"/>
          <w:bCs/>
          <w:color w:val="17365D"/>
        </w:rPr>
        <w:t xml:space="preserve"> nodrošināšanai 395 170 </w:t>
      </w:r>
      <w:r w:rsidRPr="00D3156C">
        <w:rPr>
          <w:rFonts w:cs="Times New Roman"/>
          <w:bCs/>
          <w:color w:val="17365D"/>
        </w:rPr>
        <w:t xml:space="preserve">404 </w:t>
      </w:r>
      <w:r w:rsidRPr="00D3156C">
        <w:rPr>
          <w:rFonts w:cs="Times New Roman"/>
          <w:bCs/>
          <w:i/>
          <w:color w:val="17365D"/>
        </w:rPr>
        <w:t xml:space="preserve">euro </w:t>
      </w:r>
      <w:r w:rsidR="00222871" w:rsidRPr="00D3156C">
        <w:rPr>
          <w:rFonts w:cs="Times New Roman"/>
          <w:bCs/>
          <w:color w:val="17365D"/>
        </w:rPr>
        <w:t>apmērā</w:t>
      </w:r>
      <w:r w:rsidR="00C53AFB" w:rsidRPr="00D3156C">
        <w:rPr>
          <w:rFonts w:cs="Times New Roman"/>
          <w:bCs/>
          <w:color w:val="17365D"/>
        </w:rPr>
        <w:t xml:space="preserve"> un šo</w:t>
      </w:r>
      <w:r w:rsidR="00222871" w:rsidRPr="00D3156C">
        <w:rPr>
          <w:rFonts w:cs="Times New Roman"/>
          <w:bCs/>
          <w:color w:val="17365D"/>
        </w:rPr>
        <w:t xml:space="preserve"> </w:t>
      </w:r>
      <w:r w:rsidR="00C53AFB" w:rsidRPr="00D3156C">
        <w:rPr>
          <w:rFonts w:cs="Times New Roman"/>
          <w:bCs/>
          <w:color w:val="17365D"/>
        </w:rPr>
        <w:t>k</w:t>
      </w:r>
      <w:r w:rsidR="00001BAC" w:rsidRPr="00D3156C">
        <w:rPr>
          <w:rFonts w:cs="Times New Roman"/>
          <w:bCs/>
          <w:color w:val="17365D"/>
        </w:rPr>
        <w:t>rājumu izslēgšan</w:t>
      </w:r>
      <w:r w:rsidR="00C53AFB" w:rsidRPr="00D3156C">
        <w:rPr>
          <w:rFonts w:cs="Times New Roman"/>
          <w:bCs/>
          <w:color w:val="17365D"/>
        </w:rPr>
        <w:t>a</w:t>
      </w:r>
      <w:r w:rsidR="00001BAC" w:rsidRPr="00D3156C">
        <w:rPr>
          <w:rFonts w:cs="Times New Roman"/>
          <w:bCs/>
          <w:color w:val="17365D"/>
        </w:rPr>
        <w:t xml:space="preserve"> no uzskaites un inventāra izsniegšanu lietošanā </w:t>
      </w:r>
      <w:r w:rsidR="004E75C1" w:rsidRPr="00D3156C">
        <w:rPr>
          <w:rFonts w:cs="Times New Roman"/>
          <w:bCs/>
          <w:color w:val="17365D"/>
        </w:rPr>
        <w:t>(</w:t>
      </w:r>
      <w:r w:rsidR="00EA0F97" w:rsidRPr="00D3156C">
        <w:rPr>
          <w:rFonts w:cs="Times New Roman"/>
          <w:bCs/>
          <w:color w:val="17365D"/>
        </w:rPr>
        <w:t>139 </w:t>
      </w:r>
      <w:r w:rsidR="00001BAC" w:rsidRPr="00D3156C">
        <w:rPr>
          <w:rFonts w:cs="Times New Roman"/>
          <w:bCs/>
          <w:color w:val="17365D"/>
        </w:rPr>
        <w:t>743</w:t>
      </w:r>
      <w:r w:rsidR="004E75C1" w:rsidRPr="00D3156C">
        <w:rPr>
          <w:rFonts w:cs="Times New Roman"/>
          <w:bCs/>
          <w:color w:val="17365D"/>
        </w:rPr>
        <w:t> </w:t>
      </w:r>
      <w:r w:rsidR="00001BAC" w:rsidRPr="00D3156C">
        <w:rPr>
          <w:rFonts w:cs="Times New Roman"/>
          <w:bCs/>
          <w:color w:val="17365D"/>
        </w:rPr>
        <w:t>292</w:t>
      </w:r>
      <w:r w:rsidR="004E75C1" w:rsidRPr="00D3156C">
        <w:rPr>
          <w:rFonts w:cs="Times New Roman"/>
          <w:bCs/>
          <w:color w:val="17365D"/>
        </w:rPr>
        <w:t>)</w:t>
      </w:r>
      <w:r w:rsidR="00001BAC" w:rsidRPr="00D3156C">
        <w:rPr>
          <w:rFonts w:cs="Times New Roman"/>
          <w:bCs/>
          <w:color w:val="17365D"/>
        </w:rPr>
        <w:t xml:space="preserve"> </w:t>
      </w:r>
      <w:r w:rsidR="00001BAC" w:rsidRPr="00D3156C">
        <w:rPr>
          <w:rFonts w:cs="Times New Roman"/>
          <w:bCs/>
          <w:i/>
          <w:color w:val="17365D"/>
        </w:rPr>
        <w:t>euro</w:t>
      </w:r>
      <w:r w:rsidR="00001BAC" w:rsidRPr="00D3156C">
        <w:rPr>
          <w:rFonts w:cs="Times New Roman"/>
          <w:bCs/>
          <w:color w:val="17365D"/>
        </w:rPr>
        <w:t xml:space="preserve"> </w:t>
      </w:r>
      <w:r w:rsidR="004E75C1" w:rsidRPr="00D3156C">
        <w:rPr>
          <w:rFonts w:cs="Times New Roman"/>
          <w:bCs/>
          <w:color w:val="17365D"/>
        </w:rPr>
        <w:t>vērtībā</w:t>
      </w:r>
      <w:r w:rsidR="00C53AFB" w:rsidRPr="00D3156C">
        <w:rPr>
          <w:rFonts w:cs="Times New Roman"/>
          <w:bCs/>
          <w:color w:val="17365D"/>
        </w:rPr>
        <w:t>, kā arī</w:t>
      </w:r>
      <w:r w:rsidR="00001BAC" w:rsidRPr="00D3156C">
        <w:rPr>
          <w:rFonts w:cs="Times New Roman"/>
          <w:bCs/>
          <w:color w:val="17365D"/>
        </w:rPr>
        <w:t xml:space="preserve"> pārvietošanu no krājumu kontiem </w:t>
      </w:r>
      <w:r w:rsidR="000A74E9" w:rsidRPr="00D3156C">
        <w:rPr>
          <w:rFonts w:cs="Times New Roman"/>
          <w:bCs/>
          <w:color w:val="17365D"/>
        </w:rPr>
        <w:t xml:space="preserve">pamatlīdzekļu sastāvā </w:t>
      </w:r>
      <w:r w:rsidR="00001BAC" w:rsidRPr="00D3156C">
        <w:rPr>
          <w:rFonts w:cs="Times New Roman"/>
          <w:bCs/>
          <w:color w:val="17365D"/>
        </w:rPr>
        <w:t xml:space="preserve">militāro transportlīdzekļu papildu aprīkojuma uzstādīšanai </w:t>
      </w:r>
      <w:r w:rsidR="004E75C1" w:rsidRPr="00D3156C">
        <w:rPr>
          <w:rFonts w:cs="Times New Roman"/>
          <w:bCs/>
          <w:color w:val="17365D"/>
        </w:rPr>
        <w:t>(</w:t>
      </w:r>
      <w:r w:rsidR="00001BAC" w:rsidRPr="00D3156C">
        <w:rPr>
          <w:rFonts w:cs="Times New Roman"/>
          <w:bCs/>
          <w:color w:val="17365D"/>
        </w:rPr>
        <w:t>11</w:t>
      </w:r>
      <w:r w:rsidR="00EA0F97" w:rsidRPr="00D3156C">
        <w:rPr>
          <w:rFonts w:cs="Times New Roman"/>
          <w:bCs/>
          <w:color w:val="17365D"/>
        </w:rPr>
        <w:t> </w:t>
      </w:r>
      <w:r w:rsidR="00001BAC" w:rsidRPr="00D3156C">
        <w:rPr>
          <w:rFonts w:cs="Times New Roman"/>
          <w:bCs/>
          <w:color w:val="17365D"/>
        </w:rPr>
        <w:t>480</w:t>
      </w:r>
      <w:r w:rsidR="004E75C1" w:rsidRPr="00D3156C">
        <w:rPr>
          <w:rFonts w:cs="Times New Roman"/>
          <w:bCs/>
          <w:color w:val="17365D"/>
        </w:rPr>
        <w:t> </w:t>
      </w:r>
      <w:r w:rsidR="00001BAC" w:rsidRPr="00D3156C">
        <w:rPr>
          <w:rFonts w:cs="Times New Roman"/>
          <w:bCs/>
          <w:color w:val="17365D"/>
        </w:rPr>
        <w:t>243</w:t>
      </w:r>
      <w:r w:rsidR="004E75C1" w:rsidRPr="00D3156C">
        <w:rPr>
          <w:rFonts w:cs="Times New Roman"/>
          <w:bCs/>
          <w:color w:val="17365D"/>
        </w:rPr>
        <w:t>)</w:t>
      </w:r>
      <w:r w:rsidR="00001BAC" w:rsidRPr="00D3156C">
        <w:rPr>
          <w:rFonts w:cs="Times New Roman"/>
          <w:bCs/>
          <w:color w:val="17365D"/>
        </w:rPr>
        <w:t xml:space="preserve"> </w:t>
      </w:r>
      <w:r w:rsidR="00001BAC" w:rsidRPr="00D3156C">
        <w:rPr>
          <w:rFonts w:cs="Times New Roman"/>
          <w:bCs/>
          <w:i/>
          <w:color w:val="17365D"/>
        </w:rPr>
        <w:t>euro</w:t>
      </w:r>
      <w:r w:rsidR="00001BAC" w:rsidRPr="00D3156C">
        <w:rPr>
          <w:rFonts w:cs="Times New Roman"/>
          <w:bCs/>
          <w:color w:val="17365D"/>
        </w:rPr>
        <w:t xml:space="preserve"> </w:t>
      </w:r>
      <w:r w:rsidR="004E75C1" w:rsidRPr="00D3156C">
        <w:rPr>
          <w:rFonts w:cs="Times New Roman"/>
          <w:bCs/>
          <w:color w:val="17365D"/>
        </w:rPr>
        <w:t>vērtībā</w:t>
      </w:r>
      <w:r w:rsidR="00D3156C">
        <w:rPr>
          <w:rFonts w:cs="Times New Roman"/>
          <w:bCs/>
          <w:color w:val="17365D"/>
        </w:rPr>
        <w:t>;</w:t>
      </w:r>
    </w:p>
    <w:p w14:paraId="30F5F9BB" w14:textId="180F1253" w:rsidR="00D3156C" w:rsidRPr="00D3156C" w:rsidRDefault="00806CAD" w:rsidP="00146A16">
      <w:pPr>
        <w:pStyle w:val="ListParagraph"/>
        <w:numPr>
          <w:ilvl w:val="0"/>
          <w:numId w:val="34"/>
        </w:numPr>
        <w:spacing w:after="120" w:line="240" w:lineRule="auto"/>
        <w:ind w:left="1003" w:hanging="357"/>
        <w:contextualSpacing w:val="0"/>
        <w:jc w:val="both"/>
        <w:rPr>
          <w:rFonts w:cs="Times New Roman"/>
          <w:bCs/>
          <w:color w:val="17365D"/>
        </w:rPr>
      </w:pPr>
      <w:r w:rsidRPr="00D3156C">
        <w:rPr>
          <w:rFonts w:cs="Times New Roman"/>
          <w:bCs/>
          <w:color w:val="17365D"/>
        </w:rPr>
        <w:t>Kultūras ministrijai palielinājums saistībā ar pare</w:t>
      </w:r>
      <w:r w:rsidR="00C36594">
        <w:rPr>
          <w:rFonts w:cs="Times New Roman"/>
          <w:bCs/>
          <w:color w:val="17365D"/>
        </w:rPr>
        <w:t>dzēto mantisko ieguldījumu VSIA </w:t>
      </w:r>
      <w:r w:rsidR="002F1E9A" w:rsidRPr="00D3156C">
        <w:rPr>
          <w:rFonts w:cs="Times New Roman"/>
          <w:bCs/>
          <w:color w:val="17365D"/>
        </w:rPr>
        <w:t>“</w:t>
      </w:r>
      <w:r w:rsidRPr="00D3156C">
        <w:rPr>
          <w:rFonts w:cs="Times New Roman"/>
          <w:bCs/>
          <w:color w:val="17365D"/>
        </w:rPr>
        <w:t>Dailes teātris</w:t>
      </w:r>
      <w:r w:rsidR="002F1E9A" w:rsidRPr="00D3156C">
        <w:rPr>
          <w:rFonts w:cs="Times New Roman"/>
          <w:bCs/>
          <w:color w:val="17365D"/>
        </w:rPr>
        <w:t>”</w:t>
      </w:r>
      <w:r w:rsidRPr="00D3156C">
        <w:rPr>
          <w:rFonts w:cs="Times New Roman"/>
          <w:bCs/>
          <w:color w:val="17365D"/>
        </w:rPr>
        <w:t xml:space="preserve"> pamatkapitālā 13</w:t>
      </w:r>
      <w:r w:rsidR="002F1E9A" w:rsidRPr="00D3156C">
        <w:rPr>
          <w:rFonts w:cs="Times New Roman"/>
          <w:bCs/>
          <w:color w:val="17365D"/>
        </w:rPr>
        <w:t> </w:t>
      </w:r>
      <w:r w:rsidRPr="00D3156C">
        <w:rPr>
          <w:rFonts w:cs="Times New Roman"/>
          <w:bCs/>
          <w:color w:val="17365D"/>
        </w:rPr>
        <w:t>058</w:t>
      </w:r>
      <w:r w:rsidR="002F1E9A" w:rsidRPr="00D3156C">
        <w:rPr>
          <w:rFonts w:cs="Times New Roman"/>
          <w:bCs/>
          <w:color w:val="17365D"/>
        </w:rPr>
        <w:t> </w:t>
      </w:r>
      <w:r w:rsidRPr="00D3156C">
        <w:rPr>
          <w:rFonts w:cs="Times New Roman"/>
          <w:bCs/>
          <w:color w:val="17365D"/>
        </w:rPr>
        <w:t xml:space="preserve">616 </w:t>
      </w:r>
      <w:r w:rsidRPr="00D3156C">
        <w:rPr>
          <w:rFonts w:cs="Times New Roman"/>
          <w:bCs/>
          <w:i/>
          <w:color w:val="17365D"/>
        </w:rPr>
        <w:t>euro</w:t>
      </w:r>
      <w:r w:rsidR="00D3156C">
        <w:rPr>
          <w:rFonts w:cs="Times New Roman"/>
          <w:bCs/>
          <w:color w:val="17365D"/>
        </w:rPr>
        <w:t xml:space="preserve"> vērtībā;</w:t>
      </w:r>
    </w:p>
    <w:p w14:paraId="394F9676" w14:textId="37541D54" w:rsidR="00AF6D47" w:rsidRPr="00D3156C" w:rsidRDefault="00AF6D47" w:rsidP="00146A16">
      <w:pPr>
        <w:pStyle w:val="ListParagraph"/>
        <w:numPr>
          <w:ilvl w:val="0"/>
          <w:numId w:val="34"/>
        </w:numPr>
        <w:spacing w:after="120" w:line="240" w:lineRule="auto"/>
        <w:ind w:left="1003" w:hanging="357"/>
        <w:contextualSpacing w:val="0"/>
        <w:jc w:val="both"/>
        <w:rPr>
          <w:rFonts w:cs="Times New Roman"/>
          <w:bCs/>
          <w:color w:val="17365D"/>
        </w:rPr>
      </w:pPr>
      <w:r w:rsidRPr="00D3156C">
        <w:rPr>
          <w:rFonts w:cs="Times New Roman"/>
          <w:bCs/>
          <w:color w:val="17365D"/>
        </w:rPr>
        <w:t>Veselības ministrijai izmaiņas saistītas ar izsniegtajām</w:t>
      </w:r>
      <w:r w:rsidR="00721BCC" w:rsidRPr="00D3156C">
        <w:rPr>
          <w:rFonts w:cs="Times New Roman"/>
          <w:bCs/>
          <w:color w:val="17365D"/>
        </w:rPr>
        <w:t xml:space="preserve"> un</w:t>
      </w:r>
      <w:r w:rsidRPr="00D3156C">
        <w:rPr>
          <w:rFonts w:cs="Times New Roman"/>
          <w:bCs/>
          <w:color w:val="17365D"/>
        </w:rPr>
        <w:t xml:space="preserve"> nor</w:t>
      </w:r>
      <w:r w:rsidR="00EA0F97" w:rsidRPr="00D3156C">
        <w:rPr>
          <w:rFonts w:cs="Times New Roman"/>
          <w:bCs/>
          <w:color w:val="17365D"/>
        </w:rPr>
        <w:t>akstītām vakcīnām pret Covid-19</w:t>
      </w:r>
      <w:r w:rsidRPr="00D3156C">
        <w:rPr>
          <w:rFonts w:cs="Times New Roman"/>
          <w:bCs/>
          <w:color w:val="17365D"/>
        </w:rPr>
        <w:t xml:space="preserve"> </w:t>
      </w:r>
      <w:r w:rsidR="004E75C1" w:rsidRPr="00D3156C">
        <w:rPr>
          <w:rFonts w:cs="Times New Roman"/>
          <w:bCs/>
          <w:color w:val="17365D"/>
        </w:rPr>
        <w:t>(</w:t>
      </w:r>
      <w:r w:rsidR="00EA0F97" w:rsidRPr="00D3156C">
        <w:rPr>
          <w:rFonts w:cs="Times New Roman"/>
          <w:bCs/>
          <w:color w:val="17365D"/>
        </w:rPr>
        <w:t>24 </w:t>
      </w:r>
      <w:r w:rsidRPr="00D3156C">
        <w:rPr>
          <w:rFonts w:cs="Times New Roman"/>
          <w:bCs/>
          <w:color w:val="17365D"/>
        </w:rPr>
        <w:t>907</w:t>
      </w:r>
      <w:r w:rsidR="004E75C1" w:rsidRPr="00D3156C">
        <w:rPr>
          <w:rFonts w:cs="Times New Roman"/>
          <w:bCs/>
          <w:color w:val="17365D"/>
        </w:rPr>
        <w:t> </w:t>
      </w:r>
      <w:r w:rsidRPr="00D3156C">
        <w:rPr>
          <w:rFonts w:cs="Times New Roman"/>
          <w:bCs/>
          <w:color w:val="17365D"/>
        </w:rPr>
        <w:t>811</w:t>
      </w:r>
      <w:r w:rsidR="004E75C1" w:rsidRPr="00D3156C">
        <w:rPr>
          <w:rFonts w:cs="Times New Roman"/>
          <w:bCs/>
          <w:color w:val="17365D"/>
        </w:rPr>
        <w:t>)</w:t>
      </w:r>
      <w:r w:rsidRPr="00D3156C">
        <w:rPr>
          <w:rFonts w:cs="Times New Roman"/>
          <w:bCs/>
          <w:color w:val="17365D"/>
        </w:rPr>
        <w:t xml:space="preserve"> </w:t>
      </w:r>
      <w:r w:rsidRPr="00D3156C">
        <w:rPr>
          <w:rFonts w:cs="Times New Roman"/>
          <w:bCs/>
          <w:i/>
          <w:color w:val="17365D"/>
        </w:rPr>
        <w:t>euro</w:t>
      </w:r>
      <w:r w:rsidR="004E75C1" w:rsidRPr="00D3156C">
        <w:rPr>
          <w:rFonts w:cs="Times New Roman"/>
          <w:bCs/>
          <w:color w:val="17365D"/>
        </w:rPr>
        <w:t xml:space="preserve"> vērtībā</w:t>
      </w:r>
      <w:r w:rsidRPr="00D3156C">
        <w:rPr>
          <w:rFonts w:cs="Times New Roman"/>
          <w:bCs/>
          <w:color w:val="17365D"/>
        </w:rPr>
        <w:t>.</w:t>
      </w:r>
    </w:p>
    <w:p w14:paraId="6ED4DC48" w14:textId="2A4B7610" w:rsidR="00DD4ABC" w:rsidRPr="00E72168" w:rsidRDefault="00A2534B" w:rsidP="006D7BEC">
      <w:pPr>
        <w:spacing w:after="120" w:line="240" w:lineRule="auto"/>
        <w:ind w:firstLine="284"/>
        <w:jc w:val="both"/>
        <w:rPr>
          <w:rFonts w:cs="Times New Roman"/>
          <w:bCs/>
          <w:color w:val="17365D"/>
        </w:rPr>
      </w:pPr>
      <w:r w:rsidRPr="00E72168">
        <w:rPr>
          <w:rFonts w:cs="Times New Roman"/>
          <w:bCs/>
          <w:color w:val="17365D"/>
        </w:rPr>
        <w:t>Atsavināšanai paredzēto krājumu sastāvā uzskaitīti aktīvi</w:t>
      </w:r>
      <w:r w:rsidR="00DD4ABC" w:rsidRPr="00E72168">
        <w:rPr>
          <w:rFonts w:cs="Times New Roman"/>
          <w:bCs/>
          <w:color w:val="17365D"/>
        </w:rPr>
        <w:t xml:space="preserve"> </w:t>
      </w:r>
      <w:r w:rsidR="00EA0F97" w:rsidRPr="00E72168">
        <w:rPr>
          <w:rFonts w:cs="Times New Roman"/>
          <w:color w:val="17365D"/>
        </w:rPr>
        <w:t>51 860 </w:t>
      </w:r>
      <w:r w:rsidR="00911682" w:rsidRPr="00E72168">
        <w:rPr>
          <w:rFonts w:cs="Times New Roman"/>
          <w:color w:val="17365D"/>
        </w:rPr>
        <w:t>550</w:t>
      </w:r>
      <w:r w:rsidR="001E437B" w:rsidRPr="00E72168">
        <w:rPr>
          <w:rFonts w:cs="Times New Roman"/>
          <w:color w:val="17365D"/>
        </w:rPr>
        <w:t> </w:t>
      </w:r>
      <w:r w:rsidR="00DD4ABC" w:rsidRPr="00E72168">
        <w:rPr>
          <w:rFonts w:cs="Times New Roman"/>
          <w:bCs/>
          <w:i/>
          <w:color w:val="17365D"/>
        </w:rPr>
        <w:t xml:space="preserve">euro </w:t>
      </w:r>
      <w:r w:rsidR="00DD4ABC" w:rsidRPr="00E72168">
        <w:rPr>
          <w:rFonts w:cs="Times New Roman"/>
          <w:bCs/>
          <w:color w:val="17365D"/>
        </w:rPr>
        <w:t xml:space="preserve">vērtībā saskaņā ar </w:t>
      </w:r>
      <w:r w:rsidR="003B30FD">
        <w:rPr>
          <w:rFonts w:cs="Times New Roman"/>
          <w:bCs/>
          <w:color w:val="17365D"/>
        </w:rPr>
        <w:t>1.</w:t>
      </w:r>
      <w:r w:rsidR="00DD4ABC" w:rsidRPr="00E72168">
        <w:rPr>
          <w:rFonts w:cs="Times New Roman"/>
          <w:color w:val="17365D"/>
        </w:rPr>
        <w:t>1</w:t>
      </w:r>
      <w:r w:rsidR="00212DF3" w:rsidRPr="00E72168">
        <w:rPr>
          <w:rFonts w:cs="Times New Roman"/>
          <w:color w:val="17365D"/>
        </w:rPr>
        <w:t>0</w:t>
      </w:r>
      <w:r w:rsidR="00DD4ABC" w:rsidRPr="00E72168">
        <w:rPr>
          <w:rFonts w:cs="Times New Roman"/>
          <w:color w:val="17365D"/>
        </w:rPr>
        <w:t>. tabulā</w:t>
      </w:r>
      <w:r w:rsidR="00DD4ABC" w:rsidRPr="00E72168">
        <w:rPr>
          <w:rFonts w:cs="Times New Roman"/>
          <w:bCs/>
          <w:color w:val="17365D"/>
        </w:rPr>
        <w:t xml:space="preserve"> snie</w:t>
      </w:r>
      <w:r w:rsidR="005E780D" w:rsidRPr="00E72168">
        <w:rPr>
          <w:rFonts w:cs="Times New Roman"/>
          <w:bCs/>
          <w:color w:val="17365D"/>
        </w:rPr>
        <w:t>g</w:t>
      </w:r>
      <w:r w:rsidR="00DD4ABC" w:rsidRPr="00E72168">
        <w:rPr>
          <w:rFonts w:cs="Times New Roman"/>
          <w:bCs/>
          <w:color w:val="17365D"/>
        </w:rPr>
        <w:t>to informāciju:</w:t>
      </w:r>
    </w:p>
    <w:p w14:paraId="076E9321" w14:textId="6A00503B" w:rsidR="00575D43" w:rsidRPr="00E72168" w:rsidRDefault="003B30FD" w:rsidP="00000A59">
      <w:pPr>
        <w:pStyle w:val="Tabulasnosaukums1"/>
        <w:spacing w:before="120" w:line="240" w:lineRule="auto"/>
        <w:ind w:right="-30" w:firstLine="284"/>
        <w:rPr>
          <w:rFonts w:cs="Times New Roman"/>
          <w:bCs/>
          <w:color w:val="17365D"/>
        </w:rPr>
      </w:pPr>
      <w:r>
        <w:rPr>
          <w:rFonts w:cs="Times New Roman"/>
          <w:i/>
          <w:color w:val="17365D"/>
        </w:rPr>
        <w:t>1.</w:t>
      </w:r>
      <w:r w:rsidR="00DB1118" w:rsidRPr="00E72168">
        <w:rPr>
          <w:rFonts w:cs="Times New Roman"/>
          <w:i/>
          <w:color w:val="17365D"/>
        </w:rPr>
        <w:t>1</w:t>
      </w:r>
      <w:r w:rsidR="00212DF3" w:rsidRPr="00E72168">
        <w:rPr>
          <w:rFonts w:cs="Times New Roman"/>
          <w:i/>
          <w:color w:val="17365D"/>
        </w:rPr>
        <w:t>0</w:t>
      </w:r>
      <w:r w:rsidR="00DB1118" w:rsidRPr="00E72168">
        <w:rPr>
          <w:rFonts w:cs="Times New Roman"/>
          <w:i/>
          <w:color w:val="17365D"/>
        </w:rPr>
        <w:t xml:space="preserve">. tabula. </w:t>
      </w:r>
      <w:r w:rsidR="00DB1118" w:rsidRPr="00E72168">
        <w:rPr>
          <w:rFonts w:cs="Times New Roman"/>
          <w:bCs/>
          <w:i/>
          <w:color w:val="17365D"/>
        </w:rPr>
        <w:t xml:space="preserve">Atsavināšanai paredzētie krājumi </w:t>
      </w:r>
      <w:r w:rsidR="00DB1118" w:rsidRPr="00E72168">
        <w:rPr>
          <w:rFonts w:cs="Times New Roman"/>
          <w:i/>
          <w:color w:val="17365D"/>
        </w:rPr>
        <w:t>(euro)</w:t>
      </w:r>
    </w:p>
    <w:tbl>
      <w:tblPr>
        <w:tblW w:w="5000" w:type="pct"/>
        <w:tblLook w:val="04A0" w:firstRow="1" w:lastRow="0" w:firstColumn="1" w:lastColumn="0" w:noHBand="0" w:noVBand="1"/>
      </w:tblPr>
      <w:tblGrid>
        <w:gridCol w:w="5426"/>
        <w:gridCol w:w="1964"/>
        <w:gridCol w:w="1964"/>
      </w:tblGrid>
      <w:tr w:rsidR="000C1009" w:rsidRPr="00E72168" w14:paraId="6AFE5E78" w14:textId="3D97ECE5" w:rsidTr="00581A8F">
        <w:trPr>
          <w:trHeight w:val="684"/>
          <w:tblHeader/>
        </w:trPr>
        <w:tc>
          <w:tcPr>
            <w:tcW w:w="2900" w:type="pct"/>
            <w:tcBorders>
              <w:bottom w:val="single" w:sz="4" w:space="0" w:color="17365D"/>
            </w:tcBorders>
            <w:shd w:val="clear" w:color="auto" w:fill="B9CDE5"/>
            <w:vAlign w:val="center"/>
            <w:hideMark/>
          </w:tcPr>
          <w:p w14:paraId="3024D071" w14:textId="57011AE4" w:rsidR="00CF5FD8" w:rsidRPr="00E72168" w:rsidRDefault="00CF5FD8" w:rsidP="00684DCB">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Aktīva veids</w:t>
            </w:r>
          </w:p>
        </w:tc>
        <w:tc>
          <w:tcPr>
            <w:tcW w:w="1050" w:type="pct"/>
            <w:tcBorders>
              <w:bottom w:val="single" w:sz="4" w:space="0" w:color="17365D"/>
            </w:tcBorders>
            <w:shd w:val="clear" w:color="auto" w:fill="B9CDE5"/>
            <w:vAlign w:val="center"/>
            <w:hideMark/>
          </w:tcPr>
          <w:p w14:paraId="023E0BEF" w14:textId="51E086FB"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Uzskaites (atlikusī) vērtība</w:t>
            </w:r>
          </w:p>
          <w:p w14:paraId="0BD46CBE" w14:textId="328DBAA5"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1050" w:type="pct"/>
            <w:tcBorders>
              <w:bottom w:val="single" w:sz="4" w:space="0" w:color="17365D"/>
            </w:tcBorders>
            <w:shd w:val="clear" w:color="auto" w:fill="B9CDE5"/>
            <w:vAlign w:val="center"/>
          </w:tcPr>
          <w:p w14:paraId="5F3DD0FD" w14:textId="77777777"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Uzskaites (atlikusī) vērtība</w:t>
            </w:r>
          </w:p>
          <w:p w14:paraId="0867F07A" w14:textId="54BE50D1"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r>
      <w:tr w:rsidR="000C1009" w:rsidRPr="00E72168" w14:paraId="26E491F4" w14:textId="16811F49" w:rsidTr="00EC6774">
        <w:trPr>
          <w:trHeight w:val="266"/>
        </w:trPr>
        <w:tc>
          <w:tcPr>
            <w:tcW w:w="2900" w:type="pct"/>
            <w:tcBorders>
              <w:top w:val="single" w:sz="4" w:space="0" w:color="17365D"/>
              <w:bottom w:val="single" w:sz="4" w:space="0" w:color="17365D"/>
            </w:tcBorders>
            <w:shd w:val="clear" w:color="auto" w:fill="auto"/>
            <w:vAlign w:val="center"/>
            <w:hideMark/>
          </w:tcPr>
          <w:p w14:paraId="3B7AFFC7" w14:textId="77777777" w:rsidR="00CF5FD8" w:rsidRPr="00E72168" w:rsidRDefault="00CF5FD8" w:rsidP="00684DCB">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1050" w:type="pct"/>
            <w:tcBorders>
              <w:top w:val="single" w:sz="4" w:space="0" w:color="17365D"/>
              <w:bottom w:val="single" w:sz="4" w:space="0" w:color="000000"/>
            </w:tcBorders>
            <w:shd w:val="clear" w:color="auto" w:fill="auto"/>
            <w:vAlign w:val="center"/>
            <w:hideMark/>
          </w:tcPr>
          <w:p w14:paraId="13CCC78F" w14:textId="77777777"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1050" w:type="pct"/>
            <w:tcBorders>
              <w:top w:val="single" w:sz="4" w:space="0" w:color="17365D"/>
              <w:bottom w:val="single" w:sz="4" w:space="0" w:color="17365D"/>
            </w:tcBorders>
            <w:vAlign w:val="center"/>
          </w:tcPr>
          <w:p w14:paraId="7299F860" w14:textId="1AC1D9F2" w:rsidR="00CF5FD8" w:rsidRPr="00E72168" w:rsidRDefault="00CF5FD8"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r>
      <w:tr w:rsidR="00A27896" w:rsidRPr="00E72168" w14:paraId="66BCE5AD" w14:textId="77777777" w:rsidTr="00475A10">
        <w:trPr>
          <w:trHeight w:val="266"/>
        </w:trPr>
        <w:tc>
          <w:tcPr>
            <w:tcW w:w="2900" w:type="pct"/>
            <w:tcBorders>
              <w:top w:val="single" w:sz="4" w:space="0" w:color="17365D"/>
              <w:bottom w:val="single" w:sz="4" w:space="0" w:color="17365D"/>
            </w:tcBorders>
            <w:shd w:val="clear" w:color="auto" w:fill="auto"/>
            <w:vAlign w:val="center"/>
          </w:tcPr>
          <w:p w14:paraId="55116769" w14:textId="46B07ABC" w:rsidR="00EC6774" w:rsidRPr="00E72168" w:rsidRDefault="00EC6774" w:rsidP="00EC6774">
            <w:pPr>
              <w:spacing w:after="0"/>
              <w:rPr>
                <w:rFonts w:cs="Times New Roman"/>
                <w:color w:val="17365D"/>
                <w:sz w:val="18"/>
                <w:szCs w:val="18"/>
              </w:rPr>
            </w:pPr>
            <w:r w:rsidRPr="00E72168">
              <w:rPr>
                <w:rFonts w:cs="Times New Roman"/>
                <w:color w:val="17365D"/>
                <w:sz w:val="18"/>
                <w:szCs w:val="18"/>
              </w:rPr>
              <w:t>Nemateriālie ieguldījumi</w:t>
            </w:r>
          </w:p>
        </w:tc>
        <w:tc>
          <w:tcPr>
            <w:tcW w:w="1050" w:type="pct"/>
            <w:tcBorders>
              <w:top w:val="single" w:sz="4" w:space="0" w:color="000000"/>
              <w:bottom w:val="single" w:sz="4" w:space="0" w:color="000000"/>
            </w:tcBorders>
            <w:shd w:val="clear" w:color="auto" w:fill="auto"/>
            <w:vAlign w:val="center"/>
          </w:tcPr>
          <w:p w14:paraId="17B90CAD" w14:textId="1C9B4EE7" w:rsidR="00EC6774" w:rsidRPr="00E72168" w:rsidRDefault="00EC6774" w:rsidP="00EC6774">
            <w:pPr>
              <w:spacing w:after="0"/>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100 973</w:t>
            </w:r>
          </w:p>
        </w:tc>
        <w:tc>
          <w:tcPr>
            <w:tcW w:w="1050" w:type="pct"/>
            <w:tcBorders>
              <w:top w:val="single" w:sz="4" w:space="0" w:color="17365D"/>
              <w:left w:val="nil"/>
              <w:bottom w:val="single" w:sz="4" w:space="0" w:color="17365D"/>
            </w:tcBorders>
            <w:shd w:val="clear" w:color="auto" w:fill="auto"/>
            <w:vAlign w:val="center"/>
          </w:tcPr>
          <w:p w14:paraId="3128010C" w14:textId="6721FCCB" w:rsidR="00EC6774" w:rsidRPr="00E72168" w:rsidRDefault="00EC6774" w:rsidP="00EC6774">
            <w:pPr>
              <w:spacing w:after="0"/>
              <w:jc w:val="right"/>
              <w:rPr>
                <w:rFonts w:cs="Times New Roman"/>
                <w:color w:val="17365D"/>
                <w:sz w:val="18"/>
                <w:szCs w:val="18"/>
              </w:rPr>
            </w:pPr>
            <w:r w:rsidRPr="00E72168">
              <w:rPr>
                <w:rFonts w:eastAsia="Times New Roman" w:cs="Times New Roman"/>
                <w:color w:val="17365D"/>
                <w:sz w:val="18"/>
                <w:szCs w:val="18"/>
                <w:lang w:eastAsia="lv-LV"/>
              </w:rPr>
              <w:t>100 973</w:t>
            </w:r>
          </w:p>
        </w:tc>
      </w:tr>
      <w:tr w:rsidR="00911682" w:rsidRPr="00E72168" w14:paraId="080F0B0A" w14:textId="17DA784F" w:rsidTr="00475A10">
        <w:trPr>
          <w:trHeight w:val="266"/>
        </w:trPr>
        <w:tc>
          <w:tcPr>
            <w:tcW w:w="2900" w:type="pct"/>
            <w:tcBorders>
              <w:top w:val="single" w:sz="4" w:space="0" w:color="17365D"/>
              <w:bottom w:val="single" w:sz="4" w:space="0" w:color="17365D"/>
            </w:tcBorders>
            <w:shd w:val="clear" w:color="auto" w:fill="auto"/>
            <w:vAlign w:val="center"/>
            <w:hideMark/>
          </w:tcPr>
          <w:p w14:paraId="29BFFC35" w14:textId="35765946" w:rsidR="00911682" w:rsidRPr="00E72168" w:rsidRDefault="00911682" w:rsidP="00911682">
            <w:pPr>
              <w:spacing w:after="0" w:line="240" w:lineRule="auto"/>
              <w:rPr>
                <w:rFonts w:cs="Times New Roman"/>
                <w:color w:val="17365D"/>
                <w:sz w:val="18"/>
                <w:szCs w:val="18"/>
              </w:rPr>
            </w:pPr>
            <w:r w:rsidRPr="00E72168">
              <w:rPr>
                <w:rFonts w:cs="Times New Roman"/>
                <w:color w:val="17365D"/>
                <w:sz w:val="18"/>
                <w:szCs w:val="18"/>
              </w:rPr>
              <w:t>Pamatlīdzekļi</w:t>
            </w:r>
          </w:p>
        </w:tc>
        <w:tc>
          <w:tcPr>
            <w:tcW w:w="1050" w:type="pct"/>
            <w:tcBorders>
              <w:top w:val="single" w:sz="4" w:space="0" w:color="000000"/>
              <w:bottom w:val="single" w:sz="4" w:space="0" w:color="000000"/>
            </w:tcBorders>
            <w:shd w:val="clear" w:color="auto" w:fill="auto"/>
            <w:noWrap/>
            <w:vAlign w:val="center"/>
            <w:hideMark/>
          </w:tcPr>
          <w:p w14:paraId="0EA33B40" w14:textId="57A1FE48" w:rsidR="00911682" w:rsidRPr="00E72168" w:rsidRDefault="00911682" w:rsidP="00911682">
            <w:pPr>
              <w:spacing w:after="0"/>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37 934 619</w:t>
            </w:r>
          </w:p>
        </w:tc>
        <w:tc>
          <w:tcPr>
            <w:tcW w:w="1050" w:type="pct"/>
            <w:tcBorders>
              <w:top w:val="single" w:sz="4" w:space="0" w:color="17365D"/>
              <w:left w:val="nil"/>
              <w:bottom w:val="single" w:sz="4" w:space="0" w:color="17365D"/>
            </w:tcBorders>
            <w:shd w:val="clear" w:color="auto" w:fill="auto"/>
            <w:vAlign w:val="center"/>
          </w:tcPr>
          <w:p w14:paraId="334624E0" w14:textId="78876837" w:rsidR="00911682" w:rsidRPr="00E72168" w:rsidRDefault="00911682" w:rsidP="00911682">
            <w:pPr>
              <w:spacing w:after="0"/>
              <w:jc w:val="right"/>
              <w:rPr>
                <w:rFonts w:cs="Times New Roman"/>
                <w:color w:val="17365D"/>
                <w:sz w:val="18"/>
                <w:szCs w:val="18"/>
              </w:rPr>
            </w:pPr>
            <w:r w:rsidRPr="00E72168">
              <w:rPr>
                <w:rFonts w:eastAsia="Times New Roman" w:cs="Times New Roman"/>
                <w:color w:val="17365D"/>
                <w:sz w:val="18"/>
                <w:szCs w:val="18"/>
                <w:lang w:eastAsia="lv-LV"/>
              </w:rPr>
              <w:t>16 625 642</w:t>
            </w:r>
          </w:p>
        </w:tc>
      </w:tr>
      <w:tr w:rsidR="00911682" w:rsidRPr="00E72168" w14:paraId="4FD6156D" w14:textId="2501655E" w:rsidTr="00475A10">
        <w:trPr>
          <w:trHeight w:val="266"/>
        </w:trPr>
        <w:tc>
          <w:tcPr>
            <w:tcW w:w="2900" w:type="pct"/>
            <w:tcBorders>
              <w:top w:val="single" w:sz="4" w:space="0" w:color="17365D"/>
              <w:bottom w:val="single" w:sz="4" w:space="0" w:color="17365D"/>
            </w:tcBorders>
            <w:shd w:val="clear" w:color="auto" w:fill="auto"/>
            <w:vAlign w:val="center"/>
          </w:tcPr>
          <w:p w14:paraId="1005803E" w14:textId="2419EF48" w:rsidR="00911682" w:rsidRPr="00E72168" w:rsidRDefault="00911682" w:rsidP="00911682">
            <w:pPr>
              <w:spacing w:after="0" w:line="240" w:lineRule="auto"/>
              <w:rPr>
                <w:rFonts w:cs="Times New Roman"/>
                <w:color w:val="17365D"/>
                <w:sz w:val="18"/>
                <w:szCs w:val="18"/>
              </w:rPr>
            </w:pPr>
            <w:r w:rsidRPr="00E72168">
              <w:rPr>
                <w:rFonts w:cs="Times New Roman"/>
                <w:color w:val="17365D"/>
                <w:sz w:val="18"/>
                <w:szCs w:val="18"/>
              </w:rPr>
              <w:t>Bioloģiskie aktīvi</w:t>
            </w:r>
          </w:p>
        </w:tc>
        <w:tc>
          <w:tcPr>
            <w:tcW w:w="1050" w:type="pct"/>
            <w:tcBorders>
              <w:top w:val="single" w:sz="4" w:space="0" w:color="000000"/>
              <w:bottom w:val="single" w:sz="4" w:space="0" w:color="000000"/>
            </w:tcBorders>
            <w:shd w:val="clear" w:color="auto" w:fill="auto"/>
            <w:noWrap/>
            <w:vAlign w:val="center"/>
          </w:tcPr>
          <w:p w14:paraId="588CE34F" w14:textId="228A5C1D" w:rsidR="00911682" w:rsidRPr="00E72168" w:rsidRDefault="00911682" w:rsidP="00911682">
            <w:pPr>
              <w:spacing w:after="0"/>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69 295</w:t>
            </w:r>
          </w:p>
        </w:tc>
        <w:tc>
          <w:tcPr>
            <w:tcW w:w="1050" w:type="pct"/>
            <w:tcBorders>
              <w:top w:val="single" w:sz="4" w:space="0" w:color="17365D"/>
              <w:left w:val="nil"/>
              <w:bottom w:val="single" w:sz="4" w:space="0" w:color="17365D"/>
            </w:tcBorders>
            <w:shd w:val="clear" w:color="auto" w:fill="auto"/>
            <w:vAlign w:val="center"/>
          </w:tcPr>
          <w:p w14:paraId="419A7F45" w14:textId="4B9C44DF" w:rsidR="00911682" w:rsidRPr="00E72168" w:rsidRDefault="00911682" w:rsidP="00911682">
            <w:pPr>
              <w:spacing w:after="0"/>
              <w:jc w:val="right"/>
              <w:rPr>
                <w:rFonts w:cs="Times New Roman"/>
                <w:color w:val="17365D"/>
                <w:sz w:val="18"/>
                <w:szCs w:val="18"/>
              </w:rPr>
            </w:pPr>
            <w:r w:rsidRPr="00E72168">
              <w:rPr>
                <w:rFonts w:eastAsia="Times New Roman" w:cs="Times New Roman"/>
                <w:color w:val="17365D"/>
                <w:sz w:val="18"/>
                <w:szCs w:val="18"/>
                <w:lang w:eastAsia="lv-LV"/>
              </w:rPr>
              <w:t>109 736</w:t>
            </w:r>
          </w:p>
        </w:tc>
      </w:tr>
      <w:tr w:rsidR="00911682" w:rsidRPr="00E72168" w14:paraId="11C45F04" w14:textId="5F1155C7" w:rsidTr="00475A10">
        <w:trPr>
          <w:trHeight w:val="266"/>
        </w:trPr>
        <w:tc>
          <w:tcPr>
            <w:tcW w:w="2900" w:type="pct"/>
            <w:tcBorders>
              <w:top w:val="single" w:sz="4" w:space="0" w:color="17365D"/>
              <w:bottom w:val="single" w:sz="4" w:space="0" w:color="17365D"/>
            </w:tcBorders>
            <w:shd w:val="clear" w:color="auto" w:fill="auto"/>
            <w:vAlign w:val="center"/>
          </w:tcPr>
          <w:p w14:paraId="3224B254" w14:textId="260C138E" w:rsidR="00911682" w:rsidRPr="00E72168" w:rsidRDefault="00911682" w:rsidP="00911682">
            <w:pPr>
              <w:spacing w:after="0" w:line="240" w:lineRule="auto"/>
              <w:rPr>
                <w:rFonts w:cs="Times New Roman"/>
                <w:color w:val="17365D"/>
                <w:sz w:val="18"/>
                <w:szCs w:val="18"/>
              </w:rPr>
            </w:pPr>
            <w:r w:rsidRPr="00E72168">
              <w:rPr>
                <w:rFonts w:cs="Times New Roman"/>
                <w:color w:val="17365D"/>
                <w:sz w:val="18"/>
                <w:szCs w:val="18"/>
              </w:rPr>
              <w:t>Ieguldījuma īpašumi</w:t>
            </w:r>
          </w:p>
        </w:tc>
        <w:tc>
          <w:tcPr>
            <w:tcW w:w="1050" w:type="pct"/>
            <w:tcBorders>
              <w:top w:val="single" w:sz="4" w:space="0" w:color="000000"/>
              <w:bottom w:val="single" w:sz="4" w:space="0" w:color="000000"/>
            </w:tcBorders>
            <w:shd w:val="clear" w:color="auto" w:fill="auto"/>
            <w:noWrap/>
            <w:vAlign w:val="center"/>
          </w:tcPr>
          <w:p w14:paraId="7DF86950" w14:textId="25603166" w:rsidR="00911682" w:rsidRPr="00E72168" w:rsidRDefault="00911682" w:rsidP="00911682">
            <w:pPr>
              <w:spacing w:after="0"/>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10 063 374</w:t>
            </w:r>
          </w:p>
        </w:tc>
        <w:tc>
          <w:tcPr>
            <w:tcW w:w="1050" w:type="pct"/>
            <w:tcBorders>
              <w:top w:val="single" w:sz="4" w:space="0" w:color="17365D"/>
              <w:left w:val="nil"/>
              <w:bottom w:val="single" w:sz="4" w:space="0" w:color="17365D"/>
            </w:tcBorders>
            <w:shd w:val="clear" w:color="auto" w:fill="auto"/>
            <w:vAlign w:val="center"/>
          </w:tcPr>
          <w:p w14:paraId="371499B9" w14:textId="524CC59B" w:rsidR="00911682" w:rsidRPr="00E72168" w:rsidRDefault="00911682" w:rsidP="00911682">
            <w:pPr>
              <w:spacing w:after="0"/>
              <w:jc w:val="right"/>
              <w:rPr>
                <w:rFonts w:cs="Times New Roman"/>
                <w:color w:val="17365D"/>
                <w:sz w:val="18"/>
                <w:szCs w:val="18"/>
              </w:rPr>
            </w:pPr>
            <w:r w:rsidRPr="00E72168">
              <w:rPr>
                <w:rFonts w:eastAsia="Times New Roman" w:cs="Times New Roman"/>
                <w:color w:val="17365D"/>
                <w:sz w:val="18"/>
                <w:szCs w:val="18"/>
                <w:lang w:eastAsia="lv-LV"/>
              </w:rPr>
              <w:t>13 834 523</w:t>
            </w:r>
          </w:p>
        </w:tc>
      </w:tr>
      <w:tr w:rsidR="00911682" w:rsidRPr="00E72168" w14:paraId="29686470" w14:textId="2C5A0D4C" w:rsidTr="00475A10">
        <w:trPr>
          <w:trHeight w:val="266"/>
        </w:trPr>
        <w:tc>
          <w:tcPr>
            <w:tcW w:w="2900" w:type="pct"/>
            <w:tcBorders>
              <w:top w:val="single" w:sz="4" w:space="0" w:color="17365D"/>
              <w:bottom w:val="single" w:sz="4" w:space="0" w:color="17365D"/>
            </w:tcBorders>
            <w:shd w:val="clear" w:color="auto" w:fill="auto"/>
            <w:vAlign w:val="center"/>
          </w:tcPr>
          <w:p w14:paraId="62B5EBB8" w14:textId="385703A1" w:rsidR="00911682" w:rsidRPr="00E72168" w:rsidRDefault="00911682" w:rsidP="00911682">
            <w:pPr>
              <w:spacing w:after="0" w:line="240" w:lineRule="auto"/>
              <w:rPr>
                <w:rFonts w:cs="Times New Roman"/>
                <w:color w:val="17365D"/>
                <w:sz w:val="18"/>
                <w:szCs w:val="18"/>
              </w:rPr>
            </w:pPr>
            <w:r w:rsidRPr="00E72168">
              <w:rPr>
                <w:rFonts w:cs="Times New Roman"/>
                <w:color w:val="17365D"/>
                <w:sz w:val="18"/>
                <w:szCs w:val="18"/>
              </w:rPr>
              <w:t>Krājumi</w:t>
            </w:r>
          </w:p>
        </w:tc>
        <w:tc>
          <w:tcPr>
            <w:tcW w:w="1050" w:type="pct"/>
            <w:tcBorders>
              <w:top w:val="single" w:sz="4" w:space="0" w:color="000000"/>
              <w:bottom w:val="single" w:sz="4" w:space="0" w:color="000000"/>
            </w:tcBorders>
            <w:shd w:val="clear" w:color="auto" w:fill="auto"/>
            <w:noWrap/>
            <w:vAlign w:val="center"/>
          </w:tcPr>
          <w:p w14:paraId="1DEAC1F9" w14:textId="3408242F" w:rsidR="00911682" w:rsidRPr="00E72168" w:rsidRDefault="00911682" w:rsidP="00911682">
            <w:pPr>
              <w:spacing w:after="0"/>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3 692 289</w:t>
            </w:r>
          </w:p>
        </w:tc>
        <w:tc>
          <w:tcPr>
            <w:tcW w:w="1050" w:type="pct"/>
            <w:tcBorders>
              <w:top w:val="single" w:sz="4" w:space="0" w:color="17365D"/>
              <w:left w:val="nil"/>
              <w:bottom w:val="single" w:sz="4" w:space="0" w:color="17365D"/>
            </w:tcBorders>
            <w:shd w:val="clear" w:color="auto" w:fill="auto"/>
            <w:vAlign w:val="center"/>
          </w:tcPr>
          <w:p w14:paraId="15BCF434" w14:textId="1AA95FC9" w:rsidR="00911682" w:rsidRPr="00E72168" w:rsidRDefault="00911682" w:rsidP="00911682">
            <w:pPr>
              <w:spacing w:after="0"/>
              <w:jc w:val="right"/>
              <w:rPr>
                <w:rFonts w:cs="Times New Roman"/>
                <w:color w:val="17365D"/>
                <w:sz w:val="18"/>
                <w:szCs w:val="18"/>
              </w:rPr>
            </w:pPr>
            <w:r w:rsidRPr="00E72168">
              <w:rPr>
                <w:rFonts w:eastAsia="Times New Roman" w:cs="Times New Roman"/>
                <w:color w:val="17365D"/>
                <w:sz w:val="18"/>
                <w:szCs w:val="18"/>
                <w:lang w:eastAsia="lv-LV"/>
              </w:rPr>
              <w:t>4 635 007</w:t>
            </w:r>
          </w:p>
        </w:tc>
      </w:tr>
      <w:tr w:rsidR="00911682" w:rsidRPr="00E72168" w14:paraId="31136793" w14:textId="0CF12F55" w:rsidTr="00475A10">
        <w:trPr>
          <w:trHeight w:val="56"/>
        </w:trPr>
        <w:tc>
          <w:tcPr>
            <w:tcW w:w="2900" w:type="pct"/>
            <w:tcBorders>
              <w:top w:val="single" w:sz="4" w:space="0" w:color="17365D"/>
            </w:tcBorders>
            <w:shd w:val="clear" w:color="auto" w:fill="B9CDE5"/>
            <w:vAlign w:val="center"/>
          </w:tcPr>
          <w:p w14:paraId="44272F7C" w14:textId="40FDDBE1" w:rsidR="00911682" w:rsidRPr="00E72168" w:rsidRDefault="00911682" w:rsidP="00911682">
            <w:pPr>
              <w:spacing w:after="0"/>
              <w:rPr>
                <w:rFonts w:eastAsia="Times New Roman" w:cs="Times New Roman"/>
                <w:b/>
                <w:color w:val="17365D"/>
                <w:sz w:val="16"/>
                <w:szCs w:val="18"/>
                <w:lang w:eastAsia="lv-LV"/>
              </w:rPr>
            </w:pPr>
            <w:r w:rsidRPr="00E72168">
              <w:rPr>
                <w:rFonts w:cs="Times New Roman"/>
                <w:b/>
                <w:color w:val="17365D"/>
                <w:sz w:val="18"/>
                <w:szCs w:val="18"/>
              </w:rPr>
              <w:t>Kopā</w:t>
            </w:r>
          </w:p>
        </w:tc>
        <w:tc>
          <w:tcPr>
            <w:tcW w:w="1050" w:type="pct"/>
            <w:tcBorders>
              <w:top w:val="single" w:sz="4" w:space="0" w:color="000000"/>
            </w:tcBorders>
            <w:shd w:val="clear" w:color="auto" w:fill="B8CCE4" w:themeFill="accent1" w:themeFillTint="66"/>
            <w:noWrap/>
            <w:vAlign w:val="center"/>
          </w:tcPr>
          <w:p w14:paraId="23DD16B0" w14:textId="00CA92D6" w:rsidR="00911682" w:rsidRPr="00E72168" w:rsidRDefault="00911682" w:rsidP="00911682">
            <w:pPr>
              <w:spacing w:after="0"/>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51 860 550</w:t>
            </w:r>
          </w:p>
        </w:tc>
        <w:tc>
          <w:tcPr>
            <w:tcW w:w="1050" w:type="pct"/>
            <w:tcBorders>
              <w:top w:val="single" w:sz="4" w:space="0" w:color="17365D"/>
              <w:left w:val="nil"/>
            </w:tcBorders>
            <w:shd w:val="clear" w:color="auto" w:fill="B8CCE4" w:themeFill="accent1" w:themeFillTint="66"/>
            <w:vAlign w:val="center"/>
          </w:tcPr>
          <w:p w14:paraId="1BB18B73" w14:textId="349345C9" w:rsidR="00911682" w:rsidRPr="00E72168" w:rsidRDefault="00911682" w:rsidP="00911682">
            <w:pPr>
              <w:spacing w:after="0"/>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35 305 881</w:t>
            </w:r>
          </w:p>
        </w:tc>
      </w:tr>
    </w:tbl>
    <w:p w14:paraId="71FFF4C0" w14:textId="102284CB" w:rsidR="00637EA7" w:rsidRDefault="00B657DC" w:rsidP="006D7BEC">
      <w:pPr>
        <w:spacing w:before="120" w:after="120" w:line="240" w:lineRule="auto"/>
        <w:ind w:firstLine="567"/>
        <w:jc w:val="both"/>
        <w:rPr>
          <w:rFonts w:cs="Times New Roman"/>
          <w:bCs/>
          <w:color w:val="17365D"/>
        </w:rPr>
      </w:pPr>
      <w:r w:rsidRPr="00E72168">
        <w:rPr>
          <w:rFonts w:cs="Times New Roman"/>
          <w:bCs/>
          <w:color w:val="17365D"/>
        </w:rPr>
        <w:t xml:space="preserve">Vērtības samazinājums krājumiem un avansa maksājumiem par krājumiem būtiski neietekmē posteņa vērtību. Vērtības samazinājums </w:t>
      </w:r>
      <w:r w:rsidR="00662AB4" w:rsidRPr="00E72168">
        <w:rPr>
          <w:rFonts w:cs="Times New Roman"/>
          <w:bCs/>
          <w:color w:val="17365D"/>
        </w:rPr>
        <w:t xml:space="preserve">avansa maksājumiem par </w:t>
      </w:r>
      <w:r w:rsidRPr="00E72168">
        <w:rPr>
          <w:rFonts w:cs="Times New Roman"/>
          <w:bCs/>
          <w:color w:val="17365D"/>
        </w:rPr>
        <w:t xml:space="preserve">krājumiem </w:t>
      </w:r>
      <w:r w:rsidR="00662AB4" w:rsidRPr="00E72168">
        <w:rPr>
          <w:rFonts w:cs="Times New Roman"/>
          <w:bCs/>
          <w:color w:val="17365D"/>
        </w:rPr>
        <w:t xml:space="preserve">galvenokārt veidots </w:t>
      </w:r>
      <w:r w:rsidR="00EC6774" w:rsidRPr="00E72168">
        <w:rPr>
          <w:rFonts w:cs="Times New Roman"/>
          <w:bCs/>
          <w:color w:val="17365D"/>
        </w:rPr>
        <w:t>atbilstoši izpildes termiņa kavējuma dienām</w:t>
      </w:r>
      <w:r w:rsidR="00662AB4" w:rsidRPr="00E72168">
        <w:rPr>
          <w:rFonts w:cs="Times New Roman"/>
          <w:bCs/>
          <w:color w:val="17365D"/>
        </w:rPr>
        <w:t>.</w:t>
      </w:r>
    </w:p>
    <w:p w14:paraId="174D20F0" w14:textId="1F8FF690" w:rsidR="00D3156C" w:rsidRDefault="00CA49A2" w:rsidP="006D7BEC">
      <w:pPr>
        <w:spacing w:before="120" w:after="120" w:line="240" w:lineRule="auto"/>
        <w:ind w:firstLine="567"/>
        <w:jc w:val="both"/>
        <w:rPr>
          <w:rFonts w:cs="Times New Roman"/>
          <w:bCs/>
          <w:color w:val="17365D"/>
        </w:rPr>
      </w:pPr>
      <w:r w:rsidRPr="00CA49A2">
        <w:rPr>
          <w:rFonts w:cs="Times New Roman"/>
          <w:bCs/>
          <w:color w:val="17365D"/>
        </w:rPr>
        <w:t>Bilances postenī “</w:t>
      </w:r>
      <w:r>
        <w:rPr>
          <w:rFonts w:cs="Times New Roman"/>
          <w:bCs/>
          <w:color w:val="17365D"/>
        </w:rPr>
        <w:t>Krājumi</w:t>
      </w:r>
      <w:r w:rsidRPr="00CA49A2">
        <w:rPr>
          <w:rFonts w:cs="Times New Roman"/>
          <w:bCs/>
          <w:color w:val="17365D"/>
        </w:rPr>
        <w:t>” konsolidēti valsts un pašvaldību budžeta iestāžu savstarpējie avansa maksājumi un attiecīgās saistības.</w:t>
      </w:r>
    </w:p>
    <w:p w14:paraId="0A42E769" w14:textId="24AF7599" w:rsidR="00D3156C" w:rsidRDefault="00D3156C" w:rsidP="006D7BEC">
      <w:pPr>
        <w:spacing w:before="120" w:after="120" w:line="240" w:lineRule="auto"/>
        <w:ind w:firstLine="567"/>
        <w:jc w:val="both"/>
        <w:rPr>
          <w:rFonts w:cs="Times New Roman"/>
          <w:bCs/>
          <w:color w:val="17365D"/>
        </w:rPr>
      </w:pPr>
    </w:p>
    <w:p w14:paraId="7A3F3CF4" w14:textId="44C8C5D4" w:rsidR="00D3156C" w:rsidRDefault="00D3156C" w:rsidP="006D7BEC">
      <w:pPr>
        <w:spacing w:before="120" w:after="120" w:line="240" w:lineRule="auto"/>
        <w:ind w:firstLine="567"/>
        <w:jc w:val="both"/>
        <w:rPr>
          <w:rFonts w:cs="Times New Roman"/>
          <w:bCs/>
          <w:color w:val="17365D"/>
        </w:rPr>
      </w:pPr>
    </w:p>
    <w:p w14:paraId="655A29A2" w14:textId="77777777" w:rsidR="00D3156C" w:rsidRPr="00E72168" w:rsidRDefault="00D3156C" w:rsidP="006D7BEC">
      <w:pPr>
        <w:spacing w:before="120" w:after="120" w:line="240" w:lineRule="auto"/>
        <w:ind w:firstLine="567"/>
        <w:jc w:val="both"/>
        <w:rPr>
          <w:rFonts w:cs="Times New Roman"/>
          <w:bCs/>
          <w:color w:val="17365D"/>
        </w:rPr>
      </w:pPr>
    </w:p>
    <w:p w14:paraId="07A3BC26" w14:textId="06E854C7" w:rsidR="00D41F06" w:rsidRPr="00E72168" w:rsidRDefault="009D537C" w:rsidP="005A3758">
      <w:pPr>
        <w:pStyle w:val="Heading4"/>
        <w:rPr>
          <w:rFonts w:cs="Times New Roman"/>
        </w:rPr>
      </w:pPr>
      <w:r w:rsidRPr="00E72168">
        <w:rPr>
          <w:rFonts w:cs="Times New Roman"/>
        </w:rPr>
        <w:lastRenderedPageBreak/>
        <w:t xml:space="preserve">Piezīme Nr. </w:t>
      </w:r>
      <w:r w:rsidR="00D41F06" w:rsidRPr="00E72168">
        <w:rPr>
          <w:rFonts w:cs="Times New Roman"/>
        </w:rPr>
        <w:t>KB.</w:t>
      </w:r>
      <w:r w:rsidR="00F73CE6" w:rsidRPr="00E72168">
        <w:rPr>
          <w:rFonts w:cs="Times New Roman"/>
        </w:rPr>
        <w:t>2.3</w:t>
      </w:r>
      <w:r w:rsidR="00D41F06" w:rsidRPr="00E72168">
        <w:rPr>
          <w:rFonts w:cs="Times New Roman"/>
        </w:rPr>
        <w:t xml:space="preserve">. </w:t>
      </w:r>
      <w:r w:rsidR="0003117E" w:rsidRPr="00E72168">
        <w:rPr>
          <w:rFonts w:cs="Times New Roman"/>
        </w:rPr>
        <w:t>Īstermiņa prasības</w:t>
      </w:r>
    </w:p>
    <w:p w14:paraId="2F75B63A" w14:textId="2B5F7BE2" w:rsidR="00B84FF3" w:rsidRPr="00E72168" w:rsidRDefault="00F06FED" w:rsidP="00775C62">
      <w:pPr>
        <w:pStyle w:val="Tabulasnosaukums1"/>
        <w:spacing w:before="0" w:line="240" w:lineRule="auto"/>
        <w:rPr>
          <w:rFonts w:cs="Times New Roman"/>
          <w:i/>
          <w:color w:val="17365D"/>
        </w:rPr>
      </w:pPr>
      <w:r>
        <w:rPr>
          <w:rFonts w:cs="Times New Roman"/>
          <w:i/>
          <w:color w:val="17365D"/>
        </w:rPr>
        <w:t>1.</w:t>
      </w:r>
      <w:r w:rsidR="00DB1118" w:rsidRPr="00E72168">
        <w:rPr>
          <w:rFonts w:cs="Times New Roman"/>
          <w:i/>
          <w:color w:val="17365D"/>
        </w:rPr>
        <w:t>1</w:t>
      </w:r>
      <w:r w:rsidR="00241FC4" w:rsidRPr="00E72168">
        <w:rPr>
          <w:rFonts w:cs="Times New Roman"/>
          <w:i/>
          <w:color w:val="17365D"/>
        </w:rPr>
        <w:t>1</w:t>
      </w:r>
      <w:r w:rsidR="00B84FF3" w:rsidRPr="00E72168">
        <w:rPr>
          <w:rFonts w:cs="Times New Roman"/>
          <w:i/>
          <w:color w:val="17365D"/>
        </w:rPr>
        <w:t xml:space="preserve">. tabula. </w:t>
      </w:r>
      <w:r w:rsidR="0003117E" w:rsidRPr="00E72168">
        <w:rPr>
          <w:rFonts w:cs="Times New Roman"/>
          <w:i/>
          <w:iCs/>
          <w:color w:val="17365D"/>
        </w:rPr>
        <w:t>Īstermiņa prasības</w:t>
      </w:r>
      <w:r w:rsidR="0003117E" w:rsidRPr="00E72168">
        <w:rPr>
          <w:rFonts w:cs="Times New Roman"/>
          <w:i/>
          <w:color w:val="17365D"/>
        </w:rPr>
        <w:t xml:space="preserve"> </w:t>
      </w:r>
      <w:r w:rsidR="00B84FF3" w:rsidRPr="00E72168">
        <w:rPr>
          <w:rFonts w:cs="Times New Roman"/>
          <w:i/>
          <w:color w:val="17365D"/>
        </w:rPr>
        <w:t>(euro)</w:t>
      </w:r>
    </w:p>
    <w:tbl>
      <w:tblPr>
        <w:tblW w:w="5000" w:type="pct"/>
        <w:tblLayout w:type="fixed"/>
        <w:tblLook w:val="04A0" w:firstRow="1" w:lastRow="0" w:firstColumn="1" w:lastColumn="0" w:noHBand="0" w:noVBand="1"/>
      </w:tblPr>
      <w:tblGrid>
        <w:gridCol w:w="1993"/>
        <w:gridCol w:w="1560"/>
        <w:gridCol w:w="1416"/>
        <w:gridCol w:w="1702"/>
        <w:gridCol w:w="1416"/>
        <w:gridCol w:w="1267"/>
      </w:tblGrid>
      <w:tr w:rsidR="000C1009" w:rsidRPr="00E72168" w14:paraId="3099555C" w14:textId="77777777" w:rsidTr="008D2664">
        <w:trPr>
          <w:trHeight w:val="684"/>
          <w:tblHeader/>
        </w:trPr>
        <w:tc>
          <w:tcPr>
            <w:tcW w:w="1065" w:type="pct"/>
            <w:tcBorders>
              <w:bottom w:val="single" w:sz="4" w:space="0" w:color="17365D"/>
            </w:tcBorders>
            <w:shd w:val="clear" w:color="auto" w:fill="B9CDE5"/>
            <w:vAlign w:val="center"/>
            <w:hideMark/>
          </w:tcPr>
          <w:p w14:paraId="4518F3DC"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Rādītāji</w:t>
            </w:r>
          </w:p>
        </w:tc>
        <w:tc>
          <w:tcPr>
            <w:tcW w:w="834" w:type="pct"/>
            <w:tcBorders>
              <w:bottom w:val="single" w:sz="4" w:space="0" w:color="17365D"/>
            </w:tcBorders>
            <w:shd w:val="clear" w:color="auto" w:fill="B9CDE5"/>
            <w:vAlign w:val="center"/>
            <w:hideMark/>
          </w:tcPr>
          <w:p w14:paraId="69501DB4"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57" w:type="pct"/>
            <w:tcBorders>
              <w:bottom w:val="single" w:sz="4" w:space="0" w:color="17365D"/>
            </w:tcBorders>
            <w:shd w:val="clear" w:color="auto" w:fill="B9CDE5"/>
            <w:vAlign w:val="center"/>
            <w:hideMark/>
          </w:tcPr>
          <w:p w14:paraId="419079FA"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910" w:type="pct"/>
            <w:tcBorders>
              <w:bottom w:val="single" w:sz="4" w:space="0" w:color="17365D"/>
            </w:tcBorders>
            <w:shd w:val="clear" w:color="auto" w:fill="B9CDE5"/>
            <w:vAlign w:val="center"/>
            <w:hideMark/>
          </w:tcPr>
          <w:p w14:paraId="5EA441C3"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757" w:type="pct"/>
            <w:tcBorders>
              <w:bottom w:val="single" w:sz="4" w:space="0" w:color="17365D"/>
            </w:tcBorders>
            <w:shd w:val="clear" w:color="auto" w:fill="B9CDE5"/>
            <w:vAlign w:val="center"/>
            <w:hideMark/>
          </w:tcPr>
          <w:p w14:paraId="5E7BBCCA" w14:textId="4487C8CD"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 </w:t>
            </w:r>
            <w:r w:rsidRPr="00E72168">
              <w:rPr>
                <w:rFonts w:eastAsia="Times New Roman" w:cs="Times New Roman"/>
                <w:b/>
                <w:color w:val="17365D"/>
                <w:sz w:val="18"/>
                <w:szCs w:val="18"/>
                <w:lang w:eastAsia="lv-LV"/>
              </w:rPr>
              <w:t>)</w:t>
            </w:r>
          </w:p>
        </w:tc>
        <w:tc>
          <w:tcPr>
            <w:tcW w:w="677" w:type="pct"/>
            <w:tcBorders>
              <w:bottom w:val="single" w:sz="4" w:space="0" w:color="17365D"/>
            </w:tcBorders>
            <w:shd w:val="clear" w:color="auto" w:fill="B9CDE5"/>
            <w:vAlign w:val="center"/>
            <w:hideMark/>
          </w:tcPr>
          <w:p w14:paraId="4C068140"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511013B4" w14:textId="77777777" w:rsidTr="008D2664">
        <w:trPr>
          <w:trHeight w:val="240"/>
        </w:trPr>
        <w:tc>
          <w:tcPr>
            <w:tcW w:w="1065" w:type="pct"/>
            <w:tcBorders>
              <w:top w:val="single" w:sz="4" w:space="0" w:color="17365D"/>
              <w:bottom w:val="single" w:sz="4" w:space="0" w:color="17365D"/>
            </w:tcBorders>
            <w:shd w:val="clear" w:color="auto" w:fill="auto"/>
            <w:vAlign w:val="center"/>
            <w:hideMark/>
          </w:tcPr>
          <w:p w14:paraId="056C6D7D"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834" w:type="pct"/>
            <w:tcBorders>
              <w:top w:val="single" w:sz="4" w:space="0" w:color="17365D"/>
              <w:bottom w:val="single" w:sz="4" w:space="0" w:color="17365D"/>
            </w:tcBorders>
            <w:shd w:val="clear" w:color="auto" w:fill="auto"/>
            <w:vAlign w:val="center"/>
            <w:hideMark/>
          </w:tcPr>
          <w:p w14:paraId="2BB0F754"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57" w:type="pct"/>
            <w:tcBorders>
              <w:top w:val="single" w:sz="4" w:space="0" w:color="17365D"/>
              <w:bottom w:val="single" w:sz="4" w:space="0" w:color="17365D"/>
            </w:tcBorders>
            <w:shd w:val="clear" w:color="auto" w:fill="auto"/>
            <w:vAlign w:val="center"/>
            <w:hideMark/>
          </w:tcPr>
          <w:p w14:paraId="3F0D1DB8"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910" w:type="pct"/>
            <w:tcBorders>
              <w:top w:val="single" w:sz="4" w:space="0" w:color="17365D"/>
              <w:bottom w:val="single" w:sz="4" w:space="0" w:color="17365D"/>
            </w:tcBorders>
            <w:shd w:val="clear" w:color="auto" w:fill="auto"/>
            <w:vAlign w:val="center"/>
            <w:hideMark/>
          </w:tcPr>
          <w:p w14:paraId="7539EB44"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757" w:type="pct"/>
            <w:tcBorders>
              <w:top w:val="single" w:sz="4" w:space="0" w:color="17365D"/>
              <w:bottom w:val="single" w:sz="4" w:space="0" w:color="17365D"/>
            </w:tcBorders>
            <w:shd w:val="clear" w:color="auto" w:fill="auto"/>
            <w:vAlign w:val="center"/>
            <w:hideMark/>
          </w:tcPr>
          <w:p w14:paraId="4A037E39"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77" w:type="pct"/>
            <w:tcBorders>
              <w:top w:val="single" w:sz="4" w:space="0" w:color="17365D"/>
              <w:bottom w:val="single" w:sz="4" w:space="0" w:color="17365D"/>
            </w:tcBorders>
            <w:shd w:val="clear" w:color="auto" w:fill="auto"/>
            <w:vAlign w:val="center"/>
            <w:hideMark/>
          </w:tcPr>
          <w:p w14:paraId="030E278E" w14:textId="77777777" w:rsidR="00E138F1" w:rsidRPr="00E72168" w:rsidRDefault="00E138F1" w:rsidP="00792AE6">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8D2664" w:rsidRPr="00E72168" w14:paraId="1747B214" w14:textId="77777777" w:rsidTr="00C87349">
        <w:trPr>
          <w:trHeight w:val="335"/>
        </w:trPr>
        <w:tc>
          <w:tcPr>
            <w:tcW w:w="1065" w:type="pct"/>
            <w:tcBorders>
              <w:top w:val="single" w:sz="4" w:space="0" w:color="17365D"/>
              <w:bottom w:val="single" w:sz="4" w:space="0" w:color="17365D"/>
            </w:tcBorders>
            <w:shd w:val="clear" w:color="auto" w:fill="auto"/>
            <w:vAlign w:val="center"/>
            <w:hideMark/>
          </w:tcPr>
          <w:p w14:paraId="70D0C52B" w14:textId="7FBD5BF7" w:rsidR="008D2664" w:rsidRPr="00E72168" w:rsidRDefault="008D2664" w:rsidP="008D2664">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Īstermiņa prasības</w:t>
            </w:r>
          </w:p>
        </w:tc>
        <w:tc>
          <w:tcPr>
            <w:tcW w:w="834" w:type="pct"/>
            <w:tcBorders>
              <w:top w:val="single" w:sz="4" w:space="0" w:color="17365D"/>
              <w:bottom w:val="single" w:sz="4" w:space="0" w:color="17365D"/>
            </w:tcBorders>
            <w:shd w:val="clear" w:color="auto" w:fill="auto"/>
            <w:vAlign w:val="center"/>
            <w:hideMark/>
          </w:tcPr>
          <w:p w14:paraId="1428FF3B" w14:textId="58293603" w:rsidR="008D2664" w:rsidRPr="00E72168" w:rsidRDefault="008D2664" w:rsidP="008D2664">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KB.2.3.</w:t>
            </w:r>
          </w:p>
        </w:tc>
        <w:tc>
          <w:tcPr>
            <w:tcW w:w="757" w:type="pct"/>
            <w:tcBorders>
              <w:top w:val="single" w:sz="4" w:space="0" w:color="17365D"/>
              <w:bottom w:val="single" w:sz="4" w:space="0" w:color="17365D"/>
            </w:tcBorders>
            <w:shd w:val="clear" w:color="auto" w:fill="auto"/>
            <w:noWrap/>
            <w:vAlign w:val="center"/>
            <w:hideMark/>
          </w:tcPr>
          <w:p w14:paraId="03D4309C" w14:textId="142EBC72" w:rsidR="008D2664" w:rsidRPr="008D2664" w:rsidRDefault="008D2664" w:rsidP="008D2664">
            <w:pPr>
              <w:spacing w:after="0" w:line="240" w:lineRule="auto"/>
              <w:jc w:val="right"/>
              <w:rPr>
                <w:rFonts w:eastAsia="Times New Roman" w:cs="Times New Roman"/>
                <w:b/>
                <w:color w:val="17365D"/>
                <w:sz w:val="18"/>
                <w:szCs w:val="18"/>
                <w:lang w:eastAsia="lv-LV"/>
              </w:rPr>
            </w:pPr>
            <w:r w:rsidRPr="00C87349">
              <w:rPr>
                <w:rFonts w:eastAsia="Times New Roman" w:cs="Times New Roman"/>
                <w:b/>
                <w:color w:val="17365D"/>
                <w:sz w:val="18"/>
                <w:szCs w:val="18"/>
                <w:lang w:eastAsia="lv-LV"/>
              </w:rPr>
              <w:t>1 791 845 006</w:t>
            </w:r>
          </w:p>
        </w:tc>
        <w:tc>
          <w:tcPr>
            <w:tcW w:w="910" w:type="pct"/>
            <w:tcBorders>
              <w:top w:val="single" w:sz="4" w:space="0" w:color="17365D"/>
              <w:bottom w:val="single" w:sz="4" w:space="0" w:color="17365D"/>
            </w:tcBorders>
            <w:shd w:val="clear" w:color="auto" w:fill="auto"/>
            <w:noWrap/>
            <w:vAlign w:val="center"/>
            <w:hideMark/>
          </w:tcPr>
          <w:p w14:paraId="7E5990A8" w14:textId="60002D64" w:rsidR="008D2664" w:rsidRPr="008D2664" w:rsidRDefault="008D2664" w:rsidP="008D2664">
            <w:pPr>
              <w:spacing w:after="0" w:line="240" w:lineRule="auto"/>
              <w:jc w:val="right"/>
              <w:rPr>
                <w:rFonts w:eastAsia="Times New Roman" w:cs="Times New Roman"/>
                <w:b/>
                <w:color w:val="17365D"/>
                <w:sz w:val="18"/>
                <w:szCs w:val="18"/>
                <w:lang w:eastAsia="lv-LV"/>
              </w:rPr>
            </w:pPr>
            <w:r w:rsidRPr="00C87349">
              <w:rPr>
                <w:rFonts w:eastAsia="Times New Roman" w:cs="Times New Roman"/>
                <w:b/>
                <w:color w:val="17365D"/>
                <w:sz w:val="18"/>
                <w:szCs w:val="18"/>
                <w:lang w:eastAsia="lv-LV"/>
              </w:rPr>
              <w:t>2 139 354 240</w:t>
            </w:r>
          </w:p>
        </w:tc>
        <w:tc>
          <w:tcPr>
            <w:tcW w:w="757" w:type="pct"/>
            <w:tcBorders>
              <w:top w:val="single" w:sz="4" w:space="0" w:color="17365D"/>
              <w:bottom w:val="single" w:sz="4" w:space="0" w:color="17365D"/>
            </w:tcBorders>
            <w:shd w:val="clear" w:color="auto" w:fill="auto"/>
            <w:noWrap/>
            <w:vAlign w:val="center"/>
            <w:hideMark/>
          </w:tcPr>
          <w:p w14:paraId="4D0F81E1" w14:textId="01DA3637" w:rsidR="008D2664" w:rsidRPr="008D2664" w:rsidRDefault="008D2664" w:rsidP="008D2664">
            <w:pPr>
              <w:spacing w:after="0" w:line="240" w:lineRule="auto"/>
              <w:jc w:val="right"/>
              <w:rPr>
                <w:rFonts w:eastAsia="Times New Roman" w:cs="Times New Roman"/>
                <w:b/>
                <w:color w:val="17365D"/>
                <w:sz w:val="18"/>
                <w:szCs w:val="18"/>
                <w:lang w:eastAsia="lv-LV"/>
              </w:rPr>
            </w:pPr>
            <w:r w:rsidRPr="00C87349">
              <w:rPr>
                <w:rFonts w:eastAsia="Times New Roman" w:cs="Times New Roman"/>
                <w:b/>
                <w:color w:val="17365D"/>
                <w:sz w:val="18"/>
                <w:szCs w:val="18"/>
                <w:lang w:eastAsia="lv-LV"/>
              </w:rPr>
              <w:t>-347 509 234</w:t>
            </w:r>
          </w:p>
        </w:tc>
        <w:tc>
          <w:tcPr>
            <w:tcW w:w="677" w:type="pct"/>
            <w:tcBorders>
              <w:top w:val="single" w:sz="4" w:space="0" w:color="17365D"/>
              <w:bottom w:val="single" w:sz="4" w:space="0" w:color="17365D"/>
              <w:right w:val="nil"/>
            </w:tcBorders>
            <w:shd w:val="clear" w:color="auto" w:fill="auto"/>
            <w:noWrap/>
            <w:vAlign w:val="center"/>
            <w:hideMark/>
          </w:tcPr>
          <w:p w14:paraId="66F67086" w14:textId="2B5E8A23" w:rsidR="008D2664" w:rsidRPr="008D2664" w:rsidRDefault="008D2664" w:rsidP="008D2664">
            <w:pPr>
              <w:spacing w:after="0" w:line="240" w:lineRule="auto"/>
              <w:jc w:val="right"/>
              <w:rPr>
                <w:rFonts w:eastAsia="Times New Roman" w:cs="Times New Roman"/>
                <w:b/>
                <w:color w:val="17365D"/>
                <w:sz w:val="18"/>
                <w:szCs w:val="18"/>
                <w:lang w:eastAsia="lv-LV"/>
              </w:rPr>
            </w:pPr>
            <w:r w:rsidRPr="00C87349">
              <w:rPr>
                <w:rFonts w:eastAsia="Times New Roman" w:cs="Times New Roman"/>
                <w:b/>
                <w:color w:val="17365D"/>
                <w:sz w:val="18"/>
                <w:szCs w:val="18"/>
                <w:lang w:eastAsia="lv-LV"/>
              </w:rPr>
              <w:t>-16.24</w:t>
            </w:r>
          </w:p>
        </w:tc>
      </w:tr>
      <w:tr w:rsidR="000C1009" w:rsidRPr="00E72168" w14:paraId="7336863E" w14:textId="77777777" w:rsidTr="008D2664">
        <w:trPr>
          <w:trHeight w:val="56"/>
        </w:trPr>
        <w:tc>
          <w:tcPr>
            <w:tcW w:w="1065" w:type="pct"/>
            <w:tcBorders>
              <w:top w:val="single" w:sz="4" w:space="0" w:color="17365D"/>
            </w:tcBorders>
            <w:shd w:val="clear" w:color="auto" w:fill="B9CDE5"/>
            <w:vAlign w:val="center"/>
          </w:tcPr>
          <w:p w14:paraId="3487643C" w14:textId="77777777" w:rsidR="00E138F1" w:rsidRPr="00E72168" w:rsidRDefault="00E138F1" w:rsidP="00792AE6">
            <w:pPr>
              <w:spacing w:after="0"/>
              <w:rPr>
                <w:rFonts w:eastAsia="Times New Roman" w:cs="Times New Roman"/>
                <w:color w:val="17365D"/>
                <w:sz w:val="16"/>
                <w:szCs w:val="18"/>
                <w:lang w:eastAsia="lv-LV"/>
              </w:rPr>
            </w:pPr>
          </w:p>
        </w:tc>
        <w:tc>
          <w:tcPr>
            <w:tcW w:w="834" w:type="pct"/>
            <w:tcBorders>
              <w:top w:val="single" w:sz="4" w:space="0" w:color="17365D"/>
            </w:tcBorders>
            <w:shd w:val="clear" w:color="auto" w:fill="B9CDE5"/>
            <w:noWrap/>
            <w:vAlign w:val="center"/>
          </w:tcPr>
          <w:p w14:paraId="491D29C3" w14:textId="77777777" w:rsidR="00E138F1" w:rsidRPr="007E66AE" w:rsidRDefault="00E138F1" w:rsidP="00792AE6">
            <w:pPr>
              <w:spacing w:after="0"/>
              <w:jc w:val="center"/>
              <w:rPr>
                <w:rFonts w:eastAsia="Times New Roman" w:cs="Times New Roman"/>
                <w:color w:val="17365D"/>
                <w:sz w:val="16"/>
                <w:szCs w:val="18"/>
                <w:lang w:eastAsia="lv-LV"/>
              </w:rPr>
            </w:pPr>
          </w:p>
        </w:tc>
        <w:tc>
          <w:tcPr>
            <w:tcW w:w="757" w:type="pct"/>
            <w:tcBorders>
              <w:top w:val="single" w:sz="4" w:space="0" w:color="17365D"/>
            </w:tcBorders>
            <w:shd w:val="clear" w:color="auto" w:fill="B9CDE5"/>
            <w:noWrap/>
            <w:vAlign w:val="center"/>
          </w:tcPr>
          <w:p w14:paraId="7ED8011E" w14:textId="77777777" w:rsidR="00E138F1" w:rsidRPr="007E66AE" w:rsidRDefault="00E138F1" w:rsidP="00792AE6">
            <w:pPr>
              <w:spacing w:after="0"/>
              <w:jc w:val="right"/>
              <w:rPr>
                <w:rFonts w:eastAsia="Times New Roman" w:cs="Times New Roman"/>
                <w:color w:val="17365D"/>
                <w:sz w:val="16"/>
                <w:szCs w:val="18"/>
                <w:lang w:eastAsia="lv-LV"/>
              </w:rPr>
            </w:pPr>
          </w:p>
        </w:tc>
        <w:tc>
          <w:tcPr>
            <w:tcW w:w="910" w:type="pct"/>
            <w:tcBorders>
              <w:top w:val="single" w:sz="4" w:space="0" w:color="17365D"/>
            </w:tcBorders>
            <w:shd w:val="clear" w:color="auto" w:fill="B9CDE5"/>
            <w:noWrap/>
            <w:vAlign w:val="center"/>
          </w:tcPr>
          <w:p w14:paraId="3FAFCF97" w14:textId="77777777" w:rsidR="00E138F1" w:rsidRPr="007E66AE" w:rsidRDefault="00E138F1" w:rsidP="00792AE6">
            <w:pPr>
              <w:spacing w:after="0"/>
              <w:jc w:val="right"/>
              <w:rPr>
                <w:rFonts w:eastAsia="Times New Roman" w:cs="Times New Roman"/>
                <w:color w:val="17365D"/>
                <w:sz w:val="16"/>
                <w:szCs w:val="18"/>
                <w:lang w:eastAsia="lv-LV"/>
              </w:rPr>
            </w:pPr>
          </w:p>
        </w:tc>
        <w:tc>
          <w:tcPr>
            <w:tcW w:w="757" w:type="pct"/>
            <w:tcBorders>
              <w:top w:val="single" w:sz="4" w:space="0" w:color="17365D"/>
            </w:tcBorders>
            <w:shd w:val="clear" w:color="auto" w:fill="B9CDE5"/>
            <w:noWrap/>
            <w:vAlign w:val="center"/>
          </w:tcPr>
          <w:p w14:paraId="56BB98B7" w14:textId="77777777" w:rsidR="00E138F1" w:rsidRPr="007E66AE" w:rsidRDefault="00E138F1" w:rsidP="00792AE6">
            <w:pPr>
              <w:spacing w:after="0"/>
              <w:jc w:val="right"/>
              <w:rPr>
                <w:rFonts w:eastAsia="Times New Roman" w:cs="Times New Roman"/>
                <w:color w:val="17365D"/>
                <w:sz w:val="16"/>
                <w:szCs w:val="18"/>
                <w:lang w:eastAsia="lv-LV"/>
              </w:rPr>
            </w:pPr>
          </w:p>
        </w:tc>
        <w:tc>
          <w:tcPr>
            <w:tcW w:w="677" w:type="pct"/>
            <w:tcBorders>
              <w:top w:val="single" w:sz="4" w:space="0" w:color="17365D"/>
            </w:tcBorders>
            <w:shd w:val="clear" w:color="auto" w:fill="B9CDE5"/>
            <w:noWrap/>
            <w:vAlign w:val="center"/>
          </w:tcPr>
          <w:p w14:paraId="75DE7B8B" w14:textId="77777777" w:rsidR="00E138F1" w:rsidRPr="007E66AE" w:rsidRDefault="00E138F1" w:rsidP="00792AE6">
            <w:pPr>
              <w:spacing w:after="0"/>
              <w:jc w:val="right"/>
              <w:rPr>
                <w:rFonts w:eastAsia="Times New Roman" w:cs="Times New Roman"/>
                <w:color w:val="17365D"/>
                <w:sz w:val="16"/>
                <w:szCs w:val="18"/>
                <w:lang w:eastAsia="lv-LV"/>
              </w:rPr>
            </w:pPr>
          </w:p>
        </w:tc>
      </w:tr>
    </w:tbl>
    <w:p w14:paraId="65384084" w14:textId="6C71D98C" w:rsidR="00C23868" w:rsidRPr="00E72168" w:rsidRDefault="00DC6EAE" w:rsidP="006D7BEC">
      <w:pPr>
        <w:spacing w:before="240" w:after="120" w:line="240" w:lineRule="auto"/>
        <w:ind w:firstLine="284"/>
        <w:jc w:val="both"/>
        <w:rPr>
          <w:rFonts w:cs="Times New Roman"/>
          <w:bCs/>
          <w:iCs/>
          <w:color w:val="17365D"/>
        </w:rPr>
      </w:pPr>
      <w:r w:rsidRPr="00E72168">
        <w:rPr>
          <w:rFonts w:cs="Times New Roman"/>
          <w:bCs/>
          <w:color w:val="17365D"/>
        </w:rPr>
        <w:t>Bilances postenī “</w:t>
      </w:r>
      <w:r w:rsidR="0003117E" w:rsidRPr="00E72168">
        <w:rPr>
          <w:rFonts w:cs="Times New Roman"/>
          <w:bCs/>
          <w:iCs/>
          <w:color w:val="17365D"/>
        </w:rPr>
        <w:t>Īstermiņa prasības</w:t>
      </w:r>
      <w:r w:rsidRPr="00E72168">
        <w:rPr>
          <w:rFonts w:cs="Times New Roman"/>
          <w:bCs/>
          <w:color w:val="17365D"/>
        </w:rPr>
        <w:t xml:space="preserve">” konsolidētas </w:t>
      </w:r>
      <w:r w:rsidRPr="00706C04">
        <w:rPr>
          <w:rFonts w:cs="Times New Roman"/>
          <w:bCs/>
          <w:color w:val="17365D"/>
        </w:rPr>
        <w:t xml:space="preserve">valsts un pašvaldību budžeta iestāžu </w:t>
      </w:r>
      <w:r w:rsidRPr="00706C04">
        <w:rPr>
          <w:rFonts w:cs="Times New Roman"/>
          <w:bCs/>
          <w:iCs/>
          <w:color w:val="17365D"/>
        </w:rPr>
        <w:t>un valsts budžeta finanšu uzskaites savstarpējās prasības un attiecīgās</w:t>
      </w:r>
      <w:r w:rsidRPr="00E72168">
        <w:rPr>
          <w:rFonts w:cs="Times New Roman"/>
          <w:bCs/>
          <w:iCs/>
          <w:color w:val="17365D"/>
        </w:rPr>
        <w:t xml:space="preserve"> saistības.</w:t>
      </w:r>
    </w:p>
    <w:p w14:paraId="1D855364" w14:textId="76CF72B2" w:rsidR="00D3156C" w:rsidRDefault="003959E9" w:rsidP="00D3156C">
      <w:pPr>
        <w:spacing w:after="120" w:line="240" w:lineRule="auto"/>
        <w:ind w:firstLine="284"/>
        <w:jc w:val="both"/>
        <w:rPr>
          <w:rFonts w:cs="Times New Roman"/>
          <w:bCs/>
          <w:iCs/>
          <w:color w:val="17365D"/>
        </w:rPr>
      </w:pPr>
      <w:r w:rsidRPr="00E72168">
        <w:rPr>
          <w:rFonts w:cs="Times New Roman"/>
          <w:bCs/>
          <w:iCs/>
          <w:color w:val="17365D"/>
        </w:rPr>
        <w:t>Pārskata gadā bilances posteņa iz</w:t>
      </w:r>
      <w:r w:rsidR="00D3156C">
        <w:rPr>
          <w:rFonts w:cs="Times New Roman"/>
          <w:bCs/>
          <w:iCs/>
          <w:color w:val="17365D"/>
        </w:rPr>
        <w:t>maiņas galvenokārt saistītas ar:</w:t>
      </w:r>
    </w:p>
    <w:p w14:paraId="28939321" w14:textId="0907DA07" w:rsidR="00721BCC" w:rsidRPr="00D3156C" w:rsidRDefault="003959E9" w:rsidP="00146A16">
      <w:pPr>
        <w:pStyle w:val="ListParagraph"/>
        <w:numPr>
          <w:ilvl w:val="0"/>
          <w:numId w:val="35"/>
        </w:numPr>
        <w:spacing w:after="120" w:line="240" w:lineRule="auto"/>
        <w:ind w:left="1003" w:hanging="357"/>
        <w:contextualSpacing w:val="0"/>
        <w:jc w:val="both"/>
        <w:rPr>
          <w:rFonts w:cs="Times New Roman"/>
          <w:bCs/>
          <w:iCs/>
          <w:color w:val="17365D"/>
        </w:rPr>
      </w:pPr>
      <w:r w:rsidRPr="00D3156C">
        <w:rPr>
          <w:rFonts w:cs="Times New Roman"/>
          <w:bCs/>
          <w:iCs/>
          <w:color w:val="17365D"/>
        </w:rPr>
        <w:t>valsts budžeta finanšu uzskaitē dzēstām prasībām pret Eiropas Komisiju par saņemti</w:t>
      </w:r>
      <w:r w:rsidR="00EA0F97" w:rsidRPr="00D3156C">
        <w:rPr>
          <w:rFonts w:cs="Times New Roman"/>
          <w:bCs/>
          <w:iCs/>
          <w:color w:val="17365D"/>
        </w:rPr>
        <w:t>em līdzekļiem</w:t>
      </w:r>
      <w:r w:rsidRPr="00D3156C">
        <w:rPr>
          <w:rFonts w:cs="Times New Roman"/>
          <w:bCs/>
          <w:iCs/>
          <w:color w:val="17365D"/>
        </w:rPr>
        <w:t xml:space="preserve"> no Eiropas Komisijas (115</w:t>
      </w:r>
      <w:r w:rsidR="00EA0F97" w:rsidRPr="00D3156C">
        <w:rPr>
          <w:rFonts w:cs="Times New Roman"/>
          <w:bCs/>
          <w:iCs/>
          <w:color w:val="17365D"/>
        </w:rPr>
        <w:t> </w:t>
      </w:r>
      <w:r w:rsidRPr="00D3156C">
        <w:rPr>
          <w:rFonts w:cs="Times New Roman"/>
          <w:bCs/>
          <w:iCs/>
          <w:color w:val="17365D"/>
        </w:rPr>
        <w:t xml:space="preserve">372 242) </w:t>
      </w:r>
      <w:r w:rsidRPr="00D3156C">
        <w:rPr>
          <w:rFonts w:cs="Times New Roman"/>
          <w:bCs/>
          <w:i/>
          <w:iCs/>
          <w:color w:val="17365D"/>
        </w:rPr>
        <w:t xml:space="preserve">euro </w:t>
      </w:r>
      <w:r w:rsidR="00F0597B" w:rsidRPr="00D3156C">
        <w:rPr>
          <w:rFonts w:cs="Times New Roman"/>
          <w:bCs/>
          <w:iCs/>
          <w:color w:val="17365D"/>
        </w:rPr>
        <w:t>vērtībā,</w:t>
      </w:r>
      <w:r w:rsidRPr="00D3156C">
        <w:rPr>
          <w:rFonts w:cs="Times New Roman"/>
          <w:bCs/>
          <w:iCs/>
          <w:color w:val="17365D"/>
        </w:rPr>
        <w:t xml:space="preserve"> </w:t>
      </w:r>
      <w:r w:rsidR="00F0597B" w:rsidRPr="00D3156C">
        <w:rPr>
          <w:rFonts w:cs="Times New Roman"/>
          <w:bCs/>
          <w:iCs/>
          <w:color w:val="17365D"/>
        </w:rPr>
        <w:t xml:space="preserve">atzītām prasībām pret Eiropas Komisiju par </w:t>
      </w:r>
      <w:r w:rsidR="00721BCC" w:rsidRPr="00D3156C">
        <w:rPr>
          <w:rFonts w:cs="Times New Roman"/>
          <w:bCs/>
          <w:iCs/>
          <w:color w:val="17365D"/>
        </w:rPr>
        <w:t xml:space="preserve">saņemto atmaksu no </w:t>
      </w:r>
      <w:r w:rsidR="00F0597B" w:rsidRPr="00D3156C">
        <w:rPr>
          <w:rFonts w:cs="Times New Roman"/>
          <w:bCs/>
          <w:iCs/>
          <w:color w:val="17365D"/>
        </w:rPr>
        <w:t>Eiropas Lauksaimniecības garantiju fonda 108</w:t>
      </w:r>
      <w:r w:rsidR="00721BCC" w:rsidRPr="00D3156C">
        <w:rPr>
          <w:rFonts w:cs="Times New Roman"/>
          <w:bCs/>
          <w:iCs/>
          <w:color w:val="17365D"/>
        </w:rPr>
        <w:t> </w:t>
      </w:r>
      <w:r w:rsidR="00F0597B" w:rsidRPr="00D3156C">
        <w:rPr>
          <w:rFonts w:cs="Times New Roman"/>
          <w:bCs/>
          <w:iCs/>
          <w:color w:val="17365D"/>
        </w:rPr>
        <w:t xml:space="preserve">852 485 </w:t>
      </w:r>
      <w:r w:rsidR="00F0597B" w:rsidRPr="00D3156C">
        <w:rPr>
          <w:rFonts w:cs="Times New Roman"/>
          <w:bCs/>
          <w:i/>
          <w:iCs/>
          <w:color w:val="17365D"/>
        </w:rPr>
        <w:t>euro</w:t>
      </w:r>
      <w:r w:rsidR="00F0597B" w:rsidRPr="00D3156C">
        <w:rPr>
          <w:rFonts w:cs="Times New Roman"/>
          <w:bCs/>
          <w:iCs/>
          <w:color w:val="17365D"/>
        </w:rPr>
        <w:t xml:space="preserve"> vērtībā</w:t>
      </w:r>
      <w:r w:rsidR="00D3156C">
        <w:rPr>
          <w:rFonts w:cs="Times New Roman"/>
          <w:bCs/>
          <w:iCs/>
          <w:color w:val="17365D"/>
        </w:rPr>
        <w:t>;</w:t>
      </w:r>
      <w:r w:rsidR="00F56FC9" w:rsidRPr="00D3156C">
        <w:rPr>
          <w:rFonts w:cs="Times New Roman"/>
          <w:bCs/>
          <w:iCs/>
          <w:color w:val="17365D"/>
        </w:rPr>
        <w:t xml:space="preserve"> </w:t>
      </w:r>
    </w:p>
    <w:p w14:paraId="2BA30F91" w14:textId="6EC04980" w:rsidR="00F56FC9" w:rsidRPr="00D3156C" w:rsidRDefault="00D3156C" w:rsidP="00146A16">
      <w:pPr>
        <w:pStyle w:val="ListParagraph"/>
        <w:numPr>
          <w:ilvl w:val="0"/>
          <w:numId w:val="35"/>
        </w:numPr>
        <w:spacing w:after="120" w:line="240" w:lineRule="auto"/>
        <w:ind w:left="1003" w:hanging="357"/>
        <w:contextualSpacing w:val="0"/>
        <w:jc w:val="both"/>
        <w:rPr>
          <w:rFonts w:cs="Times New Roman"/>
          <w:bCs/>
          <w:iCs/>
          <w:color w:val="17365D"/>
        </w:rPr>
      </w:pPr>
      <w:r w:rsidRPr="00D3156C">
        <w:rPr>
          <w:rFonts w:cs="Times New Roman"/>
          <w:bCs/>
          <w:iCs/>
          <w:color w:val="17365D"/>
        </w:rPr>
        <w:t>VID</w:t>
      </w:r>
      <w:r w:rsidR="00FB22D0" w:rsidRPr="00D3156C">
        <w:rPr>
          <w:rFonts w:cs="Times New Roman"/>
          <w:bCs/>
          <w:iCs/>
          <w:color w:val="17365D"/>
        </w:rPr>
        <w:t xml:space="preserve"> administrēto valsts budžeta ieņēmumu uzskaitē </w:t>
      </w:r>
      <w:r w:rsidRPr="00D3156C">
        <w:rPr>
          <w:rFonts w:cs="Times New Roman"/>
          <w:bCs/>
          <w:iCs/>
          <w:color w:val="17365D"/>
        </w:rPr>
        <w:t>samazinājums (</w:t>
      </w:r>
      <w:r w:rsidR="0016331B" w:rsidRPr="0016331B">
        <w:rPr>
          <w:rFonts w:cs="Times New Roman"/>
          <w:bCs/>
          <w:iCs/>
          <w:color w:val="17365D"/>
        </w:rPr>
        <w:t>108</w:t>
      </w:r>
      <w:r w:rsidR="0016331B">
        <w:rPr>
          <w:rFonts w:cs="Times New Roman"/>
          <w:bCs/>
          <w:iCs/>
          <w:color w:val="17365D"/>
        </w:rPr>
        <w:t> </w:t>
      </w:r>
      <w:r w:rsidR="0016331B" w:rsidRPr="0016331B">
        <w:rPr>
          <w:rFonts w:cs="Times New Roman"/>
          <w:bCs/>
          <w:iCs/>
          <w:color w:val="17365D"/>
        </w:rPr>
        <w:t>274</w:t>
      </w:r>
      <w:r w:rsidR="0016331B">
        <w:rPr>
          <w:rFonts w:cs="Times New Roman"/>
          <w:bCs/>
          <w:iCs/>
          <w:color w:val="17365D"/>
        </w:rPr>
        <w:t> </w:t>
      </w:r>
      <w:r w:rsidR="0016331B" w:rsidRPr="0016331B">
        <w:rPr>
          <w:rFonts w:cs="Times New Roman"/>
          <w:bCs/>
          <w:iCs/>
          <w:color w:val="17365D"/>
        </w:rPr>
        <w:t>948</w:t>
      </w:r>
      <w:r w:rsidRPr="00D3156C">
        <w:rPr>
          <w:rFonts w:cs="Times New Roman"/>
          <w:bCs/>
          <w:iCs/>
          <w:color w:val="17365D"/>
        </w:rPr>
        <w:t xml:space="preserve">) </w:t>
      </w:r>
      <w:r w:rsidRPr="00D3156C">
        <w:rPr>
          <w:rFonts w:cs="Times New Roman"/>
          <w:bCs/>
          <w:i/>
          <w:iCs/>
          <w:color w:val="17365D"/>
        </w:rPr>
        <w:t xml:space="preserve">euro </w:t>
      </w:r>
      <w:r w:rsidRPr="00D3156C">
        <w:rPr>
          <w:rFonts w:cs="Times New Roman"/>
          <w:bCs/>
          <w:iCs/>
          <w:color w:val="17365D"/>
        </w:rPr>
        <w:t xml:space="preserve">apmērā </w:t>
      </w:r>
      <w:r w:rsidR="00FB22D0" w:rsidRPr="00D3156C">
        <w:rPr>
          <w:rFonts w:cs="Times New Roman"/>
          <w:bCs/>
          <w:iCs/>
          <w:color w:val="17365D"/>
        </w:rPr>
        <w:t>saistī</w:t>
      </w:r>
      <w:r w:rsidR="00721BCC" w:rsidRPr="00D3156C">
        <w:rPr>
          <w:rFonts w:cs="Times New Roman"/>
          <w:bCs/>
          <w:iCs/>
          <w:color w:val="17365D"/>
        </w:rPr>
        <w:t>bā</w:t>
      </w:r>
      <w:r w:rsidR="00FB22D0" w:rsidRPr="00D3156C">
        <w:rPr>
          <w:rFonts w:cs="Times New Roman"/>
          <w:bCs/>
          <w:iCs/>
          <w:color w:val="17365D"/>
        </w:rPr>
        <w:t xml:space="preserve"> ar nodokļu maksātāju savlaicīgu iedzīvotāju ienākuma nodokļa, </w:t>
      </w:r>
      <w:r w:rsidR="00F56FC9" w:rsidRPr="00D3156C">
        <w:rPr>
          <w:rFonts w:cs="Times New Roman"/>
          <w:bCs/>
          <w:iCs/>
          <w:color w:val="17365D"/>
        </w:rPr>
        <w:t xml:space="preserve">valsts sociālās </w:t>
      </w:r>
      <w:r w:rsidRPr="00D3156C">
        <w:rPr>
          <w:rFonts w:cs="Times New Roman"/>
          <w:bCs/>
          <w:iCs/>
          <w:color w:val="17365D"/>
        </w:rPr>
        <w:t xml:space="preserve">veidojies </w:t>
      </w:r>
      <w:r w:rsidR="00F56FC9" w:rsidRPr="00D3156C">
        <w:rPr>
          <w:rFonts w:cs="Times New Roman"/>
          <w:bCs/>
          <w:iCs/>
          <w:color w:val="17365D"/>
        </w:rPr>
        <w:t>apdrošināšanas obligāt</w:t>
      </w:r>
      <w:r w:rsidR="00FB22D0" w:rsidRPr="00D3156C">
        <w:rPr>
          <w:rFonts w:cs="Times New Roman"/>
          <w:bCs/>
          <w:iCs/>
          <w:color w:val="17365D"/>
        </w:rPr>
        <w:t xml:space="preserve">o iemaksu un </w:t>
      </w:r>
      <w:r w:rsidR="0016331B" w:rsidRPr="0016331B">
        <w:rPr>
          <w:rFonts w:cs="Times New Roman"/>
          <w:bCs/>
          <w:iCs/>
          <w:color w:val="17365D"/>
        </w:rPr>
        <w:t>dabas resursu</w:t>
      </w:r>
      <w:r w:rsidR="0016331B">
        <w:rPr>
          <w:rFonts w:cs="Times New Roman"/>
          <w:bCs/>
          <w:iCs/>
          <w:color w:val="17365D"/>
        </w:rPr>
        <w:t xml:space="preserve"> </w:t>
      </w:r>
      <w:r w:rsidR="00FB22D0" w:rsidRPr="00D3156C">
        <w:rPr>
          <w:rFonts w:cs="Times New Roman"/>
          <w:bCs/>
          <w:iCs/>
          <w:color w:val="17365D"/>
        </w:rPr>
        <w:t>nodokļa</w:t>
      </w:r>
      <w:r w:rsidR="00F56FC9" w:rsidRPr="00D3156C">
        <w:rPr>
          <w:rFonts w:cs="Times New Roman"/>
          <w:bCs/>
          <w:iCs/>
          <w:color w:val="17365D"/>
        </w:rPr>
        <w:t xml:space="preserve"> nomaksu</w:t>
      </w:r>
      <w:r w:rsidR="00FB22D0" w:rsidRPr="00D3156C">
        <w:rPr>
          <w:rFonts w:cs="Times New Roman"/>
          <w:bCs/>
          <w:iCs/>
          <w:color w:val="17365D"/>
        </w:rPr>
        <w:t>.</w:t>
      </w:r>
    </w:p>
    <w:p w14:paraId="7DDA20E9" w14:textId="3FB7FBB5" w:rsidR="0048672F" w:rsidRPr="00E72168" w:rsidRDefault="0048672F" w:rsidP="006D7BEC">
      <w:pPr>
        <w:spacing w:after="120" w:line="240" w:lineRule="auto"/>
        <w:ind w:firstLine="284"/>
        <w:jc w:val="both"/>
        <w:rPr>
          <w:rFonts w:cs="Times New Roman"/>
          <w:color w:val="17365D"/>
        </w:rPr>
      </w:pPr>
      <w:r w:rsidRPr="00E72168">
        <w:rPr>
          <w:rFonts w:cs="Times New Roman"/>
          <w:color w:val="17365D"/>
        </w:rPr>
        <w:t xml:space="preserve">Atbilstoši pašvaldību sniegtai informācijai </w:t>
      </w:r>
      <w:r w:rsidR="00F06FED">
        <w:rPr>
          <w:rFonts w:cs="Times New Roman"/>
          <w:color w:val="17365D"/>
        </w:rPr>
        <w:t>1.</w:t>
      </w:r>
      <w:r w:rsidRPr="00E72168">
        <w:rPr>
          <w:rFonts w:cs="Times New Roman"/>
          <w:color w:val="17365D"/>
        </w:rPr>
        <w:t>1</w:t>
      </w:r>
      <w:r w:rsidR="00241FC4" w:rsidRPr="00E72168">
        <w:rPr>
          <w:rFonts w:cs="Times New Roman"/>
          <w:color w:val="17365D"/>
        </w:rPr>
        <w:t>2</w:t>
      </w:r>
      <w:r w:rsidRPr="00E72168">
        <w:rPr>
          <w:rFonts w:cs="Times New Roman"/>
          <w:color w:val="17365D"/>
        </w:rPr>
        <w:t>.</w:t>
      </w:r>
      <w:r w:rsidR="00EA0F97" w:rsidRPr="00E72168">
        <w:rPr>
          <w:rFonts w:cs="Times New Roman"/>
          <w:color w:val="17365D"/>
        </w:rPr>
        <w:t> </w:t>
      </w:r>
      <w:r w:rsidRPr="00E72168">
        <w:rPr>
          <w:rFonts w:cs="Times New Roman"/>
          <w:color w:val="17365D"/>
        </w:rPr>
        <w:t>tabulā uzrādīta informācija par nekustamā īpašuma nodokļa prasību sadalījumu atbilstoši termiņiem.</w:t>
      </w:r>
    </w:p>
    <w:p w14:paraId="75C27FBD" w14:textId="09539608" w:rsidR="00CE6606" w:rsidRPr="00E72168" w:rsidRDefault="00F06FED" w:rsidP="00CE6606">
      <w:pPr>
        <w:spacing w:before="240" w:after="0"/>
        <w:jc w:val="right"/>
        <w:rPr>
          <w:rFonts w:eastAsia="Times New Roman" w:cs="Times New Roman"/>
          <w:i/>
          <w:color w:val="17365D"/>
          <w:sz w:val="20"/>
          <w:szCs w:val="20"/>
          <w:lang w:eastAsia="lv-LV"/>
        </w:rPr>
      </w:pPr>
      <w:r>
        <w:rPr>
          <w:rFonts w:eastAsia="Times New Roman" w:cs="Times New Roman"/>
          <w:i/>
          <w:color w:val="17365D"/>
          <w:sz w:val="20"/>
          <w:szCs w:val="20"/>
          <w:lang w:eastAsia="lv-LV"/>
        </w:rPr>
        <w:t>1.</w:t>
      </w:r>
      <w:r w:rsidR="00CE6606" w:rsidRPr="00E72168">
        <w:rPr>
          <w:rFonts w:eastAsia="Times New Roman" w:cs="Times New Roman"/>
          <w:i/>
          <w:color w:val="17365D"/>
          <w:sz w:val="20"/>
          <w:szCs w:val="20"/>
          <w:lang w:eastAsia="lv-LV"/>
        </w:rPr>
        <w:t>1</w:t>
      </w:r>
      <w:r w:rsidR="00241FC4" w:rsidRPr="00E72168">
        <w:rPr>
          <w:rFonts w:eastAsia="Times New Roman" w:cs="Times New Roman"/>
          <w:i/>
          <w:color w:val="17365D"/>
          <w:sz w:val="20"/>
          <w:szCs w:val="20"/>
          <w:lang w:eastAsia="lv-LV"/>
        </w:rPr>
        <w:t>2</w:t>
      </w:r>
      <w:r w:rsidR="00CE6606" w:rsidRPr="00E72168">
        <w:rPr>
          <w:rFonts w:eastAsia="Times New Roman" w:cs="Times New Roman"/>
          <w:i/>
          <w:color w:val="17365D"/>
          <w:sz w:val="20"/>
          <w:szCs w:val="20"/>
          <w:lang w:eastAsia="lv-LV"/>
        </w:rPr>
        <w:t>. tabula. Nekustamā īpašuma nodokļa bruto prasību sadalījums atbilstoši kavējuma termiņiem (euro)</w:t>
      </w:r>
    </w:p>
    <w:tbl>
      <w:tblPr>
        <w:tblW w:w="5004" w:type="pct"/>
        <w:tblLayout w:type="fixed"/>
        <w:tblLook w:val="04A0" w:firstRow="1" w:lastRow="0" w:firstColumn="1" w:lastColumn="0" w:noHBand="0" w:noVBand="1"/>
      </w:tblPr>
      <w:tblGrid>
        <w:gridCol w:w="1558"/>
        <w:gridCol w:w="992"/>
        <w:gridCol w:w="992"/>
        <w:gridCol w:w="992"/>
        <w:gridCol w:w="996"/>
        <w:gridCol w:w="998"/>
        <w:gridCol w:w="944"/>
        <w:gridCol w:w="944"/>
        <w:gridCol w:w="945"/>
      </w:tblGrid>
      <w:tr w:rsidR="000C1009" w:rsidRPr="00E72168" w14:paraId="3A02BCC3" w14:textId="110BD1AB" w:rsidTr="00096631">
        <w:trPr>
          <w:trHeight w:val="50"/>
          <w:tblHeader/>
        </w:trPr>
        <w:tc>
          <w:tcPr>
            <w:tcW w:w="832" w:type="pct"/>
            <w:vMerge w:val="restart"/>
            <w:tcBorders>
              <w:bottom w:val="single" w:sz="4" w:space="0" w:color="012169"/>
            </w:tcBorders>
            <w:shd w:val="clear" w:color="auto" w:fill="B9CDE5"/>
            <w:noWrap/>
            <w:vAlign w:val="center"/>
          </w:tcPr>
          <w:p w14:paraId="18B93310" w14:textId="0B53D30B" w:rsidR="009001BC" w:rsidRPr="00E72168" w:rsidRDefault="009001BC" w:rsidP="00D92FFA">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Nodokļa nosaukums/ termiņš</w:t>
            </w:r>
          </w:p>
        </w:tc>
        <w:tc>
          <w:tcPr>
            <w:tcW w:w="2122" w:type="pct"/>
            <w:gridSpan w:val="4"/>
            <w:tcBorders>
              <w:bottom w:val="single" w:sz="4" w:space="0" w:color="17365D"/>
            </w:tcBorders>
            <w:shd w:val="clear" w:color="auto" w:fill="B9CDE5"/>
            <w:vAlign w:val="center"/>
          </w:tcPr>
          <w:p w14:paraId="1B021595" w14:textId="3679087E" w:rsidR="009001BC" w:rsidRPr="00E72168" w:rsidRDefault="009001BC" w:rsidP="00D92FFA">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Pārskata perioda beigās</w:t>
            </w:r>
          </w:p>
        </w:tc>
        <w:tc>
          <w:tcPr>
            <w:tcW w:w="2046" w:type="pct"/>
            <w:gridSpan w:val="4"/>
            <w:tcBorders>
              <w:bottom w:val="single" w:sz="4" w:space="0" w:color="17365D"/>
            </w:tcBorders>
            <w:shd w:val="clear" w:color="auto" w:fill="B9CDE5"/>
          </w:tcPr>
          <w:p w14:paraId="0D775308" w14:textId="2C2F5FC6" w:rsidR="009001BC" w:rsidRPr="00E72168" w:rsidRDefault="009001BC" w:rsidP="00D92FFA">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Pārskata perioda sākumā</w:t>
            </w:r>
          </w:p>
        </w:tc>
      </w:tr>
      <w:tr w:rsidR="000C1009" w:rsidRPr="00E72168" w14:paraId="4050AA76" w14:textId="4B5A93A1" w:rsidTr="003F0D49">
        <w:trPr>
          <w:trHeight w:val="519"/>
          <w:tblHeader/>
        </w:trPr>
        <w:tc>
          <w:tcPr>
            <w:tcW w:w="832" w:type="pct"/>
            <w:vMerge/>
            <w:tcBorders>
              <w:top w:val="single" w:sz="4" w:space="0" w:color="012169"/>
              <w:bottom w:val="single" w:sz="4" w:space="0" w:color="17365D"/>
            </w:tcBorders>
            <w:shd w:val="clear" w:color="auto" w:fill="B9CDE5"/>
            <w:noWrap/>
            <w:vAlign w:val="center"/>
            <w:hideMark/>
          </w:tcPr>
          <w:p w14:paraId="41AB7244" w14:textId="41E86412" w:rsidR="009001BC" w:rsidRPr="00E72168" w:rsidRDefault="009001BC" w:rsidP="006512D6">
            <w:pPr>
              <w:spacing w:after="0"/>
              <w:jc w:val="center"/>
              <w:rPr>
                <w:rFonts w:eastAsia="Times New Roman" w:cs="Times New Roman"/>
                <w:b/>
                <w:bCs/>
                <w:color w:val="17365D"/>
                <w:sz w:val="18"/>
                <w:szCs w:val="18"/>
                <w:lang w:eastAsia="lv-LV"/>
              </w:rPr>
            </w:pPr>
          </w:p>
        </w:tc>
        <w:tc>
          <w:tcPr>
            <w:tcW w:w="530" w:type="pct"/>
            <w:tcBorders>
              <w:top w:val="single" w:sz="4" w:space="0" w:color="17365D"/>
              <w:bottom w:val="single" w:sz="4" w:space="0" w:color="17365D"/>
            </w:tcBorders>
            <w:shd w:val="clear" w:color="auto" w:fill="B9CDE5"/>
            <w:vAlign w:val="center"/>
            <w:hideMark/>
          </w:tcPr>
          <w:p w14:paraId="694B773D" w14:textId="77777777" w:rsidR="009001BC" w:rsidRPr="00E72168" w:rsidRDefault="009001BC" w:rsidP="009001B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līdz 1 gadam</w:t>
            </w:r>
          </w:p>
        </w:tc>
        <w:tc>
          <w:tcPr>
            <w:tcW w:w="530" w:type="pct"/>
            <w:tcBorders>
              <w:top w:val="single" w:sz="4" w:space="0" w:color="17365D"/>
              <w:bottom w:val="single" w:sz="4" w:space="0" w:color="17365D"/>
            </w:tcBorders>
            <w:shd w:val="clear" w:color="auto" w:fill="B9CDE5"/>
            <w:noWrap/>
            <w:vAlign w:val="center"/>
            <w:hideMark/>
          </w:tcPr>
          <w:p w14:paraId="0F2A4584" w14:textId="77777777" w:rsidR="009001BC" w:rsidRPr="00E72168" w:rsidRDefault="009001BC" w:rsidP="009001B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1 - 2 gadi</w:t>
            </w:r>
          </w:p>
        </w:tc>
        <w:tc>
          <w:tcPr>
            <w:tcW w:w="530" w:type="pct"/>
            <w:tcBorders>
              <w:top w:val="single" w:sz="4" w:space="0" w:color="17365D"/>
              <w:bottom w:val="single" w:sz="4" w:space="0" w:color="17365D"/>
            </w:tcBorders>
            <w:shd w:val="clear" w:color="auto" w:fill="B9CDE5"/>
            <w:noWrap/>
            <w:vAlign w:val="center"/>
            <w:hideMark/>
          </w:tcPr>
          <w:p w14:paraId="63B99113" w14:textId="77777777" w:rsidR="009001BC" w:rsidRPr="00E72168" w:rsidRDefault="009001BC" w:rsidP="009001B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3 - 5 gadi</w:t>
            </w:r>
          </w:p>
        </w:tc>
        <w:tc>
          <w:tcPr>
            <w:tcW w:w="532" w:type="pct"/>
            <w:tcBorders>
              <w:top w:val="single" w:sz="4" w:space="0" w:color="17365D"/>
              <w:bottom w:val="single" w:sz="4" w:space="0" w:color="17365D"/>
            </w:tcBorders>
            <w:shd w:val="clear" w:color="auto" w:fill="B9CDE5"/>
            <w:vAlign w:val="center"/>
            <w:hideMark/>
          </w:tcPr>
          <w:p w14:paraId="60FF619D" w14:textId="77777777" w:rsidR="009001BC" w:rsidRPr="00E72168" w:rsidRDefault="009001BC" w:rsidP="009001B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vairāk nekā 5 gadi</w:t>
            </w:r>
          </w:p>
        </w:tc>
        <w:tc>
          <w:tcPr>
            <w:tcW w:w="533" w:type="pct"/>
            <w:tcBorders>
              <w:top w:val="single" w:sz="4" w:space="0" w:color="17365D"/>
              <w:bottom w:val="single" w:sz="4" w:space="0" w:color="17365D"/>
            </w:tcBorders>
            <w:shd w:val="clear" w:color="auto" w:fill="B9CDE5"/>
            <w:vAlign w:val="center"/>
          </w:tcPr>
          <w:p w14:paraId="35910CED" w14:textId="2C063125" w:rsidR="009001BC" w:rsidRPr="00E72168" w:rsidRDefault="009001BC" w:rsidP="009001B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līdz 1 gadam</w:t>
            </w:r>
          </w:p>
        </w:tc>
        <w:tc>
          <w:tcPr>
            <w:tcW w:w="504" w:type="pct"/>
            <w:tcBorders>
              <w:top w:val="single" w:sz="4" w:space="0" w:color="17365D"/>
              <w:bottom w:val="single" w:sz="4" w:space="0" w:color="17365D"/>
            </w:tcBorders>
            <w:shd w:val="clear" w:color="auto" w:fill="B9CDE5"/>
            <w:vAlign w:val="center"/>
          </w:tcPr>
          <w:p w14:paraId="65A9F1C5" w14:textId="049818F5" w:rsidR="009001BC" w:rsidRPr="00E72168" w:rsidRDefault="009001BC" w:rsidP="009001B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1 - 2 gadi</w:t>
            </w:r>
          </w:p>
        </w:tc>
        <w:tc>
          <w:tcPr>
            <w:tcW w:w="504" w:type="pct"/>
            <w:tcBorders>
              <w:top w:val="single" w:sz="4" w:space="0" w:color="17365D"/>
              <w:bottom w:val="single" w:sz="4" w:space="0" w:color="17365D"/>
            </w:tcBorders>
            <w:shd w:val="clear" w:color="auto" w:fill="B8CCE4" w:themeFill="accent1" w:themeFillTint="66"/>
            <w:vAlign w:val="center"/>
          </w:tcPr>
          <w:p w14:paraId="11975B0B" w14:textId="5A02318A" w:rsidR="009001BC" w:rsidRPr="00E72168" w:rsidRDefault="009001BC" w:rsidP="009001B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3 - 5 gadi</w:t>
            </w:r>
          </w:p>
        </w:tc>
        <w:tc>
          <w:tcPr>
            <w:tcW w:w="505" w:type="pct"/>
            <w:tcBorders>
              <w:top w:val="single" w:sz="4" w:space="0" w:color="17365D"/>
              <w:bottom w:val="single" w:sz="4" w:space="0" w:color="17365D"/>
            </w:tcBorders>
            <w:shd w:val="clear" w:color="auto" w:fill="B8CCE4" w:themeFill="accent1" w:themeFillTint="66"/>
            <w:vAlign w:val="center"/>
          </w:tcPr>
          <w:p w14:paraId="19F7FB1C" w14:textId="0F165538" w:rsidR="009001BC" w:rsidRPr="00E72168" w:rsidRDefault="009001BC" w:rsidP="009001BC">
            <w:pPr>
              <w:spacing w:after="0" w:line="240" w:lineRule="auto"/>
              <w:jc w:val="center"/>
              <w:rPr>
                <w:rFonts w:cs="Times New Roman"/>
                <w:color w:val="17365D"/>
                <w:sz w:val="18"/>
                <w:szCs w:val="18"/>
              </w:rPr>
            </w:pPr>
            <w:r w:rsidRPr="00E72168">
              <w:rPr>
                <w:rFonts w:eastAsia="Times New Roman" w:cs="Times New Roman"/>
                <w:b/>
                <w:bCs/>
                <w:color w:val="17365D"/>
                <w:sz w:val="18"/>
                <w:szCs w:val="18"/>
                <w:lang w:eastAsia="lv-LV"/>
              </w:rPr>
              <w:t>vairāk nekā 5 gadi</w:t>
            </w:r>
          </w:p>
        </w:tc>
      </w:tr>
      <w:tr w:rsidR="000C1009" w:rsidRPr="00E72168" w14:paraId="4242DD46" w14:textId="59691878" w:rsidTr="003F0D49">
        <w:trPr>
          <w:trHeight w:val="194"/>
          <w:tblHeader/>
        </w:trPr>
        <w:tc>
          <w:tcPr>
            <w:tcW w:w="832" w:type="pct"/>
            <w:tcBorders>
              <w:top w:val="single" w:sz="4" w:space="0" w:color="17365D"/>
              <w:bottom w:val="single" w:sz="4" w:space="0" w:color="17365D"/>
            </w:tcBorders>
            <w:shd w:val="clear" w:color="auto" w:fill="auto"/>
            <w:noWrap/>
            <w:vAlign w:val="center"/>
            <w:hideMark/>
          </w:tcPr>
          <w:p w14:paraId="71A85651" w14:textId="77777777" w:rsidR="009001BC" w:rsidRPr="00E72168" w:rsidRDefault="009001BC" w:rsidP="006512D6">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A</w:t>
            </w:r>
          </w:p>
        </w:tc>
        <w:tc>
          <w:tcPr>
            <w:tcW w:w="530" w:type="pct"/>
            <w:tcBorders>
              <w:top w:val="single" w:sz="4" w:space="0" w:color="17365D"/>
              <w:bottom w:val="single" w:sz="4" w:space="0" w:color="17365D"/>
            </w:tcBorders>
            <w:shd w:val="clear" w:color="auto" w:fill="auto"/>
            <w:vAlign w:val="center"/>
            <w:hideMark/>
          </w:tcPr>
          <w:p w14:paraId="62045F61" w14:textId="77777777" w:rsidR="009001BC" w:rsidRPr="00E72168" w:rsidRDefault="009001BC" w:rsidP="006512D6">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530" w:type="pct"/>
            <w:tcBorders>
              <w:top w:val="single" w:sz="4" w:space="0" w:color="17365D"/>
              <w:bottom w:val="single" w:sz="4" w:space="0" w:color="17365D"/>
            </w:tcBorders>
            <w:shd w:val="clear" w:color="auto" w:fill="auto"/>
            <w:noWrap/>
            <w:vAlign w:val="center"/>
            <w:hideMark/>
          </w:tcPr>
          <w:p w14:paraId="5CCBF31D" w14:textId="77777777" w:rsidR="009001BC" w:rsidRPr="00E72168" w:rsidRDefault="009001BC" w:rsidP="006512D6">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530" w:type="pct"/>
            <w:tcBorders>
              <w:top w:val="single" w:sz="4" w:space="0" w:color="17365D"/>
              <w:bottom w:val="single" w:sz="4" w:space="0" w:color="17365D"/>
            </w:tcBorders>
            <w:shd w:val="clear" w:color="auto" w:fill="auto"/>
            <w:noWrap/>
            <w:vAlign w:val="center"/>
            <w:hideMark/>
          </w:tcPr>
          <w:p w14:paraId="173A8870" w14:textId="77777777" w:rsidR="009001BC" w:rsidRPr="00E72168" w:rsidRDefault="009001BC" w:rsidP="006512D6">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532" w:type="pct"/>
            <w:tcBorders>
              <w:top w:val="single" w:sz="4" w:space="0" w:color="17365D"/>
              <w:bottom w:val="single" w:sz="4" w:space="0" w:color="17365D"/>
            </w:tcBorders>
            <w:shd w:val="clear" w:color="auto" w:fill="auto"/>
            <w:vAlign w:val="center"/>
            <w:hideMark/>
          </w:tcPr>
          <w:p w14:paraId="3B90EF8E" w14:textId="77777777" w:rsidR="009001BC" w:rsidRPr="00E72168" w:rsidRDefault="009001BC" w:rsidP="006512D6">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c>
          <w:tcPr>
            <w:tcW w:w="533" w:type="pct"/>
            <w:tcBorders>
              <w:top w:val="single" w:sz="4" w:space="0" w:color="17365D"/>
              <w:bottom w:val="single" w:sz="4" w:space="0" w:color="17365D"/>
            </w:tcBorders>
          </w:tcPr>
          <w:p w14:paraId="402CD66E" w14:textId="4BC326C6" w:rsidR="009001BC" w:rsidRPr="00E72168" w:rsidRDefault="009001BC" w:rsidP="006512D6">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5</w:t>
            </w:r>
          </w:p>
        </w:tc>
        <w:tc>
          <w:tcPr>
            <w:tcW w:w="504" w:type="pct"/>
            <w:tcBorders>
              <w:top w:val="single" w:sz="4" w:space="0" w:color="17365D"/>
              <w:bottom w:val="single" w:sz="4" w:space="0" w:color="17365D"/>
            </w:tcBorders>
          </w:tcPr>
          <w:p w14:paraId="23340A97" w14:textId="7E62E0A5" w:rsidR="009001BC" w:rsidRPr="00E72168" w:rsidRDefault="009001BC" w:rsidP="009001BC">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6</w:t>
            </w:r>
          </w:p>
        </w:tc>
        <w:tc>
          <w:tcPr>
            <w:tcW w:w="504" w:type="pct"/>
            <w:tcBorders>
              <w:top w:val="single" w:sz="4" w:space="0" w:color="17365D"/>
              <w:bottom w:val="single" w:sz="4" w:space="0" w:color="17365D"/>
            </w:tcBorders>
          </w:tcPr>
          <w:p w14:paraId="5FAD98A5" w14:textId="4EB8EBA6" w:rsidR="009001BC" w:rsidRPr="00E72168" w:rsidRDefault="009001BC" w:rsidP="006512D6">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7</w:t>
            </w:r>
          </w:p>
        </w:tc>
        <w:tc>
          <w:tcPr>
            <w:tcW w:w="505" w:type="pct"/>
            <w:tcBorders>
              <w:top w:val="single" w:sz="4" w:space="0" w:color="17365D"/>
              <w:bottom w:val="single" w:sz="4" w:space="0" w:color="17365D"/>
            </w:tcBorders>
          </w:tcPr>
          <w:p w14:paraId="0470F18C" w14:textId="0BABC6FE" w:rsidR="009001BC" w:rsidRPr="00E72168" w:rsidRDefault="009001BC" w:rsidP="006512D6">
            <w:pPr>
              <w:spacing w:after="0" w:line="240" w:lineRule="auto"/>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8</w:t>
            </w:r>
          </w:p>
        </w:tc>
      </w:tr>
      <w:tr w:rsidR="009E1804" w:rsidRPr="00E72168" w14:paraId="538A8729" w14:textId="3B7569A2" w:rsidTr="00D55032">
        <w:trPr>
          <w:trHeight w:val="194"/>
        </w:trPr>
        <w:tc>
          <w:tcPr>
            <w:tcW w:w="832" w:type="pct"/>
            <w:tcBorders>
              <w:top w:val="single" w:sz="4" w:space="0" w:color="17365D"/>
              <w:bottom w:val="single" w:sz="4" w:space="0" w:color="17365D"/>
            </w:tcBorders>
            <w:shd w:val="clear" w:color="auto" w:fill="auto"/>
            <w:vAlign w:val="center"/>
            <w:hideMark/>
          </w:tcPr>
          <w:p w14:paraId="1A2F933C" w14:textId="77777777" w:rsidR="009E1804" w:rsidRPr="00E72168" w:rsidRDefault="009E1804" w:rsidP="009E1804">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Nekustamā īpašuma nodoklis par zemi</w:t>
            </w:r>
          </w:p>
        </w:tc>
        <w:tc>
          <w:tcPr>
            <w:tcW w:w="530" w:type="pct"/>
            <w:tcBorders>
              <w:top w:val="single" w:sz="4" w:space="0" w:color="17365D"/>
              <w:bottom w:val="single" w:sz="4" w:space="0" w:color="17365D"/>
            </w:tcBorders>
            <w:shd w:val="clear" w:color="auto" w:fill="auto"/>
            <w:noWrap/>
            <w:vAlign w:val="center"/>
          </w:tcPr>
          <w:p w14:paraId="2E301F3E" w14:textId="43A5D9D2"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6 810 813</w:t>
            </w:r>
          </w:p>
        </w:tc>
        <w:tc>
          <w:tcPr>
            <w:tcW w:w="530" w:type="pct"/>
            <w:tcBorders>
              <w:top w:val="single" w:sz="4" w:space="0" w:color="17365D"/>
              <w:bottom w:val="single" w:sz="4" w:space="0" w:color="17365D"/>
            </w:tcBorders>
            <w:shd w:val="clear" w:color="auto" w:fill="auto"/>
            <w:noWrap/>
            <w:vAlign w:val="center"/>
          </w:tcPr>
          <w:p w14:paraId="072B5B14" w14:textId="02F2181B"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2 964 412</w:t>
            </w:r>
          </w:p>
        </w:tc>
        <w:tc>
          <w:tcPr>
            <w:tcW w:w="530" w:type="pct"/>
            <w:tcBorders>
              <w:top w:val="single" w:sz="4" w:space="0" w:color="17365D"/>
              <w:bottom w:val="single" w:sz="4" w:space="0" w:color="17365D"/>
            </w:tcBorders>
            <w:shd w:val="clear" w:color="auto" w:fill="auto"/>
            <w:noWrap/>
            <w:vAlign w:val="center"/>
          </w:tcPr>
          <w:p w14:paraId="2551C1AB" w14:textId="5F59E872"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1 499 783</w:t>
            </w:r>
          </w:p>
        </w:tc>
        <w:tc>
          <w:tcPr>
            <w:tcW w:w="532" w:type="pct"/>
            <w:tcBorders>
              <w:top w:val="single" w:sz="4" w:space="0" w:color="17365D"/>
              <w:bottom w:val="single" w:sz="4" w:space="0" w:color="17365D"/>
            </w:tcBorders>
            <w:shd w:val="clear" w:color="auto" w:fill="auto"/>
            <w:noWrap/>
            <w:vAlign w:val="center"/>
          </w:tcPr>
          <w:p w14:paraId="4C7F87D3" w14:textId="3BEDCEAF"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4 245 419</w:t>
            </w:r>
          </w:p>
        </w:tc>
        <w:tc>
          <w:tcPr>
            <w:tcW w:w="533" w:type="pct"/>
            <w:tcBorders>
              <w:top w:val="single" w:sz="4" w:space="0" w:color="17365D"/>
              <w:bottom w:val="single" w:sz="4" w:space="0" w:color="17365D"/>
            </w:tcBorders>
            <w:shd w:val="clear" w:color="auto" w:fill="auto"/>
            <w:vAlign w:val="center"/>
          </w:tcPr>
          <w:p w14:paraId="78EDD6C2" w14:textId="480FA3A3"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7 159 478</w:t>
            </w:r>
          </w:p>
        </w:tc>
        <w:tc>
          <w:tcPr>
            <w:tcW w:w="504" w:type="pct"/>
            <w:tcBorders>
              <w:top w:val="single" w:sz="4" w:space="0" w:color="17365D"/>
              <w:bottom w:val="single" w:sz="4" w:space="0" w:color="17365D"/>
            </w:tcBorders>
            <w:shd w:val="clear" w:color="auto" w:fill="auto"/>
            <w:vAlign w:val="center"/>
          </w:tcPr>
          <w:p w14:paraId="31DC2FD6" w14:textId="3D7F6839"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3 311 789</w:t>
            </w:r>
          </w:p>
        </w:tc>
        <w:tc>
          <w:tcPr>
            <w:tcW w:w="504" w:type="pct"/>
            <w:tcBorders>
              <w:top w:val="single" w:sz="4" w:space="0" w:color="17365D"/>
              <w:bottom w:val="single" w:sz="4" w:space="0" w:color="17365D"/>
            </w:tcBorders>
            <w:shd w:val="clear" w:color="auto" w:fill="auto"/>
            <w:vAlign w:val="center"/>
          </w:tcPr>
          <w:p w14:paraId="3EA2CCBF" w14:textId="0EFA4F42"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1 608 325</w:t>
            </w:r>
          </w:p>
        </w:tc>
        <w:tc>
          <w:tcPr>
            <w:tcW w:w="505" w:type="pct"/>
            <w:tcBorders>
              <w:top w:val="single" w:sz="4" w:space="0" w:color="17365D"/>
              <w:bottom w:val="single" w:sz="4" w:space="0" w:color="17365D"/>
            </w:tcBorders>
            <w:shd w:val="clear" w:color="auto" w:fill="auto"/>
            <w:vAlign w:val="center"/>
          </w:tcPr>
          <w:p w14:paraId="21853DC8" w14:textId="4FE52FCA"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4 265 319</w:t>
            </w:r>
          </w:p>
        </w:tc>
      </w:tr>
      <w:tr w:rsidR="009E1804" w:rsidRPr="00E72168" w14:paraId="269F071F" w14:textId="3037DC0B" w:rsidTr="00D55032">
        <w:trPr>
          <w:trHeight w:val="224"/>
        </w:trPr>
        <w:tc>
          <w:tcPr>
            <w:tcW w:w="832" w:type="pct"/>
            <w:tcBorders>
              <w:top w:val="single" w:sz="4" w:space="0" w:color="17365D"/>
              <w:bottom w:val="single" w:sz="4" w:space="0" w:color="17365D"/>
            </w:tcBorders>
            <w:shd w:val="clear" w:color="auto" w:fill="auto"/>
            <w:vAlign w:val="center"/>
            <w:hideMark/>
          </w:tcPr>
          <w:p w14:paraId="0470241D" w14:textId="77777777" w:rsidR="009E1804" w:rsidRPr="00E72168" w:rsidRDefault="009E1804" w:rsidP="009E1804">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Nekustamā īpašuma nodoklis par ēkām un būvēm</w:t>
            </w:r>
          </w:p>
        </w:tc>
        <w:tc>
          <w:tcPr>
            <w:tcW w:w="530" w:type="pct"/>
            <w:tcBorders>
              <w:top w:val="single" w:sz="4" w:space="0" w:color="17365D"/>
              <w:bottom w:val="single" w:sz="4" w:space="0" w:color="17365D"/>
            </w:tcBorders>
            <w:shd w:val="clear" w:color="auto" w:fill="auto"/>
            <w:noWrap/>
            <w:vAlign w:val="center"/>
          </w:tcPr>
          <w:p w14:paraId="5D261572" w14:textId="2A3F9DD9"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3 217 189</w:t>
            </w:r>
          </w:p>
        </w:tc>
        <w:tc>
          <w:tcPr>
            <w:tcW w:w="530" w:type="pct"/>
            <w:tcBorders>
              <w:top w:val="single" w:sz="4" w:space="0" w:color="17365D"/>
              <w:bottom w:val="single" w:sz="4" w:space="0" w:color="17365D"/>
            </w:tcBorders>
            <w:shd w:val="clear" w:color="auto" w:fill="auto"/>
            <w:noWrap/>
            <w:vAlign w:val="center"/>
          </w:tcPr>
          <w:p w14:paraId="19119700" w14:textId="7B546FF5"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1 954 521</w:t>
            </w:r>
          </w:p>
        </w:tc>
        <w:tc>
          <w:tcPr>
            <w:tcW w:w="530" w:type="pct"/>
            <w:tcBorders>
              <w:top w:val="single" w:sz="4" w:space="0" w:color="17365D"/>
              <w:bottom w:val="single" w:sz="4" w:space="0" w:color="17365D"/>
            </w:tcBorders>
            <w:shd w:val="clear" w:color="auto" w:fill="auto"/>
            <w:noWrap/>
            <w:vAlign w:val="center"/>
          </w:tcPr>
          <w:p w14:paraId="52DA93A5" w14:textId="57619E09"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959 296</w:t>
            </w:r>
          </w:p>
        </w:tc>
        <w:tc>
          <w:tcPr>
            <w:tcW w:w="532" w:type="pct"/>
            <w:tcBorders>
              <w:top w:val="single" w:sz="4" w:space="0" w:color="17365D"/>
              <w:bottom w:val="single" w:sz="4" w:space="0" w:color="17365D"/>
            </w:tcBorders>
            <w:shd w:val="clear" w:color="auto" w:fill="auto"/>
            <w:noWrap/>
            <w:vAlign w:val="center"/>
          </w:tcPr>
          <w:p w14:paraId="265F0712" w14:textId="1A951328"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2 079 213</w:t>
            </w:r>
          </w:p>
        </w:tc>
        <w:tc>
          <w:tcPr>
            <w:tcW w:w="533" w:type="pct"/>
            <w:tcBorders>
              <w:top w:val="single" w:sz="4" w:space="0" w:color="17365D"/>
              <w:bottom w:val="single" w:sz="4" w:space="0" w:color="17365D"/>
            </w:tcBorders>
            <w:shd w:val="clear" w:color="auto" w:fill="auto"/>
            <w:vAlign w:val="center"/>
          </w:tcPr>
          <w:p w14:paraId="6C43B00A" w14:textId="62546B7A"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3 404 798</w:t>
            </w:r>
          </w:p>
        </w:tc>
        <w:tc>
          <w:tcPr>
            <w:tcW w:w="504" w:type="pct"/>
            <w:tcBorders>
              <w:top w:val="single" w:sz="4" w:space="0" w:color="17365D"/>
              <w:bottom w:val="single" w:sz="4" w:space="0" w:color="17365D"/>
            </w:tcBorders>
            <w:shd w:val="clear" w:color="auto" w:fill="auto"/>
            <w:vAlign w:val="center"/>
          </w:tcPr>
          <w:p w14:paraId="595C2EEE" w14:textId="7469E8E3"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2 062 960</w:t>
            </w:r>
          </w:p>
        </w:tc>
        <w:tc>
          <w:tcPr>
            <w:tcW w:w="504" w:type="pct"/>
            <w:tcBorders>
              <w:top w:val="single" w:sz="4" w:space="0" w:color="17365D"/>
              <w:bottom w:val="single" w:sz="4" w:space="0" w:color="17365D"/>
            </w:tcBorders>
            <w:shd w:val="clear" w:color="auto" w:fill="auto"/>
            <w:vAlign w:val="center"/>
          </w:tcPr>
          <w:p w14:paraId="34F7B352" w14:textId="229BAC64"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1 086 777</w:t>
            </w:r>
          </w:p>
        </w:tc>
        <w:tc>
          <w:tcPr>
            <w:tcW w:w="505" w:type="pct"/>
            <w:tcBorders>
              <w:top w:val="single" w:sz="4" w:space="0" w:color="17365D"/>
              <w:bottom w:val="single" w:sz="4" w:space="0" w:color="17365D"/>
            </w:tcBorders>
            <w:shd w:val="clear" w:color="auto" w:fill="auto"/>
            <w:vAlign w:val="center"/>
          </w:tcPr>
          <w:p w14:paraId="047DAB79" w14:textId="0169CCFB"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2 449 227</w:t>
            </w:r>
          </w:p>
        </w:tc>
      </w:tr>
      <w:tr w:rsidR="009E1804" w:rsidRPr="00E72168" w14:paraId="3F6FA918" w14:textId="4F3D3455" w:rsidTr="00D55032">
        <w:trPr>
          <w:trHeight w:val="194"/>
        </w:trPr>
        <w:tc>
          <w:tcPr>
            <w:tcW w:w="832" w:type="pct"/>
            <w:tcBorders>
              <w:top w:val="single" w:sz="4" w:space="0" w:color="17365D"/>
              <w:bottom w:val="single" w:sz="4" w:space="0" w:color="17365D"/>
            </w:tcBorders>
            <w:shd w:val="clear" w:color="auto" w:fill="auto"/>
            <w:vAlign w:val="center"/>
            <w:hideMark/>
          </w:tcPr>
          <w:p w14:paraId="3DE0F1F9" w14:textId="77777777" w:rsidR="009E1804" w:rsidRPr="00E72168" w:rsidRDefault="009E1804" w:rsidP="009E1804">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Nekustamā īpašuma nodoklis par mājokļiem</w:t>
            </w:r>
          </w:p>
        </w:tc>
        <w:tc>
          <w:tcPr>
            <w:tcW w:w="530" w:type="pct"/>
            <w:tcBorders>
              <w:top w:val="single" w:sz="4" w:space="0" w:color="17365D"/>
              <w:bottom w:val="single" w:sz="4" w:space="0" w:color="17365D"/>
            </w:tcBorders>
            <w:shd w:val="clear" w:color="auto" w:fill="auto"/>
            <w:noWrap/>
            <w:vAlign w:val="center"/>
          </w:tcPr>
          <w:p w14:paraId="79AFC2C2" w14:textId="53D7E211"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3 214 067</w:t>
            </w:r>
          </w:p>
        </w:tc>
        <w:tc>
          <w:tcPr>
            <w:tcW w:w="530" w:type="pct"/>
            <w:tcBorders>
              <w:top w:val="single" w:sz="4" w:space="0" w:color="17365D"/>
              <w:bottom w:val="single" w:sz="4" w:space="0" w:color="17365D"/>
            </w:tcBorders>
            <w:shd w:val="clear" w:color="auto" w:fill="auto"/>
            <w:noWrap/>
            <w:vAlign w:val="center"/>
          </w:tcPr>
          <w:p w14:paraId="66CF7C7E" w14:textId="108DC3D0"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1 333 531</w:t>
            </w:r>
          </w:p>
        </w:tc>
        <w:tc>
          <w:tcPr>
            <w:tcW w:w="530" w:type="pct"/>
            <w:tcBorders>
              <w:top w:val="single" w:sz="4" w:space="0" w:color="17365D"/>
              <w:bottom w:val="single" w:sz="4" w:space="0" w:color="17365D"/>
            </w:tcBorders>
            <w:shd w:val="clear" w:color="auto" w:fill="auto"/>
            <w:noWrap/>
            <w:vAlign w:val="center"/>
          </w:tcPr>
          <w:p w14:paraId="40E7DCE4" w14:textId="24461952"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565 310</w:t>
            </w:r>
          </w:p>
        </w:tc>
        <w:tc>
          <w:tcPr>
            <w:tcW w:w="532" w:type="pct"/>
            <w:tcBorders>
              <w:top w:val="single" w:sz="4" w:space="0" w:color="17365D"/>
              <w:bottom w:val="single" w:sz="4" w:space="0" w:color="17365D"/>
            </w:tcBorders>
            <w:shd w:val="clear" w:color="auto" w:fill="auto"/>
            <w:noWrap/>
            <w:vAlign w:val="center"/>
          </w:tcPr>
          <w:p w14:paraId="1A11FEFB" w14:textId="0F64DC45"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885 507</w:t>
            </w:r>
          </w:p>
        </w:tc>
        <w:tc>
          <w:tcPr>
            <w:tcW w:w="533" w:type="pct"/>
            <w:tcBorders>
              <w:top w:val="single" w:sz="4" w:space="0" w:color="17365D"/>
              <w:bottom w:val="single" w:sz="4" w:space="0" w:color="17365D"/>
            </w:tcBorders>
            <w:shd w:val="clear" w:color="auto" w:fill="auto"/>
            <w:vAlign w:val="center"/>
          </w:tcPr>
          <w:p w14:paraId="60E19098" w14:textId="61BDACC3"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3 104 589</w:t>
            </w:r>
          </w:p>
        </w:tc>
        <w:tc>
          <w:tcPr>
            <w:tcW w:w="504" w:type="pct"/>
            <w:tcBorders>
              <w:top w:val="single" w:sz="4" w:space="0" w:color="17365D"/>
              <w:bottom w:val="single" w:sz="4" w:space="0" w:color="17365D"/>
            </w:tcBorders>
            <w:shd w:val="clear" w:color="auto" w:fill="auto"/>
            <w:vAlign w:val="center"/>
          </w:tcPr>
          <w:p w14:paraId="46208A9E" w14:textId="54705EF3"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1 304 861</w:t>
            </w:r>
          </w:p>
        </w:tc>
        <w:tc>
          <w:tcPr>
            <w:tcW w:w="504" w:type="pct"/>
            <w:tcBorders>
              <w:top w:val="single" w:sz="4" w:space="0" w:color="17365D"/>
              <w:bottom w:val="single" w:sz="4" w:space="0" w:color="17365D"/>
            </w:tcBorders>
            <w:shd w:val="clear" w:color="auto" w:fill="auto"/>
            <w:vAlign w:val="center"/>
          </w:tcPr>
          <w:p w14:paraId="2D583F7C" w14:textId="2E72A0CC"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521 329</w:t>
            </w:r>
          </w:p>
        </w:tc>
        <w:tc>
          <w:tcPr>
            <w:tcW w:w="505" w:type="pct"/>
            <w:tcBorders>
              <w:top w:val="single" w:sz="4" w:space="0" w:color="17365D"/>
              <w:bottom w:val="single" w:sz="4" w:space="0" w:color="17365D"/>
            </w:tcBorders>
            <w:shd w:val="clear" w:color="auto" w:fill="auto"/>
            <w:vAlign w:val="center"/>
          </w:tcPr>
          <w:p w14:paraId="6A9166BD" w14:textId="62D947E1" w:rsidR="009E1804" w:rsidRPr="00E72168" w:rsidRDefault="009E1804" w:rsidP="009E1804">
            <w:pPr>
              <w:spacing w:after="0" w:line="240" w:lineRule="auto"/>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887 590</w:t>
            </w:r>
          </w:p>
        </w:tc>
      </w:tr>
      <w:tr w:rsidR="009E1804" w:rsidRPr="00E72168" w14:paraId="3FDFB4BF" w14:textId="74C49882" w:rsidTr="00D55032">
        <w:trPr>
          <w:trHeight w:val="194"/>
        </w:trPr>
        <w:tc>
          <w:tcPr>
            <w:tcW w:w="832" w:type="pct"/>
            <w:tcBorders>
              <w:top w:val="single" w:sz="4" w:space="0" w:color="17365D"/>
            </w:tcBorders>
            <w:shd w:val="clear" w:color="auto" w:fill="B9CDE5"/>
            <w:vAlign w:val="center"/>
            <w:hideMark/>
          </w:tcPr>
          <w:p w14:paraId="39B6C341" w14:textId="17391C5F" w:rsidR="009E1804" w:rsidRPr="00E72168" w:rsidRDefault="009E1804" w:rsidP="009E1804">
            <w:pPr>
              <w:spacing w:after="0" w:line="240" w:lineRule="auto"/>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Kopā</w:t>
            </w:r>
          </w:p>
        </w:tc>
        <w:tc>
          <w:tcPr>
            <w:tcW w:w="530" w:type="pct"/>
            <w:tcBorders>
              <w:top w:val="single" w:sz="4" w:space="0" w:color="17365D"/>
            </w:tcBorders>
            <w:shd w:val="clear" w:color="auto" w:fill="B8CCE4" w:themeFill="accent1" w:themeFillTint="66"/>
            <w:noWrap/>
            <w:vAlign w:val="center"/>
          </w:tcPr>
          <w:p w14:paraId="336D5DAB" w14:textId="0EC1425C" w:rsidR="009E1804" w:rsidRPr="00E72168" w:rsidRDefault="009E1804" w:rsidP="009E1804">
            <w:pPr>
              <w:spacing w:after="0"/>
              <w:ind w:left="-113"/>
              <w:jc w:val="right"/>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13 242 069</w:t>
            </w:r>
          </w:p>
        </w:tc>
        <w:tc>
          <w:tcPr>
            <w:tcW w:w="530" w:type="pct"/>
            <w:tcBorders>
              <w:top w:val="single" w:sz="4" w:space="0" w:color="17365D"/>
            </w:tcBorders>
            <w:shd w:val="clear" w:color="auto" w:fill="B8CCE4" w:themeFill="accent1" w:themeFillTint="66"/>
            <w:noWrap/>
            <w:vAlign w:val="center"/>
          </w:tcPr>
          <w:p w14:paraId="05AF46C9" w14:textId="66760727" w:rsidR="009E1804" w:rsidRPr="00E72168" w:rsidRDefault="009E1804" w:rsidP="009E1804">
            <w:pPr>
              <w:spacing w:after="0"/>
              <w:ind w:left="-113"/>
              <w:jc w:val="right"/>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6 252 464</w:t>
            </w:r>
          </w:p>
        </w:tc>
        <w:tc>
          <w:tcPr>
            <w:tcW w:w="530" w:type="pct"/>
            <w:tcBorders>
              <w:top w:val="single" w:sz="4" w:space="0" w:color="17365D"/>
            </w:tcBorders>
            <w:shd w:val="clear" w:color="auto" w:fill="B8CCE4" w:themeFill="accent1" w:themeFillTint="66"/>
            <w:noWrap/>
            <w:vAlign w:val="center"/>
          </w:tcPr>
          <w:p w14:paraId="303B4272" w14:textId="0819F062" w:rsidR="009E1804" w:rsidRPr="00E72168" w:rsidRDefault="009E1804" w:rsidP="009E1804">
            <w:pPr>
              <w:spacing w:after="0"/>
              <w:ind w:left="-113"/>
              <w:jc w:val="right"/>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3 024 389</w:t>
            </w:r>
          </w:p>
        </w:tc>
        <w:tc>
          <w:tcPr>
            <w:tcW w:w="532" w:type="pct"/>
            <w:tcBorders>
              <w:top w:val="single" w:sz="4" w:space="0" w:color="17365D"/>
            </w:tcBorders>
            <w:shd w:val="clear" w:color="auto" w:fill="B8CCE4" w:themeFill="accent1" w:themeFillTint="66"/>
            <w:noWrap/>
            <w:vAlign w:val="center"/>
          </w:tcPr>
          <w:p w14:paraId="6C70D672" w14:textId="167EC0BC" w:rsidR="009E1804" w:rsidRPr="00E72168" w:rsidRDefault="009E1804" w:rsidP="009E1804">
            <w:pPr>
              <w:spacing w:after="0"/>
              <w:ind w:left="-113"/>
              <w:jc w:val="right"/>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7 210 139</w:t>
            </w:r>
          </w:p>
        </w:tc>
        <w:tc>
          <w:tcPr>
            <w:tcW w:w="533" w:type="pct"/>
            <w:tcBorders>
              <w:top w:val="single" w:sz="4" w:space="0" w:color="17365D"/>
            </w:tcBorders>
            <w:shd w:val="clear" w:color="auto" w:fill="B8CCE4" w:themeFill="accent1" w:themeFillTint="66"/>
            <w:vAlign w:val="center"/>
          </w:tcPr>
          <w:p w14:paraId="4A3693C6" w14:textId="67D03ACF" w:rsidR="009E1804" w:rsidRPr="00E72168" w:rsidRDefault="009E1804" w:rsidP="009E1804">
            <w:pPr>
              <w:spacing w:after="0"/>
              <w:ind w:left="-113"/>
              <w:jc w:val="right"/>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13 668 865</w:t>
            </w:r>
          </w:p>
        </w:tc>
        <w:tc>
          <w:tcPr>
            <w:tcW w:w="504" w:type="pct"/>
            <w:tcBorders>
              <w:top w:val="single" w:sz="4" w:space="0" w:color="17365D"/>
            </w:tcBorders>
            <w:shd w:val="clear" w:color="auto" w:fill="B8CCE4" w:themeFill="accent1" w:themeFillTint="66"/>
            <w:vAlign w:val="center"/>
          </w:tcPr>
          <w:p w14:paraId="13E174DB" w14:textId="03D776BC" w:rsidR="009E1804" w:rsidRPr="00E72168" w:rsidRDefault="009E1804" w:rsidP="009E1804">
            <w:pPr>
              <w:spacing w:after="0"/>
              <w:ind w:left="-113"/>
              <w:jc w:val="right"/>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6 679 610</w:t>
            </w:r>
          </w:p>
        </w:tc>
        <w:tc>
          <w:tcPr>
            <w:tcW w:w="504" w:type="pct"/>
            <w:tcBorders>
              <w:top w:val="single" w:sz="4" w:space="0" w:color="17365D"/>
            </w:tcBorders>
            <w:shd w:val="clear" w:color="auto" w:fill="B8CCE4" w:themeFill="accent1" w:themeFillTint="66"/>
            <w:vAlign w:val="center"/>
          </w:tcPr>
          <w:p w14:paraId="6194E4D1" w14:textId="2B139ED8" w:rsidR="009E1804" w:rsidRPr="00E72168" w:rsidRDefault="009E1804" w:rsidP="009E1804">
            <w:pPr>
              <w:spacing w:after="0"/>
              <w:ind w:left="-113"/>
              <w:jc w:val="right"/>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3 216 431</w:t>
            </w:r>
          </w:p>
        </w:tc>
        <w:tc>
          <w:tcPr>
            <w:tcW w:w="505" w:type="pct"/>
            <w:tcBorders>
              <w:top w:val="single" w:sz="4" w:space="0" w:color="17365D"/>
            </w:tcBorders>
            <w:shd w:val="clear" w:color="auto" w:fill="B8CCE4" w:themeFill="accent1" w:themeFillTint="66"/>
            <w:vAlign w:val="center"/>
          </w:tcPr>
          <w:p w14:paraId="356D02A7" w14:textId="5E482C60" w:rsidR="009E1804" w:rsidRPr="00E72168" w:rsidRDefault="009E1804" w:rsidP="009E1804">
            <w:pPr>
              <w:spacing w:after="0"/>
              <w:ind w:left="-113"/>
              <w:jc w:val="right"/>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7 602 136</w:t>
            </w:r>
          </w:p>
        </w:tc>
      </w:tr>
    </w:tbl>
    <w:p w14:paraId="39DB7161" w14:textId="77777777" w:rsidR="00CE6606" w:rsidRPr="00E72168" w:rsidRDefault="00CE6606" w:rsidP="00BB3FA5">
      <w:pPr>
        <w:spacing w:after="120" w:line="240" w:lineRule="auto"/>
        <w:ind w:firstLine="284"/>
        <w:jc w:val="both"/>
        <w:rPr>
          <w:rFonts w:eastAsia="Times New Roman" w:cs="Times New Roman"/>
          <w:b/>
          <w:bCs/>
          <w:color w:val="17365D"/>
          <w:sz w:val="18"/>
          <w:szCs w:val="18"/>
          <w:lang w:eastAsia="lv-LV"/>
        </w:rPr>
      </w:pPr>
    </w:p>
    <w:p w14:paraId="6A9801A1" w14:textId="5D38F29C" w:rsidR="0057470D" w:rsidRPr="00E72168" w:rsidRDefault="0048672F" w:rsidP="0057470D">
      <w:pPr>
        <w:spacing w:after="120" w:line="240" w:lineRule="auto"/>
        <w:ind w:firstLine="284"/>
        <w:jc w:val="both"/>
        <w:rPr>
          <w:rFonts w:cs="Times New Roman"/>
          <w:color w:val="17365D"/>
        </w:rPr>
      </w:pPr>
      <w:r w:rsidRPr="00E72168">
        <w:rPr>
          <w:rFonts w:cs="Times New Roman"/>
          <w:color w:val="17365D"/>
        </w:rPr>
        <w:t>Pārskata gadā piešķirt</w:t>
      </w:r>
      <w:r w:rsidR="003E7CEB" w:rsidRPr="00E72168">
        <w:rPr>
          <w:rFonts w:cs="Times New Roman"/>
          <w:color w:val="17365D"/>
        </w:rPr>
        <w:t>o</w:t>
      </w:r>
      <w:r w:rsidRPr="00E72168">
        <w:rPr>
          <w:rFonts w:cs="Times New Roman"/>
          <w:color w:val="17365D"/>
        </w:rPr>
        <w:t xml:space="preserve"> </w:t>
      </w:r>
      <w:r w:rsidR="00BB3FA5" w:rsidRPr="00E72168">
        <w:rPr>
          <w:rFonts w:cs="Times New Roman"/>
          <w:color w:val="17365D"/>
        </w:rPr>
        <w:t xml:space="preserve">nekustamā īpašuma </w:t>
      </w:r>
      <w:r w:rsidRPr="00E72168">
        <w:rPr>
          <w:rFonts w:cs="Times New Roman"/>
          <w:color w:val="17365D"/>
        </w:rPr>
        <w:t>nodokļ</w:t>
      </w:r>
      <w:r w:rsidR="00BB3FA5" w:rsidRPr="00E72168">
        <w:rPr>
          <w:rFonts w:cs="Times New Roman"/>
          <w:color w:val="17365D"/>
        </w:rPr>
        <w:t>a</w:t>
      </w:r>
      <w:r w:rsidRPr="00E72168">
        <w:rPr>
          <w:rFonts w:cs="Times New Roman"/>
          <w:color w:val="17365D"/>
        </w:rPr>
        <w:t xml:space="preserve"> atvieglojum</w:t>
      </w:r>
      <w:r w:rsidR="003E7CEB" w:rsidRPr="00E72168">
        <w:rPr>
          <w:rFonts w:cs="Times New Roman"/>
          <w:color w:val="17365D"/>
        </w:rPr>
        <w:t xml:space="preserve">u kopsumma norādīta </w:t>
      </w:r>
      <w:r w:rsidR="00F06FED">
        <w:rPr>
          <w:rFonts w:cs="Times New Roman"/>
          <w:color w:val="17365D"/>
        </w:rPr>
        <w:t>1.</w:t>
      </w:r>
      <w:r w:rsidR="00CE6606" w:rsidRPr="00E72168">
        <w:rPr>
          <w:rFonts w:cs="Times New Roman"/>
          <w:color w:val="17365D"/>
        </w:rPr>
        <w:t>1</w:t>
      </w:r>
      <w:r w:rsidR="00241FC4" w:rsidRPr="00E72168">
        <w:rPr>
          <w:rFonts w:cs="Times New Roman"/>
          <w:color w:val="17365D"/>
        </w:rPr>
        <w:t>3</w:t>
      </w:r>
      <w:r w:rsidR="007E57EC" w:rsidRPr="00E72168">
        <w:rPr>
          <w:rFonts w:cs="Times New Roman"/>
          <w:color w:val="17365D"/>
        </w:rPr>
        <w:t>. </w:t>
      </w:r>
      <w:r w:rsidR="003E7CEB" w:rsidRPr="00E72168">
        <w:rPr>
          <w:rFonts w:cs="Times New Roman"/>
          <w:color w:val="17365D"/>
        </w:rPr>
        <w:t>tabulā</w:t>
      </w:r>
      <w:r w:rsidR="00BB3FA5" w:rsidRPr="00E72168">
        <w:rPr>
          <w:rFonts w:cs="Times New Roman"/>
          <w:color w:val="17365D"/>
        </w:rPr>
        <w:t>.</w:t>
      </w:r>
      <w:r w:rsidR="00EB68F9" w:rsidRPr="00E72168">
        <w:rPr>
          <w:rFonts w:cs="Times New Roman"/>
          <w:color w:val="17365D"/>
        </w:rPr>
        <w:t xml:space="preserve"> Atbilstoši likumā </w:t>
      </w:r>
      <w:r w:rsidR="006B0E02">
        <w:rPr>
          <w:rFonts w:cs="Times New Roman"/>
          <w:color w:val="17365D"/>
        </w:rPr>
        <w:t>“</w:t>
      </w:r>
      <w:r w:rsidR="006B0E02" w:rsidRPr="006B0E02">
        <w:rPr>
          <w:rFonts w:cs="Times New Roman"/>
          <w:color w:val="17365D"/>
        </w:rPr>
        <w:t>Par nekustamā īpašuma nodokli</w:t>
      </w:r>
      <w:r w:rsidR="006B0E02">
        <w:rPr>
          <w:rFonts w:cs="Times New Roman"/>
          <w:color w:val="17365D"/>
        </w:rPr>
        <w:t xml:space="preserve">” </w:t>
      </w:r>
      <w:r w:rsidR="00EB68F9" w:rsidRPr="00E72168">
        <w:rPr>
          <w:rFonts w:cs="Times New Roman"/>
          <w:color w:val="17365D"/>
        </w:rPr>
        <w:t>paredzētajam atviegloju</w:t>
      </w:r>
      <w:r w:rsidR="00DF71F1" w:rsidRPr="00E72168">
        <w:rPr>
          <w:rFonts w:cs="Times New Roman"/>
          <w:color w:val="17365D"/>
        </w:rPr>
        <w:t>ma veidam piešķirti nodokļa atvi</w:t>
      </w:r>
      <w:r w:rsidR="00EB68F9" w:rsidRPr="00E72168">
        <w:rPr>
          <w:rFonts w:cs="Times New Roman"/>
          <w:color w:val="17365D"/>
        </w:rPr>
        <w:t>eglojumi</w:t>
      </w:r>
      <w:r w:rsidR="00EA0F97" w:rsidRPr="00E72168">
        <w:rPr>
          <w:rFonts w:cs="Times New Roman"/>
          <w:color w:val="17365D"/>
        </w:rPr>
        <w:t xml:space="preserve"> </w:t>
      </w:r>
      <w:r w:rsidR="00EB68F9" w:rsidRPr="00E72168">
        <w:rPr>
          <w:rFonts w:cs="Times New Roman"/>
          <w:color w:val="17365D"/>
        </w:rPr>
        <w:t>3</w:t>
      </w:r>
      <w:r w:rsidR="00EA0F97" w:rsidRPr="00E72168">
        <w:rPr>
          <w:rFonts w:cs="Times New Roman"/>
          <w:color w:val="17365D"/>
        </w:rPr>
        <w:t> </w:t>
      </w:r>
      <w:r w:rsidR="00EB68F9" w:rsidRPr="00E72168">
        <w:rPr>
          <w:rFonts w:cs="Times New Roman"/>
          <w:color w:val="17365D"/>
        </w:rPr>
        <w:t xml:space="preserve">354 661 </w:t>
      </w:r>
      <w:r w:rsidR="00EB68F9" w:rsidRPr="00E72168">
        <w:rPr>
          <w:rFonts w:cs="Times New Roman"/>
          <w:i/>
          <w:color w:val="17365D"/>
        </w:rPr>
        <w:t xml:space="preserve">euro </w:t>
      </w:r>
      <w:r w:rsidR="00EB68F9" w:rsidRPr="00E72168">
        <w:rPr>
          <w:rFonts w:cs="Times New Roman"/>
          <w:color w:val="17365D"/>
        </w:rPr>
        <w:t>apmērā, atbilstoši iestādes saistošajos noteikumos noteiktajiem atvieglojumiem</w:t>
      </w:r>
      <w:r w:rsidR="00EA0F97" w:rsidRPr="00E72168">
        <w:rPr>
          <w:rFonts w:cs="Times New Roman"/>
          <w:color w:val="17365D"/>
        </w:rPr>
        <w:t xml:space="preserve"> </w:t>
      </w:r>
      <w:r w:rsidR="00EA0F97" w:rsidRPr="00E72168">
        <w:rPr>
          <w:rFonts w:cs="Times New Roman"/>
          <w:color w:val="17365D"/>
        </w:rPr>
        <w:softHyphen/>
        <w:t xml:space="preserve"> </w:t>
      </w:r>
      <w:r w:rsidR="00EB68F9" w:rsidRPr="00E72168">
        <w:rPr>
          <w:rFonts w:cs="Times New Roman"/>
          <w:color w:val="17365D"/>
        </w:rPr>
        <w:t>14</w:t>
      </w:r>
      <w:r w:rsidR="00EA0F97" w:rsidRPr="00E72168">
        <w:rPr>
          <w:rFonts w:cs="Times New Roman"/>
          <w:color w:val="17365D"/>
        </w:rPr>
        <w:t> </w:t>
      </w:r>
      <w:r w:rsidR="00EB68F9" w:rsidRPr="00E72168">
        <w:rPr>
          <w:rFonts w:cs="Times New Roman"/>
          <w:color w:val="17365D"/>
        </w:rPr>
        <w:t xml:space="preserve">034 175 </w:t>
      </w:r>
      <w:r w:rsidR="00EB68F9" w:rsidRPr="00E72168">
        <w:rPr>
          <w:rFonts w:cs="Times New Roman"/>
          <w:i/>
          <w:color w:val="17365D"/>
        </w:rPr>
        <w:t xml:space="preserve">euro </w:t>
      </w:r>
      <w:r w:rsidR="00EB68F9" w:rsidRPr="00E72168">
        <w:rPr>
          <w:rFonts w:cs="Times New Roman"/>
          <w:color w:val="17365D"/>
        </w:rPr>
        <w:t xml:space="preserve">apmērā. </w:t>
      </w:r>
    </w:p>
    <w:p w14:paraId="741CC23D" w14:textId="776F1DF0" w:rsidR="005B5D45" w:rsidRPr="00E72168" w:rsidRDefault="00F06FED" w:rsidP="00C36594">
      <w:pPr>
        <w:spacing w:after="0" w:line="240" w:lineRule="auto"/>
        <w:ind w:firstLine="284"/>
        <w:jc w:val="right"/>
        <w:rPr>
          <w:rFonts w:cs="Times New Roman"/>
          <w:color w:val="17365D"/>
        </w:rPr>
      </w:pPr>
      <w:r>
        <w:rPr>
          <w:rFonts w:eastAsia="Times New Roman" w:cs="Times New Roman"/>
          <w:i/>
          <w:color w:val="17365D"/>
          <w:sz w:val="20"/>
          <w:szCs w:val="20"/>
          <w:lang w:eastAsia="lv-LV"/>
        </w:rPr>
        <w:t>1.</w:t>
      </w:r>
      <w:r w:rsidR="005B5D45" w:rsidRPr="00E72168">
        <w:rPr>
          <w:rFonts w:eastAsia="Times New Roman" w:cs="Times New Roman"/>
          <w:i/>
          <w:color w:val="17365D"/>
          <w:sz w:val="20"/>
          <w:szCs w:val="20"/>
          <w:lang w:eastAsia="lv-LV"/>
        </w:rPr>
        <w:t>1</w:t>
      </w:r>
      <w:r w:rsidR="00241FC4" w:rsidRPr="00E72168">
        <w:rPr>
          <w:rFonts w:eastAsia="Times New Roman" w:cs="Times New Roman"/>
          <w:i/>
          <w:color w:val="17365D"/>
          <w:sz w:val="20"/>
          <w:szCs w:val="20"/>
          <w:lang w:eastAsia="lv-LV"/>
        </w:rPr>
        <w:t>3</w:t>
      </w:r>
      <w:r w:rsidR="005B5D45" w:rsidRPr="00E72168">
        <w:rPr>
          <w:rFonts w:eastAsia="Times New Roman" w:cs="Times New Roman"/>
          <w:i/>
          <w:color w:val="17365D"/>
          <w:sz w:val="20"/>
          <w:szCs w:val="20"/>
          <w:lang w:eastAsia="lv-LV"/>
        </w:rPr>
        <w:t>. tabula. Piešķirtie nodokļu atvieglojumi (euro)</w:t>
      </w:r>
    </w:p>
    <w:tbl>
      <w:tblPr>
        <w:tblW w:w="5000" w:type="pct"/>
        <w:tblLook w:val="04A0" w:firstRow="1" w:lastRow="0" w:firstColumn="1" w:lastColumn="0" w:noHBand="0" w:noVBand="1"/>
      </w:tblPr>
      <w:tblGrid>
        <w:gridCol w:w="5684"/>
        <w:gridCol w:w="1835"/>
        <w:gridCol w:w="1835"/>
      </w:tblGrid>
      <w:tr w:rsidR="000C1009" w:rsidRPr="00E72168" w14:paraId="6393D9F6" w14:textId="7249620E" w:rsidTr="00581A8F">
        <w:trPr>
          <w:trHeight w:val="684"/>
          <w:tblHeader/>
        </w:trPr>
        <w:tc>
          <w:tcPr>
            <w:tcW w:w="3038" w:type="pct"/>
            <w:tcBorders>
              <w:bottom w:val="single" w:sz="4" w:space="0" w:color="17365D"/>
            </w:tcBorders>
            <w:shd w:val="clear" w:color="auto" w:fill="B9CDE5"/>
            <w:vAlign w:val="center"/>
            <w:hideMark/>
          </w:tcPr>
          <w:p w14:paraId="6A601405" w14:textId="396AB64E" w:rsidR="007A0E27" w:rsidRPr="00E72168" w:rsidRDefault="007A0E27"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Ieņēmumu klasifikācijas nosaukums</w:t>
            </w:r>
          </w:p>
        </w:tc>
        <w:tc>
          <w:tcPr>
            <w:tcW w:w="981" w:type="pct"/>
            <w:tcBorders>
              <w:bottom w:val="single" w:sz="4" w:space="0" w:color="17365D"/>
            </w:tcBorders>
            <w:shd w:val="clear" w:color="auto" w:fill="B9CDE5"/>
            <w:vAlign w:val="center"/>
            <w:hideMark/>
          </w:tcPr>
          <w:p w14:paraId="02ECE813" w14:textId="006B4419" w:rsidR="007A0E27" w:rsidRPr="00E72168" w:rsidRDefault="003C4B56"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periodā</w:t>
            </w:r>
          </w:p>
        </w:tc>
        <w:tc>
          <w:tcPr>
            <w:tcW w:w="981" w:type="pct"/>
            <w:tcBorders>
              <w:bottom w:val="single" w:sz="4" w:space="0" w:color="17365D"/>
            </w:tcBorders>
            <w:shd w:val="clear" w:color="auto" w:fill="B9CDE5"/>
            <w:vAlign w:val="center"/>
          </w:tcPr>
          <w:p w14:paraId="0443B1CB" w14:textId="134E2A94" w:rsidR="007A0E27" w:rsidRPr="00E72168" w:rsidRDefault="003C4B56"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Iepriekšējā pārskata periodā</w:t>
            </w:r>
          </w:p>
        </w:tc>
      </w:tr>
      <w:tr w:rsidR="000C1009" w:rsidRPr="00E72168" w14:paraId="6660F5E7" w14:textId="34087238" w:rsidTr="00581A8F">
        <w:trPr>
          <w:trHeight w:val="266"/>
        </w:trPr>
        <w:tc>
          <w:tcPr>
            <w:tcW w:w="3038" w:type="pct"/>
            <w:tcBorders>
              <w:top w:val="single" w:sz="4" w:space="0" w:color="17365D"/>
              <w:bottom w:val="single" w:sz="4" w:space="0" w:color="17365D"/>
            </w:tcBorders>
            <w:shd w:val="clear" w:color="auto" w:fill="auto"/>
            <w:vAlign w:val="center"/>
            <w:hideMark/>
          </w:tcPr>
          <w:p w14:paraId="3A1DB15F" w14:textId="77777777" w:rsidR="007A0E27" w:rsidRPr="00E72168" w:rsidRDefault="007A0E27" w:rsidP="00D92FFA">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981" w:type="pct"/>
            <w:tcBorders>
              <w:top w:val="single" w:sz="4" w:space="0" w:color="17365D"/>
              <w:bottom w:val="single" w:sz="4" w:space="0" w:color="17365D"/>
            </w:tcBorders>
            <w:shd w:val="clear" w:color="auto" w:fill="auto"/>
            <w:vAlign w:val="center"/>
            <w:hideMark/>
          </w:tcPr>
          <w:p w14:paraId="202A5EC8" w14:textId="46F9C0BE" w:rsidR="007A0E27" w:rsidRPr="00E72168" w:rsidRDefault="007A0E27"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981" w:type="pct"/>
            <w:tcBorders>
              <w:top w:val="single" w:sz="4" w:space="0" w:color="17365D"/>
              <w:bottom w:val="single" w:sz="4" w:space="0" w:color="17365D"/>
            </w:tcBorders>
            <w:vAlign w:val="center"/>
          </w:tcPr>
          <w:p w14:paraId="43128E08" w14:textId="57F8E199" w:rsidR="007A0E27" w:rsidRPr="00E72168" w:rsidRDefault="007A0E27" w:rsidP="00B93375">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r>
      <w:tr w:rsidR="0035209F" w:rsidRPr="00E72168" w14:paraId="1029FAEB" w14:textId="39DFB1E2" w:rsidTr="00581A8F">
        <w:trPr>
          <w:trHeight w:val="266"/>
        </w:trPr>
        <w:tc>
          <w:tcPr>
            <w:tcW w:w="3038" w:type="pct"/>
            <w:tcBorders>
              <w:top w:val="single" w:sz="4" w:space="0" w:color="17365D"/>
              <w:bottom w:val="single" w:sz="4" w:space="0" w:color="17365D"/>
            </w:tcBorders>
            <w:shd w:val="clear" w:color="auto" w:fill="auto"/>
            <w:vAlign w:val="center"/>
            <w:hideMark/>
          </w:tcPr>
          <w:p w14:paraId="30C67C81" w14:textId="13F07979" w:rsidR="0035209F" w:rsidRPr="00E72168" w:rsidRDefault="0035209F" w:rsidP="0035209F">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Nekustamā īpašuma nodoklis par zemi</w:t>
            </w:r>
          </w:p>
        </w:tc>
        <w:tc>
          <w:tcPr>
            <w:tcW w:w="981" w:type="pct"/>
            <w:tcBorders>
              <w:top w:val="single" w:sz="4" w:space="0" w:color="17365D"/>
              <w:bottom w:val="single" w:sz="4" w:space="0" w:color="17365D"/>
            </w:tcBorders>
            <w:shd w:val="clear" w:color="auto" w:fill="auto"/>
            <w:vAlign w:val="center"/>
            <w:hideMark/>
          </w:tcPr>
          <w:p w14:paraId="49A335AF" w14:textId="4F085B64" w:rsidR="0035209F" w:rsidRPr="00E72168" w:rsidRDefault="0035209F" w:rsidP="0035209F">
            <w:pPr>
              <w:spacing w:after="0" w:line="240" w:lineRule="auto"/>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8 941 504</w:t>
            </w:r>
          </w:p>
        </w:tc>
        <w:tc>
          <w:tcPr>
            <w:tcW w:w="981" w:type="pct"/>
            <w:tcBorders>
              <w:top w:val="single" w:sz="4" w:space="0" w:color="17365D"/>
              <w:bottom w:val="single" w:sz="4" w:space="0" w:color="17365D"/>
            </w:tcBorders>
            <w:vAlign w:val="center"/>
          </w:tcPr>
          <w:p w14:paraId="55B7F0EF" w14:textId="7B6777B1" w:rsidR="0035209F" w:rsidRPr="00E72168" w:rsidRDefault="0035209F" w:rsidP="0035209F">
            <w:pPr>
              <w:spacing w:after="0" w:line="240" w:lineRule="auto"/>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9 045 738</w:t>
            </w:r>
          </w:p>
        </w:tc>
      </w:tr>
      <w:tr w:rsidR="0035209F" w:rsidRPr="00E72168" w14:paraId="1E3809FA" w14:textId="0CA2E5C2" w:rsidTr="000842CA">
        <w:trPr>
          <w:trHeight w:val="266"/>
        </w:trPr>
        <w:tc>
          <w:tcPr>
            <w:tcW w:w="3038" w:type="pct"/>
            <w:tcBorders>
              <w:top w:val="single" w:sz="4" w:space="0" w:color="17365D"/>
              <w:bottom w:val="single" w:sz="4" w:space="0" w:color="17365D"/>
            </w:tcBorders>
            <w:shd w:val="clear" w:color="auto" w:fill="auto"/>
            <w:vAlign w:val="center"/>
          </w:tcPr>
          <w:p w14:paraId="3A0C7F0A" w14:textId="532822D0" w:rsidR="0035209F" w:rsidRPr="00E72168" w:rsidRDefault="0035209F" w:rsidP="0035209F">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Nekustamā īpašuma nodoklis par ēkām</w:t>
            </w:r>
          </w:p>
        </w:tc>
        <w:tc>
          <w:tcPr>
            <w:tcW w:w="981" w:type="pct"/>
            <w:tcBorders>
              <w:top w:val="single" w:sz="4" w:space="0" w:color="17365D"/>
              <w:bottom w:val="single" w:sz="4" w:space="0" w:color="17365D"/>
            </w:tcBorders>
            <w:shd w:val="clear" w:color="auto" w:fill="auto"/>
            <w:vAlign w:val="center"/>
          </w:tcPr>
          <w:p w14:paraId="0C72767B" w14:textId="6ED1D656" w:rsidR="0035209F" w:rsidRPr="00E72168" w:rsidRDefault="0035209F" w:rsidP="0035209F">
            <w:pPr>
              <w:spacing w:after="0" w:line="240" w:lineRule="auto"/>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3 452 053</w:t>
            </w:r>
          </w:p>
        </w:tc>
        <w:tc>
          <w:tcPr>
            <w:tcW w:w="981" w:type="pct"/>
            <w:tcBorders>
              <w:top w:val="single" w:sz="4" w:space="0" w:color="17365D"/>
              <w:bottom w:val="single" w:sz="4" w:space="0" w:color="17365D"/>
            </w:tcBorders>
            <w:shd w:val="clear" w:color="auto" w:fill="auto"/>
            <w:vAlign w:val="center"/>
          </w:tcPr>
          <w:p w14:paraId="6054EA4A" w14:textId="63441F78" w:rsidR="0035209F" w:rsidRPr="00E72168" w:rsidRDefault="0035209F" w:rsidP="0035209F">
            <w:pPr>
              <w:spacing w:after="0" w:line="240" w:lineRule="auto"/>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3 657 790</w:t>
            </w:r>
          </w:p>
        </w:tc>
      </w:tr>
      <w:tr w:rsidR="0035209F" w:rsidRPr="00E72168" w14:paraId="114BB750" w14:textId="34ACF62B" w:rsidTr="000842CA">
        <w:trPr>
          <w:trHeight w:val="266"/>
        </w:trPr>
        <w:tc>
          <w:tcPr>
            <w:tcW w:w="3038" w:type="pct"/>
            <w:tcBorders>
              <w:top w:val="single" w:sz="4" w:space="0" w:color="17365D"/>
              <w:bottom w:val="single" w:sz="4" w:space="0" w:color="17365D"/>
            </w:tcBorders>
            <w:shd w:val="clear" w:color="auto" w:fill="auto"/>
            <w:vAlign w:val="center"/>
          </w:tcPr>
          <w:p w14:paraId="27C55AB9" w14:textId="3855D086" w:rsidR="0035209F" w:rsidRPr="00E72168" w:rsidRDefault="0035209F" w:rsidP="0035209F">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Nekustamā īpašuma nodoklis par mājokļiem</w:t>
            </w:r>
          </w:p>
        </w:tc>
        <w:tc>
          <w:tcPr>
            <w:tcW w:w="981" w:type="pct"/>
            <w:tcBorders>
              <w:top w:val="single" w:sz="4" w:space="0" w:color="17365D"/>
              <w:bottom w:val="single" w:sz="4" w:space="0" w:color="17365D"/>
            </w:tcBorders>
            <w:shd w:val="clear" w:color="auto" w:fill="auto"/>
            <w:vAlign w:val="center"/>
          </w:tcPr>
          <w:p w14:paraId="59364040" w14:textId="5F865E00" w:rsidR="0035209F" w:rsidRPr="00E72168" w:rsidRDefault="0035209F" w:rsidP="0035209F">
            <w:pPr>
              <w:spacing w:after="0" w:line="240" w:lineRule="auto"/>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4 995 279</w:t>
            </w:r>
          </w:p>
        </w:tc>
        <w:tc>
          <w:tcPr>
            <w:tcW w:w="981" w:type="pct"/>
            <w:tcBorders>
              <w:top w:val="single" w:sz="4" w:space="0" w:color="17365D"/>
              <w:bottom w:val="single" w:sz="4" w:space="0" w:color="17365D"/>
            </w:tcBorders>
            <w:shd w:val="clear" w:color="auto" w:fill="auto"/>
            <w:vAlign w:val="center"/>
          </w:tcPr>
          <w:p w14:paraId="6A6CAEED" w14:textId="6875E7A7" w:rsidR="0035209F" w:rsidRPr="00E72168" w:rsidRDefault="0035209F" w:rsidP="0035209F">
            <w:pPr>
              <w:spacing w:after="0" w:line="240" w:lineRule="auto"/>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5 125 560</w:t>
            </w:r>
          </w:p>
        </w:tc>
      </w:tr>
      <w:tr w:rsidR="0035209F" w:rsidRPr="00E72168" w14:paraId="5600027C" w14:textId="667FBC19" w:rsidTr="00581A8F">
        <w:trPr>
          <w:trHeight w:val="56"/>
        </w:trPr>
        <w:tc>
          <w:tcPr>
            <w:tcW w:w="3038" w:type="pct"/>
            <w:tcBorders>
              <w:top w:val="single" w:sz="4" w:space="0" w:color="17365D"/>
            </w:tcBorders>
            <w:shd w:val="clear" w:color="auto" w:fill="B9CDE5"/>
            <w:vAlign w:val="center"/>
          </w:tcPr>
          <w:p w14:paraId="358BB97A" w14:textId="62E7A073" w:rsidR="0035209F" w:rsidRPr="00E72168" w:rsidRDefault="0035209F" w:rsidP="0035209F">
            <w:pPr>
              <w:spacing w:after="0"/>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Kopā</w:t>
            </w:r>
          </w:p>
        </w:tc>
        <w:tc>
          <w:tcPr>
            <w:tcW w:w="981" w:type="pct"/>
            <w:tcBorders>
              <w:top w:val="single" w:sz="4" w:space="0" w:color="17365D"/>
            </w:tcBorders>
            <w:shd w:val="clear" w:color="auto" w:fill="B9CDE5"/>
            <w:noWrap/>
            <w:vAlign w:val="center"/>
          </w:tcPr>
          <w:p w14:paraId="4C574853" w14:textId="265BBB81" w:rsidR="0035209F" w:rsidRPr="00E72168" w:rsidRDefault="0035209F" w:rsidP="0035209F">
            <w:pPr>
              <w:spacing w:after="0"/>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17 388 836</w:t>
            </w:r>
          </w:p>
        </w:tc>
        <w:tc>
          <w:tcPr>
            <w:tcW w:w="981" w:type="pct"/>
            <w:tcBorders>
              <w:top w:val="single" w:sz="4" w:space="0" w:color="17365D"/>
            </w:tcBorders>
            <w:shd w:val="clear" w:color="auto" w:fill="B9CDE5"/>
            <w:vAlign w:val="center"/>
          </w:tcPr>
          <w:p w14:paraId="4D5FEA8A" w14:textId="04DD76C0" w:rsidR="0035209F" w:rsidRPr="00E72168" w:rsidRDefault="0035209F" w:rsidP="0035209F">
            <w:pPr>
              <w:spacing w:after="0"/>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17 829 088</w:t>
            </w:r>
          </w:p>
        </w:tc>
      </w:tr>
    </w:tbl>
    <w:p w14:paraId="6F8452AF" w14:textId="77777777" w:rsidR="00CC2F8D" w:rsidRPr="00E72168" w:rsidRDefault="00CC2F8D" w:rsidP="00CC2F8D">
      <w:pPr>
        <w:spacing w:after="0" w:line="240" w:lineRule="auto"/>
        <w:jc w:val="both"/>
        <w:rPr>
          <w:rFonts w:cs="Times New Roman"/>
          <w:color w:val="17365D"/>
        </w:rPr>
      </w:pPr>
    </w:p>
    <w:p w14:paraId="6759E729" w14:textId="00A8EDD3" w:rsidR="00AD542F" w:rsidRPr="00E72168" w:rsidRDefault="00AD542F" w:rsidP="006D7BEC">
      <w:pPr>
        <w:spacing w:after="120" w:line="240" w:lineRule="auto"/>
        <w:ind w:firstLine="284"/>
        <w:jc w:val="both"/>
        <w:rPr>
          <w:rFonts w:cs="Times New Roman"/>
          <w:color w:val="17365D"/>
        </w:rPr>
      </w:pPr>
      <w:r w:rsidRPr="00E72168">
        <w:rPr>
          <w:rFonts w:cs="Times New Roman"/>
          <w:color w:val="17365D"/>
        </w:rPr>
        <w:lastRenderedPageBreak/>
        <w:t xml:space="preserve">Prasībām </w:t>
      </w:r>
      <w:r w:rsidR="0051376B" w:rsidRPr="00E72168">
        <w:rPr>
          <w:rFonts w:cs="Times New Roman"/>
          <w:color w:val="17365D"/>
        </w:rPr>
        <w:t>2023</w:t>
      </w:r>
      <w:r w:rsidRPr="00E72168">
        <w:rPr>
          <w:rFonts w:cs="Times New Roman"/>
          <w:color w:val="17365D"/>
        </w:rPr>
        <w:t>.</w:t>
      </w:r>
      <w:r w:rsidR="00F73CE6" w:rsidRPr="00E72168">
        <w:rPr>
          <w:rFonts w:cs="Times New Roman"/>
          <w:color w:val="17365D"/>
        </w:rPr>
        <w:t> </w:t>
      </w:r>
      <w:r w:rsidRPr="00E72168">
        <w:rPr>
          <w:rFonts w:cs="Times New Roman"/>
          <w:color w:val="17365D"/>
        </w:rPr>
        <w:t>gada beigās atzītais vērtības samazinājums saskaņā ar:</w:t>
      </w:r>
    </w:p>
    <w:p w14:paraId="3632ED0B" w14:textId="22F55ACE" w:rsidR="00AD542F" w:rsidRPr="00E72168" w:rsidRDefault="00AD542F" w:rsidP="004E5915">
      <w:pPr>
        <w:pStyle w:val="ListParagraph"/>
        <w:numPr>
          <w:ilvl w:val="0"/>
          <w:numId w:val="7"/>
        </w:numPr>
        <w:spacing w:after="120" w:line="240" w:lineRule="auto"/>
        <w:ind w:left="851" w:hanging="425"/>
        <w:contextualSpacing w:val="0"/>
        <w:jc w:val="both"/>
        <w:rPr>
          <w:rFonts w:cs="Times New Roman"/>
          <w:color w:val="17365D"/>
        </w:rPr>
      </w:pPr>
      <w:r w:rsidRPr="00E72168">
        <w:rPr>
          <w:rFonts w:cs="Times New Roman"/>
          <w:bCs/>
          <w:color w:val="17365D"/>
        </w:rPr>
        <w:t>ministriju un centrālo valsts iestāžu sniegto informāciju ir (</w:t>
      </w:r>
      <w:r w:rsidR="00001521" w:rsidRPr="00E72168">
        <w:rPr>
          <w:rFonts w:cs="Times New Roman"/>
          <w:bCs/>
          <w:color w:val="17365D"/>
        </w:rPr>
        <w:t>5</w:t>
      </w:r>
      <w:r w:rsidR="0051376B" w:rsidRPr="00E72168">
        <w:rPr>
          <w:rFonts w:cs="Times New Roman"/>
          <w:bCs/>
          <w:color w:val="17365D"/>
        </w:rPr>
        <w:t>99</w:t>
      </w:r>
      <w:r w:rsidR="00001521" w:rsidRPr="00E72168">
        <w:rPr>
          <w:rFonts w:cs="Times New Roman"/>
          <w:bCs/>
          <w:color w:val="17365D"/>
        </w:rPr>
        <w:t> </w:t>
      </w:r>
      <w:r w:rsidR="0051376B" w:rsidRPr="00E72168">
        <w:rPr>
          <w:rFonts w:cs="Times New Roman"/>
          <w:bCs/>
          <w:color w:val="17365D"/>
        </w:rPr>
        <w:t>267</w:t>
      </w:r>
      <w:r w:rsidR="00001521" w:rsidRPr="00E72168">
        <w:rPr>
          <w:rFonts w:cs="Times New Roman"/>
          <w:bCs/>
          <w:color w:val="17365D"/>
        </w:rPr>
        <w:t> </w:t>
      </w:r>
      <w:r w:rsidR="0051376B" w:rsidRPr="00E72168">
        <w:rPr>
          <w:rFonts w:cs="Times New Roman"/>
          <w:bCs/>
          <w:color w:val="17365D"/>
        </w:rPr>
        <w:t>965</w:t>
      </w:r>
      <w:r w:rsidRPr="00E72168">
        <w:rPr>
          <w:rFonts w:cs="Times New Roman"/>
          <w:bCs/>
          <w:color w:val="17365D"/>
        </w:rPr>
        <w:t xml:space="preserve">) </w:t>
      </w:r>
      <w:r w:rsidRPr="00E72168">
        <w:rPr>
          <w:rFonts w:cs="Times New Roman"/>
          <w:bCs/>
          <w:i/>
          <w:color w:val="17365D"/>
        </w:rPr>
        <w:t>euro</w:t>
      </w:r>
      <w:r w:rsidRPr="00E72168">
        <w:rPr>
          <w:rFonts w:cs="Times New Roman"/>
          <w:bCs/>
          <w:color w:val="17365D"/>
        </w:rPr>
        <w:t>.</w:t>
      </w:r>
      <w:r w:rsidRPr="00E72168">
        <w:rPr>
          <w:rFonts w:cs="Times New Roman"/>
          <w:color w:val="17365D"/>
        </w:rPr>
        <w:t xml:space="preserve"> Lielākā vērtības samazinājuma daļa ir izveidota citām prasībām pret uzturlīdzekļu parādniekiem par iesniedzējiem izmaksātajiem uzturlīdzekļiem pilnas apšaubāmās summas (</w:t>
      </w:r>
      <w:r w:rsidR="00B0732C" w:rsidRPr="00E72168">
        <w:rPr>
          <w:rFonts w:cs="Times New Roman"/>
          <w:color w:val="17365D"/>
        </w:rPr>
        <w:t>555</w:t>
      </w:r>
      <w:r w:rsidR="00801CED" w:rsidRPr="00E72168">
        <w:rPr>
          <w:rFonts w:cs="Times New Roman"/>
          <w:color w:val="17365D"/>
        </w:rPr>
        <w:t> </w:t>
      </w:r>
      <w:r w:rsidR="00B0732C" w:rsidRPr="00E72168">
        <w:rPr>
          <w:rFonts w:cs="Times New Roman"/>
          <w:color w:val="17365D"/>
        </w:rPr>
        <w:t>331</w:t>
      </w:r>
      <w:r w:rsidR="00801CED" w:rsidRPr="00E72168">
        <w:rPr>
          <w:rFonts w:cs="Times New Roman"/>
          <w:color w:val="17365D"/>
        </w:rPr>
        <w:t> </w:t>
      </w:r>
      <w:r w:rsidR="00B0732C" w:rsidRPr="00E72168">
        <w:rPr>
          <w:rFonts w:cs="Times New Roman"/>
          <w:color w:val="17365D"/>
        </w:rPr>
        <w:t>899</w:t>
      </w:r>
      <w:r w:rsidRPr="00E72168">
        <w:rPr>
          <w:rFonts w:cs="Times New Roman"/>
          <w:color w:val="17365D"/>
        </w:rPr>
        <w:t xml:space="preserve">) </w:t>
      </w:r>
      <w:r w:rsidRPr="00E72168">
        <w:rPr>
          <w:rFonts w:cs="Times New Roman"/>
          <w:i/>
          <w:color w:val="17365D"/>
        </w:rPr>
        <w:t>euro</w:t>
      </w:r>
      <w:r w:rsidRPr="00E72168">
        <w:rPr>
          <w:rFonts w:cs="Times New Roman"/>
          <w:color w:val="17365D"/>
        </w:rPr>
        <w:t xml:space="preserve"> apmērā;</w:t>
      </w:r>
    </w:p>
    <w:p w14:paraId="441171B5" w14:textId="564A4962" w:rsidR="00801CED" w:rsidRPr="00E72168" w:rsidRDefault="00AD542F" w:rsidP="004E5915">
      <w:pPr>
        <w:pStyle w:val="ListParagraph"/>
        <w:numPr>
          <w:ilvl w:val="0"/>
          <w:numId w:val="7"/>
        </w:numPr>
        <w:spacing w:after="120" w:line="240" w:lineRule="auto"/>
        <w:ind w:left="851" w:hanging="425"/>
        <w:contextualSpacing w:val="0"/>
        <w:jc w:val="both"/>
        <w:rPr>
          <w:rFonts w:cs="Times New Roman"/>
          <w:color w:val="17365D"/>
        </w:rPr>
      </w:pPr>
      <w:r w:rsidRPr="00E72168">
        <w:rPr>
          <w:rFonts w:cs="Times New Roman"/>
          <w:bCs/>
          <w:color w:val="17365D"/>
        </w:rPr>
        <w:t>pašvaldību sniegto informāciju ir (</w:t>
      </w:r>
      <w:r w:rsidR="0051376B" w:rsidRPr="00E72168">
        <w:rPr>
          <w:rFonts w:cs="Times New Roman"/>
          <w:bCs/>
          <w:color w:val="17365D"/>
        </w:rPr>
        <w:t>55</w:t>
      </w:r>
      <w:r w:rsidR="00001521" w:rsidRPr="00E72168">
        <w:rPr>
          <w:rFonts w:cs="Times New Roman"/>
          <w:bCs/>
          <w:color w:val="17365D"/>
        </w:rPr>
        <w:t> </w:t>
      </w:r>
      <w:r w:rsidR="0051376B" w:rsidRPr="00E72168">
        <w:rPr>
          <w:rFonts w:cs="Times New Roman"/>
          <w:bCs/>
          <w:color w:val="17365D"/>
        </w:rPr>
        <w:t>402</w:t>
      </w:r>
      <w:r w:rsidR="00001521" w:rsidRPr="00E72168">
        <w:rPr>
          <w:rFonts w:cs="Times New Roman"/>
          <w:bCs/>
          <w:color w:val="17365D"/>
        </w:rPr>
        <w:t> </w:t>
      </w:r>
      <w:r w:rsidR="0051376B" w:rsidRPr="00E72168">
        <w:rPr>
          <w:rFonts w:cs="Times New Roman"/>
          <w:bCs/>
          <w:color w:val="17365D"/>
        </w:rPr>
        <w:t>354</w:t>
      </w:r>
      <w:r w:rsidRPr="00E72168">
        <w:rPr>
          <w:rFonts w:cs="Times New Roman"/>
          <w:bCs/>
          <w:color w:val="17365D"/>
        </w:rPr>
        <w:t xml:space="preserve">) </w:t>
      </w:r>
      <w:r w:rsidRPr="00E72168">
        <w:rPr>
          <w:rFonts w:cs="Times New Roman"/>
          <w:bCs/>
          <w:i/>
          <w:color w:val="17365D"/>
        </w:rPr>
        <w:t>euro</w:t>
      </w:r>
      <w:r w:rsidRPr="00E72168">
        <w:rPr>
          <w:rFonts w:cs="Times New Roman"/>
          <w:bCs/>
          <w:color w:val="17365D"/>
        </w:rPr>
        <w:t>. Lielākā vērtības samazinājuma daļa ir izveidota apšaubāmās summas apmērā darījuma partnera maksātnespējas vai t</w:t>
      </w:r>
      <w:r w:rsidR="008742BF" w:rsidRPr="00E72168">
        <w:rPr>
          <w:rFonts w:cs="Times New Roman"/>
          <w:bCs/>
          <w:color w:val="17365D"/>
        </w:rPr>
        <w:t>i</w:t>
      </w:r>
      <w:r w:rsidRPr="00E72168">
        <w:rPr>
          <w:rFonts w:cs="Times New Roman"/>
          <w:bCs/>
          <w:color w:val="17365D"/>
        </w:rPr>
        <w:t>esvedības procesa dēļ</w:t>
      </w:r>
      <w:r w:rsidR="00801CED" w:rsidRPr="00E72168">
        <w:rPr>
          <w:rFonts w:cs="Times New Roman"/>
          <w:bCs/>
          <w:color w:val="17365D"/>
        </w:rPr>
        <w:t>;</w:t>
      </w:r>
    </w:p>
    <w:p w14:paraId="55F85D15" w14:textId="605968C7" w:rsidR="00AD542F" w:rsidRPr="00E72168" w:rsidRDefault="00876BB1" w:rsidP="004E5915">
      <w:pPr>
        <w:pStyle w:val="ListParagraph"/>
        <w:numPr>
          <w:ilvl w:val="0"/>
          <w:numId w:val="7"/>
        </w:numPr>
        <w:spacing w:after="120" w:line="240" w:lineRule="auto"/>
        <w:ind w:left="851" w:hanging="425"/>
        <w:contextualSpacing w:val="0"/>
        <w:jc w:val="both"/>
        <w:rPr>
          <w:rFonts w:cs="Times New Roman"/>
          <w:color w:val="17365D"/>
        </w:rPr>
      </w:pPr>
      <w:r w:rsidRPr="00E72168">
        <w:rPr>
          <w:rFonts w:cs="Times New Roman"/>
          <w:bCs/>
          <w:color w:val="17365D"/>
        </w:rPr>
        <w:t xml:space="preserve">ikgadējo pārskatu par VID administrēto valsts budžeta ieņēmumu grāmatvedības uzskaiti </w:t>
      </w:r>
      <w:r w:rsidR="006644A1" w:rsidRPr="00E72168">
        <w:rPr>
          <w:rFonts w:cs="Times New Roman"/>
          <w:bCs/>
          <w:color w:val="17365D"/>
        </w:rPr>
        <w:t xml:space="preserve">un ikgadējo pārskatu par valsts budžeta finanšu uzskaiti </w:t>
      </w:r>
      <w:r w:rsidRPr="00E72168">
        <w:rPr>
          <w:rFonts w:cs="Times New Roman"/>
          <w:bCs/>
          <w:color w:val="17365D"/>
        </w:rPr>
        <w:t>ir (</w:t>
      </w:r>
      <w:r w:rsidR="00CB19AD">
        <w:rPr>
          <w:rFonts w:cs="Times New Roman"/>
          <w:bCs/>
          <w:iCs/>
          <w:color w:val="17365D"/>
        </w:rPr>
        <w:t>563</w:t>
      </w:r>
      <w:r w:rsidR="00CB19AD" w:rsidRPr="00E72168">
        <w:rPr>
          <w:rFonts w:cs="Times New Roman"/>
          <w:bCs/>
          <w:iCs/>
          <w:color w:val="17365D"/>
        </w:rPr>
        <w:t> </w:t>
      </w:r>
      <w:r w:rsidR="00CB19AD">
        <w:rPr>
          <w:rFonts w:cs="Times New Roman"/>
          <w:bCs/>
          <w:iCs/>
          <w:color w:val="17365D"/>
        </w:rPr>
        <w:t>869</w:t>
      </w:r>
      <w:r w:rsidR="00CB19AD" w:rsidRPr="00E72168">
        <w:rPr>
          <w:rFonts w:cs="Times New Roman"/>
          <w:bCs/>
          <w:iCs/>
          <w:color w:val="17365D"/>
        </w:rPr>
        <w:t> </w:t>
      </w:r>
      <w:r w:rsidR="00CB19AD">
        <w:rPr>
          <w:rFonts w:cs="Times New Roman"/>
          <w:bCs/>
          <w:iCs/>
          <w:color w:val="17365D"/>
        </w:rPr>
        <w:t>099</w:t>
      </w:r>
      <w:r w:rsidR="00D46188" w:rsidRPr="00E72168">
        <w:rPr>
          <w:rFonts w:cs="Times New Roman"/>
          <w:bCs/>
          <w:iCs/>
          <w:color w:val="17365D"/>
        </w:rPr>
        <w:t>)</w:t>
      </w:r>
      <w:r w:rsidRPr="00E72168">
        <w:rPr>
          <w:rFonts w:cs="Times New Roman"/>
          <w:bCs/>
          <w:color w:val="17365D"/>
        </w:rPr>
        <w:t xml:space="preserve"> </w:t>
      </w:r>
      <w:r w:rsidRPr="00E72168">
        <w:rPr>
          <w:rFonts w:cs="Times New Roman"/>
          <w:bCs/>
          <w:i/>
          <w:color w:val="17365D"/>
        </w:rPr>
        <w:t>euro</w:t>
      </w:r>
      <w:r w:rsidRPr="00E72168">
        <w:rPr>
          <w:rFonts w:cs="Times New Roman"/>
          <w:bCs/>
          <w:color w:val="17365D"/>
        </w:rPr>
        <w:t>.</w:t>
      </w:r>
    </w:p>
    <w:p w14:paraId="4B78161B" w14:textId="20828ABE" w:rsidR="007F47FB" w:rsidRPr="00E72168" w:rsidRDefault="00672937" w:rsidP="009A23E5">
      <w:pPr>
        <w:spacing w:after="120" w:line="240" w:lineRule="auto"/>
        <w:ind w:firstLine="284"/>
        <w:jc w:val="both"/>
        <w:rPr>
          <w:rFonts w:cs="Times New Roman"/>
          <w:color w:val="17365D"/>
          <w:sz w:val="22"/>
        </w:rPr>
      </w:pPr>
      <w:r w:rsidRPr="00E72168">
        <w:rPr>
          <w:rFonts w:cs="Times New Roman"/>
          <w:color w:val="17365D"/>
        </w:rPr>
        <w:t xml:space="preserve">Vērtības samazinājums prasībām pret pircējiem un pasūtītājiem </w:t>
      </w:r>
      <w:r w:rsidR="0020364F" w:rsidRPr="00E72168">
        <w:rPr>
          <w:rFonts w:cs="Times New Roman"/>
          <w:color w:val="17365D"/>
        </w:rPr>
        <w:t>un prasībām par nodokļiem, nodevām un citiem maksājumiem budžetos</w:t>
      </w:r>
      <w:r w:rsidR="00DD4ABC" w:rsidRPr="00E72168">
        <w:rPr>
          <w:rFonts w:cs="Times New Roman"/>
          <w:color w:val="17365D"/>
        </w:rPr>
        <w:t xml:space="preserve"> g</w:t>
      </w:r>
      <w:r w:rsidR="0020364F" w:rsidRPr="00E72168">
        <w:rPr>
          <w:rFonts w:cs="Times New Roman"/>
          <w:color w:val="17365D"/>
        </w:rPr>
        <w:t xml:space="preserve">alvenokārt veidots atbilstoši izpildes termiņa kavēto dienu skaitam. </w:t>
      </w:r>
    </w:p>
    <w:p w14:paraId="6C316DB5" w14:textId="4704398C" w:rsidR="00B76C65" w:rsidRPr="00E72168" w:rsidRDefault="009D537C" w:rsidP="00123493">
      <w:pPr>
        <w:pStyle w:val="Heading4"/>
        <w:jc w:val="both"/>
        <w:rPr>
          <w:rFonts w:cs="Times New Roman"/>
        </w:rPr>
      </w:pPr>
      <w:r w:rsidRPr="00E72168">
        <w:rPr>
          <w:rFonts w:cs="Times New Roman"/>
        </w:rPr>
        <w:t xml:space="preserve">Piezīme Nr. </w:t>
      </w:r>
      <w:r w:rsidR="00D41F06" w:rsidRPr="00E72168">
        <w:rPr>
          <w:rFonts w:cs="Times New Roman"/>
        </w:rPr>
        <w:t>KB.</w:t>
      </w:r>
      <w:r w:rsidR="00F73CE6" w:rsidRPr="00E72168">
        <w:rPr>
          <w:rFonts w:cs="Times New Roman"/>
        </w:rPr>
        <w:t>2.4</w:t>
      </w:r>
      <w:r w:rsidR="00D41F06" w:rsidRPr="00E72168">
        <w:rPr>
          <w:rFonts w:cs="Times New Roman"/>
        </w:rPr>
        <w:t>. Nākamo periodu izdevumi un avansi par pakalpojumiem un projektiem</w:t>
      </w:r>
    </w:p>
    <w:p w14:paraId="3F4AA15B" w14:textId="35E16770" w:rsidR="009B1D0C" w:rsidRPr="00E72168" w:rsidRDefault="00F06FED" w:rsidP="009B1D0C">
      <w:pPr>
        <w:pStyle w:val="Tabulasnosaukums1"/>
        <w:rPr>
          <w:rFonts w:cs="Times New Roman"/>
          <w:i/>
          <w:color w:val="17365D"/>
        </w:rPr>
      </w:pPr>
      <w:r>
        <w:rPr>
          <w:rFonts w:cs="Times New Roman"/>
          <w:i/>
          <w:color w:val="17365D"/>
        </w:rPr>
        <w:t>1.</w:t>
      </w:r>
      <w:r w:rsidR="002C5934" w:rsidRPr="00E72168">
        <w:rPr>
          <w:rFonts w:cs="Times New Roman"/>
          <w:i/>
          <w:color w:val="17365D"/>
        </w:rPr>
        <w:t>1</w:t>
      </w:r>
      <w:r w:rsidR="00241FC4" w:rsidRPr="00E72168">
        <w:rPr>
          <w:rFonts w:cs="Times New Roman"/>
          <w:i/>
          <w:color w:val="17365D"/>
        </w:rPr>
        <w:t>4</w:t>
      </w:r>
      <w:r w:rsidR="009B1D0C" w:rsidRPr="00E72168">
        <w:rPr>
          <w:rFonts w:cs="Times New Roman"/>
          <w:i/>
          <w:color w:val="17365D"/>
        </w:rPr>
        <w:t>. tabula. Nākamo periodu izdevumi un avansi par pakal</w:t>
      </w:r>
      <w:r w:rsidR="00035FEE" w:rsidRPr="00E72168">
        <w:rPr>
          <w:rFonts w:cs="Times New Roman"/>
          <w:i/>
          <w:color w:val="17365D"/>
        </w:rPr>
        <w:t>p</w:t>
      </w:r>
      <w:r w:rsidR="009B1D0C" w:rsidRPr="00E72168">
        <w:rPr>
          <w:rFonts w:cs="Times New Roman"/>
          <w:i/>
          <w:color w:val="17365D"/>
        </w:rPr>
        <w:t>ojumiem un projektiem (euro)</w:t>
      </w:r>
    </w:p>
    <w:tbl>
      <w:tblPr>
        <w:tblW w:w="4999" w:type="pct"/>
        <w:tblLayout w:type="fixed"/>
        <w:tblLook w:val="04A0" w:firstRow="1" w:lastRow="0" w:firstColumn="1" w:lastColumn="0" w:noHBand="0" w:noVBand="1"/>
      </w:tblPr>
      <w:tblGrid>
        <w:gridCol w:w="3259"/>
        <w:gridCol w:w="1134"/>
        <w:gridCol w:w="1136"/>
        <w:gridCol w:w="1416"/>
        <w:gridCol w:w="1133"/>
        <w:gridCol w:w="1274"/>
      </w:tblGrid>
      <w:tr w:rsidR="000C1009" w:rsidRPr="00E72168" w14:paraId="3B9815D5" w14:textId="77777777" w:rsidTr="00581A8F">
        <w:trPr>
          <w:trHeight w:val="684"/>
          <w:tblHeader/>
        </w:trPr>
        <w:tc>
          <w:tcPr>
            <w:tcW w:w="1742" w:type="pct"/>
            <w:tcBorders>
              <w:bottom w:val="single" w:sz="4" w:space="0" w:color="17365D"/>
            </w:tcBorders>
            <w:shd w:val="clear" w:color="auto" w:fill="B9CDE5"/>
            <w:vAlign w:val="center"/>
            <w:hideMark/>
          </w:tcPr>
          <w:p w14:paraId="69B7365C"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Rādītāji</w:t>
            </w:r>
          </w:p>
        </w:tc>
        <w:tc>
          <w:tcPr>
            <w:tcW w:w="606" w:type="pct"/>
            <w:tcBorders>
              <w:bottom w:val="single" w:sz="4" w:space="0" w:color="17365D"/>
            </w:tcBorders>
            <w:shd w:val="clear" w:color="auto" w:fill="B9CDE5"/>
            <w:vAlign w:val="center"/>
            <w:hideMark/>
          </w:tcPr>
          <w:p w14:paraId="34AD60A8"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607" w:type="pct"/>
            <w:tcBorders>
              <w:bottom w:val="single" w:sz="4" w:space="0" w:color="17365D"/>
            </w:tcBorders>
            <w:shd w:val="clear" w:color="auto" w:fill="B9CDE5"/>
            <w:vAlign w:val="center"/>
            <w:hideMark/>
          </w:tcPr>
          <w:p w14:paraId="7A61E2D2"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757" w:type="pct"/>
            <w:tcBorders>
              <w:bottom w:val="single" w:sz="4" w:space="0" w:color="17365D"/>
            </w:tcBorders>
            <w:shd w:val="clear" w:color="auto" w:fill="B9CDE5"/>
            <w:vAlign w:val="center"/>
            <w:hideMark/>
          </w:tcPr>
          <w:p w14:paraId="184791AB"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606" w:type="pct"/>
            <w:tcBorders>
              <w:bottom w:val="single" w:sz="4" w:space="0" w:color="17365D"/>
            </w:tcBorders>
            <w:shd w:val="clear" w:color="auto" w:fill="B9CDE5"/>
            <w:vAlign w:val="center"/>
            <w:hideMark/>
          </w:tcPr>
          <w:p w14:paraId="0CAC1EDF" w14:textId="68D79970"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 </w:t>
            </w:r>
            <w:r w:rsidRPr="00E72168">
              <w:rPr>
                <w:rFonts w:eastAsia="Times New Roman" w:cs="Times New Roman"/>
                <w:b/>
                <w:color w:val="17365D"/>
                <w:sz w:val="18"/>
                <w:szCs w:val="18"/>
                <w:lang w:eastAsia="lv-LV"/>
              </w:rPr>
              <w:t>)</w:t>
            </w:r>
          </w:p>
        </w:tc>
        <w:tc>
          <w:tcPr>
            <w:tcW w:w="681" w:type="pct"/>
            <w:tcBorders>
              <w:bottom w:val="single" w:sz="4" w:space="0" w:color="17365D"/>
            </w:tcBorders>
            <w:shd w:val="clear" w:color="auto" w:fill="B9CDE5"/>
            <w:vAlign w:val="center"/>
            <w:hideMark/>
          </w:tcPr>
          <w:p w14:paraId="42290B02"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0DED9158" w14:textId="77777777" w:rsidTr="00581A8F">
        <w:trPr>
          <w:trHeight w:val="240"/>
        </w:trPr>
        <w:tc>
          <w:tcPr>
            <w:tcW w:w="1742" w:type="pct"/>
            <w:tcBorders>
              <w:top w:val="single" w:sz="4" w:space="0" w:color="17365D"/>
              <w:bottom w:val="single" w:sz="4" w:space="0" w:color="17365D"/>
            </w:tcBorders>
            <w:shd w:val="clear" w:color="auto" w:fill="auto"/>
            <w:vAlign w:val="center"/>
            <w:hideMark/>
          </w:tcPr>
          <w:p w14:paraId="548A5881"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606" w:type="pct"/>
            <w:tcBorders>
              <w:top w:val="single" w:sz="4" w:space="0" w:color="17365D"/>
              <w:bottom w:val="single" w:sz="4" w:space="0" w:color="17365D"/>
            </w:tcBorders>
            <w:shd w:val="clear" w:color="auto" w:fill="auto"/>
            <w:vAlign w:val="center"/>
            <w:hideMark/>
          </w:tcPr>
          <w:p w14:paraId="5A723BAE"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607" w:type="pct"/>
            <w:tcBorders>
              <w:top w:val="single" w:sz="4" w:space="0" w:color="17365D"/>
              <w:bottom w:val="single" w:sz="4" w:space="0" w:color="17365D"/>
            </w:tcBorders>
            <w:shd w:val="clear" w:color="auto" w:fill="auto"/>
            <w:vAlign w:val="center"/>
            <w:hideMark/>
          </w:tcPr>
          <w:p w14:paraId="6B6874D9"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757" w:type="pct"/>
            <w:tcBorders>
              <w:top w:val="single" w:sz="4" w:space="0" w:color="17365D"/>
              <w:bottom w:val="single" w:sz="4" w:space="0" w:color="17365D"/>
            </w:tcBorders>
            <w:shd w:val="clear" w:color="auto" w:fill="auto"/>
            <w:vAlign w:val="center"/>
            <w:hideMark/>
          </w:tcPr>
          <w:p w14:paraId="2157A597"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606" w:type="pct"/>
            <w:tcBorders>
              <w:top w:val="single" w:sz="4" w:space="0" w:color="17365D"/>
              <w:bottom w:val="single" w:sz="4" w:space="0" w:color="17365D"/>
            </w:tcBorders>
            <w:shd w:val="clear" w:color="auto" w:fill="auto"/>
            <w:vAlign w:val="center"/>
            <w:hideMark/>
          </w:tcPr>
          <w:p w14:paraId="3A7855F7"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81" w:type="pct"/>
            <w:tcBorders>
              <w:top w:val="single" w:sz="4" w:space="0" w:color="17365D"/>
              <w:bottom w:val="single" w:sz="4" w:space="0" w:color="17365D"/>
            </w:tcBorders>
            <w:shd w:val="clear" w:color="auto" w:fill="auto"/>
            <w:vAlign w:val="center"/>
            <w:hideMark/>
          </w:tcPr>
          <w:p w14:paraId="3586C2D7" w14:textId="77777777" w:rsidR="00905F3C" w:rsidRPr="00E72168" w:rsidRDefault="00905F3C" w:rsidP="00905F3C">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8826AD" w:rsidRPr="00E72168" w14:paraId="2AA5D017" w14:textId="77777777" w:rsidTr="008826AD">
        <w:trPr>
          <w:trHeight w:val="60"/>
        </w:trPr>
        <w:tc>
          <w:tcPr>
            <w:tcW w:w="1742" w:type="pct"/>
            <w:tcBorders>
              <w:top w:val="single" w:sz="4" w:space="0" w:color="17365D"/>
              <w:bottom w:val="single" w:sz="4" w:space="0" w:color="17365D"/>
            </w:tcBorders>
            <w:shd w:val="clear" w:color="auto" w:fill="auto"/>
            <w:vAlign w:val="center"/>
            <w:hideMark/>
          </w:tcPr>
          <w:p w14:paraId="6DED8B46" w14:textId="57488808" w:rsidR="008826AD" w:rsidRPr="00E72168" w:rsidRDefault="008826AD" w:rsidP="008826AD">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Nākamo periodu izdevumi un avansi par pakalpojumiem un projektiem</w:t>
            </w:r>
          </w:p>
        </w:tc>
        <w:tc>
          <w:tcPr>
            <w:tcW w:w="606" w:type="pct"/>
            <w:tcBorders>
              <w:top w:val="single" w:sz="4" w:space="0" w:color="17365D"/>
              <w:bottom w:val="single" w:sz="4" w:space="0" w:color="17365D"/>
            </w:tcBorders>
            <w:shd w:val="clear" w:color="auto" w:fill="auto"/>
            <w:vAlign w:val="center"/>
            <w:hideMark/>
          </w:tcPr>
          <w:p w14:paraId="4D04E002" w14:textId="71C580C4" w:rsidR="008826AD" w:rsidRPr="00E72168" w:rsidRDefault="008826AD" w:rsidP="008826AD">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KB.2.4.</w:t>
            </w:r>
          </w:p>
        </w:tc>
        <w:tc>
          <w:tcPr>
            <w:tcW w:w="607" w:type="pct"/>
            <w:tcBorders>
              <w:top w:val="nil"/>
              <w:left w:val="nil"/>
              <w:bottom w:val="nil"/>
              <w:right w:val="nil"/>
            </w:tcBorders>
            <w:shd w:val="clear" w:color="auto" w:fill="auto"/>
            <w:noWrap/>
            <w:vAlign w:val="center"/>
            <w:hideMark/>
          </w:tcPr>
          <w:p w14:paraId="4F129600" w14:textId="71FF952C" w:rsidR="008826AD" w:rsidRPr="00E72168" w:rsidRDefault="008826AD" w:rsidP="008826AD">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528 115 024</w:t>
            </w:r>
          </w:p>
        </w:tc>
        <w:tc>
          <w:tcPr>
            <w:tcW w:w="757" w:type="pct"/>
            <w:tcBorders>
              <w:top w:val="nil"/>
              <w:left w:val="nil"/>
              <w:bottom w:val="nil"/>
              <w:right w:val="nil"/>
            </w:tcBorders>
            <w:shd w:val="clear" w:color="auto" w:fill="auto"/>
            <w:noWrap/>
            <w:vAlign w:val="center"/>
            <w:hideMark/>
          </w:tcPr>
          <w:p w14:paraId="17115FB6" w14:textId="3777D7DF" w:rsidR="008826AD" w:rsidRPr="00E72168" w:rsidRDefault="008826AD" w:rsidP="008826AD">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498 244 636</w:t>
            </w:r>
          </w:p>
        </w:tc>
        <w:tc>
          <w:tcPr>
            <w:tcW w:w="606" w:type="pct"/>
            <w:tcBorders>
              <w:top w:val="nil"/>
              <w:left w:val="nil"/>
              <w:bottom w:val="nil"/>
              <w:right w:val="nil"/>
            </w:tcBorders>
            <w:shd w:val="clear" w:color="auto" w:fill="auto"/>
            <w:noWrap/>
            <w:vAlign w:val="center"/>
            <w:hideMark/>
          </w:tcPr>
          <w:p w14:paraId="10917734" w14:textId="4914FDCC" w:rsidR="008826AD" w:rsidRPr="00E72168" w:rsidRDefault="008826AD" w:rsidP="008826AD">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29 870 388</w:t>
            </w:r>
          </w:p>
        </w:tc>
        <w:tc>
          <w:tcPr>
            <w:tcW w:w="681" w:type="pct"/>
            <w:tcBorders>
              <w:top w:val="nil"/>
              <w:left w:val="nil"/>
              <w:bottom w:val="nil"/>
              <w:right w:val="nil"/>
            </w:tcBorders>
            <w:shd w:val="clear" w:color="auto" w:fill="auto"/>
            <w:noWrap/>
            <w:vAlign w:val="center"/>
            <w:hideMark/>
          </w:tcPr>
          <w:p w14:paraId="3796AE34" w14:textId="10A96E1B" w:rsidR="008826AD" w:rsidRPr="00E72168" w:rsidRDefault="008826AD" w:rsidP="008826AD">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6.00</w:t>
            </w:r>
          </w:p>
        </w:tc>
      </w:tr>
      <w:tr w:rsidR="000C1009" w:rsidRPr="00E72168" w14:paraId="2AB7F2F6" w14:textId="77777777" w:rsidTr="00581A8F">
        <w:trPr>
          <w:trHeight w:val="56"/>
        </w:trPr>
        <w:tc>
          <w:tcPr>
            <w:tcW w:w="1742" w:type="pct"/>
            <w:tcBorders>
              <w:top w:val="single" w:sz="4" w:space="0" w:color="17365D"/>
            </w:tcBorders>
            <w:shd w:val="clear" w:color="auto" w:fill="B9CDE5"/>
            <w:vAlign w:val="center"/>
          </w:tcPr>
          <w:p w14:paraId="362CDBF8" w14:textId="77777777" w:rsidR="00905F3C" w:rsidRPr="00E72168" w:rsidRDefault="00905F3C" w:rsidP="00905F3C">
            <w:pPr>
              <w:spacing w:after="0"/>
              <w:rPr>
                <w:rFonts w:eastAsia="Times New Roman" w:cs="Times New Roman"/>
                <w:color w:val="17365D"/>
                <w:sz w:val="18"/>
                <w:szCs w:val="18"/>
                <w:lang w:eastAsia="lv-LV"/>
              </w:rPr>
            </w:pPr>
          </w:p>
        </w:tc>
        <w:tc>
          <w:tcPr>
            <w:tcW w:w="606" w:type="pct"/>
            <w:tcBorders>
              <w:top w:val="single" w:sz="4" w:space="0" w:color="17365D"/>
            </w:tcBorders>
            <w:shd w:val="clear" w:color="auto" w:fill="B9CDE5"/>
            <w:noWrap/>
            <w:vAlign w:val="center"/>
          </w:tcPr>
          <w:p w14:paraId="71FF9C39" w14:textId="77777777" w:rsidR="00905F3C" w:rsidRPr="00E72168" w:rsidRDefault="00905F3C" w:rsidP="00905F3C">
            <w:pPr>
              <w:spacing w:after="0"/>
              <w:jc w:val="center"/>
              <w:rPr>
                <w:rFonts w:eastAsia="Times New Roman" w:cs="Times New Roman"/>
                <w:color w:val="17365D"/>
                <w:sz w:val="18"/>
                <w:szCs w:val="18"/>
                <w:lang w:eastAsia="lv-LV"/>
              </w:rPr>
            </w:pPr>
          </w:p>
        </w:tc>
        <w:tc>
          <w:tcPr>
            <w:tcW w:w="607" w:type="pct"/>
            <w:tcBorders>
              <w:top w:val="single" w:sz="4" w:space="0" w:color="17365D"/>
            </w:tcBorders>
            <w:shd w:val="clear" w:color="auto" w:fill="B9CDE5"/>
            <w:noWrap/>
            <w:vAlign w:val="center"/>
          </w:tcPr>
          <w:p w14:paraId="76191C75" w14:textId="77777777" w:rsidR="00905F3C" w:rsidRPr="00E72168" w:rsidRDefault="00905F3C" w:rsidP="00905F3C">
            <w:pPr>
              <w:spacing w:after="0"/>
              <w:jc w:val="right"/>
              <w:rPr>
                <w:rFonts w:eastAsia="Times New Roman" w:cs="Times New Roman"/>
                <w:color w:val="17365D"/>
                <w:sz w:val="18"/>
                <w:szCs w:val="18"/>
                <w:lang w:eastAsia="lv-LV"/>
              </w:rPr>
            </w:pPr>
          </w:p>
        </w:tc>
        <w:tc>
          <w:tcPr>
            <w:tcW w:w="757" w:type="pct"/>
            <w:tcBorders>
              <w:top w:val="single" w:sz="4" w:space="0" w:color="17365D"/>
            </w:tcBorders>
            <w:shd w:val="clear" w:color="auto" w:fill="B9CDE5"/>
            <w:noWrap/>
            <w:vAlign w:val="center"/>
          </w:tcPr>
          <w:p w14:paraId="3C65A81E" w14:textId="77777777" w:rsidR="00905F3C" w:rsidRPr="00E72168" w:rsidRDefault="00905F3C" w:rsidP="00905F3C">
            <w:pPr>
              <w:spacing w:after="0"/>
              <w:jc w:val="right"/>
              <w:rPr>
                <w:rFonts w:eastAsia="Times New Roman" w:cs="Times New Roman"/>
                <w:color w:val="17365D"/>
                <w:sz w:val="18"/>
                <w:szCs w:val="18"/>
                <w:lang w:eastAsia="lv-LV"/>
              </w:rPr>
            </w:pPr>
          </w:p>
        </w:tc>
        <w:tc>
          <w:tcPr>
            <w:tcW w:w="606" w:type="pct"/>
            <w:tcBorders>
              <w:top w:val="single" w:sz="4" w:space="0" w:color="17365D"/>
            </w:tcBorders>
            <w:shd w:val="clear" w:color="auto" w:fill="B9CDE5"/>
            <w:noWrap/>
            <w:vAlign w:val="center"/>
          </w:tcPr>
          <w:p w14:paraId="22EF6B3B" w14:textId="77777777" w:rsidR="00905F3C" w:rsidRPr="00E72168" w:rsidRDefault="00905F3C" w:rsidP="00905F3C">
            <w:pPr>
              <w:spacing w:after="0"/>
              <w:jc w:val="right"/>
              <w:rPr>
                <w:rFonts w:eastAsia="Times New Roman" w:cs="Times New Roman"/>
                <w:color w:val="17365D"/>
                <w:sz w:val="18"/>
                <w:szCs w:val="18"/>
                <w:lang w:eastAsia="lv-LV"/>
              </w:rPr>
            </w:pPr>
          </w:p>
        </w:tc>
        <w:tc>
          <w:tcPr>
            <w:tcW w:w="681" w:type="pct"/>
            <w:tcBorders>
              <w:top w:val="single" w:sz="4" w:space="0" w:color="17365D"/>
            </w:tcBorders>
            <w:shd w:val="clear" w:color="auto" w:fill="B9CDE5"/>
            <w:noWrap/>
            <w:vAlign w:val="center"/>
          </w:tcPr>
          <w:p w14:paraId="55F1723A" w14:textId="77777777" w:rsidR="00905F3C" w:rsidRPr="00E72168" w:rsidRDefault="00905F3C" w:rsidP="00905F3C">
            <w:pPr>
              <w:spacing w:after="0"/>
              <w:jc w:val="right"/>
              <w:rPr>
                <w:rFonts w:eastAsia="Times New Roman" w:cs="Times New Roman"/>
                <w:color w:val="17365D"/>
                <w:sz w:val="18"/>
                <w:szCs w:val="18"/>
                <w:lang w:eastAsia="lv-LV"/>
              </w:rPr>
            </w:pPr>
          </w:p>
        </w:tc>
      </w:tr>
    </w:tbl>
    <w:p w14:paraId="5FE33F4D" w14:textId="77777777" w:rsidR="001567AF" w:rsidRPr="00E72168" w:rsidRDefault="001567AF" w:rsidP="001567AF">
      <w:pPr>
        <w:spacing w:after="120" w:line="240" w:lineRule="auto"/>
        <w:ind w:firstLine="360"/>
        <w:jc w:val="both"/>
        <w:rPr>
          <w:rFonts w:cs="Times New Roman"/>
          <w:bCs/>
          <w:color w:val="17365D"/>
        </w:rPr>
      </w:pPr>
    </w:p>
    <w:p w14:paraId="665D38F2" w14:textId="422350E5" w:rsidR="001567AF" w:rsidRPr="00E72168" w:rsidRDefault="001567AF" w:rsidP="001567AF">
      <w:pPr>
        <w:spacing w:after="120" w:line="240" w:lineRule="auto"/>
        <w:ind w:firstLine="360"/>
        <w:jc w:val="both"/>
        <w:rPr>
          <w:rFonts w:cs="Times New Roman"/>
          <w:bCs/>
          <w:color w:val="17365D"/>
        </w:rPr>
      </w:pPr>
      <w:r w:rsidRPr="00E72168">
        <w:rPr>
          <w:rFonts w:cs="Times New Roman"/>
          <w:bCs/>
          <w:color w:val="17365D"/>
        </w:rPr>
        <w:t xml:space="preserve">Bilances postenī “Nākamo periodu izdevumi un avansi par pakalpojumiem un projektiem” konsolidēti </w:t>
      </w:r>
      <w:r w:rsidRPr="00706C04">
        <w:rPr>
          <w:rFonts w:cs="Times New Roman"/>
          <w:bCs/>
          <w:color w:val="17365D"/>
        </w:rPr>
        <w:t>valsts un pašvaldību budžeta iestāžu savstarpējie avansa maksājumi un attiecīgās saistības.</w:t>
      </w:r>
    </w:p>
    <w:p w14:paraId="119D401E" w14:textId="40C2946F" w:rsidR="009C31D2" w:rsidRPr="00E72168" w:rsidRDefault="009C31D2" w:rsidP="001567AF">
      <w:pPr>
        <w:spacing w:after="120" w:line="240" w:lineRule="auto"/>
        <w:ind w:firstLine="360"/>
        <w:jc w:val="both"/>
        <w:rPr>
          <w:rFonts w:cs="Times New Roman"/>
          <w:bCs/>
          <w:color w:val="17365D"/>
        </w:rPr>
      </w:pPr>
      <w:r w:rsidRPr="00E72168">
        <w:rPr>
          <w:rFonts w:cs="Times New Roman"/>
          <w:bCs/>
          <w:color w:val="17365D"/>
        </w:rPr>
        <w:t xml:space="preserve">Nākamo periodu izdevumiem un avansiem par pakalpojumiem un projektiem </w:t>
      </w:r>
      <w:r w:rsidR="002221F1" w:rsidRPr="00E72168">
        <w:rPr>
          <w:rFonts w:cs="Times New Roman"/>
          <w:bCs/>
          <w:color w:val="17365D"/>
        </w:rPr>
        <w:t>atzītais vērtības</w:t>
      </w:r>
      <w:r w:rsidRPr="00E72168">
        <w:rPr>
          <w:rFonts w:cs="Times New Roman"/>
          <w:bCs/>
          <w:color w:val="17365D"/>
        </w:rPr>
        <w:t xml:space="preserve"> </w:t>
      </w:r>
      <w:r w:rsidR="002221F1" w:rsidRPr="00E72168">
        <w:rPr>
          <w:rFonts w:cs="Times New Roman"/>
          <w:bCs/>
          <w:color w:val="17365D"/>
        </w:rPr>
        <w:t>samazinājums</w:t>
      </w:r>
      <w:r w:rsidRPr="00E72168">
        <w:rPr>
          <w:rFonts w:cs="Times New Roman"/>
          <w:bCs/>
          <w:color w:val="17365D"/>
        </w:rPr>
        <w:t xml:space="preserve"> 20</w:t>
      </w:r>
      <w:r w:rsidR="00F267DD" w:rsidRPr="00E72168">
        <w:rPr>
          <w:rFonts w:cs="Times New Roman"/>
          <w:bCs/>
          <w:color w:val="17365D"/>
        </w:rPr>
        <w:t>2</w:t>
      </w:r>
      <w:r w:rsidR="00CF5308" w:rsidRPr="00E72168">
        <w:rPr>
          <w:rFonts w:cs="Times New Roman"/>
          <w:bCs/>
          <w:color w:val="17365D"/>
        </w:rPr>
        <w:t>3</w:t>
      </w:r>
      <w:r w:rsidRPr="00E72168">
        <w:rPr>
          <w:rFonts w:cs="Times New Roman"/>
          <w:bCs/>
          <w:color w:val="17365D"/>
        </w:rPr>
        <w:t>. gada beigās s</w:t>
      </w:r>
      <w:r w:rsidR="00D71D95" w:rsidRPr="00E72168">
        <w:rPr>
          <w:rFonts w:cs="Times New Roman"/>
          <w:bCs/>
          <w:color w:val="17365D"/>
        </w:rPr>
        <w:t>askaņā ar</w:t>
      </w:r>
      <w:r w:rsidRPr="00E72168">
        <w:rPr>
          <w:rFonts w:cs="Times New Roman"/>
          <w:bCs/>
          <w:color w:val="17365D"/>
        </w:rPr>
        <w:t>:</w:t>
      </w:r>
    </w:p>
    <w:p w14:paraId="5DBD7B3B" w14:textId="0D4D0658" w:rsidR="009C31D2" w:rsidRPr="00E72168" w:rsidRDefault="00D71D95" w:rsidP="004E5915">
      <w:pPr>
        <w:pStyle w:val="ListParagraph"/>
        <w:numPr>
          <w:ilvl w:val="0"/>
          <w:numId w:val="4"/>
        </w:numPr>
        <w:spacing w:after="120" w:line="240" w:lineRule="auto"/>
        <w:ind w:left="850" w:hanging="357"/>
        <w:contextualSpacing w:val="0"/>
        <w:jc w:val="both"/>
        <w:rPr>
          <w:rFonts w:cs="Times New Roman"/>
          <w:bCs/>
          <w:color w:val="17365D"/>
        </w:rPr>
      </w:pPr>
      <w:r w:rsidRPr="00E72168">
        <w:rPr>
          <w:rFonts w:cs="Times New Roman"/>
          <w:bCs/>
          <w:color w:val="17365D"/>
        </w:rPr>
        <w:t>ministriju un centrālo valsts iestāžu sniegto informāciju ir (</w:t>
      </w:r>
      <w:r w:rsidR="00EA0F97" w:rsidRPr="00721BCC">
        <w:rPr>
          <w:rFonts w:cs="Times New Roman"/>
          <w:bCs/>
          <w:color w:val="17365D"/>
        </w:rPr>
        <w:t>744 </w:t>
      </w:r>
      <w:r w:rsidR="00CF5308" w:rsidRPr="00721BCC">
        <w:rPr>
          <w:rFonts w:cs="Times New Roman"/>
          <w:bCs/>
          <w:color w:val="17365D"/>
        </w:rPr>
        <w:t>454</w:t>
      </w:r>
      <w:r w:rsidRPr="00E72168">
        <w:rPr>
          <w:rFonts w:cs="Times New Roman"/>
          <w:bCs/>
          <w:color w:val="17365D"/>
        </w:rPr>
        <w:t>) </w:t>
      </w:r>
      <w:r w:rsidRPr="00E72168">
        <w:rPr>
          <w:rFonts w:cs="Times New Roman"/>
          <w:bCs/>
          <w:i/>
          <w:color w:val="17365D"/>
        </w:rPr>
        <w:t>euro</w:t>
      </w:r>
      <w:r w:rsidR="002221F1" w:rsidRPr="00E72168">
        <w:rPr>
          <w:rFonts w:cs="Times New Roman"/>
          <w:bCs/>
          <w:i/>
          <w:color w:val="17365D"/>
        </w:rPr>
        <w:t xml:space="preserve">, </w:t>
      </w:r>
      <w:r w:rsidR="002221F1" w:rsidRPr="00E72168">
        <w:rPr>
          <w:rFonts w:cs="Times New Roman"/>
          <w:bCs/>
          <w:color w:val="17365D"/>
        </w:rPr>
        <w:t xml:space="preserve">galvenokārt veidots apšaubāmās summas apmērā, tai skaitā </w:t>
      </w:r>
      <w:r w:rsidR="00721BCC">
        <w:rPr>
          <w:rFonts w:cs="Times New Roman"/>
          <w:bCs/>
          <w:color w:val="17365D"/>
        </w:rPr>
        <w:t>(</w:t>
      </w:r>
      <w:r w:rsidR="002221F1" w:rsidRPr="00E72168">
        <w:rPr>
          <w:rFonts w:cs="Times New Roman"/>
          <w:bCs/>
          <w:color w:val="17365D"/>
        </w:rPr>
        <w:t>491</w:t>
      </w:r>
      <w:r w:rsidR="00721BCC">
        <w:rPr>
          <w:rFonts w:cs="Times New Roman"/>
          <w:bCs/>
          <w:color w:val="17365D"/>
        </w:rPr>
        <w:t> </w:t>
      </w:r>
      <w:r w:rsidR="002221F1" w:rsidRPr="00E72168">
        <w:rPr>
          <w:rFonts w:cs="Times New Roman"/>
          <w:bCs/>
          <w:color w:val="17365D"/>
        </w:rPr>
        <w:t>273</w:t>
      </w:r>
      <w:r w:rsidR="00721BCC">
        <w:rPr>
          <w:rFonts w:cs="Times New Roman"/>
          <w:bCs/>
          <w:color w:val="17365D"/>
        </w:rPr>
        <w:t>)</w:t>
      </w:r>
      <w:r w:rsidR="002221F1" w:rsidRPr="00E72168">
        <w:rPr>
          <w:rFonts w:cs="Times New Roman"/>
          <w:bCs/>
          <w:color w:val="17365D"/>
        </w:rPr>
        <w:t xml:space="preserve"> </w:t>
      </w:r>
      <w:r w:rsidR="002221F1" w:rsidRPr="00E72168">
        <w:rPr>
          <w:rFonts w:cs="Times New Roman"/>
          <w:bCs/>
          <w:i/>
          <w:color w:val="17365D"/>
        </w:rPr>
        <w:t xml:space="preserve">euro </w:t>
      </w:r>
      <w:r w:rsidR="002221F1" w:rsidRPr="00E72168">
        <w:rPr>
          <w:rFonts w:cs="Times New Roman"/>
          <w:bCs/>
          <w:color w:val="17365D"/>
        </w:rPr>
        <w:t xml:space="preserve">vērtībā par </w:t>
      </w:r>
      <w:r w:rsidR="00346152" w:rsidRPr="00E72168">
        <w:rPr>
          <w:rFonts w:cs="Times New Roman"/>
          <w:bCs/>
          <w:color w:val="17365D"/>
        </w:rPr>
        <w:t>pašvaldībām ie</w:t>
      </w:r>
      <w:r w:rsidR="002221F1" w:rsidRPr="00E72168">
        <w:rPr>
          <w:rFonts w:cs="Times New Roman"/>
          <w:bCs/>
          <w:color w:val="17365D"/>
        </w:rPr>
        <w:t>skait</w:t>
      </w:r>
      <w:r w:rsidR="00346152" w:rsidRPr="00E72168">
        <w:rPr>
          <w:rFonts w:cs="Times New Roman"/>
          <w:bCs/>
          <w:color w:val="17365D"/>
        </w:rPr>
        <w:t>ītiem tran</w:t>
      </w:r>
      <w:r w:rsidR="000C1009" w:rsidRPr="00E72168">
        <w:rPr>
          <w:rFonts w:cs="Times New Roman"/>
          <w:bCs/>
          <w:color w:val="17365D"/>
        </w:rPr>
        <w:t>s</w:t>
      </w:r>
      <w:r w:rsidR="00346152" w:rsidRPr="00E72168">
        <w:rPr>
          <w:rFonts w:cs="Times New Roman"/>
          <w:bCs/>
          <w:color w:val="17365D"/>
        </w:rPr>
        <w:t>fertiem</w:t>
      </w:r>
      <w:r w:rsidR="002221F1" w:rsidRPr="00E72168">
        <w:rPr>
          <w:rFonts w:cs="Times New Roman"/>
          <w:bCs/>
          <w:color w:val="17365D"/>
        </w:rPr>
        <w:t xml:space="preserve"> </w:t>
      </w:r>
      <w:r w:rsidR="00346152" w:rsidRPr="00E72168">
        <w:rPr>
          <w:rFonts w:cs="Times New Roman"/>
          <w:bCs/>
          <w:color w:val="17365D"/>
        </w:rPr>
        <w:t xml:space="preserve">kontos </w:t>
      </w:r>
      <w:r w:rsidR="00AA2059" w:rsidRPr="00E72168">
        <w:rPr>
          <w:rFonts w:cs="Times New Roman"/>
          <w:bCs/>
          <w:color w:val="17365D"/>
        </w:rPr>
        <w:t xml:space="preserve">likvidējamā </w:t>
      </w:r>
      <w:r w:rsidR="00346152" w:rsidRPr="00E72168">
        <w:rPr>
          <w:rFonts w:cs="Times New Roman"/>
          <w:bCs/>
          <w:color w:val="17365D"/>
        </w:rPr>
        <w:t>AS “Latvijas Krājbanka”</w:t>
      </w:r>
      <w:r w:rsidR="009C31D2" w:rsidRPr="00E72168">
        <w:rPr>
          <w:rFonts w:cs="Times New Roman"/>
          <w:bCs/>
          <w:color w:val="17365D"/>
        </w:rPr>
        <w:t>;</w:t>
      </w:r>
    </w:p>
    <w:p w14:paraId="30DBE104" w14:textId="4741C9D9" w:rsidR="009C31D2" w:rsidRPr="00E72168" w:rsidRDefault="009C31D2" w:rsidP="004E5915">
      <w:pPr>
        <w:pStyle w:val="ListParagraph"/>
        <w:numPr>
          <w:ilvl w:val="0"/>
          <w:numId w:val="4"/>
        </w:numPr>
        <w:spacing w:after="120" w:line="240" w:lineRule="auto"/>
        <w:ind w:left="850" w:hanging="357"/>
        <w:contextualSpacing w:val="0"/>
        <w:jc w:val="both"/>
        <w:rPr>
          <w:rFonts w:cs="Times New Roman"/>
          <w:bCs/>
          <w:color w:val="17365D"/>
        </w:rPr>
      </w:pPr>
      <w:r w:rsidRPr="00E72168">
        <w:rPr>
          <w:rFonts w:cs="Times New Roman"/>
          <w:bCs/>
          <w:color w:val="17365D"/>
        </w:rPr>
        <w:t>pašvaldību sniegto informāciju ir (</w:t>
      </w:r>
      <w:r w:rsidR="00CF5308" w:rsidRPr="00E72168">
        <w:rPr>
          <w:rFonts w:cs="Times New Roman"/>
          <w:bCs/>
          <w:color w:val="17365D"/>
        </w:rPr>
        <w:t>1 194</w:t>
      </w:r>
      <w:r w:rsidR="00876BB1" w:rsidRPr="00E72168">
        <w:rPr>
          <w:rFonts w:cs="Times New Roman"/>
          <w:bCs/>
          <w:color w:val="17365D"/>
        </w:rPr>
        <w:t> </w:t>
      </w:r>
      <w:r w:rsidR="00CF5308" w:rsidRPr="00E72168">
        <w:rPr>
          <w:rFonts w:cs="Times New Roman"/>
          <w:bCs/>
          <w:color w:val="17365D"/>
        </w:rPr>
        <w:t>873</w:t>
      </w:r>
      <w:r w:rsidRPr="00E72168">
        <w:rPr>
          <w:rFonts w:cs="Times New Roman"/>
          <w:bCs/>
          <w:color w:val="17365D"/>
        </w:rPr>
        <w:t>) </w:t>
      </w:r>
      <w:r w:rsidRPr="00E72168">
        <w:rPr>
          <w:rFonts w:cs="Times New Roman"/>
          <w:bCs/>
          <w:i/>
          <w:color w:val="17365D"/>
        </w:rPr>
        <w:t>euro</w:t>
      </w:r>
      <w:r w:rsidR="002221F1" w:rsidRPr="00E72168">
        <w:rPr>
          <w:rFonts w:cs="Times New Roman"/>
          <w:bCs/>
          <w:i/>
          <w:color w:val="17365D"/>
        </w:rPr>
        <w:t xml:space="preserve">, </w:t>
      </w:r>
      <w:r w:rsidR="002221F1" w:rsidRPr="00E72168">
        <w:rPr>
          <w:rFonts w:cs="Times New Roman"/>
          <w:bCs/>
          <w:color w:val="17365D"/>
        </w:rPr>
        <w:t xml:space="preserve">galvenokārt veidots </w:t>
      </w:r>
      <w:r w:rsidR="008C3AE8" w:rsidRPr="00E72168">
        <w:rPr>
          <w:rFonts w:cs="Times New Roman"/>
          <w:bCs/>
          <w:color w:val="17365D"/>
        </w:rPr>
        <w:t>pilnā apmērā atbilstoši budžeta iestāžu grāmatvedības uzskaites kārtībā noteiktajam</w:t>
      </w:r>
      <w:r w:rsidRPr="00E72168">
        <w:rPr>
          <w:rFonts w:cs="Times New Roman"/>
          <w:bCs/>
          <w:color w:val="17365D"/>
        </w:rPr>
        <w:t>.</w:t>
      </w:r>
    </w:p>
    <w:p w14:paraId="75B4508B" w14:textId="35EA17D6" w:rsidR="005F1E64" w:rsidRPr="00E72168" w:rsidRDefault="009D537C" w:rsidP="005A3758">
      <w:pPr>
        <w:pStyle w:val="Heading4"/>
        <w:rPr>
          <w:rFonts w:cs="Times New Roman"/>
        </w:rPr>
      </w:pPr>
      <w:r w:rsidRPr="00E72168">
        <w:rPr>
          <w:rFonts w:cs="Times New Roman"/>
        </w:rPr>
        <w:t xml:space="preserve">Piezīme Nr. </w:t>
      </w:r>
      <w:r w:rsidR="00D41F06" w:rsidRPr="00E72168">
        <w:rPr>
          <w:rFonts w:cs="Times New Roman"/>
        </w:rPr>
        <w:t>KB.</w:t>
      </w:r>
      <w:r w:rsidR="00F73CE6" w:rsidRPr="00E72168">
        <w:rPr>
          <w:rFonts w:cs="Times New Roman"/>
        </w:rPr>
        <w:t>2.5</w:t>
      </w:r>
      <w:r w:rsidR="00D41F06" w:rsidRPr="00E72168">
        <w:rPr>
          <w:rFonts w:cs="Times New Roman"/>
        </w:rPr>
        <w:t>. Īstermiņa finanšu ieguldījumi</w:t>
      </w:r>
    </w:p>
    <w:p w14:paraId="310D8AE1" w14:textId="605F5D72" w:rsidR="00C17805" w:rsidRPr="00E72168" w:rsidRDefault="00994F50" w:rsidP="00B53D37">
      <w:pPr>
        <w:spacing w:after="120" w:line="240" w:lineRule="auto"/>
        <w:ind w:firstLine="284"/>
        <w:jc w:val="both"/>
        <w:rPr>
          <w:rFonts w:cs="Times New Roman"/>
          <w:bCs/>
          <w:color w:val="17365D"/>
        </w:rPr>
      </w:pPr>
      <w:r w:rsidRPr="00E72168">
        <w:rPr>
          <w:rFonts w:cs="Times New Roman"/>
          <w:bCs/>
          <w:color w:val="17365D"/>
        </w:rPr>
        <w:t xml:space="preserve">Bilances postenis konsolidēts par </w:t>
      </w:r>
      <w:r w:rsidR="00102FD1">
        <w:rPr>
          <w:rFonts w:cs="Times New Roman"/>
          <w:bCs/>
          <w:color w:val="17365D"/>
        </w:rPr>
        <w:t xml:space="preserve">valsts </w:t>
      </w:r>
      <w:r w:rsidRPr="00E72168">
        <w:rPr>
          <w:rFonts w:cs="Times New Roman"/>
          <w:bCs/>
          <w:color w:val="17365D"/>
        </w:rPr>
        <w:t xml:space="preserve">un pašvaldību </w:t>
      </w:r>
      <w:r w:rsidR="00102FD1">
        <w:rPr>
          <w:rFonts w:cs="Times New Roman"/>
          <w:bCs/>
          <w:color w:val="17365D"/>
        </w:rPr>
        <w:t>budžeta iestāžu</w:t>
      </w:r>
      <w:r w:rsidR="00102FD1" w:rsidRPr="00E72168">
        <w:rPr>
          <w:rFonts w:cs="Times New Roman"/>
          <w:bCs/>
          <w:color w:val="17365D"/>
        </w:rPr>
        <w:t xml:space="preserve"> </w:t>
      </w:r>
      <w:r w:rsidRPr="00E72168">
        <w:rPr>
          <w:rFonts w:cs="Times New Roman"/>
          <w:bCs/>
          <w:color w:val="17365D"/>
        </w:rPr>
        <w:t>savstarpējiem darījumiem</w:t>
      </w:r>
      <w:r w:rsidR="00AA2059" w:rsidRPr="00E72168">
        <w:rPr>
          <w:rFonts w:cs="Times New Roman"/>
          <w:bCs/>
          <w:color w:val="17365D"/>
        </w:rPr>
        <w:t>, kā arī par valsts budžeta finanšu uzskaitē atzītiem aizdevumiem valsts un pašvaldību budžeta iestādēm un budžeta iestāžu noguldījumiem Valsts kasē</w:t>
      </w:r>
      <w:r w:rsidRPr="00E72168">
        <w:rPr>
          <w:rFonts w:cs="Times New Roman"/>
          <w:bCs/>
          <w:color w:val="17365D"/>
        </w:rPr>
        <w:t>.</w:t>
      </w:r>
    </w:p>
    <w:p w14:paraId="2182CFDF" w14:textId="3D4A4FC4" w:rsidR="0003199C" w:rsidRPr="00E72168" w:rsidRDefault="00F06FED" w:rsidP="009A23E5">
      <w:pPr>
        <w:pStyle w:val="Tabulasnosaukums1"/>
        <w:spacing w:before="120" w:line="240" w:lineRule="auto"/>
        <w:rPr>
          <w:rFonts w:cs="Times New Roman"/>
          <w:i/>
          <w:color w:val="17365D"/>
          <w:szCs w:val="18"/>
        </w:rPr>
      </w:pPr>
      <w:r>
        <w:rPr>
          <w:rFonts w:cs="Times New Roman"/>
          <w:i/>
          <w:color w:val="17365D"/>
          <w:szCs w:val="18"/>
        </w:rPr>
        <w:t>1.</w:t>
      </w:r>
      <w:r w:rsidR="00990A72" w:rsidRPr="00E72168">
        <w:rPr>
          <w:rFonts w:cs="Times New Roman"/>
          <w:i/>
          <w:color w:val="17365D"/>
          <w:szCs w:val="18"/>
        </w:rPr>
        <w:t>1</w:t>
      </w:r>
      <w:r w:rsidR="00F14440" w:rsidRPr="00E72168">
        <w:rPr>
          <w:rFonts w:cs="Times New Roman"/>
          <w:i/>
          <w:color w:val="17365D"/>
          <w:szCs w:val="18"/>
        </w:rPr>
        <w:t>5</w:t>
      </w:r>
      <w:r w:rsidR="0003199C" w:rsidRPr="00E72168">
        <w:rPr>
          <w:rFonts w:cs="Times New Roman"/>
          <w:i/>
          <w:color w:val="17365D"/>
          <w:szCs w:val="18"/>
        </w:rPr>
        <w:t>. tabula</w:t>
      </w:r>
      <w:r w:rsidR="00990A72" w:rsidRPr="00E72168">
        <w:rPr>
          <w:rFonts w:cs="Times New Roman"/>
          <w:i/>
          <w:color w:val="17365D"/>
          <w:szCs w:val="18"/>
        </w:rPr>
        <w:t xml:space="preserve">. Īstermiņa finanšu ieguldījumi </w:t>
      </w:r>
      <w:r w:rsidR="00990A72" w:rsidRPr="00E72168">
        <w:rPr>
          <w:rFonts w:eastAsia="Times New Roman" w:cs="Times New Roman"/>
          <w:i/>
          <w:color w:val="17365D"/>
          <w:szCs w:val="18"/>
          <w:lang w:eastAsia="lv-LV"/>
        </w:rPr>
        <w:t>(</w:t>
      </w:r>
      <w:r w:rsidR="000224DA" w:rsidRPr="00E72168">
        <w:rPr>
          <w:rFonts w:eastAsia="Times New Roman" w:cs="Times New Roman"/>
          <w:i/>
          <w:color w:val="17365D"/>
          <w:szCs w:val="18"/>
          <w:lang w:eastAsia="lv-LV"/>
        </w:rPr>
        <w:t>euro</w:t>
      </w:r>
      <w:r w:rsidR="00990A72" w:rsidRPr="00E72168">
        <w:rPr>
          <w:rFonts w:eastAsia="Times New Roman" w:cs="Times New Roman"/>
          <w:i/>
          <w:color w:val="17365D"/>
          <w:szCs w:val="18"/>
          <w:lang w:eastAsia="lv-LV"/>
        </w:rPr>
        <w:t>)</w:t>
      </w:r>
    </w:p>
    <w:tbl>
      <w:tblPr>
        <w:tblW w:w="5011" w:type="pct"/>
        <w:tblLayout w:type="fixed"/>
        <w:tblLook w:val="04A0" w:firstRow="1" w:lastRow="0" w:firstColumn="1" w:lastColumn="0" w:noHBand="0" w:noVBand="1"/>
      </w:tblPr>
      <w:tblGrid>
        <w:gridCol w:w="2695"/>
        <w:gridCol w:w="1274"/>
        <w:gridCol w:w="1418"/>
        <w:gridCol w:w="1558"/>
        <w:gridCol w:w="1213"/>
        <w:gridCol w:w="1217"/>
      </w:tblGrid>
      <w:tr w:rsidR="000C1009" w:rsidRPr="00E72168" w14:paraId="575BF867" w14:textId="77777777" w:rsidTr="00581A8F">
        <w:trPr>
          <w:trHeight w:val="684"/>
          <w:tblHeader/>
        </w:trPr>
        <w:tc>
          <w:tcPr>
            <w:tcW w:w="1437" w:type="pct"/>
            <w:tcBorders>
              <w:bottom w:val="single" w:sz="4" w:space="0" w:color="17365D"/>
            </w:tcBorders>
            <w:shd w:val="clear" w:color="auto" w:fill="B9CDE5"/>
            <w:vAlign w:val="center"/>
            <w:hideMark/>
          </w:tcPr>
          <w:p w14:paraId="326D5CBA" w14:textId="605C8AD9"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Rādītāji</w:t>
            </w:r>
          </w:p>
        </w:tc>
        <w:tc>
          <w:tcPr>
            <w:tcW w:w="679" w:type="pct"/>
            <w:tcBorders>
              <w:bottom w:val="single" w:sz="4" w:space="0" w:color="17365D"/>
            </w:tcBorders>
            <w:shd w:val="clear" w:color="auto" w:fill="B9CDE5"/>
            <w:vAlign w:val="center"/>
            <w:hideMark/>
          </w:tcPr>
          <w:p w14:paraId="288B26AF"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Piezīmes</w:t>
            </w:r>
            <w:r w:rsidRPr="00E72168">
              <w:rPr>
                <w:rFonts w:eastAsia="Times New Roman" w:cs="Times New Roman"/>
                <w:b/>
                <w:color w:val="17365D"/>
                <w:sz w:val="18"/>
                <w:szCs w:val="18"/>
                <w:lang w:eastAsia="lv-LV"/>
              </w:rPr>
              <w:br/>
              <w:t>Nr.</w:t>
            </w:r>
          </w:p>
        </w:tc>
        <w:tc>
          <w:tcPr>
            <w:tcW w:w="756" w:type="pct"/>
            <w:tcBorders>
              <w:bottom w:val="single" w:sz="4" w:space="0" w:color="17365D"/>
            </w:tcBorders>
            <w:shd w:val="clear" w:color="auto" w:fill="B9CDE5"/>
            <w:vAlign w:val="center"/>
            <w:hideMark/>
          </w:tcPr>
          <w:p w14:paraId="7D57DC9D"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beigās</w:t>
            </w:r>
          </w:p>
        </w:tc>
        <w:tc>
          <w:tcPr>
            <w:tcW w:w="831" w:type="pct"/>
            <w:tcBorders>
              <w:bottom w:val="single" w:sz="4" w:space="0" w:color="17365D"/>
            </w:tcBorders>
            <w:shd w:val="clear" w:color="auto" w:fill="B9CDE5"/>
            <w:vAlign w:val="center"/>
            <w:hideMark/>
          </w:tcPr>
          <w:p w14:paraId="2EB77975"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Pārskata perioda sākumā</w:t>
            </w:r>
          </w:p>
        </w:tc>
        <w:tc>
          <w:tcPr>
            <w:tcW w:w="647" w:type="pct"/>
            <w:tcBorders>
              <w:bottom w:val="single" w:sz="4" w:space="0" w:color="17365D"/>
            </w:tcBorders>
            <w:shd w:val="clear" w:color="auto" w:fill="B9CDE5"/>
            <w:vAlign w:val="center"/>
            <w:hideMark/>
          </w:tcPr>
          <w:p w14:paraId="4FBB523F" w14:textId="5D1926CA"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 xml:space="preserve">Izmaiņas </w:t>
            </w:r>
            <w:r w:rsidRPr="00E72168">
              <w:rPr>
                <w:rFonts w:eastAsia="Times New Roman" w:cs="Times New Roman"/>
                <w:b/>
                <w:color w:val="17365D"/>
                <w:sz w:val="18"/>
                <w:szCs w:val="18"/>
                <w:lang w:eastAsia="lv-LV"/>
              </w:rPr>
              <w:br/>
            </w:r>
            <w:r w:rsidRPr="00E72168">
              <w:rPr>
                <w:rFonts w:eastAsia="Times New Roman" w:cs="Times New Roman"/>
                <w:b/>
                <w:bCs/>
                <w:color w:val="17365D"/>
                <w:sz w:val="18"/>
                <w:szCs w:val="18"/>
                <w:lang w:eastAsia="lv-LV"/>
              </w:rPr>
              <w:t>(+,</w:t>
            </w:r>
            <w:r w:rsidR="002B1B27" w:rsidRPr="00E72168">
              <w:rPr>
                <w:rFonts w:eastAsia="Times New Roman" w:cs="Times New Roman"/>
                <w:b/>
                <w:color w:val="17365D"/>
                <w:sz w:val="18"/>
                <w:szCs w:val="18"/>
                <w:lang w:eastAsia="lv-LV"/>
              </w:rPr>
              <w:t xml:space="preserve"> – </w:t>
            </w:r>
            <w:r w:rsidRPr="00E72168">
              <w:rPr>
                <w:rFonts w:eastAsia="Times New Roman" w:cs="Times New Roman"/>
                <w:b/>
                <w:color w:val="17365D"/>
                <w:sz w:val="18"/>
                <w:szCs w:val="18"/>
                <w:lang w:eastAsia="lv-LV"/>
              </w:rPr>
              <w:t>)</w:t>
            </w:r>
          </w:p>
        </w:tc>
        <w:tc>
          <w:tcPr>
            <w:tcW w:w="649" w:type="pct"/>
            <w:tcBorders>
              <w:bottom w:val="single" w:sz="4" w:space="0" w:color="17365D"/>
            </w:tcBorders>
            <w:shd w:val="clear" w:color="auto" w:fill="B9CDE5"/>
            <w:vAlign w:val="center"/>
            <w:hideMark/>
          </w:tcPr>
          <w:p w14:paraId="604F256F"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Procentuālās izmaiņas (3./2.*100)</w:t>
            </w:r>
          </w:p>
        </w:tc>
      </w:tr>
      <w:tr w:rsidR="000C1009" w:rsidRPr="00E72168" w14:paraId="337DA1A2" w14:textId="77777777" w:rsidTr="00D742DA">
        <w:trPr>
          <w:trHeight w:val="240"/>
          <w:tblHeader/>
        </w:trPr>
        <w:tc>
          <w:tcPr>
            <w:tcW w:w="1437" w:type="pct"/>
            <w:tcBorders>
              <w:top w:val="single" w:sz="4" w:space="0" w:color="17365D"/>
              <w:bottom w:val="single" w:sz="4" w:space="0" w:color="17365D"/>
            </w:tcBorders>
            <w:shd w:val="clear" w:color="auto" w:fill="auto"/>
            <w:vAlign w:val="center"/>
            <w:hideMark/>
          </w:tcPr>
          <w:p w14:paraId="7E556287"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w:t>
            </w:r>
          </w:p>
        </w:tc>
        <w:tc>
          <w:tcPr>
            <w:tcW w:w="679" w:type="pct"/>
            <w:tcBorders>
              <w:top w:val="single" w:sz="4" w:space="0" w:color="17365D"/>
              <w:bottom w:val="single" w:sz="4" w:space="0" w:color="17365D"/>
            </w:tcBorders>
            <w:shd w:val="clear" w:color="auto" w:fill="auto"/>
            <w:vAlign w:val="center"/>
            <w:hideMark/>
          </w:tcPr>
          <w:p w14:paraId="2CB1D074"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B</w:t>
            </w:r>
          </w:p>
        </w:tc>
        <w:tc>
          <w:tcPr>
            <w:tcW w:w="756" w:type="pct"/>
            <w:tcBorders>
              <w:top w:val="single" w:sz="4" w:space="0" w:color="17365D"/>
              <w:bottom w:val="single" w:sz="4" w:space="0" w:color="17365D"/>
            </w:tcBorders>
            <w:shd w:val="clear" w:color="auto" w:fill="auto"/>
            <w:vAlign w:val="center"/>
            <w:hideMark/>
          </w:tcPr>
          <w:p w14:paraId="3C96ABE9"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w:t>
            </w:r>
          </w:p>
        </w:tc>
        <w:tc>
          <w:tcPr>
            <w:tcW w:w="831" w:type="pct"/>
            <w:tcBorders>
              <w:top w:val="single" w:sz="4" w:space="0" w:color="17365D"/>
              <w:bottom w:val="single" w:sz="4" w:space="0" w:color="17365D"/>
            </w:tcBorders>
            <w:shd w:val="clear" w:color="auto" w:fill="auto"/>
            <w:vAlign w:val="center"/>
            <w:hideMark/>
          </w:tcPr>
          <w:p w14:paraId="7B4DE534"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2</w:t>
            </w:r>
          </w:p>
        </w:tc>
        <w:tc>
          <w:tcPr>
            <w:tcW w:w="647" w:type="pct"/>
            <w:tcBorders>
              <w:top w:val="single" w:sz="4" w:space="0" w:color="17365D"/>
              <w:bottom w:val="single" w:sz="4" w:space="0" w:color="17365D"/>
            </w:tcBorders>
            <w:shd w:val="clear" w:color="auto" w:fill="auto"/>
            <w:vAlign w:val="center"/>
            <w:hideMark/>
          </w:tcPr>
          <w:p w14:paraId="765EFABE"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3</w:t>
            </w:r>
          </w:p>
        </w:tc>
        <w:tc>
          <w:tcPr>
            <w:tcW w:w="649" w:type="pct"/>
            <w:tcBorders>
              <w:top w:val="single" w:sz="4" w:space="0" w:color="17365D"/>
              <w:bottom w:val="single" w:sz="4" w:space="0" w:color="17365D"/>
            </w:tcBorders>
            <w:shd w:val="clear" w:color="auto" w:fill="auto"/>
            <w:vAlign w:val="center"/>
            <w:hideMark/>
          </w:tcPr>
          <w:p w14:paraId="34C638CB" w14:textId="77777777" w:rsidR="00F45393" w:rsidRPr="00E72168" w:rsidRDefault="00F45393" w:rsidP="00F45393">
            <w:pPr>
              <w:spacing w:after="0"/>
              <w:jc w:val="center"/>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w:t>
            </w:r>
          </w:p>
        </w:tc>
      </w:tr>
      <w:tr w:rsidR="007D7577" w:rsidRPr="00E72168" w14:paraId="03CEB5EE" w14:textId="77777777" w:rsidTr="00C87349">
        <w:trPr>
          <w:trHeight w:val="266"/>
        </w:trPr>
        <w:tc>
          <w:tcPr>
            <w:tcW w:w="1437" w:type="pct"/>
            <w:tcBorders>
              <w:top w:val="single" w:sz="4" w:space="0" w:color="17365D"/>
              <w:bottom w:val="single" w:sz="4" w:space="0" w:color="17365D"/>
            </w:tcBorders>
            <w:shd w:val="clear" w:color="auto" w:fill="auto"/>
            <w:vAlign w:val="center"/>
            <w:hideMark/>
          </w:tcPr>
          <w:p w14:paraId="75AE8E2D" w14:textId="27F87862" w:rsidR="007D7577" w:rsidRPr="00E72168" w:rsidRDefault="007D7577" w:rsidP="007D7577">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Īstermiņa finanšu ieguldījumi</w:t>
            </w:r>
          </w:p>
        </w:tc>
        <w:tc>
          <w:tcPr>
            <w:tcW w:w="679" w:type="pct"/>
            <w:tcBorders>
              <w:top w:val="single" w:sz="4" w:space="0" w:color="17365D"/>
              <w:bottom w:val="single" w:sz="4" w:space="0" w:color="17365D"/>
            </w:tcBorders>
            <w:shd w:val="clear" w:color="auto" w:fill="auto"/>
            <w:vAlign w:val="center"/>
            <w:hideMark/>
          </w:tcPr>
          <w:p w14:paraId="44915BBE" w14:textId="5C1778A2" w:rsidR="007D7577" w:rsidRPr="00E72168" w:rsidRDefault="007D7577" w:rsidP="007D7577">
            <w:pPr>
              <w:spacing w:after="0" w:line="240" w:lineRule="auto"/>
              <w:jc w:val="center"/>
              <w:rPr>
                <w:rFonts w:eastAsia="Times New Roman" w:cs="Times New Roman"/>
                <w:b/>
                <w:color w:val="17365D"/>
                <w:sz w:val="18"/>
                <w:szCs w:val="18"/>
                <w:lang w:eastAsia="lv-LV"/>
              </w:rPr>
            </w:pPr>
            <w:r w:rsidRPr="00E72168">
              <w:rPr>
                <w:rFonts w:cs="Times New Roman"/>
                <w:b/>
                <w:color w:val="17365D"/>
                <w:sz w:val="18"/>
                <w:szCs w:val="18"/>
              </w:rPr>
              <w:t>KB.2.5.</w:t>
            </w:r>
          </w:p>
        </w:tc>
        <w:tc>
          <w:tcPr>
            <w:tcW w:w="756" w:type="pct"/>
            <w:tcBorders>
              <w:top w:val="single" w:sz="4" w:space="0" w:color="17365D"/>
              <w:bottom w:val="single" w:sz="4" w:space="0" w:color="17365D"/>
            </w:tcBorders>
            <w:shd w:val="clear" w:color="auto" w:fill="auto"/>
            <w:noWrap/>
            <w:vAlign w:val="center"/>
            <w:hideMark/>
          </w:tcPr>
          <w:p w14:paraId="17796A8F" w14:textId="61158271" w:rsidR="007D7577" w:rsidRPr="00C87349" w:rsidRDefault="007D7577" w:rsidP="007D7577">
            <w:pPr>
              <w:spacing w:after="0" w:line="240" w:lineRule="auto"/>
              <w:jc w:val="right"/>
              <w:rPr>
                <w:b/>
                <w:bCs/>
                <w:color w:val="17365D"/>
                <w:sz w:val="18"/>
                <w:szCs w:val="18"/>
              </w:rPr>
            </w:pPr>
            <w:r w:rsidRPr="00C87349">
              <w:rPr>
                <w:b/>
                <w:bCs/>
                <w:color w:val="17365D"/>
                <w:sz w:val="18"/>
                <w:szCs w:val="18"/>
              </w:rPr>
              <w:t>74 288 767</w:t>
            </w:r>
          </w:p>
        </w:tc>
        <w:tc>
          <w:tcPr>
            <w:tcW w:w="831" w:type="pct"/>
            <w:tcBorders>
              <w:top w:val="single" w:sz="4" w:space="0" w:color="17365D"/>
              <w:bottom w:val="single" w:sz="4" w:space="0" w:color="17365D"/>
            </w:tcBorders>
            <w:shd w:val="clear" w:color="auto" w:fill="auto"/>
            <w:noWrap/>
            <w:vAlign w:val="center"/>
            <w:hideMark/>
          </w:tcPr>
          <w:p w14:paraId="27F99DF5" w14:textId="113A1553" w:rsidR="007D7577" w:rsidRPr="00C87349" w:rsidRDefault="007D7577" w:rsidP="007D7577">
            <w:pPr>
              <w:spacing w:after="0" w:line="240" w:lineRule="auto"/>
              <w:jc w:val="right"/>
              <w:rPr>
                <w:b/>
                <w:bCs/>
                <w:color w:val="17365D"/>
                <w:sz w:val="18"/>
                <w:szCs w:val="18"/>
              </w:rPr>
            </w:pPr>
            <w:r w:rsidRPr="00C87349">
              <w:rPr>
                <w:b/>
                <w:bCs/>
                <w:color w:val="17365D"/>
                <w:sz w:val="18"/>
                <w:szCs w:val="18"/>
              </w:rPr>
              <w:t>32 019 753</w:t>
            </w:r>
          </w:p>
        </w:tc>
        <w:tc>
          <w:tcPr>
            <w:tcW w:w="647" w:type="pct"/>
            <w:tcBorders>
              <w:top w:val="single" w:sz="4" w:space="0" w:color="17365D"/>
              <w:bottom w:val="single" w:sz="4" w:space="0" w:color="17365D"/>
            </w:tcBorders>
            <w:shd w:val="clear" w:color="auto" w:fill="auto"/>
            <w:noWrap/>
            <w:vAlign w:val="center"/>
            <w:hideMark/>
          </w:tcPr>
          <w:p w14:paraId="2E2D87B6" w14:textId="7C50D6AF" w:rsidR="007D7577" w:rsidRPr="00C87349" w:rsidRDefault="007D7577" w:rsidP="007D7577">
            <w:pPr>
              <w:spacing w:after="0" w:line="240" w:lineRule="auto"/>
              <w:jc w:val="right"/>
              <w:rPr>
                <w:b/>
                <w:bCs/>
                <w:color w:val="17365D"/>
                <w:sz w:val="18"/>
                <w:szCs w:val="18"/>
              </w:rPr>
            </w:pPr>
            <w:r w:rsidRPr="00C87349">
              <w:rPr>
                <w:b/>
                <w:bCs/>
                <w:color w:val="17365D"/>
                <w:sz w:val="18"/>
                <w:szCs w:val="18"/>
              </w:rPr>
              <w:t>42 269 014</w:t>
            </w:r>
          </w:p>
        </w:tc>
        <w:tc>
          <w:tcPr>
            <w:tcW w:w="649" w:type="pct"/>
            <w:tcBorders>
              <w:top w:val="single" w:sz="4" w:space="0" w:color="17365D"/>
              <w:bottom w:val="single" w:sz="4" w:space="0" w:color="17365D"/>
              <w:right w:val="nil"/>
            </w:tcBorders>
            <w:shd w:val="clear" w:color="auto" w:fill="auto"/>
            <w:noWrap/>
            <w:vAlign w:val="center"/>
            <w:hideMark/>
          </w:tcPr>
          <w:p w14:paraId="23BC2471" w14:textId="4448E6FE" w:rsidR="007D7577" w:rsidRPr="00C87349" w:rsidRDefault="007D7577" w:rsidP="007D7577">
            <w:pPr>
              <w:spacing w:after="0" w:line="240" w:lineRule="auto"/>
              <w:jc w:val="right"/>
              <w:rPr>
                <w:b/>
                <w:bCs/>
                <w:color w:val="17365D"/>
                <w:sz w:val="18"/>
                <w:szCs w:val="18"/>
              </w:rPr>
            </w:pPr>
            <w:r w:rsidRPr="00C87349">
              <w:rPr>
                <w:b/>
                <w:bCs/>
                <w:color w:val="17365D"/>
                <w:sz w:val="18"/>
                <w:szCs w:val="18"/>
              </w:rPr>
              <w:t>132.01</w:t>
            </w:r>
          </w:p>
        </w:tc>
      </w:tr>
      <w:tr w:rsidR="000C1009" w:rsidRPr="00E72168" w14:paraId="2AA01D16" w14:textId="77777777" w:rsidTr="00D742DA">
        <w:trPr>
          <w:trHeight w:val="56"/>
        </w:trPr>
        <w:tc>
          <w:tcPr>
            <w:tcW w:w="1437" w:type="pct"/>
            <w:tcBorders>
              <w:top w:val="single" w:sz="4" w:space="0" w:color="17365D"/>
            </w:tcBorders>
            <w:shd w:val="clear" w:color="auto" w:fill="B9CDE5"/>
            <w:vAlign w:val="center"/>
          </w:tcPr>
          <w:p w14:paraId="57E1251E" w14:textId="77777777" w:rsidR="00A34B48" w:rsidRPr="00E72168" w:rsidRDefault="00A34B48" w:rsidP="00F45393">
            <w:pPr>
              <w:spacing w:after="0"/>
              <w:rPr>
                <w:rFonts w:eastAsia="Times New Roman" w:cs="Times New Roman"/>
                <w:color w:val="17365D"/>
                <w:sz w:val="18"/>
                <w:szCs w:val="18"/>
                <w:lang w:eastAsia="lv-LV"/>
              </w:rPr>
            </w:pPr>
          </w:p>
        </w:tc>
        <w:tc>
          <w:tcPr>
            <w:tcW w:w="679" w:type="pct"/>
            <w:tcBorders>
              <w:top w:val="single" w:sz="4" w:space="0" w:color="17365D"/>
            </w:tcBorders>
            <w:shd w:val="clear" w:color="auto" w:fill="B9CDE5"/>
            <w:noWrap/>
            <w:vAlign w:val="center"/>
          </w:tcPr>
          <w:p w14:paraId="7359E10A" w14:textId="77777777" w:rsidR="00A34B48" w:rsidRPr="00E72168" w:rsidRDefault="00A34B48" w:rsidP="00F45393">
            <w:pPr>
              <w:spacing w:after="0"/>
              <w:jc w:val="center"/>
              <w:rPr>
                <w:rFonts w:eastAsia="Times New Roman" w:cs="Times New Roman"/>
                <w:color w:val="17365D"/>
                <w:sz w:val="18"/>
                <w:szCs w:val="18"/>
                <w:lang w:eastAsia="lv-LV"/>
              </w:rPr>
            </w:pPr>
          </w:p>
        </w:tc>
        <w:tc>
          <w:tcPr>
            <w:tcW w:w="756" w:type="pct"/>
            <w:tcBorders>
              <w:top w:val="single" w:sz="4" w:space="0" w:color="17365D"/>
            </w:tcBorders>
            <w:shd w:val="clear" w:color="auto" w:fill="B9CDE5"/>
            <w:noWrap/>
            <w:vAlign w:val="center"/>
          </w:tcPr>
          <w:p w14:paraId="5A1B211C" w14:textId="77777777" w:rsidR="00A34B48" w:rsidRPr="00E72168" w:rsidRDefault="00A34B48" w:rsidP="00F45393">
            <w:pPr>
              <w:spacing w:after="0"/>
              <w:jc w:val="right"/>
              <w:rPr>
                <w:rFonts w:eastAsia="Times New Roman" w:cs="Times New Roman"/>
                <w:color w:val="17365D"/>
                <w:sz w:val="18"/>
                <w:szCs w:val="18"/>
                <w:lang w:eastAsia="lv-LV"/>
              </w:rPr>
            </w:pPr>
          </w:p>
        </w:tc>
        <w:tc>
          <w:tcPr>
            <w:tcW w:w="831" w:type="pct"/>
            <w:tcBorders>
              <w:top w:val="single" w:sz="4" w:space="0" w:color="17365D"/>
            </w:tcBorders>
            <w:shd w:val="clear" w:color="auto" w:fill="B9CDE5"/>
            <w:noWrap/>
            <w:vAlign w:val="center"/>
          </w:tcPr>
          <w:p w14:paraId="5DD21F57" w14:textId="77777777" w:rsidR="00A34B48" w:rsidRPr="00E72168" w:rsidRDefault="00A34B48" w:rsidP="00F45393">
            <w:pPr>
              <w:spacing w:after="0"/>
              <w:jc w:val="right"/>
              <w:rPr>
                <w:rFonts w:eastAsia="Times New Roman" w:cs="Times New Roman"/>
                <w:color w:val="17365D"/>
                <w:sz w:val="18"/>
                <w:szCs w:val="18"/>
                <w:lang w:eastAsia="lv-LV"/>
              </w:rPr>
            </w:pPr>
          </w:p>
        </w:tc>
        <w:tc>
          <w:tcPr>
            <w:tcW w:w="647" w:type="pct"/>
            <w:tcBorders>
              <w:top w:val="single" w:sz="4" w:space="0" w:color="17365D"/>
            </w:tcBorders>
            <w:shd w:val="clear" w:color="auto" w:fill="B9CDE5"/>
            <w:noWrap/>
            <w:vAlign w:val="center"/>
          </w:tcPr>
          <w:p w14:paraId="61092339" w14:textId="77777777" w:rsidR="00A34B48" w:rsidRPr="00E72168" w:rsidRDefault="00A34B48" w:rsidP="00F45393">
            <w:pPr>
              <w:spacing w:after="0"/>
              <w:jc w:val="right"/>
              <w:rPr>
                <w:rFonts w:eastAsia="Times New Roman" w:cs="Times New Roman"/>
                <w:color w:val="17365D"/>
                <w:sz w:val="18"/>
                <w:szCs w:val="18"/>
                <w:lang w:eastAsia="lv-LV"/>
              </w:rPr>
            </w:pPr>
          </w:p>
        </w:tc>
        <w:tc>
          <w:tcPr>
            <w:tcW w:w="649" w:type="pct"/>
            <w:tcBorders>
              <w:top w:val="single" w:sz="4" w:space="0" w:color="17365D"/>
            </w:tcBorders>
            <w:shd w:val="clear" w:color="auto" w:fill="B9CDE5"/>
            <w:noWrap/>
            <w:vAlign w:val="center"/>
          </w:tcPr>
          <w:p w14:paraId="36991AA6" w14:textId="77777777" w:rsidR="00A34B48" w:rsidRPr="00E72168" w:rsidRDefault="00A34B48" w:rsidP="00F45393">
            <w:pPr>
              <w:spacing w:after="0"/>
              <w:jc w:val="right"/>
              <w:rPr>
                <w:rFonts w:eastAsia="Times New Roman" w:cs="Times New Roman"/>
                <w:color w:val="17365D"/>
                <w:sz w:val="18"/>
                <w:szCs w:val="18"/>
                <w:lang w:eastAsia="lv-LV"/>
              </w:rPr>
            </w:pPr>
          </w:p>
        </w:tc>
      </w:tr>
    </w:tbl>
    <w:p w14:paraId="472BA824" w14:textId="43DC0616" w:rsidR="00AA2059" w:rsidRPr="00A27896" w:rsidRDefault="00707AFD" w:rsidP="00707AFD">
      <w:pPr>
        <w:spacing w:before="240" w:after="120" w:line="240" w:lineRule="auto"/>
        <w:ind w:firstLine="284"/>
        <w:jc w:val="both"/>
        <w:rPr>
          <w:rFonts w:cs="Times New Roman"/>
          <w:bCs/>
          <w:color w:val="17365D"/>
        </w:rPr>
      </w:pPr>
      <w:r w:rsidRPr="00E72168">
        <w:rPr>
          <w:rFonts w:cs="Times New Roman"/>
          <w:bCs/>
          <w:color w:val="17365D"/>
        </w:rPr>
        <w:t>Īstermiņa finanšu ieguldījumu postenī būtiskas izmaiņas pārskata gadā nav bijušas.</w:t>
      </w:r>
      <w:r>
        <w:rPr>
          <w:rFonts w:cs="Times New Roman"/>
          <w:bCs/>
          <w:color w:val="17365D"/>
        </w:rPr>
        <w:t xml:space="preserve"> </w:t>
      </w:r>
    </w:p>
    <w:p w14:paraId="27BDF9F2" w14:textId="44B86860" w:rsidR="00D41F06" w:rsidRPr="00A27896" w:rsidRDefault="00C67DF1" w:rsidP="005A3758">
      <w:pPr>
        <w:pStyle w:val="Heading4"/>
        <w:rPr>
          <w:rFonts w:cs="Times New Roman"/>
        </w:rPr>
      </w:pPr>
      <w:r w:rsidRPr="00A27896">
        <w:rPr>
          <w:rFonts w:cs="Times New Roman"/>
        </w:rPr>
        <w:lastRenderedPageBreak/>
        <w:t xml:space="preserve">Piezīme Nr. </w:t>
      </w:r>
      <w:r w:rsidR="00D41F06" w:rsidRPr="00A27896">
        <w:rPr>
          <w:rFonts w:cs="Times New Roman"/>
        </w:rPr>
        <w:t>KB.</w:t>
      </w:r>
      <w:r w:rsidR="00F73CE6" w:rsidRPr="00A27896">
        <w:rPr>
          <w:rFonts w:cs="Times New Roman"/>
        </w:rPr>
        <w:t>2.6</w:t>
      </w:r>
      <w:r w:rsidR="00D41F06" w:rsidRPr="00A27896">
        <w:rPr>
          <w:rFonts w:cs="Times New Roman"/>
        </w:rPr>
        <w:t>. Naudas līdzekļi</w:t>
      </w:r>
    </w:p>
    <w:p w14:paraId="3E2A827E" w14:textId="3B5E8244" w:rsidR="00C202C7" w:rsidRPr="00A27896" w:rsidRDefault="00F06FED" w:rsidP="009A23E5">
      <w:pPr>
        <w:pStyle w:val="Tabulasnosaukums1"/>
        <w:spacing w:before="0" w:line="240" w:lineRule="auto"/>
        <w:rPr>
          <w:rFonts w:cs="Times New Roman"/>
          <w:i/>
          <w:color w:val="17365D"/>
        </w:rPr>
      </w:pPr>
      <w:r>
        <w:rPr>
          <w:rFonts w:cs="Times New Roman"/>
          <w:i/>
          <w:color w:val="17365D"/>
        </w:rPr>
        <w:t>1.</w:t>
      </w:r>
      <w:r w:rsidR="00743E0E" w:rsidRPr="00A27896">
        <w:rPr>
          <w:rFonts w:cs="Times New Roman"/>
          <w:i/>
          <w:color w:val="17365D"/>
        </w:rPr>
        <w:t>1</w:t>
      </w:r>
      <w:r w:rsidR="004D17AD" w:rsidRPr="00A27896">
        <w:rPr>
          <w:rFonts w:cs="Times New Roman"/>
          <w:i/>
          <w:color w:val="17365D"/>
        </w:rPr>
        <w:t>6</w:t>
      </w:r>
      <w:r w:rsidR="00C202C7" w:rsidRPr="00A27896">
        <w:rPr>
          <w:rFonts w:cs="Times New Roman"/>
          <w:i/>
          <w:color w:val="17365D"/>
        </w:rPr>
        <w:t>. tabula. Naudas līdzekļi (euro)</w:t>
      </w:r>
    </w:p>
    <w:tbl>
      <w:tblPr>
        <w:tblW w:w="5001" w:type="pct"/>
        <w:jc w:val="center"/>
        <w:tblLayout w:type="fixed"/>
        <w:tblLook w:val="04A0" w:firstRow="1" w:lastRow="0" w:firstColumn="1" w:lastColumn="0" w:noHBand="0" w:noVBand="1"/>
      </w:tblPr>
      <w:tblGrid>
        <w:gridCol w:w="2551"/>
        <w:gridCol w:w="1138"/>
        <w:gridCol w:w="1416"/>
        <w:gridCol w:w="1559"/>
        <w:gridCol w:w="1274"/>
        <w:gridCol w:w="1418"/>
      </w:tblGrid>
      <w:tr w:rsidR="000C1009" w:rsidRPr="00A27896" w14:paraId="3FEE31ED" w14:textId="77777777" w:rsidTr="00B87BA2">
        <w:trPr>
          <w:trHeight w:val="684"/>
          <w:tblHeader/>
          <w:jc w:val="center"/>
        </w:trPr>
        <w:tc>
          <w:tcPr>
            <w:tcW w:w="1363" w:type="pct"/>
            <w:tcBorders>
              <w:bottom w:val="single" w:sz="4" w:space="0" w:color="17365D"/>
            </w:tcBorders>
            <w:shd w:val="clear" w:color="auto" w:fill="B9CDE5"/>
            <w:vAlign w:val="center"/>
            <w:hideMark/>
          </w:tcPr>
          <w:p w14:paraId="7FDD03D8"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608" w:type="pct"/>
            <w:tcBorders>
              <w:bottom w:val="single" w:sz="4" w:space="0" w:color="17365D"/>
            </w:tcBorders>
            <w:shd w:val="clear" w:color="auto" w:fill="B9CDE5"/>
            <w:vAlign w:val="center"/>
            <w:hideMark/>
          </w:tcPr>
          <w:p w14:paraId="5CE98122"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57" w:type="pct"/>
            <w:tcBorders>
              <w:bottom w:val="single" w:sz="4" w:space="0" w:color="17365D"/>
            </w:tcBorders>
            <w:shd w:val="clear" w:color="auto" w:fill="B9CDE5"/>
            <w:vAlign w:val="center"/>
            <w:hideMark/>
          </w:tcPr>
          <w:p w14:paraId="050BE560"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33" w:type="pct"/>
            <w:tcBorders>
              <w:bottom w:val="single" w:sz="4" w:space="0" w:color="17365D"/>
            </w:tcBorders>
            <w:shd w:val="clear" w:color="auto" w:fill="B9CDE5"/>
            <w:vAlign w:val="center"/>
            <w:hideMark/>
          </w:tcPr>
          <w:p w14:paraId="346B3631"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681" w:type="pct"/>
            <w:tcBorders>
              <w:bottom w:val="single" w:sz="4" w:space="0" w:color="17365D"/>
            </w:tcBorders>
            <w:shd w:val="clear" w:color="auto" w:fill="B9CDE5"/>
            <w:vAlign w:val="center"/>
            <w:hideMark/>
          </w:tcPr>
          <w:p w14:paraId="100AD6FC" w14:textId="41B1FC88"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w:t>
            </w:r>
            <w:r w:rsidR="00F21677" w:rsidRPr="00A27896">
              <w:rPr>
                <w:rFonts w:eastAsia="Times New Roman" w:cs="Times New Roman"/>
                <w:b/>
                <w:color w:val="17365D"/>
                <w:sz w:val="18"/>
                <w:szCs w:val="18"/>
                <w:lang w:eastAsia="lv-LV"/>
              </w:rPr>
              <w:t>-</w:t>
            </w:r>
            <w:r w:rsidRPr="00A27896">
              <w:rPr>
                <w:rFonts w:eastAsia="Times New Roman" w:cs="Times New Roman"/>
                <w:b/>
                <w:color w:val="17365D"/>
                <w:sz w:val="18"/>
                <w:szCs w:val="18"/>
                <w:lang w:eastAsia="lv-LV"/>
              </w:rPr>
              <w:t>)</w:t>
            </w:r>
          </w:p>
        </w:tc>
        <w:tc>
          <w:tcPr>
            <w:tcW w:w="758" w:type="pct"/>
            <w:tcBorders>
              <w:bottom w:val="single" w:sz="4" w:space="0" w:color="17365D"/>
            </w:tcBorders>
            <w:shd w:val="clear" w:color="auto" w:fill="B9CDE5"/>
            <w:vAlign w:val="center"/>
            <w:hideMark/>
          </w:tcPr>
          <w:p w14:paraId="0AE64B94"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53DF5E58" w14:textId="77777777" w:rsidTr="00B87BA2">
        <w:trPr>
          <w:trHeight w:val="240"/>
          <w:jc w:val="center"/>
        </w:trPr>
        <w:tc>
          <w:tcPr>
            <w:tcW w:w="1363" w:type="pct"/>
            <w:tcBorders>
              <w:top w:val="single" w:sz="4" w:space="0" w:color="17365D"/>
              <w:bottom w:val="single" w:sz="4" w:space="0" w:color="17365D"/>
            </w:tcBorders>
            <w:shd w:val="clear" w:color="auto" w:fill="auto"/>
            <w:vAlign w:val="center"/>
            <w:hideMark/>
          </w:tcPr>
          <w:p w14:paraId="2FFE1DAD"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08" w:type="pct"/>
            <w:tcBorders>
              <w:top w:val="single" w:sz="4" w:space="0" w:color="17365D"/>
              <w:bottom w:val="single" w:sz="4" w:space="0" w:color="17365D"/>
            </w:tcBorders>
            <w:shd w:val="clear" w:color="auto" w:fill="auto"/>
            <w:vAlign w:val="center"/>
            <w:hideMark/>
          </w:tcPr>
          <w:p w14:paraId="42C541C0"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57" w:type="pct"/>
            <w:tcBorders>
              <w:top w:val="single" w:sz="4" w:space="0" w:color="17365D"/>
              <w:bottom w:val="single" w:sz="4" w:space="0" w:color="17365D"/>
            </w:tcBorders>
            <w:shd w:val="clear" w:color="auto" w:fill="auto"/>
            <w:vAlign w:val="center"/>
            <w:hideMark/>
          </w:tcPr>
          <w:p w14:paraId="24783CAA"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33" w:type="pct"/>
            <w:tcBorders>
              <w:top w:val="single" w:sz="4" w:space="0" w:color="17365D"/>
              <w:bottom w:val="single" w:sz="4" w:space="0" w:color="17365D"/>
            </w:tcBorders>
            <w:shd w:val="clear" w:color="auto" w:fill="auto"/>
            <w:vAlign w:val="center"/>
            <w:hideMark/>
          </w:tcPr>
          <w:p w14:paraId="33BC1E66"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81" w:type="pct"/>
            <w:tcBorders>
              <w:top w:val="single" w:sz="4" w:space="0" w:color="17365D"/>
              <w:bottom w:val="single" w:sz="4" w:space="0" w:color="17365D"/>
            </w:tcBorders>
            <w:shd w:val="clear" w:color="auto" w:fill="auto"/>
            <w:vAlign w:val="center"/>
            <w:hideMark/>
          </w:tcPr>
          <w:p w14:paraId="52E70452"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758" w:type="pct"/>
            <w:tcBorders>
              <w:top w:val="single" w:sz="4" w:space="0" w:color="17365D"/>
              <w:bottom w:val="single" w:sz="4" w:space="0" w:color="17365D"/>
            </w:tcBorders>
            <w:shd w:val="clear" w:color="auto" w:fill="auto"/>
            <w:vAlign w:val="center"/>
            <w:hideMark/>
          </w:tcPr>
          <w:p w14:paraId="039DB2C2" w14:textId="77777777" w:rsidR="00C202C7" w:rsidRPr="00A27896" w:rsidRDefault="00C202C7"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B87BA2" w:rsidRPr="00A27896" w14:paraId="556CEB7E" w14:textId="77777777" w:rsidTr="00B87BA2">
        <w:trPr>
          <w:trHeight w:val="163"/>
          <w:jc w:val="center"/>
        </w:trPr>
        <w:tc>
          <w:tcPr>
            <w:tcW w:w="1363" w:type="pct"/>
            <w:tcBorders>
              <w:top w:val="single" w:sz="4" w:space="0" w:color="17365D"/>
              <w:bottom w:val="single" w:sz="4" w:space="0" w:color="17365D"/>
            </w:tcBorders>
            <w:shd w:val="clear" w:color="auto" w:fill="auto"/>
            <w:vAlign w:val="center"/>
            <w:hideMark/>
          </w:tcPr>
          <w:p w14:paraId="3B3333B4" w14:textId="66D857C9" w:rsidR="00B87BA2" w:rsidRPr="00A27896" w:rsidRDefault="00B87BA2" w:rsidP="00B87BA2">
            <w:pPr>
              <w:spacing w:after="0"/>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Naudas līdzekļi</w:t>
            </w:r>
          </w:p>
        </w:tc>
        <w:tc>
          <w:tcPr>
            <w:tcW w:w="608" w:type="pct"/>
            <w:tcBorders>
              <w:top w:val="single" w:sz="4" w:space="0" w:color="17365D"/>
              <w:bottom w:val="single" w:sz="4" w:space="0" w:color="17365D"/>
            </w:tcBorders>
            <w:shd w:val="clear" w:color="auto" w:fill="auto"/>
            <w:vAlign w:val="center"/>
            <w:hideMark/>
          </w:tcPr>
          <w:p w14:paraId="36536326" w14:textId="4AE6CCD1" w:rsidR="00B87BA2" w:rsidRPr="00A27896" w:rsidRDefault="00B87BA2" w:rsidP="00B87BA2">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KB.2.6.</w:t>
            </w:r>
          </w:p>
        </w:tc>
        <w:tc>
          <w:tcPr>
            <w:tcW w:w="757" w:type="pct"/>
            <w:tcBorders>
              <w:top w:val="nil"/>
              <w:left w:val="nil"/>
              <w:bottom w:val="nil"/>
              <w:right w:val="nil"/>
            </w:tcBorders>
            <w:shd w:val="clear" w:color="auto" w:fill="auto"/>
            <w:noWrap/>
            <w:vAlign w:val="center"/>
            <w:hideMark/>
          </w:tcPr>
          <w:p w14:paraId="380F6BB7" w14:textId="631B108C" w:rsidR="00B87BA2" w:rsidRPr="00A27896" w:rsidRDefault="00B87BA2" w:rsidP="00B87BA2">
            <w:pPr>
              <w:spacing w:after="0"/>
              <w:jc w:val="right"/>
              <w:rPr>
                <w:rFonts w:cs="Times New Roman"/>
                <w:b/>
                <w:color w:val="17365D"/>
                <w:sz w:val="18"/>
                <w:szCs w:val="18"/>
              </w:rPr>
            </w:pPr>
            <w:r>
              <w:rPr>
                <w:b/>
                <w:bCs/>
                <w:color w:val="17365D"/>
                <w:sz w:val="18"/>
                <w:szCs w:val="18"/>
              </w:rPr>
              <w:t>2 399 643 225</w:t>
            </w:r>
          </w:p>
        </w:tc>
        <w:tc>
          <w:tcPr>
            <w:tcW w:w="833" w:type="pct"/>
            <w:tcBorders>
              <w:top w:val="nil"/>
              <w:left w:val="nil"/>
              <w:bottom w:val="nil"/>
              <w:right w:val="nil"/>
            </w:tcBorders>
            <w:shd w:val="clear" w:color="auto" w:fill="auto"/>
            <w:noWrap/>
            <w:vAlign w:val="center"/>
            <w:hideMark/>
          </w:tcPr>
          <w:p w14:paraId="42A42D30" w14:textId="3A9F6EAB" w:rsidR="00B87BA2" w:rsidRPr="00A27896" w:rsidRDefault="00B87BA2" w:rsidP="00B87BA2">
            <w:pPr>
              <w:spacing w:after="0"/>
              <w:jc w:val="right"/>
              <w:rPr>
                <w:rFonts w:cs="Times New Roman"/>
                <w:b/>
                <w:color w:val="17365D"/>
                <w:sz w:val="18"/>
                <w:szCs w:val="18"/>
              </w:rPr>
            </w:pPr>
            <w:r>
              <w:rPr>
                <w:b/>
                <w:bCs/>
                <w:color w:val="17365D"/>
                <w:sz w:val="18"/>
                <w:szCs w:val="18"/>
              </w:rPr>
              <w:t>2 409 087 827</w:t>
            </w:r>
          </w:p>
        </w:tc>
        <w:tc>
          <w:tcPr>
            <w:tcW w:w="681" w:type="pct"/>
            <w:tcBorders>
              <w:top w:val="nil"/>
              <w:left w:val="nil"/>
              <w:bottom w:val="nil"/>
              <w:right w:val="nil"/>
            </w:tcBorders>
            <w:shd w:val="clear" w:color="auto" w:fill="auto"/>
            <w:noWrap/>
            <w:vAlign w:val="center"/>
            <w:hideMark/>
          </w:tcPr>
          <w:p w14:paraId="2F665EE2" w14:textId="7BF51CFE" w:rsidR="00B87BA2" w:rsidRPr="00A27896" w:rsidRDefault="00B87BA2" w:rsidP="00B87BA2">
            <w:pPr>
              <w:spacing w:after="0"/>
              <w:jc w:val="right"/>
              <w:rPr>
                <w:rFonts w:cs="Times New Roman"/>
                <w:b/>
                <w:color w:val="17365D"/>
                <w:sz w:val="18"/>
                <w:szCs w:val="18"/>
              </w:rPr>
            </w:pPr>
            <w:r>
              <w:rPr>
                <w:b/>
                <w:bCs/>
                <w:color w:val="17365D"/>
                <w:sz w:val="18"/>
                <w:szCs w:val="18"/>
              </w:rPr>
              <w:t>-9 444 602</w:t>
            </w:r>
          </w:p>
        </w:tc>
        <w:tc>
          <w:tcPr>
            <w:tcW w:w="758" w:type="pct"/>
            <w:tcBorders>
              <w:top w:val="nil"/>
              <w:left w:val="nil"/>
              <w:bottom w:val="nil"/>
              <w:right w:val="nil"/>
            </w:tcBorders>
            <w:shd w:val="clear" w:color="auto" w:fill="auto"/>
            <w:noWrap/>
            <w:vAlign w:val="center"/>
            <w:hideMark/>
          </w:tcPr>
          <w:p w14:paraId="0552D2C8" w14:textId="3D02D350" w:rsidR="00B87BA2" w:rsidRPr="00A27896" w:rsidRDefault="00B87BA2" w:rsidP="00B87BA2">
            <w:pPr>
              <w:spacing w:after="0"/>
              <w:jc w:val="right"/>
              <w:rPr>
                <w:rFonts w:cs="Times New Roman"/>
                <w:b/>
                <w:color w:val="17365D"/>
                <w:sz w:val="18"/>
                <w:szCs w:val="18"/>
              </w:rPr>
            </w:pPr>
            <w:r>
              <w:rPr>
                <w:b/>
                <w:bCs/>
                <w:color w:val="17365D"/>
                <w:sz w:val="18"/>
                <w:szCs w:val="18"/>
              </w:rPr>
              <w:t>-0.39</w:t>
            </w:r>
          </w:p>
        </w:tc>
      </w:tr>
      <w:tr w:rsidR="000C1009" w:rsidRPr="00A27896" w14:paraId="62BB9185" w14:textId="77777777" w:rsidTr="00B87BA2">
        <w:trPr>
          <w:trHeight w:val="56"/>
          <w:jc w:val="center"/>
        </w:trPr>
        <w:tc>
          <w:tcPr>
            <w:tcW w:w="1363" w:type="pct"/>
            <w:tcBorders>
              <w:top w:val="single" w:sz="4" w:space="0" w:color="17365D"/>
            </w:tcBorders>
            <w:shd w:val="clear" w:color="auto" w:fill="B9CDE5"/>
            <w:vAlign w:val="center"/>
          </w:tcPr>
          <w:p w14:paraId="4E931A63" w14:textId="77777777" w:rsidR="00C202C7" w:rsidRPr="00A27896" w:rsidRDefault="00C202C7" w:rsidP="00E02665">
            <w:pPr>
              <w:spacing w:after="0"/>
              <w:rPr>
                <w:rFonts w:eastAsia="Times New Roman" w:cs="Times New Roman"/>
                <w:color w:val="17365D"/>
                <w:sz w:val="16"/>
                <w:szCs w:val="18"/>
                <w:lang w:eastAsia="lv-LV"/>
              </w:rPr>
            </w:pPr>
          </w:p>
        </w:tc>
        <w:tc>
          <w:tcPr>
            <w:tcW w:w="608" w:type="pct"/>
            <w:tcBorders>
              <w:top w:val="single" w:sz="4" w:space="0" w:color="17365D"/>
            </w:tcBorders>
            <w:shd w:val="clear" w:color="auto" w:fill="B9CDE5"/>
            <w:noWrap/>
            <w:vAlign w:val="center"/>
          </w:tcPr>
          <w:p w14:paraId="7C682B17" w14:textId="77777777" w:rsidR="00C202C7" w:rsidRPr="00A27896" w:rsidRDefault="00C202C7" w:rsidP="00E02665">
            <w:pPr>
              <w:spacing w:after="0"/>
              <w:jc w:val="center"/>
              <w:rPr>
                <w:rFonts w:eastAsia="Times New Roman" w:cs="Times New Roman"/>
                <w:color w:val="17365D"/>
                <w:sz w:val="18"/>
                <w:szCs w:val="18"/>
                <w:lang w:eastAsia="lv-LV"/>
              </w:rPr>
            </w:pPr>
          </w:p>
        </w:tc>
        <w:tc>
          <w:tcPr>
            <w:tcW w:w="757" w:type="pct"/>
            <w:tcBorders>
              <w:top w:val="single" w:sz="4" w:space="0" w:color="17365D"/>
            </w:tcBorders>
            <w:shd w:val="clear" w:color="auto" w:fill="B9CDE5"/>
            <w:noWrap/>
            <w:vAlign w:val="center"/>
          </w:tcPr>
          <w:p w14:paraId="434A1D79" w14:textId="77777777" w:rsidR="00C202C7" w:rsidRPr="00A27896" w:rsidRDefault="00C202C7" w:rsidP="00E02665">
            <w:pPr>
              <w:spacing w:after="0"/>
              <w:jc w:val="right"/>
              <w:rPr>
                <w:rFonts w:eastAsia="Times New Roman" w:cs="Times New Roman"/>
                <w:color w:val="17365D"/>
                <w:sz w:val="18"/>
                <w:szCs w:val="18"/>
                <w:lang w:eastAsia="lv-LV"/>
              </w:rPr>
            </w:pPr>
          </w:p>
        </w:tc>
        <w:tc>
          <w:tcPr>
            <w:tcW w:w="833" w:type="pct"/>
            <w:tcBorders>
              <w:top w:val="single" w:sz="4" w:space="0" w:color="17365D"/>
            </w:tcBorders>
            <w:shd w:val="clear" w:color="auto" w:fill="B9CDE5"/>
            <w:noWrap/>
            <w:vAlign w:val="center"/>
          </w:tcPr>
          <w:p w14:paraId="0D597836" w14:textId="77777777" w:rsidR="00C202C7" w:rsidRPr="00A27896" w:rsidRDefault="00C202C7" w:rsidP="00E02665">
            <w:pPr>
              <w:spacing w:after="0"/>
              <w:jc w:val="right"/>
              <w:rPr>
                <w:rFonts w:eastAsia="Times New Roman" w:cs="Times New Roman"/>
                <w:color w:val="17365D"/>
                <w:sz w:val="18"/>
                <w:szCs w:val="18"/>
                <w:lang w:eastAsia="lv-LV"/>
              </w:rPr>
            </w:pPr>
          </w:p>
        </w:tc>
        <w:tc>
          <w:tcPr>
            <w:tcW w:w="681" w:type="pct"/>
            <w:tcBorders>
              <w:top w:val="single" w:sz="4" w:space="0" w:color="17365D"/>
            </w:tcBorders>
            <w:shd w:val="clear" w:color="auto" w:fill="B9CDE5"/>
            <w:noWrap/>
            <w:vAlign w:val="center"/>
          </w:tcPr>
          <w:p w14:paraId="3C656D82" w14:textId="77777777" w:rsidR="00C202C7" w:rsidRPr="00A27896" w:rsidRDefault="00C202C7" w:rsidP="00E02665">
            <w:pPr>
              <w:spacing w:after="0"/>
              <w:jc w:val="right"/>
              <w:rPr>
                <w:rFonts w:eastAsia="Times New Roman" w:cs="Times New Roman"/>
                <w:color w:val="17365D"/>
                <w:sz w:val="18"/>
                <w:szCs w:val="18"/>
                <w:lang w:eastAsia="lv-LV"/>
              </w:rPr>
            </w:pPr>
          </w:p>
        </w:tc>
        <w:tc>
          <w:tcPr>
            <w:tcW w:w="758" w:type="pct"/>
            <w:tcBorders>
              <w:top w:val="single" w:sz="4" w:space="0" w:color="17365D"/>
            </w:tcBorders>
            <w:shd w:val="clear" w:color="auto" w:fill="B9CDE5"/>
            <w:noWrap/>
            <w:vAlign w:val="center"/>
          </w:tcPr>
          <w:p w14:paraId="1A26EF6B" w14:textId="77777777" w:rsidR="00C202C7" w:rsidRPr="00A27896" w:rsidRDefault="00C202C7" w:rsidP="00E02665">
            <w:pPr>
              <w:spacing w:after="0"/>
              <w:jc w:val="right"/>
              <w:rPr>
                <w:rFonts w:eastAsia="Times New Roman" w:cs="Times New Roman"/>
                <w:color w:val="17365D"/>
                <w:sz w:val="18"/>
                <w:szCs w:val="18"/>
                <w:lang w:eastAsia="lv-LV"/>
              </w:rPr>
            </w:pPr>
          </w:p>
        </w:tc>
      </w:tr>
    </w:tbl>
    <w:p w14:paraId="6EAEF21D" w14:textId="19CBFF92" w:rsidR="00D5795D" w:rsidRPr="00A27896" w:rsidRDefault="00D5795D" w:rsidP="006D7BEC">
      <w:pPr>
        <w:spacing w:before="240" w:after="120" w:line="240" w:lineRule="auto"/>
        <w:ind w:firstLine="284"/>
        <w:jc w:val="both"/>
        <w:rPr>
          <w:rFonts w:cs="Times New Roman"/>
          <w:color w:val="17365D"/>
          <w:szCs w:val="24"/>
        </w:rPr>
      </w:pPr>
      <w:r w:rsidRPr="00A27896">
        <w:rPr>
          <w:rFonts w:cs="Times New Roman"/>
          <w:color w:val="17365D"/>
          <w:szCs w:val="24"/>
        </w:rPr>
        <w:t>Kopēj</w:t>
      </w:r>
      <w:r w:rsidR="009662A8" w:rsidRPr="00A27896">
        <w:rPr>
          <w:rFonts w:cs="Times New Roman"/>
          <w:color w:val="17365D"/>
          <w:szCs w:val="24"/>
        </w:rPr>
        <w:t>o</w:t>
      </w:r>
      <w:r w:rsidRPr="00A27896">
        <w:rPr>
          <w:rFonts w:cs="Times New Roman"/>
          <w:color w:val="17365D"/>
          <w:szCs w:val="24"/>
        </w:rPr>
        <w:t xml:space="preserve"> naudas līdzekļu atlikum</w:t>
      </w:r>
      <w:r w:rsidR="009662A8" w:rsidRPr="00A27896">
        <w:rPr>
          <w:rFonts w:cs="Times New Roman"/>
          <w:color w:val="17365D"/>
          <w:szCs w:val="24"/>
        </w:rPr>
        <w:t>u</w:t>
      </w:r>
      <w:r w:rsidRPr="00A27896">
        <w:rPr>
          <w:rFonts w:cs="Times New Roman"/>
          <w:color w:val="17365D"/>
          <w:szCs w:val="24"/>
        </w:rPr>
        <w:t xml:space="preserve"> pārskata gada beigās</w:t>
      </w:r>
      <w:r w:rsidR="009662A8" w:rsidRPr="00A27896">
        <w:rPr>
          <w:rFonts w:cs="Times New Roman"/>
          <w:color w:val="17365D"/>
          <w:szCs w:val="24"/>
        </w:rPr>
        <w:t xml:space="preserve"> galvenokārt veido</w:t>
      </w:r>
      <w:r w:rsidRPr="00A27896">
        <w:rPr>
          <w:rFonts w:cs="Times New Roman"/>
          <w:color w:val="17365D"/>
          <w:szCs w:val="24"/>
        </w:rPr>
        <w:t xml:space="preserve"> Valsts kases naudas līdzekļu atlikumi finanšu sabiedrībās</w:t>
      </w:r>
      <w:r w:rsidRPr="00A27896" w:rsidDel="003C7887">
        <w:rPr>
          <w:rFonts w:cs="Times New Roman"/>
          <w:color w:val="17365D"/>
          <w:szCs w:val="24"/>
        </w:rPr>
        <w:t xml:space="preserve"> </w:t>
      </w:r>
      <w:r w:rsidR="00B87BA2">
        <w:rPr>
          <w:rFonts w:cs="Times New Roman"/>
          <w:color w:val="17365D"/>
          <w:szCs w:val="24"/>
        </w:rPr>
        <w:t>1 781 469 </w:t>
      </w:r>
      <w:r w:rsidR="00B87BA2" w:rsidRPr="00B87BA2">
        <w:rPr>
          <w:rFonts w:cs="Times New Roman"/>
          <w:color w:val="17365D"/>
          <w:szCs w:val="24"/>
        </w:rPr>
        <w:t xml:space="preserve">747 </w:t>
      </w:r>
      <w:r w:rsidRPr="00A27896">
        <w:rPr>
          <w:rFonts w:cs="Times New Roman"/>
          <w:i/>
          <w:color w:val="17365D"/>
          <w:szCs w:val="24"/>
        </w:rPr>
        <w:t xml:space="preserve">euro </w:t>
      </w:r>
      <w:r w:rsidRPr="00A27896">
        <w:rPr>
          <w:rFonts w:cs="Times New Roman"/>
          <w:color w:val="17365D"/>
          <w:szCs w:val="24"/>
        </w:rPr>
        <w:t xml:space="preserve">vērtībā un pašvaldību budžeta līdzekļu atlikumi kredītiestādēs </w:t>
      </w:r>
      <w:r w:rsidR="00B87BA2">
        <w:rPr>
          <w:rFonts w:cs="Times New Roman"/>
          <w:color w:val="17365D"/>
          <w:szCs w:val="24"/>
        </w:rPr>
        <w:t>262 315 </w:t>
      </w:r>
      <w:r w:rsidR="00B87BA2" w:rsidRPr="00B87BA2">
        <w:rPr>
          <w:rFonts w:cs="Times New Roman"/>
          <w:color w:val="17365D"/>
          <w:szCs w:val="24"/>
        </w:rPr>
        <w:t xml:space="preserve">589 </w:t>
      </w:r>
      <w:r w:rsidRPr="00A27896">
        <w:rPr>
          <w:rFonts w:cs="Times New Roman"/>
          <w:i/>
          <w:color w:val="17365D"/>
          <w:szCs w:val="24"/>
        </w:rPr>
        <w:t xml:space="preserve">euro </w:t>
      </w:r>
      <w:r w:rsidRPr="00A27896">
        <w:rPr>
          <w:rFonts w:cs="Times New Roman"/>
          <w:color w:val="17365D"/>
          <w:szCs w:val="24"/>
        </w:rPr>
        <w:t xml:space="preserve">vērtībā. </w:t>
      </w:r>
    </w:p>
    <w:p w14:paraId="2959D67F" w14:textId="77F9CEBB" w:rsidR="002709BA" w:rsidRPr="00A27896" w:rsidRDefault="002709BA" w:rsidP="006D7BEC">
      <w:pPr>
        <w:spacing w:after="120" w:line="240" w:lineRule="auto"/>
        <w:ind w:firstLine="284"/>
        <w:jc w:val="both"/>
        <w:rPr>
          <w:rFonts w:cs="Times New Roman"/>
          <w:color w:val="17365D"/>
          <w:szCs w:val="24"/>
        </w:rPr>
      </w:pPr>
      <w:r w:rsidRPr="00A27896">
        <w:rPr>
          <w:rFonts w:cs="Times New Roman"/>
          <w:color w:val="17365D"/>
          <w:szCs w:val="24"/>
        </w:rPr>
        <w:t>Lielākie</w:t>
      </w:r>
      <w:r w:rsidR="006B0E02">
        <w:rPr>
          <w:rFonts w:cs="Times New Roman"/>
          <w:color w:val="17365D"/>
          <w:szCs w:val="24"/>
        </w:rPr>
        <w:t xml:space="preserve"> valsts un pašvaldību</w:t>
      </w:r>
      <w:r w:rsidRPr="00A27896">
        <w:rPr>
          <w:rFonts w:cs="Times New Roman"/>
          <w:color w:val="17365D"/>
          <w:szCs w:val="24"/>
        </w:rPr>
        <w:t xml:space="preserve"> budžeta iestāžu naudas līdzekļu atlikumi ārpus Valsts kases izvietoti </w:t>
      </w:r>
      <w:r w:rsidR="004D17AD" w:rsidRPr="00A27896">
        <w:rPr>
          <w:rFonts w:cs="Times New Roman"/>
          <w:color w:val="17365D"/>
          <w:szCs w:val="24"/>
        </w:rPr>
        <w:t xml:space="preserve">AS “Luminor Bank” </w:t>
      </w:r>
      <w:r w:rsidR="00B87BA2">
        <w:rPr>
          <w:rFonts w:cs="Times New Roman"/>
          <w:color w:val="17365D"/>
          <w:szCs w:val="24"/>
        </w:rPr>
        <w:t>154 423 545</w:t>
      </w:r>
      <w:r w:rsidR="00B87BA2" w:rsidRPr="00A27896">
        <w:rPr>
          <w:rFonts w:cs="Times New Roman"/>
          <w:color w:val="17365D"/>
          <w:szCs w:val="24"/>
        </w:rPr>
        <w:t xml:space="preserve"> </w:t>
      </w:r>
      <w:r w:rsidR="004D17AD" w:rsidRPr="00A27896">
        <w:rPr>
          <w:rFonts w:cs="Times New Roman"/>
          <w:i/>
          <w:color w:val="17365D"/>
          <w:szCs w:val="24"/>
        </w:rPr>
        <w:t>euro</w:t>
      </w:r>
      <w:r w:rsidR="004D17AD" w:rsidRPr="00A27896">
        <w:rPr>
          <w:rFonts w:cs="Times New Roman"/>
          <w:color w:val="17365D"/>
          <w:szCs w:val="24"/>
        </w:rPr>
        <w:t xml:space="preserve"> apmērā </w:t>
      </w:r>
      <w:r w:rsidRPr="00A27896">
        <w:rPr>
          <w:rFonts w:cs="Times New Roman"/>
          <w:color w:val="17365D"/>
          <w:szCs w:val="24"/>
        </w:rPr>
        <w:t>un</w:t>
      </w:r>
      <w:r w:rsidR="004D17AD" w:rsidRPr="00A27896">
        <w:rPr>
          <w:rFonts w:cs="Times New Roman"/>
          <w:color w:val="17365D"/>
          <w:szCs w:val="24"/>
        </w:rPr>
        <w:t xml:space="preserve"> AS “SEB banka” </w:t>
      </w:r>
      <w:r w:rsidR="00B87BA2">
        <w:rPr>
          <w:rFonts w:cs="Times New Roman"/>
          <w:color w:val="17365D"/>
          <w:szCs w:val="24"/>
        </w:rPr>
        <w:t>118 329 055</w:t>
      </w:r>
      <w:r w:rsidR="00B87BA2" w:rsidRPr="00A27896">
        <w:rPr>
          <w:rFonts w:cs="Times New Roman"/>
          <w:color w:val="17365D"/>
          <w:szCs w:val="24"/>
        </w:rPr>
        <w:t xml:space="preserve"> </w:t>
      </w:r>
      <w:r w:rsidR="004D17AD" w:rsidRPr="00A27896">
        <w:rPr>
          <w:rFonts w:cs="Times New Roman"/>
          <w:i/>
          <w:color w:val="17365D"/>
          <w:szCs w:val="24"/>
        </w:rPr>
        <w:t>euro</w:t>
      </w:r>
      <w:r w:rsidR="004D17AD" w:rsidRPr="00A27896">
        <w:rPr>
          <w:rFonts w:cs="Times New Roman"/>
          <w:color w:val="17365D"/>
          <w:szCs w:val="24"/>
        </w:rPr>
        <w:t xml:space="preserve"> apmērā</w:t>
      </w:r>
      <w:r w:rsidR="006A2415" w:rsidRPr="00A27896">
        <w:rPr>
          <w:rFonts w:cs="Times New Roman"/>
          <w:color w:val="17365D"/>
          <w:szCs w:val="24"/>
        </w:rPr>
        <w:t>.</w:t>
      </w:r>
    </w:p>
    <w:p w14:paraId="02699277" w14:textId="1BDD136E" w:rsidR="00D5795D" w:rsidRPr="00A27896" w:rsidRDefault="00F17527" w:rsidP="006D7BEC">
      <w:pPr>
        <w:spacing w:after="120" w:line="240" w:lineRule="auto"/>
        <w:ind w:firstLine="284"/>
        <w:jc w:val="both"/>
        <w:rPr>
          <w:rFonts w:cs="Times New Roman"/>
          <w:color w:val="17365D"/>
          <w:szCs w:val="24"/>
        </w:rPr>
      </w:pPr>
      <w:r w:rsidRPr="00A27896">
        <w:rPr>
          <w:rFonts w:cs="Times New Roman"/>
          <w:color w:val="17365D"/>
        </w:rPr>
        <w:t xml:space="preserve">Pārskata gadā </w:t>
      </w:r>
      <w:r w:rsidRPr="00A27896">
        <w:rPr>
          <w:rFonts w:cs="Times New Roman"/>
          <w:color w:val="17365D"/>
          <w:szCs w:val="24"/>
        </w:rPr>
        <w:t xml:space="preserve">pašvaldību līdzekļu kredītiestādēs atlikums </w:t>
      </w:r>
      <w:r w:rsidR="0091359F">
        <w:rPr>
          <w:rFonts w:cs="Times New Roman"/>
          <w:color w:val="17365D"/>
          <w:szCs w:val="24"/>
        </w:rPr>
        <w:t>samazinājies</w:t>
      </w:r>
      <w:r w:rsidR="00F10012" w:rsidRPr="00A27896">
        <w:rPr>
          <w:rFonts w:cs="Times New Roman"/>
          <w:color w:val="17365D"/>
          <w:szCs w:val="24"/>
        </w:rPr>
        <w:t xml:space="preserve"> par</w:t>
      </w:r>
      <w:r w:rsidR="00D50D19" w:rsidRPr="00A27896">
        <w:rPr>
          <w:rFonts w:cs="Times New Roman"/>
          <w:color w:val="17365D"/>
          <w:szCs w:val="24"/>
        </w:rPr>
        <w:t xml:space="preserve"> </w:t>
      </w:r>
      <w:r w:rsidR="0091359F">
        <w:rPr>
          <w:rFonts w:cs="Times New Roman"/>
          <w:color w:val="17365D"/>
          <w:szCs w:val="24"/>
        </w:rPr>
        <w:t>(7 060 361)</w:t>
      </w:r>
      <w:r w:rsidR="0091359F" w:rsidRPr="00A27896">
        <w:rPr>
          <w:rFonts w:cs="Times New Roman"/>
          <w:color w:val="17365D"/>
          <w:szCs w:val="24"/>
        </w:rPr>
        <w:t xml:space="preserve"> </w:t>
      </w:r>
      <w:r w:rsidR="007062E3" w:rsidRPr="00A27896">
        <w:rPr>
          <w:rFonts w:cs="Times New Roman"/>
          <w:i/>
          <w:color w:val="17365D"/>
          <w:szCs w:val="24"/>
        </w:rPr>
        <w:t>euro</w:t>
      </w:r>
      <w:r w:rsidR="007062E3" w:rsidRPr="00A27896">
        <w:rPr>
          <w:rFonts w:cs="Times New Roman"/>
          <w:color w:val="17365D"/>
          <w:szCs w:val="24"/>
        </w:rPr>
        <w:t>.</w:t>
      </w:r>
    </w:p>
    <w:p w14:paraId="7DD4A637" w14:textId="60A2DCE1" w:rsidR="00DB7431" w:rsidRPr="00A27896" w:rsidRDefault="00DB7431" w:rsidP="006D7BEC">
      <w:pPr>
        <w:spacing w:after="120" w:line="240" w:lineRule="auto"/>
        <w:ind w:firstLine="284"/>
        <w:jc w:val="both"/>
        <w:rPr>
          <w:rFonts w:cs="Times New Roman"/>
          <w:color w:val="17365D"/>
        </w:rPr>
      </w:pPr>
      <w:r w:rsidRPr="00A27896">
        <w:rPr>
          <w:rFonts w:cs="Times New Roman"/>
          <w:color w:val="17365D"/>
        </w:rPr>
        <w:t xml:space="preserve">Bilances postenī “Naudas līdzekļi” konsolidēti </w:t>
      </w:r>
      <w:r w:rsidRPr="00010CCE">
        <w:rPr>
          <w:rFonts w:cs="Times New Roman"/>
          <w:color w:val="17365D"/>
        </w:rPr>
        <w:t>valsts</w:t>
      </w:r>
      <w:r w:rsidRPr="00A27896">
        <w:rPr>
          <w:rFonts w:cs="Times New Roman"/>
          <w:color w:val="17365D"/>
        </w:rPr>
        <w:t xml:space="preserve"> un pašvaldību budžeta iestāžu naudas līdzekļi Valsts kases kontos.</w:t>
      </w:r>
    </w:p>
    <w:p w14:paraId="630087FE" w14:textId="77777777" w:rsidR="007E3222" w:rsidRPr="00A27896" w:rsidRDefault="007E3222" w:rsidP="002D240F">
      <w:pPr>
        <w:spacing w:after="120" w:line="240" w:lineRule="auto"/>
        <w:ind w:firstLine="284"/>
        <w:jc w:val="both"/>
        <w:rPr>
          <w:rFonts w:cs="Times New Roman"/>
          <w:color w:val="17365D"/>
        </w:rPr>
      </w:pPr>
    </w:p>
    <w:p w14:paraId="61F98B0F" w14:textId="77777777" w:rsidR="00FD2C7A" w:rsidRPr="00A27896" w:rsidRDefault="00FD2C7A" w:rsidP="00FD10CC">
      <w:pPr>
        <w:pStyle w:val="Heading3"/>
      </w:pPr>
      <w:r w:rsidRPr="00A27896">
        <w:t>Pašu kapitāls</w:t>
      </w:r>
    </w:p>
    <w:p w14:paraId="3D58B1C4" w14:textId="19B59547" w:rsidR="00FD2C7A" w:rsidRPr="00A27896" w:rsidRDefault="00FD2C7A" w:rsidP="002D240F">
      <w:pPr>
        <w:spacing w:after="120" w:line="240" w:lineRule="auto"/>
        <w:ind w:firstLine="284"/>
        <w:jc w:val="both"/>
        <w:rPr>
          <w:rFonts w:cs="Times New Roman"/>
          <w:color w:val="17365D"/>
        </w:rPr>
      </w:pPr>
      <w:r w:rsidRPr="00A27896">
        <w:rPr>
          <w:rFonts w:cs="Times New Roman"/>
          <w:color w:val="17365D"/>
        </w:rPr>
        <w:t xml:space="preserve">Pašu kapitāla </w:t>
      </w:r>
      <w:r w:rsidR="006F4B05" w:rsidRPr="00A27896">
        <w:rPr>
          <w:rFonts w:cs="Times New Roman"/>
          <w:color w:val="17365D"/>
        </w:rPr>
        <w:t xml:space="preserve">bilances posteņu atlikumi </w:t>
      </w:r>
      <w:r w:rsidRPr="00A27896">
        <w:rPr>
          <w:rFonts w:cs="Times New Roman"/>
          <w:color w:val="17365D"/>
        </w:rPr>
        <w:t>uzrādīt</w:t>
      </w:r>
      <w:r w:rsidR="008151F4" w:rsidRPr="00A27896">
        <w:rPr>
          <w:rFonts w:cs="Times New Roman"/>
          <w:color w:val="17365D"/>
        </w:rPr>
        <w:t>i</w:t>
      </w:r>
      <w:r w:rsidRPr="00A27896">
        <w:rPr>
          <w:rFonts w:cs="Times New Roman"/>
          <w:color w:val="17365D"/>
        </w:rPr>
        <w:t xml:space="preserve"> konsolidētajā pašu kapitāla pārskatā.</w:t>
      </w:r>
    </w:p>
    <w:p w14:paraId="29913679" w14:textId="25028E49" w:rsidR="009121A4" w:rsidRPr="00A27896" w:rsidRDefault="00C67DF1" w:rsidP="00B16A51">
      <w:pPr>
        <w:pStyle w:val="Heading4"/>
        <w:spacing w:after="0"/>
        <w:rPr>
          <w:rFonts w:cs="Times New Roman"/>
          <w:i w:val="0"/>
        </w:rPr>
      </w:pPr>
      <w:r w:rsidRPr="00A27896">
        <w:rPr>
          <w:rFonts w:cs="Times New Roman"/>
        </w:rPr>
        <w:t xml:space="preserve">Piezīme Nr. </w:t>
      </w:r>
      <w:r w:rsidR="005F1199" w:rsidRPr="00A27896">
        <w:rPr>
          <w:rFonts w:cs="Times New Roman"/>
        </w:rPr>
        <w:t>KB.</w:t>
      </w:r>
      <w:r w:rsidR="00F73CE6" w:rsidRPr="00A27896">
        <w:rPr>
          <w:rFonts w:cs="Times New Roman"/>
        </w:rPr>
        <w:t>3.3.</w:t>
      </w:r>
      <w:r w:rsidR="00FD2C7A" w:rsidRPr="00A27896">
        <w:rPr>
          <w:rFonts w:cs="Times New Roman"/>
        </w:rPr>
        <w:t xml:space="preserve"> Rezerves</w:t>
      </w:r>
    </w:p>
    <w:p w14:paraId="6F8D63CC" w14:textId="1CADF113" w:rsidR="00006251" w:rsidRPr="00A27896" w:rsidRDefault="00F06FED" w:rsidP="00B16A51">
      <w:pPr>
        <w:pStyle w:val="Tabulasnosaukums1"/>
        <w:spacing w:before="0" w:line="240" w:lineRule="auto"/>
        <w:rPr>
          <w:rFonts w:cs="Times New Roman"/>
          <w:i/>
          <w:color w:val="17365D"/>
        </w:rPr>
      </w:pPr>
      <w:r>
        <w:rPr>
          <w:rFonts w:cs="Times New Roman"/>
          <w:i/>
          <w:color w:val="17365D"/>
        </w:rPr>
        <w:t>1.</w:t>
      </w:r>
      <w:r w:rsidR="00F9248E" w:rsidRPr="00A27896">
        <w:rPr>
          <w:rFonts w:cs="Times New Roman"/>
          <w:i/>
          <w:color w:val="17365D"/>
        </w:rPr>
        <w:t>1</w:t>
      </w:r>
      <w:r w:rsidR="00B84501" w:rsidRPr="00A27896">
        <w:rPr>
          <w:rFonts w:cs="Times New Roman"/>
          <w:i/>
          <w:color w:val="17365D"/>
        </w:rPr>
        <w:t>7</w:t>
      </w:r>
      <w:r w:rsidR="00006251" w:rsidRPr="00A27896">
        <w:rPr>
          <w:rFonts w:cs="Times New Roman"/>
          <w:i/>
          <w:color w:val="17365D"/>
        </w:rPr>
        <w:t>. tabula. Rezerves (euro)</w:t>
      </w:r>
    </w:p>
    <w:tbl>
      <w:tblPr>
        <w:tblW w:w="4998" w:type="pct"/>
        <w:tblLayout w:type="fixed"/>
        <w:tblLook w:val="04A0" w:firstRow="1" w:lastRow="0" w:firstColumn="1" w:lastColumn="0" w:noHBand="0" w:noVBand="1"/>
      </w:tblPr>
      <w:tblGrid>
        <w:gridCol w:w="2409"/>
        <w:gridCol w:w="1275"/>
        <w:gridCol w:w="1561"/>
        <w:gridCol w:w="1560"/>
        <w:gridCol w:w="1133"/>
        <w:gridCol w:w="1412"/>
      </w:tblGrid>
      <w:tr w:rsidR="000C1009" w:rsidRPr="00A27896" w14:paraId="19663273" w14:textId="77777777" w:rsidTr="007524B1">
        <w:trPr>
          <w:trHeight w:val="818"/>
          <w:tblHeader/>
        </w:trPr>
        <w:tc>
          <w:tcPr>
            <w:tcW w:w="1288" w:type="pct"/>
            <w:tcBorders>
              <w:bottom w:val="single" w:sz="4" w:space="0" w:color="17365D"/>
            </w:tcBorders>
            <w:shd w:val="clear" w:color="auto" w:fill="B9CDE5"/>
            <w:vAlign w:val="center"/>
            <w:hideMark/>
          </w:tcPr>
          <w:p w14:paraId="1E3A89FD"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682" w:type="pct"/>
            <w:tcBorders>
              <w:bottom w:val="single" w:sz="4" w:space="0" w:color="17365D"/>
            </w:tcBorders>
            <w:shd w:val="clear" w:color="auto" w:fill="B9CDE5"/>
            <w:vAlign w:val="center"/>
            <w:hideMark/>
          </w:tcPr>
          <w:p w14:paraId="46CC7292"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835" w:type="pct"/>
            <w:tcBorders>
              <w:bottom w:val="single" w:sz="4" w:space="0" w:color="17365D"/>
            </w:tcBorders>
            <w:shd w:val="clear" w:color="auto" w:fill="B9CDE5"/>
            <w:vAlign w:val="center"/>
            <w:hideMark/>
          </w:tcPr>
          <w:p w14:paraId="2C5425B4"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34" w:type="pct"/>
            <w:tcBorders>
              <w:bottom w:val="single" w:sz="4" w:space="0" w:color="17365D"/>
            </w:tcBorders>
            <w:shd w:val="clear" w:color="auto" w:fill="B9CDE5"/>
            <w:vAlign w:val="center"/>
            <w:hideMark/>
          </w:tcPr>
          <w:p w14:paraId="33373BFD"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606" w:type="pct"/>
            <w:tcBorders>
              <w:bottom w:val="single" w:sz="4" w:space="0" w:color="17365D"/>
            </w:tcBorders>
            <w:shd w:val="clear" w:color="auto" w:fill="B9CDE5"/>
            <w:vAlign w:val="center"/>
            <w:hideMark/>
          </w:tcPr>
          <w:p w14:paraId="69052B54" w14:textId="786C7E8B"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w:t>
            </w:r>
            <w:r w:rsidR="00F21677" w:rsidRPr="00A27896">
              <w:rPr>
                <w:rFonts w:eastAsia="Times New Roman" w:cs="Times New Roman"/>
                <w:b/>
                <w:color w:val="17365D"/>
                <w:sz w:val="18"/>
                <w:szCs w:val="18"/>
                <w:lang w:eastAsia="lv-LV"/>
              </w:rPr>
              <w:t>-</w:t>
            </w:r>
            <w:r w:rsidRPr="00A27896">
              <w:rPr>
                <w:rFonts w:eastAsia="Times New Roman" w:cs="Times New Roman"/>
                <w:b/>
                <w:color w:val="17365D"/>
                <w:sz w:val="18"/>
                <w:szCs w:val="18"/>
                <w:lang w:eastAsia="lv-LV"/>
              </w:rPr>
              <w:t>)</w:t>
            </w:r>
          </w:p>
        </w:tc>
        <w:tc>
          <w:tcPr>
            <w:tcW w:w="755" w:type="pct"/>
            <w:tcBorders>
              <w:bottom w:val="single" w:sz="4" w:space="0" w:color="17365D"/>
            </w:tcBorders>
            <w:shd w:val="clear" w:color="auto" w:fill="B9CDE5"/>
            <w:vAlign w:val="center"/>
            <w:hideMark/>
          </w:tcPr>
          <w:p w14:paraId="065C2E3B"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6650704A" w14:textId="77777777" w:rsidTr="004105BE">
        <w:trPr>
          <w:trHeight w:val="266"/>
        </w:trPr>
        <w:tc>
          <w:tcPr>
            <w:tcW w:w="1288" w:type="pct"/>
            <w:tcBorders>
              <w:top w:val="single" w:sz="4" w:space="0" w:color="17365D"/>
              <w:bottom w:val="single" w:sz="4" w:space="0" w:color="17365D"/>
            </w:tcBorders>
            <w:shd w:val="clear" w:color="auto" w:fill="auto"/>
            <w:vAlign w:val="center"/>
            <w:hideMark/>
          </w:tcPr>
          <w:p w14:paraId="00AA3548"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82" w:type="pct"/>
            <w:tcBorders>
              <w:top w:val="single" w:sz="4" w:space="0" w:color="17365D"/>
              <w:bottom w:val="single" w:sz="4" w:space="0" w:color="17365D"/>
            </w:tcBorders>
            <w:shd w:val="clear" w:color="auto" w:fill="auto"/>
            <w:vAlign w:val="center"/>
            <w:hideMark/>
          </w:tcPr>
          <w:p w14:paraId="1CCAB3EB"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835" w:type="pct"/>
            <w:tcBorders>
              <w:top w:val="single" w:sz="4" w:space="0" w:color="17365D"/>
              <w:bottom w:val="single" w:sz="4" w:space="0" w:color="17365D"/>
            </w:tcBorders>
            <w:shd w:val="clear" w:color="auto" w:fill="auto"/>
            <w:vAlign w:val="center"/>
            <w:hideMark/>
          </w:tcPr>
          <w:p w14:paraId="27651105"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34" w:type="pct"/>
            <w:tcBorders>
              <w:top w:val="single" w:sz="4" w:space="0" w:color="17365D"/>
              <w:bottom w:val="single" w:sz="4" w:space="0" w:color="17365D"/>
            </w:tcBorders>
            <w:shd w:val="clear" w:color="auto" w:fill="auto"/>
            <w:vAlign w:val="center"/>
            <w:hideMark/>
          </w:tcPr>
          <w:p w14:paraId="6B4AB934"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06" w:type="pct"/>
            <w:tcBorders>
              <w:top w:val="single" w:sz="4" w:space="0" w:color="17365D"/>
              <w:bottom w:val="single" w:sz="4" w:space="0" w:color="17365D"/>
            </w:tcBorders>
            <w:shd w:val="clear" w:color="auto" w:fill="auto"/>
            <w:vAlign w:val="center"/>
            <w:hideMark/>
          </w:tcPr>
          <w:p w14:paraId="2CAFF3EB"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755" w:type="pct"/>
            <w:tcBorders>
              <w:top w:val="single" w:sz="4" w:space="0" w:color="17365D"/>
              <w:bottom w:val="single" w:sz="4" w:space="0" w:color="17365D"/>
            </w:tcBorders>
            <w:shd w:val="clear" w:color="auto" w:fill="auto"/>
            <w:vAlign w:val="center"/>
            <w:hideMark/>
          </w:tcPr>
          <w:p w14:paraId="752D4F84" w14:textId="77777777" w:rsidR="00006251" w:rsidRPr="00A27896" w:rsidRDefault="00006251"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7D7577" w:rsidRPr="00A27896" w14:paraId="02D42E26" w14:textId="77777777" w:rsidTr="00C87349">
        <w:trPr>
          <w:trHeight w:val="266"/>
        </w:trPr>
        <w:tc>
          <w:tcPr>
            <w:tcW w:w="1288" w:type="pct"/>
            <w:tcBorders>
              <w:top w:val="single" w:sz="4" w:space="0" w:color="17365D"/>
              <w:bottom w:val="single" w:sz="4" w:space="0" w:color="17365D"/>
            </w:tcBorders>
            <w:shd w:val="clear" w:color="auto" w:fill="auto"/>
            <w:vAlign w:val="center"/>
            <w:hideMark/>
          </w:tcPr>
          <w:p w14:paraId="36F0B21B" w14:textId="2AA6449C" w:rsidR="007D7577" w:rsidRPr="00A27896" w:rsidRDefault="007D7577" w:rsidP="007D7577">
            <w:pPr>
              <w:spacing w:after="0"/>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Rezerves</w:t>
            </w:r>
          </w:p>
        </w:tc>
        <w:tc>
          <w:tcPr>
            <w:tcW w:w="682" w:type="pct"/>
            <w:tcBorders>
              <w:top w:val="single" w:sz="4" w:space="0" w:color="17365D"/>
              <w:bottom w:val="single" w:sz="4" w:space="0" w:color="17365D"/>
            </w:tcBorders>
            <w:shd w:val="clear" w:color="auto" w:fill="auto"/>
            <w:vAlign w:val="center"/>
            <w:hideMark/>
          </w:tcPr>
          <w:p w14:paraId="4AED8CE0" w14:textId="0E7A38D1" w:rsidR="007D7577" w:rsidRPr="00A27896" w:rsidRDefault="007D7577" w:rsidP="007D7577">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KB.3.3.</w:t>
            </w:r>
          </w:p>
        </w:tc>
        <w:tc>
          <w:tcPr>
            <w:tcW w:w="835" w:type="pct"/>
            <w:tcBorders>
              <w:top w:val="single" w:sz="4" w:space="0" w:color="17365D"/>
              <w:left w:val="nil"/>
              <w:bottom w:val="single" w:sz="4" w:space="0" w:color="auto"/>
              <w:right w:val="nil"/>
            </w:tcBorders>
            <w:shd w:val="clear" w:color="000000" w:fill="FFFFFF"/>
            <w:noWrap/>
            <w:hideMark/>
          </w:tcPr>
          <w:p w14:paraId="164249C4" w14:textId="3BD27C02" w:rsidR="007D7577" w:rsidRPr="007D7577" w:rsidRDefault="007D7577" w:rsidP="007D7577">
            <w:pPr>
              <w:spacing w:after="0" w:line="240" w:lineRule="auto"/>
              <w:jc w:val="right"/>
              <w:rPr>
                <w:b/>
                <w:bCs/>
                <w:color w:val="17365D"/>
                <w:sz w:val="18"/>
                <w:szCs w:val="18"/>
              </w:rPr>
            </w:pPr>
            <w:r w:rsidRPr="00C87349">
              <w:rPr>
                <w:b/>
                <w:bCs/>
                <w:color w:val="17365D"/>
                <w:sz w:val="18"/>
                <w:szCs w:val="18"/>
              </w:rPr>
              <w:t>2 324 446 297</w:t>
            </w:r>
          </w:p>
        </w:tc>
        <w:tc>
          <w:tcPr>
            <w:tcW w:w="834" w:type="pct"/>
            <w:tcBorders>
              <w:top w:val="single" w:sz="4" w:space="0" w:color="17365D"/>
              <w:left w:val="nil"/>
              <w:bottom w:val="single" w:sz="4" w:space="0" w:color="auto"/>
              <w:right w:val="nil"/>
            </w:tcBorders>
            <w:shd w:val="clear" w:color="000000" w:fill="FFFFFF"/>
            <w:noWrap/>
            <w:hideMark/>
          </w:tcPr>
          <w:p w14:paraId="08149642" w14:textId="14EC3B7C" w:rsidR="007D7577" w:rsidRPr="007D7577" w:rsidRDefault="007D7577" w:rsidP="007D7577">
            <w:pPr>
              <w:spacing w:after="0" w:line="240" w:lineRule="auto"/>
              <w:jc w:val="right"/>
              <w:rPr>
                <w:b/>
                <w:bCs/>
                <w:color w:val="17365D"/>
                <w:sz w:val="18"/>
                <w:szCs w:val="18"/>
              </w:rPr>
            </w:pPr>
            <w:r w:rsidRPr="00C87349">
              <w:rPr>
                <w:b/>
                <w:bCs/>
                <w:color w:val="17365D"/>
                <w:sz w:val="18"/>
                <w:szCs w:val="18"/>
              </w:rPr>
              <w:t>1 929 251 674</w:t>
            </w:r>
          </w:p>
        </w:tc>
        <w:tc>
          <w:tcPr>
            <w:tcW w:w="606" w:type="pct"/>
            <w:tcBorders>
              <w:top w:val="single" w:sz="4" w:space="0" w:color="17365D"/>
              <w:left w:val="nil"/>
              <w:bottom w:val="single" w:sz="4" w:space="0" w:color="auto"/>
              <w:right w:val="nil"/>
            </w:tcBorders>
            <w:shd w:val="clear" w:color="000000" w:fill="FFFFFF"/>
            <w:noWrap/>
            <w:hideMark/>
          </w:tcPr>
          <w:p w14:paraId="18D52258" w14:textId="45B2C6F5" w:rsidR="007D7577" w:rsidRPr="007D7577" w:rsidRDefault="007D7577" w:rsidP="007D7577">
            <w:pPr>
              <w:spacing w:after="0" w:line="240" w:lineRule="auto"/>
              <w:jc w:val="right"/>
              <w:rPr>
                <w:b/>
                <w:bCs/>
                <w:color w:val="17365D"/>
                <w:sz w:val="18"/>
                <w:szCs w:val="18"/>
              </w:rPr>
            </w:pPr>
            <w:r w:rsidRPr="00C87349">
              <w:rPr>
                <w:b/>
                <w:bCs/>
                <w:color w:val="17365D"/>
                <w:sz w:val="18"/>
                <w:szCs w:val="18"/>
              </w:rPr>
              <w:t>395 194 623</w:t>
            </w:r>
          </w:p>
        </w:tc>
        <w:tc>
          <w:tcPr>
            <w:tcW w:w="755" w:type="pct"/>
            <w:tcBorders>
              <w:top w:val="single" w:sz="4" w:space="0" w:color="17365D"/>
              <w:left w:val="nil"/>
              <w:bottom w:val="single" w:sz="4" w:space="0" w:color="auto"/>
              <w:right w:val="nil"/>
            </w:tcBorders>
            <w:shd w:val="clear" w:color="000000" w:fill="FFFFFF"/>
            <w:noWrap/>
            <w:hideMark/>
          </w:tcPr>
          <w:p w14:paraId="43933E92" w14:textId="768786B5" w:rsidR="007D7577" w:rsidRPr="007D7577" w:rsidRDefault="007D7577" w:rsidP="007D7577">
            <w:pPr>
              <w:spacing w:after="0" w:line="240" w:lineRule="auto"/>
              <w:jc w:val="right"/>
              <w:rPr>
                <w:b/>
                <w:bCs/>
                <w:color w:val="17365D"/>
                <w:sz w:val="18"/>
                <w:szCs w:val="18"/>
              </w:rPr>
            </w:pPr>
            <w:r w:rsidRPr="00C87349">
              <w:rPr>
                <w:b/>
                <w:bCs/>
                <w:color w:val="17365D"/>
                <w:sz w:val="18"/>
                <w:szCs w:val="18"/>
              </w:rPr>
              <w:t>20.48</w:t>
            </w:r>
          </w:p>
        </w:tc>
      </w:tr>
      <w:tr w:rsidR="000C1009" w:rsidRPr="00A27896" w14:paraId="3472565F" w14:textId="77777777" w:rsidTr="004105BE">
        <w:trPr>
          <w:trHeight w:val="67"/>
        </w:trPr>
        <w:tc>
          <w:tcPr>
            <w:tcW w:w="1288" w:type="pct"/>
            <w:tcBorders>
              <w:top w:val="single" w:sz="4" w:space="0" w:color="17365D"/>
            </w:tcBorders>
            <w:shd w:val="clear" w:color="auto" w:fill="B9CDE5"/>
            <w:vAlign w:val="center"/>
          </w:tcPr>
          <w:p w14:paraId="20FB29BE" w14:textId="77777777" w:rsidR="00006251" w:rsidRPr="00A27896" w:rsidRDefault="00006251" w:rsidP="00E02665">
            <w:pPr>
              <w:spacing w:after="0"/>
              <w:rPr>
                <w:rFonts w:eastAsia="Times New Roman" w:cs="Times New Roman"/>
                <w:color w:val="17365D"/>
                <w:sz w:val="16"/>
                <w:szCs w:val="18"/>
                <w:lang w:eastAsia="lv-LV"/>
              </w:rPr>
            </w:pPr>
          </w:p>
        </w:tc>
        <w:tc>
          <w:tcPr>
            <w:tcW w:w="682" w:type="pct"/>
            <w:tcBorders>
              <w:top w:val="single" w:sz="4" w:space="0" w:color="17365D"/>
            </w:tcBorders>
            <w:shd w:val="clear" w:color="auto" w:fill="B9CDE5"/>
            <w:noWrap/>
            <w:vAlign w:val="center"/>
          </w:tcPr>
          <w:p w14:paraId="5E7D31DE" w14:textId="77777777" w:rsidR="00006251" w:rsidRPr="00A27896" w:rsidRDefault="00006251" w:rsidP="00E02665">
            <w:pPr>
              <w:spacing w:after="0"/>
              <w:jc w:val="center"/>
              <w:rPr>
                <w:rFonts w:eastAsia="Times New Roman" w:cs="Times New Roman"/>
                <w:color w:val="17365D"/>
                <w:sz w:val="18"/>
                <w:szCs w:val="18"/>
                <w:lang w:eastAsia="lv-LV"/>
              </w:rPr>
            </w:pPr>
          </w:p>
        </w:tc>
        <w:tc>
          <w:tcPr>
            <w:tcW w:w="835" w:type="pct"/>
            <w:tcBorders>
              <w:top w:val="single" w:sz="4" w:space="0" w:color="auto"/>
            </w:tcBorders>
            <w:shd w:val="clear" w:color="auto" w:fill="B9CDE5"/>
            <w:noWrap/>
            <w:vAlign w:val="center"/>
          </w:tcPr>
          <w:p w14:paraId="03EF0C4F" w14:textId="77777777" w:rsidR="00006251" w:rsidRPr="00A27896" w:rsidRDefault="00006251" w:rsidP="00E02665">
            <w:pPr>
              <w:spacing w:after="0"/>
              <w:jc w:val="right"/>
              <w:rPr>
                <w:rFonts w:eastAsia="Times New Roman" w:cs="Times New Roman"/>
                <w:color w:val="17365D"/>
                <w:sz w:val="18"/>
                <w:szCs w:val="18"/>
                <w:lang w:eastAsia="lv-LV"/>
              </w:rPr>
            </w:pPr>
          </w:p>
        </w:tc>
        <w:tc>
          <w:tcPr>
            <w:tcW w:w="834" w:type="pct"/>
            <w:tcBorders>
              <w:top w:val="single" w:sz="4" w:space="0" w:color="auto"/>
            </w:tcBorders>
            <w:shd w:val="clear" w:color="auto" w:fill="B9CDE5"/>
            <w:noWrap/>
            <w:vAlign w:val="center"/>
          </w:tcPr>
          <w:p w14:paraId="04B7F371" w14:textId="77777777" w:rsidR="00006251" w:rsidRPr="00A27896" w:rsidRDefault="00006251" w:rsidP="00E02665">
            <w:pPr>
              <w:spacing w:after="0"/>
              <w:jc w:val="right"/>
              <w:rPr>
                <w:rFonts w:eastAsia="Times New Roman" w:cs="Times New Roman"/>
                <w:color w:val="17365D"/>
                <w:sz w:val="18"/>
                <w:szCs w:val="18"/>
                <w:lang w:eastAsia="lv-LV"/>
              </w:rPr>
            </w:pPr>
          </w:p>
        </w:tc>
        <w:tc>
          <w:tcPr>
            <w:tcW w:w="606" w:type="pct"/>
            <w:tcBorders>
              <w:top w:val="single" w:sz="4" w:space="0" w:color="auto"/>
            </w:tcBorders>
            <w:shd w:val="clear" w:color="auto" w:fill="B9CDE5"/>
            <w:noWrap/>
            <w:vAlign w:val="center"/>
          </w:tcPr>
          <w:p w14:paraId="2002E722" w14:textId="77777777" w:rsidR="00006251" w:rsidRPr="00A27896" w:rsidRDefault="00006251" w:rsidP="00E02665">
            <w:pPr>
              <w:spacing w:after="0"/>
              <w:jc w:val="right"/>
              <w:rPr>
                <w:rFonts w:eastAsia="Times New Roman" w:cs="Times New Roman"/>
                <w:color w:val="17365D"/>
                <w:sz w:val="18"/>
                <w:szCs w:val="18"/>
                <w:lang w:eastAsia="lv-LV"/>
              </w:rPr>
            </w:pPr>
          </w:p>
        </w:tc>
        <w:tc>
          <w:tcPr>
            <w:tcW w:w="755" w:type="pct"/>
            <w:tcBorders>
              <w:top w:val="single" w:sz="4" w:space="0" w:color="auto"/>
            </w:tcBorders>
            <w:shd w:val="clear" w:color="auto" w:fill="B9CDE5"/>
            <w:noWrap/>
            <w:vAlign w:val="center"/>
          </w:tcPr>
          <w:p w14:paraId="2A69B5DB" w14:textId="77777777" w:rsidR="00006251" w:rsidRPr="00A27896" w:rsidRDefault="00006251" w:rsidP="00E02665">
            <w:pPr>
              <w:spacing w:after="0"/>
              <w:jc w:val="right"/>
              <w:rPr>
                <w:rFonts w:eastAsia="Times New Roman" w:cs="Times New Roman"/>
                <w:color w:val="17365D"/>
                <w:sz w:val="18"/>
                <w:szCs w:val="18"/>
                <w:lang w:eastAsia="lv-LV"/>
              </w:rPr>
            </w:pPr>
          </w:p>
        </w:tc>
      </w:tr>
    </w:tbl>
    <w:p w14:paraId="214434AE" w14:textId="79F1E92D" w:rsidR="00D3156C" w:rsidRDefault="00526E83" w:rsidP="00D3156C">
      <w:pPr>
        <w:spacing w:before="120" w:after="120" w:line="240" w:lineRule="auto"/>
        <w:ind w:firstLine="284"/>
        <w:jc w:val="both"/>
        <w:rPr>
          <w:rFonts w:cs="Times New Roman"/>
          <w:color w:val="17365D"/>
        </w:rPr>
      </w:pPr>
      <w:r w:rsidRPr="00A27896">
        <w:rPr>
          <w:rFonts w:cs="Times New Roman"/>
          <w:color w:val="17365D"/>
        </w:rPr>
        <w:t xml:space="preserve">Būtiskākās šī posteņa izmaiņas veido līdzdalības radniecīgās un asociētās kapitālsabiedrībās pārvērtēšanas </w:t>
      </w:r>
      <w:r w:rsidR="00AD345F" w:rsidRPr="00A27896">
        <w:rPr>
          <w:rFonts w:cs="Times New Roman"/>
          <w:color w:val="17365D"/>
        </w:rPr>
        <w:t xml:space="preserve">pēc pašu kapitāla metodes </w:t>
      </w:r>
      <w:r w:rsidRPr="00A27896">
        <w:rPr>
          <w:rFonts w:cs="Times New Roman"/>
          <w:color w:val="17365D"/>
        </w:rPr>
        <w:t>rezultātā atzītā kapitālsabiedrību rezervju izmaiņu</w:t>
      </w:r>
      <w:r w:rsidR="006B0607" w:rsidRPr="00A27896">
        <w:rPr>
          <w:rFonts w:cs="Times New Roman"/>
          <w:color w:val="17365D"/>
        </w:rPr>
        <w:t xml:space="preserve"> proporcionālā daļa</w:t>
      </w:r>
      <w:r w:rsidR="002D51CB" w:rsidRPr="00A27896">
        <w:rPr>
          <w:rFonts w:cs="Times New Roman"/>
          <w:color w:val="17365D"/>
        </w:rPr>
        <w:t>.</w:t>
      </w:r>
      <w:r w:rsidR="0011679F" w:rsidRPr="0011679F">
        <w:t xml:space="preserve"> </w:t>
      </w:r>
      <w:r w:rsidR="0011679F" w:rsidRPr="0011679F">
        <w:rPr>
          <w:rFonts w:cs="Times New Roman"/>
          <w:color w:val="17365D"/>
        </w:rPr>
        <w:t>Lielāko palielinājumu rezervēs atzinuša</w:t>
      </w:r>
      <w:r w:rsidR="0011679F">
        <w:rPr>
          <w:rFonts w:cs="Times New Roman"/>
          <w:color w:val="17365D"/>
        </w:rPr>
        <w:t>s</w:t>
      </w:r>
      <w:r w:rsidR="00D3156C">
        <w:rPr>
          <w:rFonts w:cs="Times New Roman"/>
          <w:color w:val="17365D"/>
        </w:rPr>
        <w:t>:</w:t>
      </w:r>
    </w:p>
    <w:p w14:paraId="63EDC943" w14:textId="27FE8EF6" w:rsidR="00D3156C" w:rsidRPr="00D3156C" w:rsidRDefault="0011679F" w:rsidP="00146A16">
      <w:pPr>
        <w:pStyle w:val="ListParagraph"/>
        <w:numPr>
          <w:ilvl w:val="0"/>
          <w:numId w:val="36"/>
        </w:numPr>
        <w:spacing w:after="120" w:line="240" w:lineRule="auto"/>
        <w:ind w:left="1003" w:hanging="357"/>
        <w:contextualSpacing w:val="0"/>
        <w:jc w:val="both"/>
        <w:rPr>
          <w:rFonts w:cs="Times New Roman"/>
          <w:color w:val="17365D"/>
        </w:rPr>
      </w:pPr>
      <w:r w:rsidRPr="00D3156C">
        <w:rPr>
          <w:rFonts w:cs="Times New Roman"/>
          <w:color w:val="17365D"/>
        </w:rPr>
        <w:t>Ekonomikas ministrija 395 264</w:t>
      </w:r>
      <w:r w:rsidR="00FB319D" w:rsidRPr="00D3156C">
        <w:rPr>
          <w:rFonts w:cs="Times New Roman"/>
          <w:color w:val="17365D"/>
        </w:rPr>
        <w:t> </w:t>
      </w:r>
      <w:r w:rsidRPr="00D3156C">
        <w:rPr>
          <w:rFonts w:cs="Times New Roman"/>
          <w:color w:val="17365D"/>
        </w:rPr>
        <w:t>207</w:t>
      </w:r>
      <w:r w:rsidR="00FB319D" w:rsidRPr="00D3156C">
        <w:rPr>
          <w:rFonts w:cs="Times New Roman"/>
          <w:color w:val="17365D"/>
        </w:rPr>
        <w:t> </w:t>
      </w:r>
      <w:r w:rsidRPr="00D3156C">
        <w:rPr>
          <w:rFonts w:cs="Times New Roman"/>
          <w:i/>
          <w:color w:val="17365D"/>
        </w:rPr>
        <w:t>euro</w:t>
      </w:r>
      <w:r w:rsidRPr="00D3156C">
        <w:rPr>
          <w:rFonts w:cs="Times New Roman"/>
          <w:color w:val="17365D"/>
        </w:rPr>
        <w:t xml:space="preserve"> </w:t>
      </w:r>
      <w:r w:rsidR="00FB319D" w:rsidRPr="00D3156C">
        <w:rPr>
          <w:rFonts w:cs="Times New Roman"/>
          <w:color w:val="17365D"/>
        </w:rPr>
        <w:t>par izmaiņām kapitālsabiedrību kapitālā iepriekšē</w:t>
      </w:r>
      <w:r w:rsidR="00D3156C" w:rsidRPr="00D3156C">
        <w:rPr>
          <w:rFonts w:cs="Times New Roman"/>
          <w:color w:val="17365D"/>
        </w:rPr>
        <w:t>jā gadā;</w:t>
      </w:r>
    </w:p>
    <w:p w14:paraId="67B37F75" w14:textId="77777777" w:rsidR="00D3156C" w:rsidRPr="00D3156C" w:rsidRDefault="0011679F" w:rsidP="00146A16">
      <w:pPr>
        <w:pStyle w:val="ListParagraph"/>
        <w:numPr>
          <w:ilvl w:val="0"/>
          <w:numId w:val="36"/>
        </w:numPr>
        <w:spacing w:after="120" w:line="240" w:lineRule="auto"/>
        <w:contextualSpacing w:val="0"/>
        <w:jc w:val="both"/>
        <w:rPr>
          <w:rFonts w:cs="Times New Roman"/>
          <w:color w:val="17365D"/>
        </w:rPr>
      </w:pPr>
      <w:r w:rsidRPr="00D3156C">
        <w:rPr>
          <w:rFonts w:cs="Times New Roman"/>
          <w:color w:val="17365D"/>
        </w:rPr>
        <w:t xml:space="preserve">Rēzeknes valstspilsēta par </w:t>
      </w:r>
      <w:r w:rsidR="00721BCC" w:rsidRPr="00D3156C">
        <w:rPr>
          <w:rFonts w:cs="Times New Roman"/>
          <w:color w:val="17365D"/>
        </w:rPr>
        <w:t xml:space="preserve">izmaiņām </w:t>
      </w:r>
      <w:r w:rsidRPr="00D3156C">
        <w:rPr>
          <w:rFonts w:cs="Times New Roman"/>
          <w:color w:val="17365D"/>
        </w:rPr>
        <w:t xml:space="preserve">SIA </w:t>
      </w:r>
      <w:r w:rsidR="00721BCC" w:rsidRPr="00D3156C">
        <w:rPr>
          <w:rFonts w:cs="Times New Roman"/>
          <w:color w:val="17365D"/>
        </w:rPr>
        <w:t>“</w:t>
      </w:r>
      <w:r w:rsidRPr="00D3156C">
        <w:rPr>
          <w:rFonts w:cs="Times New Roman"/>
          <w:color w:val="17365D"/>
        </w:rPr>
        <w:t>Rēzeknes slimnīca</w:t>
      </w:r>
      <w:r w:rsidR="00721BCC" w:rsidRPr="00D3156C">
        <w:rPr>
          <w:rFonts w:cs="Times New Roman"/>
          <w:color w:val="17365D"/>
        </w:rPr>
        <w:t xml:space="preserve">” </w:t>
      </w:r>
      <w:r w:rsidR="0026380C" w:rsidRPr="00D3156C">
        <w:rPr>
          <w:rFonts w:cs="Times New Roman"/>
          <w:color w:val="17365D"/>
        </w:rPr>
        <w:t xml:space="preserve">pašu kapitālā </w:t>
      </w:r>
      <w:r w:rsidRPr="00D3156C">
        <w:rPr>
          <w:rFonts w:cs="Times New Roman"/>
          <w:color w:val="17365D"/>
        </w:rPr>
        <w:t xml:space="preserve">16 911 558 </w:t>
      </w:r>
      <w:r w:rsidRPr="00D3156C">
        <w:rPr>
          <w:rFonts w:cs="Times New Roman"/>
          <w:i/>
          <w:color w:val="17365D"/>
        </w:rPr>
        <w:t>euro</w:t>
      </w:r>
      <w:r w:rsidRPr="00D3156C">
        <w:rPr>
          <w:rFonts w:cs="Times New Roman"/>
          <w:color w:val="17365D"/>
        </w:rPr>
        <w:t xml:space="preserve"> vērtībā. </w:t>
      </w:r>
    </w:p>
    <w:p w14:paraId="67C02996" w14:textId="66401F28" w:rsidR="005D171A" w:rsidRDefault="0011679F" w:rsidP="005D171A">
      <w:pPr>
        <w:spacing w:after="120" w:line="240" w:lineRule="auto"/>
        <w:ind w:firstLine="284"/>
        <w:jc w:val="both"/>
        <w:rPr>
          <w:rFonts w:cs="Times New Roman"/>
          <w:color w:val="17365D"/>
        </w:rPr>
      </w:pPr>
      <w:r>
        <w:rPr>
          <w:rFonts w:cs="Times New Roman"/>
          <w:color w:val="17365D"/>
        </w:rPr>
        <w:t xml:space="preserve">Savukārt </w:t>
      </w:r>
      <w:r w:rsidR="005D171A">
        <w:rPr>
          <w:rFonts w:cs="Times New Roman"/>
          <w:color w:val="17365D"/>
        </w:rPr>
        <w:t xml:space="preserve">rezervju </w:t>
      </w:r>
      <w:r>
        <w:rPr>
          <w:rFonts w:cs="Times New Roman"/>
          <w:color w:val="17365D"/>
        </w:rPr>
        <w:t>samazinājum</w:t>
      </w:r>
      <w:r w:rsidR="00721BCC">
        <w:rPr>
          <w:rFonts w:cs="Times New Roman"/>
          <w:color w:val="17365D"/>
        </w:rPr>
        <w:t>s veidojies</w:t>
      </w:r>
      <w:r w:rsidR="005D171A">
        <w:rPr>
          <w:rFonts w:cs="Times New Roman"/>
          <w:color w:val="17365D"/>
        </w:rPr>
        <w:t>:</w:t>
      </w:r>
    </w:p>
    <w:p w14:paraId="31435CCF" w14:textId="0D1527FC" w:rsidR="00526E83" w:rsidRPr="005D171A" w:rsidRDefault="0011679F" w:rsidP="00146A16">
      <w:pPr>
        <w:pStyle w:val="ListParagraph"/>
        <w:numPr>
          <w:ilvl w:val="0"/>
          <w:numId w:val="37"/>
        </w:numPr>
        <w:spacing w:after="120" w:line="240" w:lineRule="auto"/>
        <w:ind w:left="1003" w:hanging="357"/>
        <w:contextualSpacing w:val="0"/>
        <w:jc w:val="both"/>
        <w:rPr>
          <w:rFonts w:cs="Times New Roman"/>
          <w:color w:val="17365D"/>
        </w:rPr>
      </w:pPr>
      <w:r w:rsidRPr="005D171A">
        <w:rPr>
          <w:rFonts w:cs="Times New Roman"/>
          <w:color w:val="17365D"/>
        </w:rPr>
        <w:t>Zemkopības ministrija</w:t>
      </w:r>
      <w:r w:rsidR="00CE32C0" w:rsidRPr="005D171A">
        <w:rPr>
          <w:rFonts w:cs="Times New Roman"/>
          <w:color w:val="17365D"/>
        </w:rPr>
        <w:t>i</w:t>
      </w:r>
      <w:r w:rsidRPr="005D171A">
        <w:rPr>
          <w:rFonts w:cs="Times New Roman"/>
          <w:color w:val="17365D"/>
        </w:rPr>
        <w:t xml:space="preserve"> par </w:t>
      </w:r>
      <w:r w:rsidR="0026380C" w:rsidRPr="005D171A">
        <w:rPr>
          <w:rFonts w:cs="Times New Roman"/>
          <w:color w:val="17365D"/>
        </w:rPr>
        <w:t xml:space="preserve">izmaiņām </w:t>
      </w:r>
      <w:r w:rsidRPr="005D171A">
        <w:rPr>
          <w:rFonts w:cs="Times New Roman"/>
          <w:color w:val="17365D"/>
        </w:rPr>
        <w:t xml:space="preserve">AS </w:t>
      </w:r>
      <w:r w:rsidR="00721BCC" w:rsidRPr="005D171A">
        <w:rPr>
          <w:rFonts w:cs="Times New Roman"/>
          <w:color w:val="17365D"/>
        </w:rPr>
        <w:t>“</w:t>
      </w:r>
      <w:r w:rsidRPr="005D171A">
        <w:rPr>
          <w:rFonts w:cs="Times New Roman"/>
          <w:color w:val="17365D"/>
        </w:rPr>
        <w:t>Latvijas val</w:t>
      </w:r>
      <w:r w:rsidR="00954476" w:rsidRPr="005D171A">
        <w:rPr>
          <w:rFonts w:cs="Times New Roman"/>
          <w:color w:val="17365D"/>
        </w:rPr>
        <w:t>sts meži</w:t>
      </w:r>
      <w:r w:rsidR="00721BCC" w:rsidRPr="005D171A">
        <w:rPr>
          <w:rFonts w:cs="Times New Roman"/>
          <w:color w:val="17365D"/>
        </w:rPr>
        <w:t>”</w:t>
      </w:r>
      <w:r w:rsidR="00954476" w:rsidRPr="005D171A">
        <w:rPr>
          <w:rFonts w:cs="Times New Roman"/>
          <w:color w:val="17365D"/>
        </w:rPr>
        <w:t xml:space="preserve"> </w:t>
      </w:r>
      <w:r w:rsidR="0026380C" w:rsidRPr="005D171A">
        <w:rPr>
          <w:rFonts w:cs="Times New Roman"/>
          <w:color w:val="17365D"/>
        </w:rPr>
        <w:t xml:space="preserve">pašu kapitālā </w:t>
      </w:r>
      <w:r w:rsidR="00954476" w:rsidRPr="005D171A">
        <w:rPr>
          <w:rFonts w:cs="Times New Roman"/>
          <w:color w:val="17365D"/>
        </w:rPr>
        <w:t>(28 787 </w:t>
      </w:r>
      <w:r w:rsidRPr="005D171A">
        <w:rPr>
          <w:rFonts w:cs="Times New Roman"/>
          <w:color w:val="17365D"/>
        </w:rPr>
        <w:t xml:space="preserve">537) </w:t>
      </w:r>
      <w:r w:rsidRPr="005D171A">
        <w:rPr>
          <w:rFonts w:cs="Times New Roman"/>
          <w:i/>
          <w:color w:val="17365D"/>
        </w:rPr>
        <w:t>euro</w:t>
      </w:r>
      <w:r w:rsidRPr="005D171A">
        <w:rPr>
          <w:rFonts w:cs="Times New Roman"/>
          <w:color w:val="17365D"/>
        </w:rPr>
        <w:t xml:space="preserve"> un AS </w:t>
      </w:r>
      <w:r w:rsidR="0026380C" w:rsidRPr="005D171A">
        <w:rPr>
          <w:rFonts w:cs="Times New Roman"/>
          <w:color w:val="17365D"/>
        </w:rPr>
        <w:t>“</w:t>
      </w:r>
      <w:r w:rsidRPr="005D171A">
        <w:rPr>
          <w:rFonts w:cs="Times New Roman"/>
          <w:color w:val="17365D"/>
        </w:rPr>
        <w:t>Attīstības finanšu institūcija Altum</w:t>
      </w:r>
      <w:r w:rsidR="0026380C" w:rsidRPr="005D171A">
        <w:rPr>
          <w:rFonts w:cs="Times New Roman"/>
          <w:color w:val="17365D"/>
        </w:rPr>
        <w:t>”</w:t>
      </w:r>
      <w:r w:rsidRPr="005D171A">
        <w:rPr>
          <w:rFonts w:cs="Times New Roman"/>
          <w:color w:val="17365D"/>
        </w:rPr>
        <w:t xml:space="preserve"> </w:t>
      </w:r>
      <w:r w:rsidR="0026380C" w:rsidRPr="005D171A">
        <w:rPr>
          <w:rFonts w:cs="Times New Roman"/>
          <w:color w:val="17365D"/>
        </w:rPr>
        <w:t xml:space="preserve">pašu kapitālā </w:t>
      </w:r>
      <w:r w:rsidRPr="005D171A">
        <w:rPr>
          <w:rFonts w:cs="Times New Roman"/>
          <w:color w:val="17365D"/>
        </w:rPr>
        <w:t>(3</w:t>
      </w:r>
      <w:r w:rsidR="0026380C" w:rsidRPr="005D171A">
        <w:rPr>
          <w:rFonts w:cs="Times New Roman"/>
          <w:color w:val="17365D"/>
        </w:rPr>
        <w:t> </w:t>
      </w:r>
      <w:r w:rsidRPr="005D171A">
        <w:rPr>
          <w:rFonts w:cs="Times New Roman"/>
          <w:color w:val="17365D"/>
        </w:rPr>
        <w:t>886</w:t>
      </w:r>
      <w:r w:rsidR="0026380C" w:rsidRPr="005D171A">
        <w:rPr>
          <w:rFonts w:cs="Times New Roman"/>
          <w:color w:val="17365D"/>
        </w:rPr>
        <w:t> </w:t>
      </w:r>
      <w:r w:rsidRPr="005D171A">
        <w:rPr>
          <w:rFonts w:cs="Times New Roman"/>
          <w:color w:val="17365D"/>
        </w:rPr>
        <w:t xml:space="preserve">800) </w:t>
      </w:r>
      <w:r w:rsidRPr="005D171A">
        <w:rPr>
          <w:rFonts w:cs="Times New Roman"/>
          <w:i/>
          <w:color w:val="17365D"/>
        </w:rPr>
        <w:t>euro</w:t>
      </w:r>
      <w:r w:rsidR="0026380C" w:rsidRPr="005D171A">
        <w:rPr>
          <w:rFonts w:cs="Times New Roman"/>
          <w:color w:val="17365D"/>
        </w:rPr>
        <w:t xml:space="preserve"> vērtībā</w:t>
      </w:r>
      <w:r w:rsidRPr="005D171A">
        <w:rPr>
          <w:rFonts w:cs="Times New Roman"/>
          <w:color w:val="17365D"/>
        </w:rPr>
        <w:t>.</w:t>
      </w:r>
    </w:p>
    <w:p w14:paraId="5117D20F" w14:textId="0C797688" w:rsidR="00475A10" w:rsidRDefault="00475A10" w:rsidP="004105BE">
      <w:pPr>
        <w:pStyle w:val="Heading4"/>
        <w:spacing w:after="0"/>
        <w:rPr>
          <w:rFonts w:cs="Times New Roman"/>
        </w:rPr>
      </w:pPr>
    </w:p>
    <w:p w14:paraId="2AC4F009" w14:textId="77777777" w:rsidR="00475A10" w:rsidRPr="00475A10" w:rsidRDefault="00475A10" w:rsidP="00475A10"/>
    <w:p w14:paraId="36EF5B1B" w14:textId="47F65B42" w:rsidR="00FD2C7A" w:rsidRPr="00A27896" w:rsidRDefault="00C67DF1" w:rsidP="004105BE">
      <w:pPr>
        <w:pStyle w:val="Heading4"/>
        <w:spacing w:after="0"/>
        <w:rPr>
          <w:rFonts w:cs="Times New Roman"/>
        </w:rPr>
      </w:pPr>
      <w:r w:rsidRPr="00A27896">
        <w:rPr>
          <w:rFonts w:cs="Times New Roman"/>
        </w:rPr>
        <w:lastRenderedPageBreak/>
        <w:t>Piezīme Nr.</w:t>
      </w:r>
      <w:r w:rsidR="005F1199" w:rsidRPr="00A27896">
        <w:rPr>
          <w:rFonts w:cs="Times New Roman"/>
        </w:rPr>
        <w:t>KB.3</w:t>
      </w:r>
      <w:r w:rsidR="00F73CE6" w:rsidRPr="00A27896">
        <w:rPr>
          <w:rFonts w:cs="Times New Roman"/>
        </w:rPr>
        <w:t>.5</w:t>
      </w:r>
      <w:r w:rsidR="00FD2C7A" w:rsidRPr="00A27896">
        <w:rPr>
          <w:rFonts w:cs="Times New Roman"/>
        </w:rPr>
        <w:t>. Budžeta izpildes rezultāti</w:t>
      </w:r>
    </w:p>
    <w:p w14:paraId="1786EDFB" w14:textId="527D99C1" w:rsidR="00FD2C7A" w:rsidRPr="00A27896" w:rsidRDefault="004105BE" w:rsidP="004105BE">
      <w:pPr>
        <w:pStyle w:val="Tabulasnosaukums1"/>
        <w:spacing w:before="120"/>
        <w:rPr>
          <w:rFonts w:eastAsia="Times New Roman" w:cs="Times New Roman"/>
          <w:color w:val="17365D"/>
          <w:szCs w:val="20"/>
          <w:lang w:eastAsia="lv-LV"/>
        </w:rPr>
      </w:pPr>
      <w:r>
        <w:rPr>
          <w:rFonts w:cs="Times New Roman"/>
          <w:i/>
          <w:color w:val="17365D"/>
        </w:rPr>
        <w:t>1.</w:t>
      </w:r>
      <w:r w:rsidR="008F612C" w:rsidRPr="00A27896">
        <w:rPr>
          <w:rFonts w:cs="Times New Roman"/>
          <w:i/>
          <w:color w:val="17365D"/>
        </w:rPr>
        <w:t>18</w:t>
      </w:r>
      <w:r w:rsidR="00FD2C7A" w:rsidRPr="00A27896">
        <w:rPr>
          <w:rFonts w:cs="Times New Roman"/>
          <w:i/>
          <w:color w:val="17365D"/>
        </w:rPr>
        <w:t>. tabula</w:t>
      </w:r>
      <w:r w:rsidR="00990A72" w:rsidRPr="00A27896">
        <w:rPr>
          <w:rFonts w:cs="Times New Roman"/>
          <w:i/>
          <w:color w:val="17365D"/>
        </w:rPr>
        <w:t>. Budžeta izpildes rezultāti</w:t>
      </w:r>
      <w:r w:rsidR="00990A72" w:rsidRPr="00A27896" w:rsidDel="00990A72">
        <w:rPr>
          <w:rFonts w:cs="Times New Roman"/>
          <w:i/>
          <w:color w:val="17365D"/>
        </w:rPr>
        <w:t xml:space="preserve"> </w:t>
      </w:r>
      <w:r w:rsidR="00990A72" w:rsidRPr="00A27896">
        <w:rPr>
          <w:rFonts w:eastAsia="Times New Roman" w:cs="Times New Roman"/>
          <w:i/>
          <w:color w:val="17365D"/>
          <w:szCs w:val="20"/>
          <w:lang w:eastAsia="lv-LV"/>
        </w:rPr>
        <w:t>(</w:t>
      </w:r>
      <w:r w:rsidR="00E60599" w:rsidRPr="00A27896">
        <w:rPr>
          <w:rFonts w:eastAsia="Times New Roman" w:cs="Times New Roman"/>
          <w:i/>
          <w:color w:val="17365D"/>
          <w:szCs w:val="20"/>
          <w:lang w:eastAsia="lv-LV"/>
        </w:rPr>
        <w:t>euro</w:t>
      </w:r>
      <w:r w:rsidR="00990A72" w:rsidRPr="00A27896">
        <w:rPr>
          <w:rFonts w:eastAsia="Times New Roman" w:cs="Times New Roman"/>
          <w:i/>
          <w:color w:val="17365D"/>
          <w:szCs w:val="20"/>
          <w:lang w:eastAsia="lv-LV"/>
        </w:rPr>
        <w:t>)</w:t>
      </w:r>
    </w:p>
    <w:tbl>
      <w:tblPr>
        <w:tblW w:w="5000" w:type="pct"/>
        <w:tblBorders>
          <w:insideH w:val="single" w:sz="4" w:space="0" w:color="012169"/>
        </w:tblBorders>
        <w:tblLayout w:type="fixed"/>
        <w:tblLook w:val="04A0" w:firstRow="1" w:lastRow="0" w:firstColumn="1" w:lastColumn="0" w:noHBand="0" w:noVBand="1"/>
      </w:tblPr>
      <w:tblGrid>
        <w:gridCol w:w="2835"/>
        <w:gridCol w:w="993"/>
        <w:gridCol w:w="1354"/>
        <w:gridCol w:w="924"/>
        <w:gridCol w:w="511"/>
        <w:gridCol w:w="1435"/>
        <w:gridCol w:w="1302"/>
      </w:tblGrid>
      <w:tr w:rsidR="000C1009" w:rsidRPr="00A27896" w14:paraId="4180D32A" w14:textId="77777777" w:rsidTr="00821FBA">
        <w:trPr>
          <w:trHeight w:val="684"/>
          <w:tblHeader/>
        </w:trPr>
        <w:tc>
          <w:tcPr>
            <w:tcW w:w="1515" w:type="pct"/>
            <w:tcBorders>
              <w:bottom w:val="single" w:sz="4" w:space="0" w:color="17365D"/>
            </w:tcBorders>
            <w:shd w:val="clear" w:color="auto" w:fill="B9CDE5"/>
            <w:vAlign w:val="center"/>
            <w:hideMark/>
          </w:tcPr>
          <w:p w14:paraId="2E64817D"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531" w:type="pct"/>
            <w:tcBorders>
              <w:bottom w:val="single" w:sz="4" w:space="0" w:color="17365D"/>
            </w:tcBorders>
            <w:shd w:val="clear" w:color="auto" w:fill="B9CDE5"/>
            <w:vAlign w:val="center"/>
            <w:hideMark/>
          </w:tcPr>
          <w:p w14:paraId="60C860F0"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724" w:type="pct"/>
            <w:tcBorders>
              <w:bottom w:val="single" w:sz="4" w:space="0" w:color="17365D"/>
            </w:tcBorders>
            <w:shd w:val="clear" w:color="auto" w:fill="B9CDE5"/>
            <w:vAlign w:val="center"/>
            <w:hideMark/>
          </w:tcPr>
          <w:p w14:paraId="023BD0CD"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767" w:type="pct"/>
            <w:gridSpan w:val="2"/>
            <w:tcBorders>
              <w:bottom w:val="single" w:sz="4" w:space="0" w:color="17365D"/>
            </w:tcBorders>
            <w:shd w:val="clear" w:color="auto" w:fill="B9CDE5"/>
            <w:vAlign w:val="center"/>
            <w:hideMark/>
          </w:tcPr>
          <w:p w14:paraId="4BC5F461"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67" w:type="pct"/>
            <w:tcBorders>
              <w:bottom w:val="single" w:sz="4" w:space="0" w:color="17365D"/>
            </w:tcBorders>
            <w:shd w:val="clear" w:color="auto" w:fill="B9CDE5"/>
            <w:vAlign w:val="center"/>
            <w:hideMark/>
          </w:tcPr>
          <w:p w14:paraId="043D1804" w14:textId="4AA8C1FF"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696" w:type="pct"/>
            <w:tcBorders>
              <w:bottom w:val="single" w:sz="4" w:space="0" w:color="17365D"/>
            </w:tcBorders>
            <w:shd w:val="clear" w:color="auto" w:fill="B9CDE5"/>
            <w:vAlign w:val="center"/>
            <w:hideMark/>
          </w:tcPr>
          <w:p w14:paraId="36CF15B7"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6C6CC0D1" w14:textId="77777777" w:rsidTr="00F06FED">
        <w:trPr>
          <w:trHeight w:val="240"/>
          <w:tblHeader/>
        </w:trPr>
        <w:tc>
          <w:tcPr>
            <w:tcW w:w="1515" w:type="pct"/>
            <w:tcBorders>
              <w:top w:val="single" w:sz="4" w:space="0" w:color="17365D"/>
              <w:bottom w:val="single" w:sz="4" w:space="0" w:color="17365D"/>
            </w:tcBorders>
            <w:shd w:val="clear" w:color="auto" w:fill="auto"/>
            <w:vAlign w:val="center"/>
            <w:hideMark/>
          </w:tcPr>
          <w:p w14:paraId="0631C941"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531" w:type="pct"/>
            <w:tcBorders>
              <w:top w:val="single" w:sz="4" w:space="0" w:color="17365D"/>
              <w:bottom w:val="single" w:sz="4" w:space="0" w:color="17365D"/>
            </w:tcBorders>
            <w:shd w:val="clear" w:color="auto" w:fill="auto"/>
            <w:vAlign w:val="center"/>
            <w:hideMark/>
          </w:tcPr>
          <w:p w14:paraId="3F0271AB"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24" w:type="pct"/>
            <w:tcBorders>
              <w:top w:val="single" w:sz="4" w:space="0" w:color="17365D"/>
              <w:bottom w:val="single" w:sz="4" w:space="0" w:color="17365D"/>
            </w:tcBorders>
            <w:shd w:val="clear" w:color="auto" w:fill="auto"/>
            <w:vAlign w:val="center"/>
            <w:hideMark/>
          </w:tcPr>
          <w:p w14:paraId="5BCF89A8"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767" w:type="pct"/>
            <w:gridSpan w:val="2"/>
            <w:tcBorders>
              <w:top w:val="single" w:sz="4" w:space="0" w:color="17365D"/>
              <w:bottom w:val="single" w:sz="4" w:space="0" w:color="17365D"/>
            </w:tcBorders>
            <w:shd w:val="clear" w:color="auto" w:fill="auto"/>
            <w:vAlign w:val="center"/>
            <w:hideMark/>
          </w:tcPr>
          <w:p w14:paraId="43E0D862"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67" w:type="pct"/>
            <w:tcBorders>
              <w:top w:val="single" w:sz="4" w:space="0" w:color="17365D"/>
              <w:bottom w:val="single" w:sz="4" w:space="0" w:color="17365D"/>
            </w:tcBorders>
            <w:shd w:val="clear" w:color="auto" w:fill="auto"/>
            <w:vAlign w:val="center"/>
            <w:hideMark/>
          </w:tcPr>
          <w:p w14:paraId="23DA0617"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96" w:type="pct"/>
            <w:tcBorders>
              <w:top w:val="single" w:sz="4" w:space="0" w:color="17365D"/>
              <w:bottom w:val="single" w:sz="4" w:space="0" w:color="17365D"/>
            </w:tcBorders>
            <w:shd w:val="clear" w:color="auto" w:fill="auto"/>
            <w:vAlign w:val="center"/>
            <w:hideMark/>
          </w:tcPr>
          <w:p w14:paraId="7E2855B3" w14:textId="77777777" w:rsidR="001D3508" w:rsidRPr="00A27896" w:rsidRDefault="001D3508" w:rsidP="001D350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C6222B" w:rsidRPr="00A27896" w14:paraId="60BDA963" w14:textId="77777777" w:rsidTr="00C87349">
        <w:trPr>
          <w:trHeight w:val="240"/>
        </w:trPr>
        <w:tc>
          <w:tcPr>
            <w:tcW w:w="1515" w:type="pct"/>
            <w:tcBorders>
              <w:top w:val="single" w:sz="4" w:space="0" w:color="17365D"/>
              <w:bottom w:val="single" w:sz="4" w:space="0" w:color="17365D"/>
            </w:tcBorders>
            <w:shd w:val="clear" w:color="auto" w:fill="auto"/>
            <w:vAlign w:val="center"/>
            <w:hideMark/>
          </w:tcPr>
          <w:p w14:paraId="232DF775" w14:textId="11D9DA27" w:rsidR="00C6222B" w:rsidRPr="00A27896" w:rsidRDefault="00C6222B" w:rsidP="00C6222B">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Budžeta izpildes rezultāti</w:t>
            </w:r>
          </w:p>
        </w:tc>
        <w:tc>
          <w:tcPr>
            <w:tcW w:w="531" w:type="pct"/>
            <w:tcBorders>
              <w:top w:val="single" w:sz="4" w:space="0" w:color="17365D"/>
              <w:left w:val="nil"/>
              <w:bottom w:val="single" w:sz="4" w:space="0" w:color="auto"/>
              <w:right w:val="nil"/>
            </w:tcBorders>
            <w:shd w:val="clear" w:color="auto" w:fill="auto"/>
            <w:vAlign w:val="center"/>
            <w:hideMark/>
          </w:tcPr>
          <w:p w14:paraId="357AFBC7" w14:textId="1BAAEB7D" w:rsidR="00C6222B" w:rsidRPr="00A27896" w:rsidRDefault="00C6222B" w:rsidP="00C6222B">
            <w:pPr>
              <w:spacing w:after="0" w:line="240" w:lineRule="auto"/>
              <w:jc w:val="center"/>
              <w:rPr>
                <w:rFonts w:eastAsia="Times New Roman" w:cs="Times New Roman"/>
                <w:b/>
                <w:color w:val="17365D"/>
                <w:sz w:val="18"/>
                <w:szCs w:val="18"/>
                <w:lang w:eastAsia="lv-LV"/>
              </w:rPr>
            </w:pPr>
            <w:r>
              <w:rPr>
                <w:b/>
                <w:bCs/>
                <w:color w:val="17365D"/>
                <w:sz w:val="18"/>
                <w:szCs w:val="18"/>
              </w:rPr>
              <w:t>KB.3.5.</w:t>
            </w:r>
          </w:p>
        </w:tc>
        <w:tc>
          <w:tcPr>
            <w:tcW w:w="724" w:type="pct"/>
            <w:tcBorders>
              <w:top w:val="single" w:sz="4" w:space="0" w:color="17365D"/>
              <w:left w:val="nil"/>
              <w:bottom w:val="single" w:sz="4" w:space="0" w:color="auto"/>
              <w:right w:val="nil"/>
            </w:tcBorders>
            <w:shd w:val="clear" w:color="auto" w:fill="auto"/>
            <w:noWrap/>
            <w:vAlign w:val="center"/>
          </w:tcPr>
          <w:p w14:paraId="4A19C494" w14:textId="7EA03063" w:rsidR="00C6222B" w:rsidRPr="00C6222B" w:rsidRDefault="00C6222B" w:rsidP="00C6222B">
            <w:pPr>
              <w:spacing w:after="0" w:line="240" w:lineRule="auto"/>
              <w:jc w:val="right"/>
              <w:rPr>
                <w:b/>
                <w:bCs/>
                <w:color w:val="17365D"/>
                <w:sz w:val="18"/>
                <w:szCs w:val="18"/>
              </w:rPr>
            </w:pPr>
            <w:r w:rsidRPr="00C87349">
              <w:rPr>
                <w:b/>
                <w:bCs/>
                <w:color w:val="17365D"/>
                <w:sz w:val="18"/>
                <w:szCs w:val="18"/>
              </w:rPr>
              <w:t>6 542 927 949</w:t>
            </w:r>
          </w:p>
        </w:tc>
        <w:tc>
          <w:tcPr>
            <w:tcW w:w="767" w:type="pct"/>
            <w:gridSpan w:val="2"/>
            <w:tcBorders>
              <w:top w:val="single" w:sz="4" w:space="0" w:color="17365D"/>
              <w:left w:val="nil"/>
              <w:bottom w:val="single" w:sz="4" w:space="0" w:color="auto"/>
              <w:right w:val="nil"/>
            </w:tcBorders>
            <w:shd w:val="clear" w:color="auto" w:fill="auto"/>
            <w:noWrap/>
            <w:vAlign w:val="center"/>
          </w:tcPr>
          <w:p w14:paraId="59973FF3" w14:textId="626D3DEC" w:rsidR="00C6222B" w:rsidRPr="00C6222B" w:rsidRDefault="00C6222B" w:rsidP="00C6222B">
            <w:pPr>
              <w:spacing w:after="0" w:line="240" w:lineRule="auto"/>
              <w:jc w:val="right"/>
              <w:rPr>
                <w:b/>
                <w:bCs/>
                <w:color w:val="17365D"/>
                <w:sz w:val="18"/>
                <w:szCs w:val="18"/>
              </w:rPr>
            </w:pPr>
            <w:r w:rsidRPr="00C87349">
              <w:rPr>
                <w:b/>
                <w:bCs/>
                <w:color w:val="17365D"/>
                <w:sz w:val="18"/>
                <w:szCs w:val="18"/>
              </w:rPr>
              <w:t>6 474 785 307</w:t>
            </w:r>
          </w:p>
        </w:tc>
        <w:tc>
          <w:tcPr>
            <w:tcW w:w="767" w:type="pct"/>
            <w:tcBorders>
              <w:top w:val="single" w:sz="4" w:space="0" w:color="17365D"/>
              <w:left w:val="nil"/>
              <w:bottom w:val="single" w:sz="4" w:space="0" w:color="auto"/>
              <w:right w:val="nil"/>
            </w:tcBorders>
            <w:shd w:val="clear" w:color="auto" w:fill="auto"/>
            <w:noWrap/>
            <w:vAlign w:val="center"/>
          </w:tcPr>
          <w:p w14:paraId="1A7D337B" w14:textId="13ED7F99" w:rsidR="00C6222B" w:rsidRPr="00C6222B" w:rsidRDefault="00C6222B" w:rsidP="00C6222B">
            <w:pPr>
              <w:spacing w:after="0" w:line="240" w:lineRule="auto"/>
              <w:jc w:val="right"/>
              <w:rPr>
                <w:b/>
                <w:bCs/>
                <w:color w:val="17365D"/>
                <w:sz w:val="18"/>
                <w:szCs w:val="18"/>
              </w:rPr>
            </w:pPr>
            <w:r w:rsidRPr="00C87349">
              <w:rPr>
                <w:b/>
                <w:bCs/>
                <w:color w:val="17365D"/>
                <w:sz w:val="18"/>
                <w:szCs w:val="18"/>
              </w:rPr>
              <w:t>68 142 642</w:t>
            </w:r>
          </w:p>
        </w:tc>
        <w:tc>
          <w:tcPr>
            <w:tcW w:w="696" w:type="pct"/>
            <w:tcBorders>
              <w:top w:val="single" w:sz="4" w:space="0" w:color="17365D"/>
              <w:left w:val="nil"/>
              <w:bottom w:val="single" w:sz="4" w:space="0" w:color="17365D"/>
              <w:right w:val="nil"/>
            </w:tcBorders>
            <w:shd w:val="clear" w:color="auto" w:fill="auto"/>
            <w:noWrap/>
            <w:vAlign w:val="center"/>
          </w:tcPr>
          <w:p w14:paraId="502CC63B" w14:textId="1944C389" w:rsidR="00C6222B" w:rsidRPr="00C6222B" w:rsidRDefault="00C6222B" w:rsidP="00C6222B">
            <w:pPr>
              <w:spacing w:after="0" w:line="240" w:lineRule="auto"/>
              <w:jc w:val="right"/>
              <w:rPr>
                <w:b/>
                <w:bCs/>
                <w:color w:val="17365D"/>
                <w:sz w:val="18"/>
                <w:szCs w:val="18"/>
              </w:rPr>
            </w:pPr>
            <w:r w:rsidRPr="00C87349">
              <w:rPr>
                <w:b/>
                <w:bCs/>
                <w:color w:val="17365D"/>
                <w:sz w:val="18"/>
                <w:szCs w:val="18"/>
              </w:rPr>
              <w:t>1.05</w:t>
            </w:r>
          </w:p>
        </w:tc>
      </w:tr>
      <w:tr w:rsidR="00C6222B" w:rsidRPr="00F06FED" w14:paraId="3BE9143B" w14:textId="77777777" w:rsidTr="00C87349">
        <w:trPr>
          <w:trHeight w:val="54"/>
        </w:trPr>
        <w:tc>
          <w:tcPr>
            <w:tcW w:w="1515" w:type="pct"/>
            <w:tcBorders>
              <w:top w:val="single" w:sz="4" w:space="0" w:color="17365D"/>
              <w:bottom w:val="single" w:sz="4" w:space="0" w:color="17365D"/>
            </w:tcBorders>
            <w:shd w:val="clear" w:color="auto" w:fill="auto"/>
            <w:vAlign w:val="center"/>
            <w:hideMark/>
          </w:tcPr>
          <w:p w14:paraId="671820A4" w14:textId="77777777" w:rsidR="00C6222B" w:rsidRPr="00A27896" w:rsidRDefault="00C6222B" w:rsidP="00C6222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Iepriekšējo pārskata gadu budžeta izpildes rezultāts</w:t>
            </w:r>
          </w:p>
        </w:tc>
        <w:tc>
          <w:tcPr>
            <w:tcW w:w="531" w:type="pct"/>
            <w:tcBorders>
              <w:top w:val="single" w:sz="4" w:space="0" w:color="auto"/>
              <w:left w:val="nil"/>
              <w:bottom w:val="single" w:sz="4" w:space="0" w:color="auto"/>
              <w:right w:val="nil"/>
            </w:tcBorders>
            <w:shd w:val="clear" w:color="auto" w:fill="auto"/>
            <w:noWrap/>
            <w:vAlign w:val="center"/>
            <w:hideMark/>
          </w:tcPr>
          <w:p w14:paraId="23A92014" w14:textId="2991EB9B" w:rsidR="00C6222B" w:rsidRPr="00A27896" w:rsidRDefault="00C6222B" w:rsidP="00C6222B">
            <w:pPr>
              <w:spacing w:after="0" w:line="240" w:lineRule="auto"/>
              <w:rPr>
                <w:rFonts w:eastAsia="Times New Roman" w:cs="Times New Roman"/>
                <w:color w:val="17365D"/>
                <w:sz w:val="18"/>
                <w:szCs w:val="18"/>
                <w:lang w:eastAsia="lv-LV"/>
              </w:rPr>
            </w:pPr>
          </w:p>
        </w:tc>
        <w:tc>
          <w:tcPr>
            <w:tcW w:w="724" w:type="pct"/>
            <w:tcBorders>
              <w:top w:val="single" w:sz="4" w:space="0" w:color="auto"/>
              <w:left w:val="nil"/>
              <w:bottom w:val="single" w:sz="4" w:space="0" w:color="auto"/>
              <w:right w:val="nil"/>
            </w:tcBorders>
            <w:shd w:val="clear" w:color="auto" w:fill="auto"/>
            <w:noWrap/>
            <w:vAlign w:val="center"/>
          </w:tcPr>
          <w:p w14:paraId="2A405358" w14:textId="7E0E2606" w:rsidR="00C6222B" w:rsidRPr="00C87349" w:rsidRDefault="00C6222B" w:rsidP="00C6222B">
            <w:pPr>
              <w:spacing w:after="0" w:line="240" w:lineRule="auto"/>
              <w:jc w:val="right"/>
              <w:rPr>
                <w:color w:val="17365D"/>
                <w:sz w:val="18"/>
                <w:szCs w:val="18"/>
              </w:rPr>
            </w:pPr>
            <w:r w:rsidRPr="00C87349">
              <w:rPr>
                <w:color w:val="17365D"/>
                <w:sz w:val="18"/>
                <w:szCs w:val="18"/>
              </w:rPr>
              <w:t>6 474 785 307</w:t>
            </w:r>
          </w:p>
        </w:tc>
        <w:tc>
          <w:tcPr>
            <w:tcW w:w="767" w:type="pct"/>
            <w:gridSpan w:val="2"/>
            <w:tcBorders>
              <w:top w:val="single" w:sz="4" w:space="0" w:color="auto"/>
              <w:left w:val="nil"/>
              <w:bottom w:val="single" w:sz="4" w:space="0" w:color="auto"/>
              <w:right w:val="nil"/>
            </w:tcBorders>
            <w:shd w:val="clear" w:color="auto" w:fill="auto"/>
            <w:noWrap/>
            <w:vAlign w:val="center"/>
          </w:tcPr>
          <w:p w14:paraId="00CA13AA" w14:textId="7FD5AA6A" w:rsidR="00C6222B" w:rsidRPr="00C87349" w:rsidRDefault="00C6222B" w:rsidP="00C6222B">
            <w:pPr>
              <w:spacing w:after="0" w:line="240" w:lineRule="auto"/>
              <w:jc w:val="right"/>
              <w:rPr>
                <w:color w:val="17365D"/>
                <w:sz w:val="18"/>
                <w:szCs w:val="18"/>
              </w:rPr>
            </w:pPr>
            <w:r w:rsidRPr="00C87349">
              <w:rPr>
                <w:color w:val="17365D"/>
                <w:sz w:val="18"/>
                <w:szCs w:val="18"/>
              </w:rPr>
              <w:t>5 904 873 895</w:t>
            </w:r>
          </w:p>
        </w:tc>
        <w:tc>
          <w:tcPr>
            <w:tcW w:w="767" w:type="pct"/>
            <w:tcBorders>
              <w:top w:val="single" w:sz="4" w:space="0" w:color="auto"/>
              <w:left w:val="nil"/>
              <w:bottom w:val="single" w:sz="4" w:space="0" w:color="auto"/>
              <w:right w:val="nil"/>
            </w:tcBorders>
            <w:shd w:val="clear" w:color="auto" w:fill="auto"/>
            <w:noWrap/>
            <w:vAlign w:val="center"/>
          </w:tcPr>
          <w:p w14:paraId="6361192D" w14:textId="42F796A0" w:rsidR="00C6222B" w:rsidRPr="00C87349" w:rsidRDefault="00C6222B" w:rsidP="00C6222B">
            <w:pPr>
              <w:spacing w:after="0" w:line="240" w:lineRule="auto"/>
              <w:jc w:val="right"/>
              <w:rPr>
                <w:color w:val="17365D"/>
                <w:sz w:val="18"/>
                <w:szCs w:val="18"/>
              </w:rPr>
            </w:pPr>
            <w:r w:rsidRPr="00C87349">
              <w:rPr>
                <w:color w:val="17365D"/>
                <w:sz w:val="18"/>
                <w:szCs w:val="18"/>
              </w:rPr>
              <w:t>569 911 412</w:t>
            </w:r>
          </w:p>
        </w:tc>
        <w:tc>
          <w:tcPr>
            <w:tcW w:w="696" w:type="pct"/>
            <w:tcBorders>
              <w:top w:val="single" w:sz="4" w:space="0" w:color="17365D"/>
              <w:left w:val="nil"/>
              <w:bottom w:val="single" w:sz="4" w:space="0" w:color="auto"/>
              <w:right w:val="nil"/>
            </w:tcBorders>
            <w:shd w:val="clear" w:color="auto" w:fill="auto"/>
            <w:noWrap/>
            <w:vAlign w:val="center"/>
          </w:tcPr>
          <w:p w14:paraId="1F0FCAF0" w14:textId="2F5A442E" w:rsidR="00C6222B" w:rsidRPr="00C87349" w:rsidRDefault="00C6222B" w:rsidP="00C6222B">
            <w:pPr>
              <w:spacing w:after="0" w:line="240" w:lineRule="auto"/>
              <w:jc w:val="right"/>
              <w:rPr>
                <w:color w:val="17365D"/>
                <w:sz w:val="18"/>
                <w:szCs w:val="18"/>
              </w:rPr>
            </w:pPr>
            <w:r w:rsidRPr="00C87349">
              <w:rPr>
                <w:color w:val="17365D"/>
                <w:sz w:val="18"/>
                <w:szCs w:val="18"/>
              </w:rPr>
              <w:t>9.65</w:t>
            </w:r>
          </w:p>
        </w:tc>
      </w:tr>
      <w:tr w:rsidR="00C6222B" w:rsidRPr="00A27896" w14:paraId="68679552" w14:textId="77777777" w:rsidTr="00C87349">
        <w:trPr>
          <w:trHeight w:val="54"/>
        </w:trPr>
        <w:tc>
          <w:tcPr>
            <w:tcW w:w="1515" w:type="pct"/>
            <w:tcBorders>
              <w:top w:val="single" w:sz="4" w:space="0" w:color="17365D"/>
              <w:bottom w:val="single" w:sz="4" w:space="0" w:color="17365D"/>
            </w:tcBorders>
            <w:shd w:val="clear" w:color="auto" w:fill="auto"/>
            <w:vAlign w:val="center"/>
            <w:hideMark/>
          </w:tcPr>
          <w:p w14:paraId="77B9FA5D" w14:textId="77777777" w:rsidR="00C6222B" w:rsidRPr="00A27896" w:rsidRDefault="00C6222B" w:rsidP="00C6222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Pārskata gada budžeta izpildes rezultāts</w:t>
            </w:r>
          </w:p>
        </w:tc>
        <w:tc>
          <w:tcPr>
            <w:tcW w:w="531" w:type="pct"/>
            <w:tcBorders>
              <w:top w:val="single" w:sz="4" w:space="0" w:color="auto"/>
              <w:left w:val="nil"/>
              <w:bottom w:val="single" w:sz="4" w:space="0" w:color="auto"/>
              <w:right w:val="nil"/>
            </w:tcBorders>
            <w:shd w:val="clear" w:color="auto" w:fill="auto"/>
            <w:noWrap/>
            <w:vAlign w:val="center"/>
            <w:hideMark/>
          </w:tcPr>
          <w:p w14:paraId="34C6C74F" w14:textId="11CCC08B" w:rsidR="00C6222B" w:rsidRPr="00A27896" w:rsidRDefault="00C6222B" w:rsidP="00C6222B">
            <w:pPr>
              <w:spacing w:after="0" w:line="240" w:lineRule="auto"/>
              <w:ind w:right="-63"/>
              <w:jc w:val="center"/>
              <w:rPr>
                <w:rFonts w:eastAsia="Times New Roman" w:cs="Times New Roman"/>
                <w:color w:val="17365D"/>
                <w:sz w:val="18"/>
                <w:szCs w:val="18"/>
                <w:lang w:eastAsia="lv-LV"/>
              </w:rPr>
            </w:pPr>
            <w:r>
              <w:rPr>
                <w:color w:val="17365D"/>
                <w:sz w:val="18"/>
                <w:szCs w:val="18"/>
              </w:rPr>
              <w:t>KB.3.5.1.</w:t>
            </w:r>
          </w:p>
        </w:tc>
        <w:tc>
          <w:tcPr>
            <w:tcW w:w="724" w:type="pct"/>
            <w:tcBorders>
              <w:top w:val="single" w:sz="4" w:space="0" w:color="auto"/>
              <w:left w:val="nil"/>
              <w:bottom w:val="single" w:sz="4" w:space="0" w:color="auto"/>
              <w:right w:val="nil"/>
            </w:tcBorders>
            <w:shd w:val="clear" w:color="auto" w:fill="auto"/>
            <w:noWrap/>
            <w:vAlign w:val="center"/>
          </w:tcPr>
          <w:p w14:paraId="48D8EF8D" w14:textId="34F65A33" w:rsidR="00C6222B" w:rsidRPr="00C6222B" w:rsidRDefault="00C6222B" w:rsidP="00C6222B">
            <w:pPr>
              <w:spacing w:after="0" w:line="240" w:lineRule="auto"/>
              <w:jc w:val="right"/>
              <w:rPr>
                <w:color w:val="17365D"/>
                <w:sz w:val="18"/>
                <w:szCs w:val="18"/>
              </w:rPr>
            </w:pPr>
            <w:r w:rsidRPr="00C87349">
              <w:rPr>
                <w:color w:val="17365D"/>
                <w:sz w:val="18"/>
                <w:szCs w:val="18"/>
              </w:rPr>
              <w:t>68 142 642</w:t>
            </w:r>
          </w:p>
        </w:tc>
        <w:tc>
          <w:tcPr>
            <w:tcW w:w="767" w:type="pct"/>
            <w:gridSpan w:val="2"/>
            <w:tcBorders>
              <w:top w:val="single" w:sz="4" w:space="0" w:color="auto"/>
              <w:left w:val="nil"/>
              <w:bottom w:val="single" w:sz="4" w:space="0" w:color="auto"/>
              <w:right w:val="nil"/>
            </w:tcBorders>
            <w:shd w:val="clear" w:color="auto" w:fill="auto"/>
            <w:noWrap/>
            <w:vAlign w:val="center"/>
          </w:tcPr>
          <w:p w14:paraId="456AC37F" w14:textId="69EF26EC" w:rsidR="00C6222B" w:rsidRPr="00C6222B" w:rsidRDefault="00C6222B" w:rsidP="00C6222B">
            <w:pPr>
              <w:spacing w:after="0" w:line="240" w:lineRule="auto"/>
              <w:jc w:val="right"/>
              <w:rPr>
                <w:color w:val="17365D"/>
                <w:sz w:val="18"/>
                <w:szCs w:val="18"/>
              </w:rPr>
            </w:pPr>
            <w:r w:rsidRPr="00C87349">
              <w:rPr>
                <w:color w:val="17365D"/>
                <w:sz w:val="18"/>
                <w:szCs w:val="18"/>
              </w:rPr>
              <w:t>569 911 412</w:t>
            </w:r>
          </w:p>
        </w:tc>
        <w:tc>
          <w:tcPr>
            <w:tcW w:w="767" w:type="pct"/>
            <w:tcBorders>
              <w:top w:val="single" w:sz="4" w:space="0" w:color="auto"/>
              <w:left w:val="nil"/>
              <w:bottom w:val="single" w:sz="4" w:space="0" w:color="auto"/>
              <w:right w:val="nil"/>
            </w:tcBorders>
            <w:shd w:val="clear" w:color="auto" w:fill="auto"/>
            <w:noWrap/>
            <w:vAlign w:val="center"/>
          </w:tcPr>
          <w:p w14:paraId="2BDABFB9" w14:textId="16B5281E" w:rsidR="00C6222B" w:rsidRPr="00C6222B" w:rsidRDefault="00C6222B" w:rsidP="00C6222B">
            <w:pPr>
              <w:spacing w:after="0" w:line="240" w:lineRule="auto"/>
              <w:jc w:val="right"/>
              <w:rPr>
                <w:color w:val="17365D"/>
                <w:sz w:val="18"/>
                <w:szCs w:val="18"/>
              </w:rPr>
            </w:pPr>
            <w:r w:rsidRPr="00C87349">
              <w:rPr>
                <w:color w:val="17365D"/>
                <w:sz w:val="18"/>
                <w:szCs w:val="18"/>
              </w:rPr>
              <w:t>-501 768 770</w:t>
            </w:r>
          </w:p>
        </w:tc>
        <w:tc>
          <w:tcPr>
            <w:tcW w:w="696" w:type="pct"/>
            <w:tcBorders>
              <w:top w:val="single" w:sz="4" w:space="0" w:color="auto"/>
              <w:left w:val="nil"/>
              <w:bottom w:val="single" w:sz="4" w:space="0" w:color="17365D"/>
              <w:right w:val="nil"/>
            </w:tcBorders>
            <w:shd w:val="clear" w:color="auto" w:fill="auto"/>
            <w:noWrap/>
            <w:vAlign w:val="center"/>
          </w:tcPr>
          <w:p w14:paraId="01F9D4DB" w14:textId="3ED0CE75" w:rsidR="00C6222B" w:rsidRPr="00C6222B" w:rsidRDefault="00C6222B" w:rsidP="00C6222B">
            <w:pPr>
              <w:spacing w:after="0" w:line="240" w:lineRule="auto"/>
              <w:jc w:val="right"/>
              <w:rPr>
                <w:color w:val="17365D"/>
                <w:sz w:val="18"/>
                <w:szCs w:val="18"/>
              </w:rPr>
            </w:pPr>
            <w:r w:rsidRPr="00C87349">
              <w:rPr>
                <w:color w:val="17365D"/>
                <w:sz w:val="18"/>
                <w:szCs w:val="18"/>
              </w:rPr>
              <w:t>-88.04</w:t>
            </w:r>
          </w:p>
        </w:tc>
      </w:tr>
      <w:tr w:rsidR="000C1009" w:rsidRPr="00A27896" w14:paraId="3BE54373" w14:textId="77777777" w:rsidTr="00F06FED">
        <w:trPr>
          <w:trHeight w:val="176"/>
        </w:trPr>
        <w:tc>
          <w:tcPr>
            <w:tcW w:w="1515" w:type="pct"/>
            <w:tcBorders>
              <w:top w:val="single" w:sz="4" w:space="0" w:color="17365D"/>
            </w:tcBorders>
            <w:shd w:val="clear" w:color="auto" w:fill="B9CDE5"/>
            <w:vAlign w:val="bottom"/>
          </w:tcPr>
          <w:p w14:paraId="68D85ABB" w14:textId="77777777" w:rsidR="007269C2" w:rsidRPr="00A27896" w:rsidRDefault="007269C2" w:rsidP="001A3C50">
            <w:pPr>
              <w:spacing w:after="0"/>
              <w:rPr>
                <w:rFonts w:eastAsia="Times New Roman" w:cs="Times New Roman"/>
                <w:color w:val="17365D"/>
                <w:sz w:val="18"/>
                <w:szCs w:val="18"/>
                <w:lang w:eastAsia="lv-LV"/>
              </w:rPr>
            </w:pPr>
          </w:p>
        </w:tc>
        <w:tc>
          <w:tcPr>
            <w:tcW w:w="1255" w:type="pct"/>
            <w:gridSpan w:val="2"/>
            <w:tcBorders>
              <w:top w:val="single" w:sz="4" w:space="0" w:color="auto"/>
            </w:tcBorders>
            <w:shd w:val="clear" w:color="auto" w:fill="B9CDE5"/>
            <w:noWrap/>
            <w:vAlign w:val="bottom"/>
          </w:tcPr>
          <w:p w14:paraId="4202CA54" w14:textId="77777777" w:rsidR="007269C2" w:rsidRPr="00A27896" w:rsidRDefault="007269C2" w:rsidP="001A3C50">
            <w:pPr>
              <w:spacing w:after="0"/>
              <w:jc w:val="right"/>
              <w:rPr>
                <w:rFonts w:cs="Times New Roman"/>
                <w:color w:val="17365D"/>
                <w:sz w:val="18"/>
                <w:szCs w:val="18"/>
              </w:rPr>
            </w:pPr>
          </w:p>
        </w:tc>
        <w:tc>
          <w:tcPr>
            <w:tcW w:w="494" w:type="pct"/>
            <w:tcBorders>
              <w:top w:val="single" w:sz="4" w:space="0" w:color="auto"/>
            </w:tcBorders>
            <w:shd w:val="clear" w:color="auto" w:fill="B9CDE5"/>
            <w:noWrap/>
            <w:vAlign w:val="bottom"/>
          </w:tcPr>
          <w:p w14:paraId="0018C300" w14:textId="77777777" w:rsidR="007269C2" w:rsidRPr="00A27896" w:rsidRDefault="007269C2" w:rsidP="001A3C50">
            <w:pPr>
              <w:spacing w:after="0"/>
              <w:jc w:val="right"/>
              <w:rPr>
                <w:rFonts w:cs="Times New Roman"/>
                <w:color w:val="17365D"/>
                <w:sz w:val="18"/>
                <w:szCs w:val="18"/>
              </w:rPr>
            </w:pPr>
          </w:p>
        </w:tc>
        <w:tc>
          <w:tcPr>
            <w:tcW w:w="1040" w:type="pct"/>
            <w:gridSpan w:val="2"/>
            <w:tcBorders>
              <w:top w:val="single" w:sz="4" w:space="0" w:color="auto"/>
            </w:tcBorders>
            <w:shd w:val="clear" w:color="auto" w:fill="B9CDE5"/>
            <w:noWrap/>
            <w:vAlign w:val="bottom"/>
          </w:tcPr>
          <w:p w14:paraId="50FD793E" w14:textId="77777777" w:rsidR="007269C2" w:rsidRPr="00A27896" w:rsidRDefault="007269C2" w:rsidP="001A3C50">
            <w:pPr>
              <w:spacing w:after="0"/>
              <w:jc w:val="right"/>
              <w:rPr>
                <w:rFonts w:cs="Times New Roman"/>
                <w:color w:val="17365D"/>
                <w:sz w:val="18"/>
                <w:szCs w:val="18"/>
              </w:rPr>
            </w:pPr>
          </w:p>
        </w:tc>
        <w:tc>
          <w:tcPr>
            <w:tcW w:w="696" w:type="pct"/>
            <w:tcBorders>
              <w:top w:val="single" w:sz="4" w:space="0" w:color="17365D"/>
            </w:tcBorders>
            <w:shd w:val="clear" w:color="auto" w:fill="B9CDE5"/>
            <w:noWrap/>
            <w:vAlign w:val="bottom"/>
          </w:tcPr>
          <w:p w14:paraId="272119BE" w14:textId="77777777" w:rsidR="007269C2" w:rsidRPr="00A27896" w:rsidRDefault="007269C2" w:rsidP="001A3C50">
            <w:pPr>
              <w:spacing w:after="0"/>
              <w:jc w:val="right"/>
              <w:rPr>
                <w:rFonts w:cs="Times New Roman"/>
                <w:color w:val="17365D"/>
                <w:sz w:val="18"/>
                <w:szCs w:val="18"/>
              </w:rPr>
            </w:pPr>
          </w:p>
        </w:tc>
      </w:tr>
    </w:tbl>
    <w:p w14:paraId="0E546666" w14:textId="0F89F509" w:rsidR="004F4916" w:rsidRPr="00A27896" w:rsidRDefault="00BB2FAA" w:rsidP="004F4916">
      <w:pPr>
        <w:pStyle w:val="Heading5"/>
        <w:rPr>
          <w:rFonts w:cs="Times New Roman"/>
        </w:rPr>
      </w:pPr>
      <w:r w:rsidRPr="00A27896">
        <w:rPr>
          <w:rFonts w:cs="Times New Roman"/>
        </w:rPr>
        <w:t>Piezīme Nr. KB.</w:t>
      </w:r>
      <w:r w:rsidR="005F1199" w:rsidRPr="00A27896">
        <w:rPr>
          <w:rFonts w:cs="Times New Roman"/>
        </w:rPr>
        <w:t>3</w:t>
      </w:r>
      <w:r w:rsidRPr="00A27896">
        <w:rPr>
          <w:rFonts w:cs="Times New Roman"/>
        </w:rPr>
        <w:t>.</w:t>
      </w:r>
      <w:r w:rsidR="00F73CE6" w:rsidRPr="00A27896">
        <w:rPr>
          <w:rFonts w:cs="Times New Roman"/>
        </w:rPr>
        <w:t>5.</w:t>
      </w:r>
      <w:r w:rsidR="00BC6926">
        <w:rPr>
          <w:rFonts w:cs="Times New Roman"/>
        </w:rPr>
        <w:t>1</w:t>
      </w:r>
      <w:r w:rsidRPr="00A27896">
        <w:rPr>
          <w:rFonts w:cs="Times New Roman"/>
        </w:rPr>
        <w:t xml:space="preserve">. </w:t>
      </w:r>
      <w:r w:rsidR="004F4916" w:rsidRPr="00A27896">
        <w:rPr>
          <w:rFonts w:cs="Times New Roman"/>
        </w:rPr>
        <w:t>Pārskata gada budžeta izpildes rezultāts</w:t>
      </w:r>
    </w:p>
    <w:p w14:paraId="3A500D0E" w14:textId="4ACB6FC9" w:rsidR="005D171A" w:rsidRDefault="00A32977" w:rsidP="00AD345F">
      <w:pPr>
        <w:spacing w:after="120" w:line="240" w:lineRule="auto"/>
        <w:ind w:firstLine="284"/>
        <w:jc w:val="both"/>
        <w:rPr>
          <w:rFonts w:cs="Times New Roman"/>
          <w:color w:val="17365D"/>
        </w:rPr>
      </w:pPr>
      <w:r w:rsidRPr="00A27896">
        <w:rPr>
          <w:rFonts w:cs="Times New Roman"/>
          <w:color w:val="17365D"/>
        </w:rPr>
        <w:t xml:space="preserve">Pārskata gada </w:t>
      </w:r>
      <w:r w:rsidRPr="00FB319D">
        <w:rPr>
          <w:rFonts w:cs="Times New Roman"/>
          <w:color w:val="17365D"/>
        </w:rPr>
        <w:t xml:space="preserve">budžeta izpildes rezultāta </w:t>
      </w:r>
      <w:r w:rsidR="005D171A">
        <w:rPr>
          <w:rFonts w:cs="Times New Roman"/>
          <w:color w:val="17365D"/>
        </w:rPr>
        <w:t xml:space="preserve">lielākās </w:t>
      </w:r>
      <w:r w:rsidRPr="00FB319D">
        <w:rPr>
          <w:rFonts w:cs="Times New Roman"/>
          <w:color w:val="17365D"/>
        </w:rPr>
        <w:t xml:space="preserve">izmaiņas </w:t>
      </w:r>
      <w:r w:rsidR="005D171A">
        <w:rPr>
          <w:rFonts w:cs="Times New Roman"/>
          <w:color w:val="17365D"/>
        </w:rPr>
        <w:t>bijušas:</w:t>
      </w:r>
    </w:p>
    <w:p w14:paraId="7F4AC330" w14:textId="19F574C8" w:rsidR="005D171A" w:rsidRPr="005D171A" w:rsidRDefault="00B57117" w:rsidP="00146A16">
      <w:pPr>
        <w:pStyle w:val="ListParagraph"/>
        <w:numPr>
          <w:ilvl w:val="0"/>
          <w:numId w:val="38"/>
        </w:numPr>
        <w:spacing w:after="120" w:line="240" w:lineRule="auto"/>
        <w:ind w:left="1003" w:hanging="357"/>
        <w:contextualSpacing w:val="0"/>
        <w:jc w:val="both"/>
        <w:rPr>
          <w:rFonts w:cs="Times New Roman"/>
          <w:color w:val="17365D"/>
        </w:rPr>
      </w:pPr>
      <w:r w:rsidRPr="005D171A">
        <w:rPr>
          <w:rFonts w:cs="Times New Roman"/>
          <w:color w:val="17365D"/>
        </w:rPr>
        <w:t xml:space="preserve">Aizsardzības ministrijai </w:t>
      </w:r>
      <w:r w:rsidR="005D171A" w:rsidRPr="005D171A">
        <w:rPr>
          <w:rFonts w:cs="Times New Roman"/>
          <w:color w:val="17365D"/>
        </w:rPr>
        <w:t xml:space="preserve">samazinājums par (562 028 290) </w:t>
      </w:r>
      <w:r w:rsidR="005D171A" w:rsidRPr="005D171A">
        <w:rPr>
          <w:rFonts w:cs="Times New Roman"/>
          <w:i/>
          <w:color w:val="17365D"/>
        </w:rPr>
        <w:t>euro</w:t>
      </w:r>
      <w:r w:rsidR="005D171A" w:rsidRPr="005D171A">
        <w:rPr>
          <w:rFonts w:cs="Times New Roman"/>
          <w:color w:val="17365D"/>
        </w:rPr>
        <w:t xml:space="preserve"> </w:t>
      </w:r>
      <w:r w:rsidRPr="005D171A">
        <w:rPr>
          <w:rFonts w:cs="Times New Roman"/>
          <w:color w:val="17365D"/>
        </w:rPr>
        <w:t>no uzkrājumu samazināšanas izdienas pensijām, pabalstiem un nākotnes saistībām</w:t>
      </w:r>
      <w:r w:rsidR="005D171A" w:rsidRPr="005D171A">
        <w:rPr>
          <w:rFonts w:cs="Times New Roman"/>
          <w:color w:val="17365D"/>
        </w:rPr>
        <w:t>;</w:t>
      </w:r>
    </w:p>
    <w:p w14:paraId="59FFC5B9" w14:textId="08DF1E78" w:rsidR="005D171A" w:rsidRPr="005D171A" w:rsidRDefault="003D13B0" w:rsidP="00146A16">
      <w:pPr>
        <w:pStyle w:val="ListParagraph"/>
        <w:numPr>
          <w:ilvl w:val="0"/>
          <w:numId w:val="38"/>
        </w:numPr>
        <w:spacing w:after="120" w:line="240" w:lineRule="auto"/>
        <w:ind w:left="1003" w:hanging="357"/>
        <w:contextualSpacing w:val="0"/>
        <w:jc w:val="both"/>
        <w:rPr>
          <w:rFonts w:cs="Times New Roman"/>
          <w:color w:val="17365D"/>
        </w:rPr>
      </w:pPr>
      <w:r w:rsidRPr="005D171A">
        <w:rPr>
          <w:rFonts w:cs="Times New Roman"/>
          <w:color w:val="17365D"/>
        </w:rPr>
        <w:t>Iekšlietu ministrijai</w:t>
      </w:r>
      <w:r w:rsidR="005D171A" w:rsidRPr="005D171A">
        <w:rPr>
          <w:rFonts w:cs="Times New Roman"/>
          <w:color w:val="17365D"/>
        </w:rPr>
        <w:t xml:space="preserve"> samazinājums </w:t>
      </w:r>
      <w:r w:rsidR="00BC6926" w:rsidRPr="005D171A">
        <w:rPr>
          <w:rFonts w:cs="Times New Roman"/>
          <w:color w:val="17365D"/>
        </w:rPr>
        <w:t xml:space="preserve">(220 347 227) </w:t>
      </w:r>
      <w:r w:rsidRPr="005D171A">
        <w:rPr>
          <w:rFonts w:cs="Times New Roman"/>
          <w:i/>
          <w:color w:val="17365D"/>
        </w:rPr>
        <w:t>euro</w:t>
      </w:r>
      <w:r w:rsidR="00B57117" w:rsidRPr="005D171A">
        <w:rPr>
          <w:rFonts w:cs="Times New Roman"/>
          <w:i/>
          <w:color w:val="17365D"/>
        </w:rPr>
        <w:t xml:space="preserve"> </w:t>
      </w:r>
      <w:r w:rsidR="005D171A" w:rsidRPr="005D171A">
        <w:rPr>
          <w:rFonts w:cs="Times New Roman"/>
          <w:color w:val="17365D"/>
        </w:rPr>
        <w:t xml:space="preserve">vērtībā, </w:t>
      </w:r>
      <w:r w:rsidR="00FB319D" w:rsidRPr="005D171A">
        <w:rPr>
          <w:rFonts w:cs="Times New Roman"/>
          <w:color w:val="17365D"/>
        </w:rPr>
        <w:t>samazinoties</w:t>
      </w:r>
      <w:r w:rsidR="00B57117" w:rsidRPr="005D171A">
        <w:rPr>
          <w:rFonts w:cs="Times New Roman"/>
          <w:color w:val="17365D"/>
        </w:rPr>
        <w:t xml:space="preserve"> ieņēmumiem no uzkrājum</w:t>
      </w:r>
      <w:r w:rsidR="00FB319D" w:rsidRPr="005D171A">
        <w:rPr>
          <w:rFonts w:cs="Times New Roman"/>
          <w:color w:val="17365D"/>
        </w:rPr>
        <w:t>u</w:t>
      </w:r>
      <w:r w:rsidR="00B57117" w:rsidRPr="005D171A">
        <w:rPr>
          <w:rFonts w:cs="Times New Roman"/>
          <w:color w:val="17365D"/>
        </w:rPr>
        <w:t xml:space="preserve"> </w:t>
      </w:r>
      <w:r w:rsidR="00FB319D" w:rsidRPr="005D171A">
        <w:rPr>
          <w:rFonts w:cs="Times New Roman"/>
          <w:color w:val="17365D"/>
        </w:rPr>
        <w:t xml:space="preserve">izmaiņām </w:t>
      </w:r>
      <w:r w:rsidR="00B57117" w:rsidRPr="005D171A">
        <w:rPr>
          <w:rFonts w:cs="Times New Roman"/>
          <w:color w:val="17365D"/>
        </w:rPr>
        <w:t>izdienas pensijām, izdienas pabalstiem un bijušajiem nodarbinātajiem par kaitējuma atlīdzību</w:t>
      </w:r>
      <w:r w:rsidR="005D171A">
        <w:rPr>
          <w:rFonts w:cs="Times New Roman"/>
          <w:color w:val="17365D"/>
        </w:rPr>
        <w:t>;</w:t>
      </w:r>
    </w:p>
    <w:p w14:paraId="24CF1F0C" w14:textId="42DEB178" w:rsidR="005D171A" w:rsidRDefault="00FB319D" w:rsidP="00146A16">
      <w:pPr>
        <w:pStyle w:val="ListParagraph"/>
        <w:numPr>
          <w:ilvl w:val="0"/>
          <w:numId w:val="38"/>
        </w:numPr>
        <w:spacing w:after="120" w:line="240" w:lineRule="auto"/>
        <w:ind w:left="1003" w:hanging="357"/>
        <w:contextualSpacing w:val="0"/>
        <w:jc w:val="both"/>
        <w:rPr>
          <w:rFonts w:cs="Times New Roman"/>
          <w:color w:val="17365D"/>
        </w:rPr>
      </w:pPr>
      <w:r w:rsidRPr="005D171A">
        <w:rPr>
          <w:rFonts w:cs="Times New Roman"/>
          <w:color w:val="17365D"/>
        </w:rPr>
        <w:t>Satiksmes ministrijai palielināj</w:t>
      </w:r>
      <w:r w:rsidR="005D171A">
        <w:rPr>
          <w:rFonts w:cs="Times New Roman"/>
          <w:color w:val="17365D"/>
        </w:rPr>
        <w:t>ums</w:t>
      </w:r>
      <w:r w:rsidRPr="005D171A">
        <w:rPr>
          <w:rFonts w:cs="Times New Roman"/>
          <w:color w:val="17365D"/>
        </w:rPr>
        <w:t xml:space="preserve"> par </w:t>
      </w:r>
      <w:r w:rsidR="002A298A" w:rsidRPr="005D171A">
        <w:rPr>
          <w:rFonts w:cs="Times New Roman"/>
          <w:color w:val="17365D"/>
        </w:rPr>
        <w:t xml:space="preserve">373 649 015 </w:t>
      </w:r>
      <w:r w:rsidRPr="005D171A">
        <w:rPr>
          <w:rFonts w:cs="Times New Roman"/>
          <w:i/>
          <w:color w:val="17365D"/>
        </w:rPr>
        <w:t>euro</w:t>
      </w:r>
      <w:r w:rsidRPr="005D171A">
        <w:rPr>
          <w:rFonts w:cs="Times New Roman"/>
          <w:color w:val="17365D"/>
        </w:rPr>
        <w:t xml:space="preserve">, samazinoties </w:t>
      </w:r>
      <w:r w:rsidR="00007646" w:rsidRPr="005D171A">
        <w:rPr>
          <w:rFonts w:cs="Times New Roman"/>
          <w:color w:val="17365D"/>
        </w:rPr>
        <w:t>izdevum</w:t>
      </w:r>
      <w:r w:rsidRPr="005D171A">
        <w:rPr>
          <w:rFonts w:cs="Times New Roman"/>
          <w:color w:val="17365D"/>
        </w:rPr>
        <w:t>iem</w:t>
      </w:r>
      <w:r w:rsidR="00B57117" w:rsidRPr="005D171A">
        <w:rPr>
          <w:rFonts w:cs="Times New Roman"/>
          <w:color w:val="17365D"/>
        </w:rPr>
        <w:t xml:space="preserve"> par ilgtermiņa finanšu ieguldījumu pārvērtēšanu un vērtības samazinājumu, kā arī</w:t>
      </w:r>
      <w:r w:rsidR="005D171A">
        <w:rPr>
          <w:rFonts w:cs="Times New Roman"/>
          <w:color w:val="17365D"/>
        </w:rPr>
        <w:t xml:space="preserve"> RailBaltica projekta īstenošanu;</w:t>
      </w:r>
    </w:p>
    <w:p w14:paraId="317E9F28" w14:textId="23DA5ACD" w:rsidR="0016204A" w:rsidRPr="005D171A" w:rsidRDefault="00AF1058" w:rsidP="00146A16">
      <w:pPr>
        <w:pStyle w:val="ListParagraph"/>
        <w:numPr>
          <w:ilvl w:val="0"/>
          <w:numId w:val="38"/>
        </w:numPr>
        <w:spacing w:after="120" w:line="240" w:lineRule="auto"/>
        <w:ind w:left="1003" w:hanging="357"/>
        <w:contextualSpacing w:val="0"/>
        <w:jc w:val="both"/>
        <w:rPr>
          <w:rFonts w:cs="Times New Roman"/>
          <w:color w:val="17365D"/>
        </w:rPr>
      </w:pPr>
      <w:r w:rsidRPr="005D171A">
        <w:rPr>
          <w:rFonts w:cs="Times New Roman"/>
          <w:color w:val="17365D"/>
        </w:rPr>
        <w:t xml:space="preserve">Finanšu ministrijai </w:t>
      </w:r>
      <w:r w:rsidR="00CE32C0" w:rsidRPr="005D171A">
        <w:rPr>
          <w:rFonts w:cs="Times New Roman"/>
          <w:color w:val="17365D"/>
        </w:rPr>
        <w:t xml:space="preserve">bijis </w:t>
      </w:r>
      <w:r w:rsidRPr="005D171A">
        <w:rPr>
          <w:rFonts w:cs="Times New Roman"/>
          <w:color w:val="17365D"/>
        </w:rPr>
        <w:t xml:space="preserve">ieņēmumu palielinājums </w:t>
      </w:r>
      <w:r w:rsidR="00CE32C0" w:rsidRPr="005D171A">
        <w:rPr>
          <w:rFonts w:cs="Times New Roman"/>
          <w:color w:val="17365D"/>
        </w:rPr>
        <w:t xml:space="preserve">par </w:t>
      </w:r>
      <w:r w:rsidRPr="005D171A">
        <w:rPr>
          <w:rFonts w:cs="Times New Roman"/>
          <w:color w:val="17365D"/>
        </w:rPr>
        <w:t xml:space="preserve">186 409 295 </w:t>
      </w:r>
      <w:r w:rsidRPr="005D171A">
        <w:rPr>
          <w:rFonts w:cs="Times New Roman"/>
          <w:i/>
          <w:color w:val="17365D"/>
        </w:rPr>
        <w:t>euro</w:t>
      </w:r>
      <w:r w:rsidR="00CE32C0" w:rsidRPr="005D171A">
        <w:rPr>
          <w:rFonts w:cs="Times New Roman"/>
          <w:color w:val="17365D"/>
        </w:rPr>
        <w:t xml:space="preserve"> no ilgtermiņa finanšu ieguldījumu</w:t>
      </w:r>
      <w:r w:rsidR="00FB319D" w:rsidRPr="005D171A">
        <w:rPr>
          <w:rFonts w:cs="Times New Roman"/>
          <w:color w:val="17365D"/>
        </w:rPr>
        <w:t xml:space="preserve"> </w:t>
      </w:r>
      <w:r w:rsidR="00CE32C0" w:rsidRPr="005D171A">
        <w:rPr>
          <w:rFonts w:cs="Times New Roman"/>
          <w:color w:val="17365D"/>
        </w:rPr>
        <w:t>pārvērtēšanas</w:t>
      </w:r>
      <w:r w:rsidR="005D171A">
        <w:rPr>
          <w:rFonts w:cs="Times New Roman"/>
          <w:color w:val="17365D"/>
        </w:rPr>
        <w:t>;</w:t>
      </w:r>
    </w:p>
    <w:p w14:paraId="55769D69" w14:textId="6B8D23E3" w:rsidR="00B57117" w:rsidRPr="005D171A" w:rsidRDefault="00B57117" w:rsidP="00146A16">
      <w:pPr>
        <w:pStyle w:val="ListParagraph"/>
        <w:numPr>
          <w:ilvl w:val="0"/>
          <w:numId w:val="38"/>
        </w:numPr>
        <w:spacing w:after="120" w:line="240" w:lineRule="auto"/>
        <w:ind w:left="1003" w:hanging="357"/>
        <w:contextualSpacing w:val="0"/>
        <w:jc w:val="both"/>
        <w:rPr>
          <w:rFonts w:cs="Times New Roman"/>
          <w:color w:val="17365D"/>
        </w:rPr>
      </w:pPr>
      <w:r w:rsidRPr="005D171A">
        <w:rPr>
          <w:rFonts w:cs="Times New Roman"/>
          <w:color w:val="17365D"/>
        </w:rPr>
        <w:t xml:space="preserve">VID administrēto valsts budžeta ieņēmumu uzskaitē lielāko palielinājumu veido ieņēmumu pieaugums par </w:t>
      </w:r>
      <w:r w:rsidR="00AF1058" w:rsidRPr="005D171A">
        <w:rPr>
          <w:rFonts w:cs="Times New Roman"/>
          <w:color w:val="17365D"/>
        </w:rPr>
        <w:t>iedzīvotāju ienākuma</w:t>
      </w:r>
      <w:r w:rsidRPr="005D171A">
        <w:rPr>
          <w:rFonts w:cs="Times New Roman"/>
          <w:color w:val="17365D"/>
        </w:rPr>
        <w:t xml:space="preserve"> nodokli </w:t>
      </w:r>
      <w:r w:rsidR="00C6222B" w:rsidRPr="00C6222B">
        <w:rPr>
          <w:rFonts w:cs="Times New Roman"/>
          <w:color w:val="17365D"/>
        </w:rPr>
        <w:t>227 270</w:t>
      </w:r>
      <w:r w:rsidR="00C6222B">
        <w:rPr>
          <w:rFonts w:cs="Times New Roman"/>
          <w:color w:val="17365D"/>
        </w:rPr>
        <w:t> </w:t>
      </w:r>
      <w:r w:rsidR="00C6222B" w:rsidRPr="00C6222B">
        <w:rPr>
          <w:rFonts w:cs="Times New Roman"/>
          <w:color w:val="17365D"/>
        </w:rPr>
        <w:t>619</w:t>
      </w:r>
      <w:r w:rsidR="00C6222B">
        <w:rPr>
          <w:rFonts w:cs="Times New Roman"/>
          <w:color w:val="17365D"/>
        </w:rPr>
        <w:t xml:space="preserve"> </w:t>
      </w:r>
      <w:r w:rsidRPr="005D171A">
        <w:rPr>
          <w:rFonts w:cs="Times New Roman"/>
          <w:i/>
          <w:color w:val="17365D"/>
        </w:rPr>
        <w:t>euro.</w:t>
      </w:r>
    </w:p>
    <w:p w14:paraId="22570E99" w14:textId="5DF89193" w:rsidR="00AD345F" w:rsidRPr="00A27896" w:rsidRDefault="00AD345F" w:rsidP="00AD345F">
      <w:pPr>
        <w:spacing w:after="120" w:line="240" w:lineRule="auto"/>
        <w:ind w:firstLine="284"/>
        <w:jc w:val="both"/>
        <w:rPr>
          <w:rFonts w:cs="Times New Roman"/>
          <w:color w:val="17365D"/>
        </w:rPr>
      </w:pPr>
      <w:r w:rsidRPr="005D171A">
        <w:rPr>
          <w:rFonts w:cs="Times New Roman"/>
          <w:color w:val="17365D"/>
        </w:rPr>
        <w:t>Detalizēta informācija par bilances posteni “Pārskata gada budže</w:t>
      </w:r>
      <w:r w:rsidR="00EC0844" w:rsidRPr="005D171A">
        <w:rPr>
          <w:rFonts w:cs="Times New Roman"/>
          <w:color w:val="17365D"/>
        </w:rPr>
        <w:t>ta izpildes rezultāts” sniegta</w:t>
      </w:r>
      <w:r w:rsidR="00EC0844" w:rsidRPr="00A27896">
        <w:rPr>
          <w:rFonts w:cs="Times New Roman"/>
          <w:color w:val="17365D"/>
        </w:rPr>
        <w:t xml:space="preserve"> K</w:t>
      </w:r>
      <w:r w:rsidRPr="00A27896">
        <w:rPr>
          <w:rFonts w:cs="Times New Roman"/>
          <w:color w:val="17365D"/>
        </w:rPr>
        <w:t xml:space="preserve">onsolidētajā </w:t>
      </w:r>
      <w:r w:rsidR="00CD31A8" w:rsidRPr="00A27896">
        <w:rPr>
          <w:rFonts w:cs="Times New Roman"/>
          <w:color w:val="17365D"/>
        </w:rPr>
        <w:t>pārskatā par darb</w:t>
      </w:r>
      <w:r w:rsidR="00876FDF" w:rsidRPr="00A27896">
        <w:rPr>
          <w:rFonts w:cs="Times New Roman"/>
          <w:color w:val="17365D"/>
        </w:rPr>
        <w:t>ības finansiālajiem rezultātiem.</w:t>
      </w:r>
    </w:p>
    <w:p w14:paraId="602F27CA" w14:textId="76BC58FB" w:rsidR="0099128A" w:rsidRPr="00A27896" w:rsidRDefault="00F9244C" w:rsidP="004105BE">
      <w:pPr>
        <w:pStyle w:val="Heading4"/>
        <w:spacing w:after="0"/>
        <w:rPr>
          <w:rFonts w:cs="Times New Roman"/>
        </w:rPr>
      </w:pPr>
      <w:r w:rsidRPr="00A27896">
        <w:rPr>
          <w:rFonts w:cs="Times New Roman"/>
        </w:rPr>
        <w:t>Piezīme Nr. KB.</w:t>
      </w:r>
      <w:r w:rsidR="005F1199" w:rsidRPr="00A27896">
        <w:rPr>
          <w:rFonts w:cs="Times New Roman"/>
        </w:rPr>
        <w:t>4</w:t>
      </w:r>
      <w:r w:rsidRPr="00A27896">
        <w:rPr>
          <w:rFonts w:cs="Times New Roman"/>
        </w:rPr>
        <w:t>. Uzkrājumi</w:t>
      </w:r>
    </w:p>
    <w:p w14:paraId="0C166427" w14:textId="4761DED2" w:rsidR="0026661F" w:rsidRPr="004105BE" w:rsidRDefault="00A50625" w:rsidP="004105BE">
      <w:pPr>
        <w:pStyle w:val="Tabulasnosaukums1"/>
        <w:spacing w:before="100"/>
        <w:rPr>
          <w:rFonts w:cs="Times New Roman"/>
          <w:i/>
          <w:color w:val="17365D"/>
        </w:rPr>
      </w:pPr>
      <w:r w:rsidRPr="004105BE">
        <w:rPr>
          <w:rFonts w:cs="Times New Roman"/>
          <w:i/>
          <w:color w:val="17365D"/>
        </w:rPr>
        <w:tab/>
      </w:r>
      <w:r w:rsidR="004105BE" w:rsidRPr="004105BE">
        <w:rPr>
          <w:rFonts w:cs="Times New Roman"/>
          <w:i/>
          <w:color w:val="17365D"/>
        </w:rPr>
        <w:t>1.</w:t>
      </w:r>
      <w:r w:rsidR="00B57117" w:rsidRPr="004105BE">
        <w:rPr>
          <w:rFonts w:cs="Times New Roman"/>
          <w:i/>
          <w:color w:val="17365D"/>
        </w:rPr>
        <w:t>19</w:t>
      </w:r>
      <w:r w:rsidR="0026661F" w:rsidRPr="004105BE">
        <w:rPr>
          <w:rFonts w:cs="Times New Roman"/>
          <w:i/>
          <w:color w:val="17365D"/>
        </w:rPr>
        <w:t xml:space="preserve">. tabula. </w:t>
      </w:r>
      <w:r w:rsidR="0070137D" w:rsidRPr="004105BE">
        <w:rPr>
          <w:rFonts w:cs="Times New Roman"/>
          <w:i/>
          <w:color w:val="17365D"/>
        </w:rPr>
        <w:t>Uzkrājumi</w:t>
      </w:r>
      <w:r w:rsidR="0026661F" w:rsidRPr="004105BE">
        <w:rPr>
          <w:rFonts w:cs="Times New Roman"/>
          <w:i/>
          <w:color w:val="17365D"/>
        </w:rPr>
        <w:t xml:space="preserve"> (euro)</w:t>
      </w:r>
    </w:p>
    <w:tbl>
      <w:tblPr>
        <w:tblW w:w="4962" w:type="pct"/>
        <w:jc w:val="center"/>
        <w:tblLayout w:type="fixed"/>
        <w:tblLook w:val="04A0" w:firstRow="1" w:lastRow="0" w:firstColumn="1" w:lastColumn="0" w:noHBand="0" w:noVBand="1"/>
      </w:tblPr>
      <w:tblGrid>
        <w:gridCol w:w="1843"/>
        <w:gridCol w:w="1134"/>
        <w:gridCol w:w="1560"/>
        <w:gridCol w:w="1703"/>
        <w:gridCol w:w="1417"/>
        <w:gridCol w:w="1626"/>
      </w:tblGrid>
      <w:tr w:rsidR="000C1009" w:rsidRPr="00A27896" w14:paraId="695B9279" w14:textId="77777777" w:rsidTr="00AF1058">
        <w:trPr>
          <w:trHeight w:val="684"/>
          <w:tblHeader/>
          <w:jc w:val="center"/>
        </w:trPr>
        <w:tc>
          <w:tcPr>
            <w:tcW w:w="993" w:type="pct"/>
            <w:tcBorders>
              <w:bottom w:val="single" w:sz="4" w:space="0" w:color="17365D"/>
            </w:tcBorders>
            <w:shd w:val="clear" w:color="auto" w:fill="B9CDE5"/>
            <w:vAlign w:val="center"/>
            <w:hideMark/>
          </w:tcPr>
          <w:p w14:paraId="520CD1A2"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611" w:type="pct"/>
            <w:tcBorders>
              <w:bottom w:val="single" w:sz="4" w:space="0" w:color="17365D"/>
            </w:tcBorders>
            <w:shd w:val="clear" w:color="auto" w:fill="B9CDE5"/>
            <w:vAlign w:val="center"/>
            <w:hideMark/>
          </w:tcPr>
          <w:p w14:paraId="50D306CC"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r w:rsidRPr="00A27896">
              <w:rPr>
                <w:rFonts w:eastAsia="Times New Roman" w:cs="Times New Roman"/>
                <w:b/>
                <w:color w:val="17365D"/>
                <w:sz w:val="18"/>
                <w:szCs w:val="18"/>
                <w:lang w:eastAsia="lv-LV"/>
              </w:rPr>
              <w:br/>
              <w:t>Nr.</w:t>
            </w:r>
          </w:p>
        </w:tc>
        <w:tc>
          <w:tcPr>
            <w:tcW w:w="840" w:type="pct"/>
            <w:tcBorders>
              <w:bottom w:val="single" w:sz="4" w:space="0" w:color="17365D"/>
            </w:tcBorders>
            <w:shd w:val="clear" w:color="auto" w:fill="B9CDE5"/>
            <w:vAlign w:val="center"/>
            <w:hideMark/>
          </w:tcPr>
          <w:p w14:paraId="4AB89CDF"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917" w:type="pct"/>
            <w:tcBorders>
              <w:bottom w:val="single" w:sz="4" w:space="0" w:color="17365D"/>
            </w:tcBorders>
            <w:shd w:val="clear" w:color="auto" w:fill="B9CDE5"/>
            <w:vAlign w:val="center"/>
            <w:hideMark/>
          </w:tcPr>
          <w:p w14:paraId="2766EBE8"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763" w:type="pct"/>
            <w:tcBorders>
              <w:bottom w:val="single" w:sz="4" w:space="0" w:color="17365D"/>
            </w:tcBorders>
            <w:shd w:val="clear" w:color="auto" w:fill="B9CDE5"/>
            <w:vAlign w:val="center"/>
            <w:hideMark/>
          </w:tcPr>
          <w:p w14:paraId="3274F567" w14:textId="45ABA28B"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r w:rsidRPr="00A27896">
              <w:rPr>
                <w:rFonts w:eastAsia="Times New Roman" w:cs="Times New Roman"/>
                <w:b/>
                <w:color w:val="17365D"/>
                <w:sz w:val="18"/>
                <w:szCs w:val="18"/>
                <w:lang w:eastAsia="lv-LV"/>
              </w:rPr>
              <w:br/>
            </w: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876" w:type="pct"/>
            <w:tcBorders>
              <w:bottom w:val="single" w:sz="4" w:space="0" w:color="17365D"/>
            </w:tcBorders>
            <w:shd w:val="clear" w:color="auto" w:fill="B9CDE5"/>
            <w:vAlign w:val="center"/>
            <w:hideMark/>
          </w:tcPr>
          <w:p w14:paraId="4BF74D41"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78AE0FD8" w14:textId="77777777" w:rsidTr="004105BE">
        <w:trPr>
          <w:trHeight w:val="240"/>
          <w:jc w:val="center"/>
        </w:trPr>
        <w:tc>
          <w:tcPr>
            <w:tcW w:w="993" w:type="pct"/>
            <w:tcBorders>
              <w:top w:val="single" w:sz="4" w:space="0" w:color="17365D"/>
              <w:bottom w:val="single" w:sz="4" w:space="0" w:color="17365D"/>
            </w:tcBorders>
            <w:shd w:val="clear" w:color="auto" w:fill="auto"/>
            <w:vAlign w:val="center"/>
            <w:hideMark/>
          </w:tcPr>
          <w:p w14:paraId="790F2051"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11" w:type="pct"/>
            <w:tcBorders>
              <w:top w:val="single" w:sz="4" w:space="0" w:color="17365D"/>
              <w:bottom w:val="single" w:sz="4" w:space="0" w:color="17365D"/>
            </w:tcBorders>
            <w:shd w:val="clear" w:color="auto" w:fill="auto"/>
            <w:vAlign w:val="center"/>
            <w:hideMark/>
          </w:tcPr>
          <w:p w14:paraId="5457C700"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840" w:type="pct"/>
            <w:tcBorders>
              <w:top w:val="single" w:sz="4" w:space="0" w:color="17365D"/>
              <w:bottom w:val="single" w:sz="4" w:space="0" w:color="17365D"/>
            </w:tcBorders>
            <w:shd w:val="clear" w:color="auto" w:fill="auto"/>
            <w:vAlign w:val="center"/>
            <w:hideMark/>
          </w:tcPr>
          <w:p w14:paraId="467A2357"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917" w:type="pct"/>
            <w:tcBorders>
              <w:top w:val="single" w:sz="4" w:space="0" w:color="17365D"/>
              <w:bottom w:val="single" w:sz="4" w:space="0" w:color="17365D"/>
            </w:tcBorders>
            <w:shd w:val="clear" w:color="auto" w:fill="auto"/>
            <w:vAlign w:val="center"/>
            <w:hideMark/>
          </w:tcPr>
          <w:p w14:paraId="56AAA05D"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763" w:type="pct"/>
            <w:tcBorders>
              <w:top w:val="single" w:sz="4" w:space="0" w:color="17365D"/>
              <w:bottom w:val="single" w:sz="4" w:space="0" w:color="17365D"/>
            </w:tcBorders>
            <w:shd w:val="clear" w:color="auto" w:fill="auto"/>
            <w:vAlign w:val="center"/>
            <w:hideMark/>
          </w:tcPr>
          <w:p w14:paraId="6AD6EEDE"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876" w:type="pct"/>
            <w:tcBorders>
              <w:top w:val="single" w:sz="4" w:space="0" w:color="17365D"/>
              <w:bottom w:val="single" w:sz="4" w:space="0" w:color="17365D"/>
            </w:tcBorders>
            <w:shd w:val="clear" w:color="auto" w:fill="auto"/>
            <w:vAlign w:val="center"/>
            <w:hideMark/>
          </w:tcPr>
          <w:p w14:paraId="5296A7BE" w14:textId="77777777" w:rsidR="0026661F" w:rsidRPr="00A27896" w:rsidRDefault="0026661F" w:rsidP="00E02665">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AF1058" w:rsidRPr="00A27896" w14:paraId="348BD6F8" w14:textId="77777777" w:rsidTr="004105BE">
        <w:trPr>
          <w:trHeight w:val="179"/>
          <w:jc w:val="center"/>
        </w:trPr>
        <w:tc>
          <w:tcPr>
            <w:tcW w:w="993" w:type="pct"/>
            <w:tcBorders>
              <w:top w:val="single" w:sz="4" w:space="0" w:color="17365D"/>
              <w:bottom w:val="single" w:sz="4" w:space="0" w:color="17365D"/>
            </w:tcBorders>
            <w:shd w:val="clear" w:color="auto" w:fill="auto"/>
            <w:vAlign w:val="center"/>
            <w:hideMark/>
          </w:tcPr>
          <w:p w14:paraId="48A2B9EB" w14:textId="3929CF78" w:rsidR="00AF1058" w:rsidRPr="00A27896" w:rsidRDefault="00AF1058" w:rsidP="00AF1058">
            <w:pPr>
              <w:spacing w:after="0"/>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Uzkrājumi</w:t>
            </w:r>
          </w:p>
        </w:tc>
        <w:tc>
          <w:tcPr>
            <w:tcW w:w="611" w:type="pct"/>
            <w:tcBorders>
              <w:top w:val="single" w:sz="4" w:space="0" w:color="17365D"/>
              <w:bottom w:val="single" w:sz="4" w:space="0" w:color="17365D"/>
            </w:tcBorders>
            <w:shd w:val="clear" w:color="auto" w:fill="auto"/>
            <w:vAlign w:val="center"/>
            <w:hideMark/>
          </w:tcPr>
          <w:p w14:paraId="25C34E4E" w14:textId="746A1907" w:rsidR="00AF1058" w:rsidRPr="00A27896" w:rsidRDefault="00AF1058" w:rsidP="00AF1058">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KB.4.</w:t>
            </w:r>
          </w:p>
        </w:tc>
        <w:tc>
          <w:tcPr>
            <w:tcW w:w="840" w:type="pct"/>
            <w:tcBorders>
              <w:top w:val="single" w:sz="4" w:space="0" w:color="17365D"/>
              <w:left w:val="nil"/>
              <w:bottom w:val="single" w:sz="4" w:space="0" w:color="auto"/>
              <w:right w:val="nil"/>
            </w:tcBorders>
            <w:shd w:val="clear" w:color="auto" w:fill="auto"/>
            <w:noWrap/>
            <w:vAlign w:val="center"/>
            <w:hideMark/>
          </w:tcPr>
          <w:p w14:paraId="509FC952" w14:textId="39ABD23A" w:rsidR="00AF1058" w:rsidRPr="00A27896" w:rsidRDefault="00AF1058" w:rsidP="00AF1058">
            <w:pPr>
              <w:spacing w:after="0" w:line="240" w:lineRule="auto"/>
              <w:jc w:val="right"/>
              <w:rPr>
                <w:rFonts w:eastAsia="Times New Roman" w:cs="Times New Roman"/>
                <w:b/>
                <w:color w:val="17365D"/>
                <w:sz w:val="18"/>
                <w:szCs w:val="18"/>
                <w:lang w:eastAsia="lv-LV"/>
              </w:rPr>
            </w:pPr>
            <w:r>
              <w:rPr>
                <w:b/>
                <w:bCs/>
                <w:color w:val="17365D"/>
                <w:sz w:val="18"/>
                <w:szCs w:val="18"/>
              </w:rPr>
              <w:t>2 710 917 921</w:t>
            </w:r>
          </w:p>
        </w:tc>
        <w:tc>
          <w:tcPr>
            <w:tcW w:w="917" w:type="pct"/>
            <w:tcBorders>
              <w:top w:val="single" w:sz="4" w:space="0" w:color="17365D"/>
              <w:left w:val="nil"/>
              <w:bottom w:val="single" w:sz="4" w:space="0" w:color="auto"/>
              <w:right w:val="nil"/>
            </w:tcBorders>
            <w:shd w:val="clear" w:color="auto" w:fill="auto"/>
            <w:noWrap/>
            <w:vAlign w:val="center"/>
            <w:hideMark/>
          </w:tcPr>
          <w:p w14:paraId="1CFB3777" w14:textId="730F3038" w:rsidR="00AF1058" w:rsidRPr="00A27896" w:rsidRDefault="00AF1058" w:rsidP="00AF1058">
            <w:pPr>
              <w:spacing w:after="0" w:line="240" w:lineRule="auto"/>
              <w:jc w:val="right"/>
              <w:rPr>
                <w:rFonts w:eastAsia="Times New Roman" w:cs="Times New Roman"/>
                <w:b/>
                <w:color w:val="17365D"/>
                <w:sz w:val="18"/>
                <w:szCs w:val="18"/>
                <w:lang w:eastAsia="lv-LV"/>
              </w:rPr>
            </w:pPr>
            <w:r>
              <w:rPr>
                <w:b/>
                <w:bCs/>
                <w:color w:val="17365D"/>
                <w:sz w:val="18"/>
                <w:szCs w:val="18"/>
              </w:rPr>
              <w:t>2 802 529 325</w:t>
            </w:r>
          </w:p>
        </w:tc>
        <w:tc>
          <w:tcPr>
            <w:tcW w:w="763" w:type="pct"/>
            <w:tcBorders>
              <w:top w:val="single" w:sz="4" w:space="0" w:color="17365D"/>
              <w:left w:val="nil"/>
              <w:bottom w:val="single" w:sz="4" w:space="0" w:color="auto"/>
              <w:right w:val="nil"/>
            </w:tcBorders>
            <w:shd w:val="clear" w:color="auto" w:fill="auto"/>
            <w:noWrap/>
            <w:vAlign w:val="center"/>
            <w:hideMark/>
          </w:tcPr>
          <w:p w14:paraId="6C8BA08D" w14:textId="7D43E35B" w:rsidR="00AF1058" w:rsidRPr="00A27896" w:rsidRDefault="00AF1058" w:rsidP="00AF1058">
            <w:pPr>
              <w:spacing w:after="0" w:line="240" w:lineRule="auto"/>
              <w:jc w:val="right"/>
              <w:rPr>
                <w:rFonts w:eastAsia="Times New Roman" w:cs="Times New Roman"/>
                <w:b/>
                <w:color w:val="17365D"/>
                <w:sz w:val="18"/>
                <w:szCs w:val="18"/>
                <w:lang w:eastAsia="lv-LV"/>
              </w:rPr>
            </w:pPr>
            <w:r>
              <w:rPr>
                <w:b/>
                <w:bCs/>
                <w:color w:val="17365D"/>
                <w:sz w:val="18"/>
                <w:szCs w:val="18"/>
              </w:rPr>
              <w:t>-91 611 404</w:t>
            </w:r>
          </w:p>
        </w:tc>
        <w:tc>
          <w:tcPr>
            <w:tcW w:w="876" w:type="pct"/>
            <w:tcBorders>
              <w:top w:val="single" w:sz="4" w:space="0" w:color="17365D"/>
              <w:left w:val="nil"/>
              <w:bottom w:val="single" w:sz="4" w:space="0" w:color="auto"/>
              <w:right w:val="nil"/>
            </w:tcBorders>
            <w:shd w:val="clear" w:color="auto" w:fill="auto"/>
            <w:noWrap/>
            <w:vAlign w:val="center"/>
            <w:hideMark/>
          </w:tcPr>
          <w:p w14:paraId="439B36A3" w14:textId="3F80DB27" w:rsidR="00AF1058" w:rsidRPr="00A27896" w:rsidRDefault="00AF1058" w:rsidP="00AF1058">
            <w:pPr>
              <w:spacing w:after="0" w:line="240" w:lineRule="auto"/>
              <w:jc w:val="right"/>
              <w:rPr>
                <w:rFonts w:cs="Times New Roman"/>
                <w:b/>
                <w:color w:val="17365D"/>
                <w:sz w:val="18"/>
                <w:szCs w:val="18"/>
              </w:rPr>
            </w:pPr>
            <w:r>
              <w:rPr>
                <w:b/>
                <w:bCs/>
                <w:color w:val="17365D"/>
                <w:sz w:val="18"/>
                <w:szCs w:val="18"/>
              </w:rPr>
              <w:t>-3.27</w:t>
            </w:r>
          </w:p>
        </w:tc>
      </w:tr>
      <w:tr w:rsidR="000C1009" w:rsidRPr="00A27896" w14:paraId="01372362" w14:textId="77777777" w:rsidTr="004105BE">
        <w:trPr>
          <w:trHeight w:val="56"/>
          <w:jc w:val="center"/>
        </w:trPr>
        <w:tc>
          <w:tcPr>
            <w:tcW w:w="993" w:type="pct"/>
            <w:tcBorders>
              <w:top w:val="single" w:sz="4" w:space="0" w:color="17365D"/>
            </w:tcBorders>
            <w:shd w:val="clear" w:color="auto" w:fill="B9CDE5"/>
            <w:vAlign w:val="center"/>
          </w:tcPr>
          <w:p w14:paraId="73C2B411" w14:textId="77777777" w:rsidR="005F2FCB" w:rsidRPr="00A27896" w:rsidRDefault="005F2FCB" w:rsidP="005F2FCB">
            <w:pPr>
              <w:spacing w:after="0"/>
              <w:rPr>
                <w:rFonts w:eastAsia="Times New Roman" w:cs="Times New Roman"/>
                <w:color w:val="17365D"/>
                <w:sz w:val="18"/>
                <w:szCs w:val="18"/>
                <w:lang w:eastAsia="lv-LV"/>
              </w:rPr>
            </w:pPr>
          </w:p>
        </w:tc>
        <w:tc>
          <w:tcPr>
            <w:tcW w:w="611" w:type="pct"/>
            <w:tcBorders>
              <w:top w:val="single" w:sz="4" w:space="0" w:color="17365D"/>
            </w:tcBorders>
            <w:shd w:val="clear" w:color="auto" w:fill="B9CDE5"/>
            <w:noWrap/>
            <w:vAlign w:val="center"/>
          </w:tcPr>
          <w:p w14:paraId="0F82F76D" w14:textId="77777777" w:rsidR="005F2FCB" w:rsidRPr="00A27896" w:rsidRDefault="005F2FCB" w:rsidP="005F2FCB">
            <w:pPr>
              <w:spacing w:after="0"/>
              <w:jc w:val="center"/>
              <w:rPr>
                <w:rFonts w:eastAsia="Times New Roman" w:cs="Times New Roman"/>
                <w:color w:val="17365D"/>
                <w:sz w:val="18"/>
                <w:szCs w:val="18"/>
                <w:lang w:eastAsia="lv-LV"/>
              </w:rPr>
            </w:pPr>
          </w:p>
        </w:tc>
        <w:tc>
          <w:tcPr>
            <w:tcW w:w="840" w:type="pct"/>
            <w:tcBorders>
              <w:top w:val="single" w:sz="4" w:space="0" w:color="auto"/>
            </w:tcBorders>
            <w:shd w:val="clear" w:color="auto" w:fill="B9CDE5"/>
            <w:noWrap/>
            <w:vAlign w:val="center"/>
          </w:tcPr>
          <w:p w14:paraId="2E5ABED4" w14:textId="77777777" w:rsidR="005F2FCB" w:rsidRPr="00A27896" w:rsidRDefault="005F2FCB" w:rsidP="005F2FCB">
            <w:pPr>
              <w:spacing w:after="0"/>
              <w:jc w:val="right"/>
              <w:rPr>
                <w:rFonts w:eastAsia="Times New Roman" w:cs="Times New Roman"/>
                <w:color w:val="17365D"/>
                <w:sz w:val="18"/>
                <w:szCs w:val="18"/>
                <w:lang w:eastAsia="lv-LV"/>
              </w:rPr>
            </w:pPr>
          </w:p>
        </w:tc>
        <w:tc>
          <w:tcPr>
            <w:tcW w:w="917" w:type="pct"/>
            <w:tcBorders>
              <w:top w:val="single" w:sz="4" w:space="0" w:color="auto"/>
            </w:tcBorders>
            <w:shd w:val="clear" w:color="auto" w:fill="B9CDE5"/>
            <w:noWrap/>
            <w:vAlign w:val="center"/>
          </w:tcPr>
          <w:p w14:paraId="6A57A7A0" w14:textId="77777777" w:rsidR="005F2FCB" w:rsidRPr="00A27896" w:rsidRDefault="005F2FCB" w:rsidP="005F2FCB">
            <w:pPr>
              <w:spacing w:after="0"/>
              <w:jc w:val="right"/>
              <w:rPr>
                <w:rFonts w:eastAsia="Times New Roman" w:cs="Times New Roman"/>
                <w:color w:val="17365D"/>
                <w:sz w:val="18"/>
                <w:szCs w:val="18"/>
                <w:lang w:eastAsia="lv-LV"/>
              </w:rPr>
            </w:pPr>
          </w:p>
        </w:tc>
        <w:tc>
          <w:tcPr>
            <w:tcW w:w="763" w:type="pct"/>
            <w:tcBorders>
              <w:top w:val="single" w:sz="4" w:space="0" w:color="auto"/>
            </w:tcBorders>
            <w:shd w:val="clear" w:color="auto" w:fill="B9CDE5"/>
            <w:noWrap/>
            <w:vAlign w:val="center"/>
          </w:tcPr>
          <w:p w14:paraId="3FC69272" w14:textId="77777777" w:rsidR="005F2FCB" w:rsidRPr="00A27896" w:rsidRDefault="005F2FCB" w:rsidP="005F2FCB">
            <w:pPr>
              <w:spacing w:after="0"/>
              <w:jc w:val="right"/>
              <w:rPr>
                <w:rFonts w:eastAsia="Times New Roman" w:cs="Times New Roman"/>
                <w:color w:val="17365D"/>
                <w:sz w:val="18"/>
                <w:szCs w:val="18"/>
                <w:lang w:eastAsia="lv-LV"/>
              </w:rPr>
            </w:pPr>
          </w:p>
        </w:tc>
        <w:tc>
          <w:tcPr>
            <w:tcW w:w="876" w:type="pct"/>
            <w:tcBorders>
              <w:top w:val="single" w:sz="4" w:space="0" w:color="auto"/>
            </w:tcBorders>
            <w:shd w:val="clear" w:color="auto" w:fill="B9CDE5"/>
            <w:noWrap/>
            <w:vAlign w:val="center"/>
          </w:tcPr>
          <w:p w14:paraId="3FECF9C7" w14:textId="77777777" w:rsidR="005F2FCB" w:rsidRPr="00A27896" w:rsidRDefault="005F2FCB" w:rsidP="005F2FCB">
            <w:pPr>
              <w:spacing w:after="0"/>
              <w:jc w:val="right"/>
              <w:rPr>
                <w:rFonts w:eastAsia="Times New Roman" w:cs="Times New Roman"/>
                <w:color w:val="17365D"/>
                <w:sz w:val="18"/>
                <w:szCs w:val="18"/>
                <w:lang w:eastAsia="lv-LV"/>
              </w:rPr>
            </w:pPr>
          </w:p>
        </w:tc>
      </w:tr>
    </w:tbl>
    <w:p w14:paraId="715BCB76" w14:textId="5C192810" w:rsidR="00FD21C0" w:rsidRPr="00A27896" w:rsidRDefault="00FD21C0" w:rsidP="00367BEE">
      <w:pPr>
        <w:spacing w:before="120" w:after="120" w:line="240" w:lineRule="auto"/>
        <w:ind w:firstLine="284"/>
        <w:jc w:val="both"/>
        <w:rPr>
          <w:rFonts w:cs="Times New Roman"/>
          <w:bCs/>
          <w:color w:val="17365D"/>
        </w:rPr>
      </w:pPr>
      <w:r w:rsidRPr="0085182C">
        <w:rPr>
          <w:rFonts w:cs="Times New Roman"/>
          <w:bCs/>
          <w:color w:val="17365D"/>
        </w:rPr>
        <w:t xml:space="preserve">Pārskata gadā </w:t>
      </w:r>
      <w:r w:rsidR="009121A4" w:rsidRPr="0085182C">
        <w:rPr>
          <w:rFonts w:cs="Times New Roman"/>
          <w:bCs/>
          <w:color w:val="17365D"/>
        </w:rPr>
        <w:t xml:space="preserve">izveidoti </w:t>
      </w:r>
      <w:r w:rsidR="002A298A">
        <w:rPr>
          <w:rFonts w:cs="Times New Roman"/>
          <w:bCs/>
          <w:color w:val="17365D"/>
        </w:rPr>
        <w:t xml:space="preserve">un diskontēšanas rezultātā palielināti </w:t>
      </w:r>
      <w:r w:rsidR="009121A4" w:rsidRPr="0085182C">
        <w:rPr>
          <w:rFonts w:cs="Times New Roman"/>
          <w:bCs/>
          <w:color w:val="17365D"/>
        </w:rPr>
        <w:t xml:space="preserve">uzkrājumi </w:t>
      </w:r>
      <w:r w:rsidR="0085182C" w:rsidRPr="0085182C">
        <w:rPr>
          <w:rFonts w:cs="Times New Roman"/>
          <w:bCs/>
          <w:color w:val="17365D"/>
        </w:rPr>
        <w:t xml:space="preserve">200 222 326 </w:t>
      </w:r>
      <w:r w:rsidR="009121A4" w:rsidRPr="0085182C">
        <w:rPr>
          <w:rFonts w:cs="Times New Roman"/>
          <w:bCs/>
          <w:i/>
          <w:color w:val="17365D"/>
        </w:rPr>
        <w:t>euro</w:t>
      </w:r>
      <w:r w:rsidR="009121A4" w:rsidRPr="0085182C">
        <w:rPr>
          <w:rFonts w:cs="Times New Roman"/>
          <w:bCs/>
          <w:color w:val="17365D"/>
        </w:rPr>
        <w:t xml:space="preserve"> vērtībā, tai skaitā tiesvedībām –</w:t>
      </w:r>
      <w:r w:rsidR="008930E9" w:rsidRPr="0085182C">
        <w:rPr>
          <w:rFonts w:cs="Times New Roman"/>
          <w:color w:val="17365D"/>
        </w:rPr>
        <w:t xml:space="preserve"> </w:t>
      </w:r>
      <w:r w:rsidR="0085182C" w:rsidRPr="0085182C">
        <w:rPr>
          <w:rFonts w:cs="Times New Roman"/>
          <w:bCs/>
          <w:color w:val="17365D"/>
        </w:rPr>
        <w:t xml:space="preserve">4 382 012 </w:t>
      </w:r>
      <w:r w:rsidR="009121A4" w:rsidRPr="0085182C">
        <w:rPr>
          <w:rFonts w:cs="Times New Roman"/>
          <w:bCs/>
          <w:i/>
          <w:color w:val="17365D"/>
        </w:rPr>
        <w:t>euro</w:t>
      </w:r>
      <w:r w:rsidR="009121A4" w:rsidRPr="0085182C">
        <w:rPr>
          <w:rFonts w:cs="Times New Roman"/>
          <w:bCs/>
          <w:color w:val="17365D"/>
        </w:rPr>
        <w:t xml:space="preserve"> vērtībā, </w:t>
      </w:r>
      <w:r w:rsidRPr="0085182C">
        <w:rPr>
          <w:rFonts w:cs="Times New Roman"/>
          <w:bCs/>
          <w:color w:val="17365D"/>
        </w:rPr>
        <w:t xml:space="preserve">norakstīti iepriekšējos pārskata gados atzītie uzkrājumi </w:t>
      </w:r>
      <w:r w:rsidR="0085182C" w:rsidRPr="0085182C">
        <w:rPr>
          <w:rFonts w:cs="Times New Roman"/>
          <w:bCs/>
          <w:color w:val="17365D"/>
        </w:rPr>
        <w:t xml:space="preserve">(182 304 381) </w:t>
      </w:r>
      <w:r w:rsidRPr="0085182C">
        <w:rPr>
          <w:rFonts w:cs="Times New Roman"/>
          <w:bCs/>
          <w:i/>
          <w:color w:val="17365D"/>
        </w:rPr>
        <w:t>euro</w:t>
      </w:r>
      <w:r w:rsidRPr="0085182C">
        <w:rPr>
          <w:rFonts w:cs="Times New Roman"/>
          <w:bCs/>
          <w:color w:val="17365D"/>
        </w:rPr>
        <w:t xml:space="preserve"> vērtībā, tai skaitā tiesvedībām </w:t>
      </w:r>
      <w:r w:rsidR="0085182C" w:rsidRPr="0085182C">
        <w:rPr>
          <w:rFonts w:cs="Times New Roman"/>
          <w:bCs/>
          <w:color w:val="17365D"/>
        </w:rPr>
        <w:t xml:space="preserve">(3 362 666) </w:t>
      </w:r>
      <w:r w:rsidRPr="0085182C">
        <w:rPr>
          <w:rFonts w:cs="Times New Roman"/>
          <w:bCs/>
          <w:i/>
          <w:color w:val="17365D"/>
        </w:rPr>
        <w:t>euro</w:t>
      </w:r>
      <w:r w:rsidR="00C054D4" w:rsidRPr="0085182C">
        <w:rPr>
          <w:rFonts w:cs="Times New Roman"/>
          <w:bCs/>
          <w:color w:val="17365D"/>
        </w:rPr>
        <w:t>, uzkrājumu summa, kas izmantota saistību atzīšanai</w:t>
      </w:r>
      <w:r w:rsidRPr="0085182C">
        <w:rPr>
          <w:rFonts w:cs="Times New Roman"/>
          <w:bCs/>
          <w:color w:val="17365D"/>
        </w:rPr>
        <w:t xml:space="preserve"> </w:t>
      </w:r>
      <w:r w:rsidR="00C054D4" w:rsidRPr="0085182C">
        <w:rPr>
          <w:rFonts w:cs="Times New Roman"/>
          <w:bCs/>
          <w:color w:val="17365D"/>
        </w:rPr>
        <w:t xml:space="preserve">pārskata gadā, ir </w:t>
      </w:r>
      <w:r w:rsidR="0085182C" w:rsidRPr="0085182C">
        <w:rPr>
          <w:rFonts w:cs="Times New Roman"/>
          <w:bCs/>
          <w:color w:val="17365D"/>
        </w:rPr>
        <w:t xml:space="preserve">(109 529 349) </w:t>
      </w:r>
      <w:r w:rsidR="00C054D4" w:rsidRPr="0085182C">
        <w:rPr>
          <w:rFonts w:cs="Times New Roman"/>
          <w:bCs/>
          <w:i/>
          <w:color w:val="17365D"/>
        </w:rPr>
        <w:t>euro</w:t>
      </w:r>
      <w:r w:rsidR="00C054D4" w:rsidRPr="0085182C">
        <w:rPr>
          <w:rFonts w:cs="Times New Roman"/>
          <w:bCs/>
          <w:color w:val="17365D"/>
        </w:rPr>
        <w:t xml:space="preserve">. </w:t>
      </w:r>
    </w:p>
    <w:p w14:paraId="381AE2D0" w14:textId="3D376C93" w:rsidR="00FD2C7A" w:rsidRPr="00A27896" w:rsidRDefault="00377B9A" w:rsidP="00FD10CC">
      <w:pPr>
        <w:pStyle w:val="Heading3"/>
      </w:pPr>
      <w:r w:rsidRPr="00A27896">
        <w:t>Saistības</w:t>
      </w:r>
    </w:p>
    <w:p w14:paraId="7A7C12BC" w14:textId="60395BA8" w:rsidR="00F30758" w:rsidRDefault="00377B9A" w:rsidP="00A27766">
      <w:pPr>
        <w:spacing w:after="120" w:line="240" w:lineRule="auto"/>
        <w:ind w:firstLine="284"/>
        <w:jc w:val="both"/>
        <w:rPr>
          <w:rFonts w:cs="Times New Roman"/>
          <w:color w:val="17365D"/>
        </w:rPr>
      </w:pPr>
      <w:r w:rsidRPr="00A27896">
        <w:rPr>
          <w:rFonts w:cs="Times New Roman"/>
          <w:color w:val="17365D"/>
        </w:rPr>
        <w:t>Saistības</w:t>
      </w:r>
      <w:r w:rsidR="00616585" w:rsidRPr="00A27896">
        <w:rPr>
          <w:rFonts w:cs="Times New Roman"/>
          <w:color w:val="17365D"/>
        </w:rPr>
        <w:t xml:space="preserve"> konsolidēt</w:t>
      </w:r>
      <w:r w:rsidRPr="00A27896">
        <w:rPr>
          <w:rFonts w:cs="Times New Roman"/>
          <w:color w:val="17365D"/>
        </w:rPr>
        <w:t>as</w:t>
      </w:r>
      <w:r w:rsidR="00616585" w:rsidRPr="00A27896">
        <w:rPr>
          <w:rFonts w:cs="Times New Roman"/>
          <w:color w:val="17365D"/>
        </w:rPr>
        <w:t xml:space="preserve"> par valsts un pašvaldību budžeta iestāžu un valsts budžeta finanšu uzskaites savstarpējiem </w:t>
      </w:r>
      <w:r w:rsidRPr="00A27896">
        <w:rPr>
          <w:rFonts w:cs="Times New Roman"/>
          <w:color w:val="17365D"/>
        </w:rPr>
        <w:t>prasību</w:t>
      </w:r>
      <w:r w:rsidR="00100A4B" w:rsidRPr="00A27896">
        <w:rPr>
          <w:rFonts w:cs="Times New Roman"/>
          <w:color w:val="17365D"/>
        </w:rPr>
        <w:t>, avansa maksājumu</w:t>
      </w:r>
      <w:r w:rsidR="00D360B4" w:rsidRPr="00A27896">
        <w:rPr>
          <w:rFonts w:cs="Times New Roman"/>
          <w:color w:val="17365D"/>
        </w:rPr>
        <w:t xml:space="preserve"> un </w:t>
      </w:r>
      <w:r w:rsidRPr="00A27896">
        <w:rPr>
          <w:rFonts w:cs="Times New Roman"/>
          <w:color w:val="17365D"/>
        </w:rPr>
        <w:t>saistību</w:t>
      </w:r>
      <w:r w:rsidR="00D360B4" w:rsidRPr="00A27896">
        <w:rPr>
          <w:rFonts w:cs="Times New Roman"/>
          <w:color w:val="17365D"/>
        </w:rPr>
        <w:t xml:space="preserve"> </w:t>
      </w:r>
      <w:r w:rsidR="00616585" w:rsidRPr="00A27896">
        <w:rPr>
          <w:rFonts w:cs="Times New Roman"/>
          <w:color w:val="17365D"/>
        </w:rPr>
        <w:t>atlikumiem.</w:t>
      </w:r>
    </w:p>
    <w:p w14:paraId="090447E1" w14:textId="77777777" w:rsidR="00E4353C" w:rsidRDefault="00E4353C" w:rsidP="00A27766">
      <w:pPr>
        <w:spacing w:after="120" w:line="240" w:lineRule="auto"/>
        <w:ind w:firstLine="284"/>
        <w:jc w:val="both"/>
        <w:rPr>
          <w:rFonts w:cs="Times New Roman"/>
          <w:color w:val="17365D"/>
        </w:rPr>
      </w:pPr>
    </w:p>
    <w:p w14:paraId="7B0D7AB9" w14:textId="77777777" w:rsidR="00E4353C" w:rsidRDefault="00E4353C" w:rsidP="00A27766">
      <w:pPr>
        <w:spacing w:after="120" w:line="240" w:lineRule="auto"/>
        <w:ind w:firstLine="284"/>
        <w:jc w:val="both"/>
        <w:rPr>
          <w:rFonts w:cs="Times New Roman"/>
          <w:color w:val="17365D"/>
        </w:rPr>
      </w:pPr>
    </w:p>
    <w:p w14:paraId="04E7B9F3" w14:textId="1E7DF834" w:rsidR="004214E1" w:rsidRPr="00A27896" w:rsidRDefault="00C67DF1" w:rsidP="004105BE">
      <w:pPr>
        <w:pStyle w:val="Heading4"/>
        <w:spacing w:after="0"/>
        <w:rPr>
          <w:rFonts w:cs="Times New Roman"/>
        </w:rPr>
      </w:pPr>
      <w:r w:rsidRPr="00A27896">
        <w:rPr>
          <w:rFonts w:cs="Times New Roman"/>
        </w:rPr>
        <w:lastRenderedPageBreak/>
        <w:t xml:space="preserve">Piezīme Nr. </w:t>
      </w:r>
      <w:r w:rsidR="00FD2C7A" w:rsidRPr="00A27896">
        <w:rPr>
          <w:rFonts w:cs="Times New Roman"/>
        </w:rPr>
        <w:t>KB.</w:t>
      </w:r>
      <w:r w:rsidR="005F1199" w:rsidRPr="00A27896">
        <w:rPr>
          <w:rFonts w:cs="Times New Roman"/>
        </w:rPr>
        <w:t>5</w:t>
      </w:r>
      <w:r w:rsidR="00FB303F" w:rsidRPr="00A27896">
        <w:rPr>
          <w:rFonts w:cs="Times New Roman"/>
        </w:rPr>
        <w:t>.1</w:t>
      </w:r>
      <w:r w:rsidR="00FD2C7A" w:rsidRPr="00A27896">
        <w:rPr>
          <w:rFonts w:cs="Times New Roman"/>
        </w:rPr>
        <w:t>. Ilgtermiņa saistības</w:t>
      </w:r>
    </w:p>
    <w:p w14:paraId="48D5584C" w14:textId="72068D26" w:rsidR="003E7A47" w:rsidRPr="00A27896" w:rsidRDefault="004105BE" w:rsidP="004105BE">
      <w:pPr>
        <w:pStyle w:val="Tabulasnosaukums1"/>
        <w:spacing w:before="100"/>
        <w:rPr>
          <w:rFonts w:cs="Times New Roman"/>
          <w:i/>
          <w:color w:val="17365D"/>
        </w:rPr>
      </w:pPr>
      <w:r>
        <w:rPr>
          <w:rFonts w:cs="Times New Roman"/>
          <w:i/>
          <w:color w:val="17365D"/>
        </w:rPr>
        <w:t>1.</w:t>
      </w:r>
      <w:r w:rsidR="009D6A00" w:rsidRPr="00A27896">
        <w:rPr>
          <w:rFonts w:cs="Times New Roman"/>
          <w:i/>
          <w:color w:val="17365D"/>
        </w:rPr>
        <w:t>2</w:t>
      </w:r>
      <w:r w:rsidR="002813ED" w:rsidRPr="00A27896">
        <w:rPr>
          <w:rFonts w:cs="Times New Roman"/>
          <w:i/>
          <w:color w:val="17365D"/>
        </w:rPr>
        <w:t>0</w:t>
      </w:r>
      <w:r w:rsidR="003E7A47" w:rsidRPr="00A27896">
        <w:rPr>
          <w:rFonts w:cs="Times New Roman"/>
          <w:i/>
          <w:color w:val="17365D"/>
        </w:rPr>
        <w:t>. tabula</w:t>
      </w:r>
      <w:r w:rsidR="00BF3156" w:rsidRPr="00A27896">
        <w:rPr>
          <w:rFonts w:cs="Times New Roman"/>
          <w:i/>
          <w:color w:val="17365D"/>
        </w:rPr>
        <w:t xml:space="preserve">. Ilgtermiņa saistības </w:t>
      </w:r>
      <w:r w:rsidR="00BF3156" w:rsidRPr="00A27896">
        <w:rPr>
          <w:rFonts w:eastAsia="Times New Roman" w:cs="Times New Roman"/>
          <w:i/>
          <w:color w:val="17365D"/>
          <w:szCs w:val="20"/>
          <w:lang w:eastAsia="lv-LV"/>
        </w:rPr>
        <w:t>(</w:t>
      </w:r>
      <w:r w:rsidR="002B2B21" w:rsidRPr="00A27896">
        <w:rPr>
          <w:rFonts w:eastAsia="Times New Roman" w:cs="Times New Roman"/>
          <w:i/>
          <w:color w:val="17365D"/>
          <w:szCs w:val="20"/>
          <w:lang w:eastAsia="lv-LV"/>
        </w:rPr>
        <w:t>euro</w:t>
      </w:r>
      <w:r w:rsidR="00BF3156" w:rsidRPr="00A27896">
        <w:rPr>
          <w:rFonts w:eastAsia="Times New Roman" w:cs="Times New Roman"/>
          <w:i/>
          <w:color w:val="17365D"/>
          <w:szCs w:val="20"/>
          <w:lang w:eastAsia="lv-LV"/>
        </w:rPr>
        <w:t>)</w:t>
      </w:r>
    </w:p>
    <w:tbl>
      <w:tblPr>
        <w:tblW w:w="5001" w:type="pct"/>
        <w:tblBorders>
          <w:bottom w:val="single" w:sz="4" w:space="0" w:color="012169"/>
          <w:insideH w:val="single" w:sz="4" w:space="0" w:color="012169"/>
        </w:tblBorders>
        <w:tblLayout w:type="fixed"/>
        <w:tblLook w:val="04A0" w:firstRow="1" w:lastRow="0" w:firstColumn="1" w:lastColumn="0" w:noHBand="0" w:noVBand="1"/>
      </w:tblPr>
      <w:tblGrid>
        <w:gridCol w:w="2635"/>
        <w:gridCol w:w="969"/>
        <w:gridCol w:w="1519"/>
        <w:gridCol w:w="1519"/>
        <w:gridCol w:w="1531"/>
        <w:gridCol w:w="1183"/>
      </w:tblGrid>
      <w:tr w:rsidR="000C1009" w:rsidRPr="00A27896" w14:paraId="2401828D" w14:textId="77777777" w:rsidTr="002813ED">
        <w:trPr>
          <w:trHeight w:val="684"/>
          <w:tblHeader/>
        </w:trPr>
        <w:tc>
          <w:tcPr>
            <w:tcW w:w="1408" w:type="pct"/>
            <w:tcBorders>
              <w:top w:val="nil"/>
              <w:bottom w:val="single" w:sz="4" w:space="0" w:color="17365D"/>
            </w:tcBorders>
            <w:shd w:val="clear" w:color="auto" w:fill="B9CDE5"/>
            <w:vAlign w:val="center"/>
            <w:hideMark/>
          </w:tcPr>
          <w:p w14:paraId="3BA93E37"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Rādītāji</w:t>
            </w:r>
          </w:p>
        </w:tc>
        <w:tc>
          <w:tcPr>
            <w:tcW w:w="518" w:type="pct"/>
            <w:tcBorders>
              <w:top w:val="nil"/>
              <w:bottom w:val="single" w:sz="4" w:space="0" w:color="17365D"/>
            </w:tcBorders>
            <w:shd w:val="clear" w:color="auto" w:fill="B9CDE5"/>
            <w:vAlign w:val="center"/>
            <w:hideMark/>
          </w:tcPr>
          <w:p w14:paraId="2A1B67D1" w14:textId="77777777" w:rsidR="00CE67E9"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Piezīmes</w:t>
            </w:r>
          </w:p>
          <w:p w14:paraId="66C49F51" w14:textId="69CE4AE0" w:rsidR="000D713A"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Nr.</w:t>
            </w:r>
          </w:p>
        </w:tc>
        <w:tc>
          <w:tcPr>
            <w:tcW w:w="812" w:type="pct"/>
            <w:tcBorders>
              <w:top w:val="nil"/>
              <w:bottom w:val="single" w:sz="4" w:space="0" w:color="17365D"/>
            </w:tcBorders>
            <w:shd w:val="clear" w:color="auto" w:fill="B9CDE5"/>
            <w:vAlign w:val="center"/>
            <w:hideMark/>
          </w:tcPr>
          <w:p w14:paraId="2020D060"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812" w:type="pct"/>
            <w:tcBorders>
              <w:top w:val="nil"/>
              <w:bottom w:val="single" w:sz="4" w:space="0" w:color="17365D"/>
            </w:tcBorders>
            <w:shd w:val="clear" w:color="auto" w:fill="B9CDE5"/>
            <w:vAlign w:val="center"/>
            <w:hideMark/>
          </w:tcPr>
          <w:p w14:paraId="25E6C692"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c>
          <w:tcPr>
            <w:tcW w:w="818" w:type="pct"/>
            <w:tcBorders>
              <w:top w:val="nil"/>
              <w:bottom w:val="single" w:sz="4" w:space="0" w:color="17365D"/>
            </w:tcBorders>
            <w:shd w:val="clear" w:color="auto" w:fill="B9CDE5"/>
            <w:vAlign w:val="center"/>
            <w:hideMark/>
          </w:tcPr>
          <w:p w14:paraId="3040BAF8" w14:textId="77777777" w:rsidR="00CE67E9"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Izmaiņas </w:t>
            </w:r>
          </w:p>
          <w:p w14:paraId="215CA4C2" w14:textId="1C98E2C7" w:rsidR="000D713A" w:rsidRPr="00A27896" w:rsidRDefault="000D713A" w:rsidP="00CE67E9">
            <w:pPr>
              <w:spacing w:after="0"/>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w:t>
            </w:r>
            <w:r w:rsidR="002B1B27" w:rsidRPr="00A27896">
              <w:rPr>
                <w:rFonts w:eastAsia="Times New Roman" w:cs="Times New Roman"/>
                <w:b/>
                <w:color w:val="17365D"/>
                <w:sz w:val="18"/>
                <w:szCs w:val="18"/>
                <w:lang w:eastAsia="lv-LV"/>
              </w:rPr>
              <w:t xml:space="preserve"> – </w:t>
            </w:r>
            <w:r w:rsidRPr="00A27896">
              <w:rPr>
                <w:rFonts w:eastAsia="Times New Roman" w:cs="Times New Roman"/>
                <w:b/>
                <w:color w:val="17365D"/>
                <w:sz w:val="18"/>
                <w:szCs w:val="18"/>
                <w:lang w:eastAsia="lv-LV"/>
              </w:rPr>
              <w:t>)</w:t>
            </w:r>
          </w:p>
        </w:tc>
        <w:tc>
          <w:tcPr>
            <w:tcW w:w="632" w:type="pct"/>
            <w:tcBorders>
              <w:top w:val="nil"/>
              <w:bottom w:val="single" w:sz="4" w:space="0" w:color="17365D"/>
            </w:tcBorders>
            <w:shd w:val="clear" w:color="auto" w:fill="B9CDE5"/>
            <w:vAlign w:val="center"/>
            <w:hideMark/>
          </w:tcPr>
          <w:p w14:paraId="7A297885" w14:textId="77777777" w:rsidR="000D713A" w:rsidRPr="00A27896" w:rsidRDefault="000D713A" w:rsidP="00946D05">
            <w:pPr>
              <w:spacing w:after="0"/>
              <w:ind w:right="-102"/>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Procentuālās izmaiņas (3./2.*100)</w:t>
            </w:r>
          </w:p>
        </w:tc>
      </w:tr>
      <w:tr w:rsidR="000C1009" w:rsidRPr="00A27896" w14:paraId="41FDF4B3" w14:textId="77777777" w:rsidTr="002813ED">
        <w:trPr>
          <w:trHeight w:val="56"/>
          <w:tblHeader/>
        </w:trPr>
        <w:tc>
          <w:tcPr>
            <w:tcW w:w="1408" w:type="pct"/>
            <w:tcBorders>
              <w:top w:val="single" w:sz="4" w:space="0" w:color="17365D"/>
              <w:bottom w:val="single" w:sz="4" w:space="0" w:color="17365D"/>
            </w:tcBorders>
            <w:shd w:val="clear" w:color="auto" w:fill="auto"/>
            <w:vAlign w:val="center"/>
            <w:hideMark/>
          </w:tcPr>
          <w:p w14:paraId="68FA14FD" w14:textId="77777777" w:rsidR="000D713A" w:rsidRPr="00A27896" w:rsidRDefault="000D713A" w:rsidP="000D713A">
            <w:pPr>
              <w:spacing w:after="0"/>
              <w:jc w:val="center"/>
              <w:rPr>
                <w:rFonts w:eastAsia="Times New Roman" w:cs="Times New Roman"/>
                <w:b/>
                <w:color w:val="17365D"/>
                <w:sz w:val="18"/>
                <w:szCs w:val="18"/>
                <w:highlight w:val="yellow"/>
                <w:lang w:eastAsia="lv-LV"/>
              </w:rPr>
            </w:pPr>
            <w:r w:rsidRPr="00A27896">
              <w:rPr>
                <w:rFonts w:eastAsia="Times New Roman" w:cs="Times New Roman"/>
                <w:b/>
                <w:color w:val="17365D"/>
                <w:sz w:val="18"/>
                <w:szCs w:val="18"/>
                <w:lang w:eastAsia="lv-LV"/>
              </w:rPr>
              <w:t>A</w:t>
            </w:r>
          </w:p>
        </w:tc>
        <w:tc>
          <w:tcPr>
            <w:tcW w:w="518" w:type="pct"/>
            <w:tcBorders>
              <w:top w:val="single" w:sz="4" w:space="0" w:color="17365D"/>
              <w:bottom w:val="single" w:sz="4" w:space="0" w:color="17365D"/>
            </w:tcBorders>
            <w:shd w:val="clear" w:color="auto" w:fill="auto"/>
            <w:vAlign w:val="center"/>
            <w:hideMark/>
          </w:tcPr>
          <w:p w14:paraId="5D042FD6"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812" w:type="pct"/>
            <w:tcBorders>
              <w:top w:val="single" w:sz="4" w:space="0" w:color="17365D"/>
              <w:bottom w:val="single" w:sz="4" w:space="0" w:color="17365D"/>
            </w:tcBorders>
            <w:shd w:val="clear" w:color="auto" w:fill="auto"/>
            <w:vAlign w:val="center"/>
            <w:hideMark/>
          </w:tcPr>
          <w:p w14:paraId="04ABFD3D"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812" w:type="pct"/>
            <w:tcBorders>
              <w:top w:val="single" w:sz="4" w:space="0" w:color="17365D"/>
              <w:bottom w:val="single" w:sz="4" w:space="0" w:color="17365D"/>
            </w:tcBorders>
            <w:shd w:val="clear" w:color="auto" w:fill="auto"/>
            <w:vAlign w:val="center"/>
            <w:hideMark/>
          </w:tcPr>
          <w:p w14:paraId="551EAE21"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818" w:type="pct"/>
            <w:tcBorders>
              <w:top w:val="single" w:sz="4" w:space="0" w:color="17365D"/>
              <w:bottom w:val="single" w:sz="4" w:space="0" w:color="17365D"/>
            </w:tcBorders>
            <w:shd w:val="clear" w:color="auto" w:fill="auto"/>
            <w:vAlign w:val="center"/>
            <w:hideMark/>
          </w:tcPr>
          <w:p w14:paraId="150AFED5"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32" w:type="pct"/>
            <w:tcBorders>
              <w:top w:val="single" w:sz="4" w:space="0" w:color="17365D"/>
              <w:bottom w:val="single" w:sz="4" w:space="0" w:color="17365D"/>
            </w:tcBorders>
            <w:shd w:val="clear" w:color="auto" w:fill="auto"/>
            <w:vAlign w:val="center"/>
            <w:hideMark/>
          </w:tcPr>
          <w:p w14:paraId="61DEF8DC" w14:textId="77777777" w:rsidR="000D713A" w:rsidRPr="00A27896" w:rsidRDefault="000D713A" w:rsidP="000D713A">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466E9D" w:rsidRPr="00A27896" w14:paraId="0A58262E" w14:textId="77777777" w:rsidTr="00475A10">
        <w:trPr>
          <w:trHeight w:val="240"/>
        </w:trPr>
        <w:tc>
          <w:tcPr>
            <w:tcW w:w="1408" w:type="pct"/>
            <w:tcBorders>
              <w:top w:val="single" w:sz="4" w:space="0" w:color="17365D"/>
              <w:bottom w:val="single" w:sz="4" w:space="0" w:color="17365D"/>
            </w:tcBorders>
            <w:shd w:val="clear" w:color="auto" w:fill="auto"/>
            <w:vAlign w:val="center"/>
            <w:hideMark/>
          </w:tcPr>
          <w:p w14:paraId="46A15CA1" w14:textId="44B90C01" w:rsidR="00466E9D" w:rsidRPr="00A27896" w:rsidRDefault="00466E9D" w:rsidP="00466E9D">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Ilgtermiņa saistības </w:t>
            </w:r>
          </w:p>
        </w:tc>
        <w:tc>
          <w:tcPr>
            <w:tcW w:w="518" w:type="pct"/>
            <w:tcBorders>
              <w:top w:val="single" w:sz="4" w:space="0" w:color="17365D"/>
              <w:bottom w:val="single" w:sz="4" w:space="0" w:color="17365D"/>
            </w:tcBorders>
            <w:shd w:val="clear" w:color="auto" w:fill="auto"/>
            <w:vAlign w:val="center"/>
            <w:hideMark/>
          </w:tcPr>
          <w:p w14:paraId="376B7204" w14:textId="50DC8369" w:rsidR="00466E9D" w:rsidRPr="00A27896" w:rsidRDefault="00466E9D" w:rsidP="00466E9D">
            <w:pPr>
              <w:spacing w:after="0" w:line="240" w:lineRule="auto"/>
              <w:jc w:val="center"/>
              <w:rPr>
                <w:rFonts w:eastAsia="Times New Roman" w:cs="Times New Roman"/>
                <w:b/>
                <w:color w:val="17365D"/>
                <w:sz w:val="18"/>
                <w:szCs w:val="18"/>
                <w:lang w:eastAsia="lv-LV"/>
              </w:rPr>
            </w:pPr>
            <w:r w:rsidRPr="001C3A6E">
              <w:rPr>
                <w:rFonts w:eastAsia="Times New Roman" w:cs="Times New Roman"/>
                <w:b/>
                <w:color w:val="17365D"/>
                <w:sz w:val="18"/>
                <w:szCs w:val="18"/>
                <w:lang w:eastAsia="lv-LV"/>
              </w:rPr>
              <w:t>KB.5.1.</w:t>
            </w:r>
          </w:p>
        </w:tc>
        <w:tc>
          <w:tcPr>
            <w:tcW w:w="812" w:type="pct"/>
            <w:tcBorders>
              <w:top w:val="single" w:sz="4" w:space="0" w:color="17365D"/>
              <w:left w:val="nil"/>
              <w:bottom w:val="single" w:sz="4" w:space="0" w:color="17365D"/>
              <w:right w:val="nil"/>
            </w:tcBorders>
            <w:shd w:val="clear" w:color="auto" w:fill="auto"/>
            <w:vAlign w:val="center"/>
          </w:tcPr>
          <w:p w14:paraId="3001E204" w14:textId="381CA1C6" w:rsidR="00466E9D" w:rsidRPr="00A27896" w:rsidRDefault="00466E9D" w:rsidP="00466E9D">
            <w:pPr>
              <w:spacing w:after="0" w:line="240" w:lineRule="auto"/>
              <w:jc w:val="right"/>
              <w:rPr>
                <w:rFonts w:cs="Times New Roman"/>
                <w:b/>
                <w:color w:val="17365D"/>
                <w:sz w:val="18"/>
                <w:szCs w:val="18"/>
              </w:rPr>
            </w:pPr>
            <w:r w:rsidRPr="001C3A6E">
              <w:rPr>
                <w:rFonts w:eastAsia="Times New Roman" w:cs="Times New Roman"/>
                <w:b/>
                <w:color w:val="17365D"/>
                <w:sz w:val="18"/>
                <w:szCs w:val="18"/>
                <w:lang w:eastAsia="lv-LV"/>
              </w:rPr>
              <w:t>23 486 568 512</w:t>
            </w:r>
          </w:p>
        </w:tc>
        <w:tc>
          <w:tcPr>
            <w:tcW w:w="812" w:type="pct"/>
            <w:tcBorders>
              <w:top w:val="single" w:sz="4" w:space="0" w:color="17365D"/>
              <w:left w:val="nil"/>
              <w:bottom w:val="single" w:sz="4" w:space="0" w:color="17365D"/>
              <w:right w:val="nil"/>
            </w:tcBorders>
            <w:shd w:val="clear" w:color="auto" w:fill="auto"/>
            <w:vAlign w:val="center"/>
          </w:tcPr>
          <w:p w14:paraId="53486FC5" w14:textId="1830E292" w:rsidR="00466E9D" w:rsidRPr="00A27896" w:rsidRDefault="00466E9D" w:rsidP="00466E9D">
            <w:pPr>
              <w:spacing w:after="0" w:line="240" w:lineRule="auto"/>
              <w:jc w:val="right"/>
              <w:rPr>
                <w:rFonts w:cs="Times New Roman"/>
                <w:b/>
                <w:color w:val="17365D"/>
                <w:sz w:val="18"/>
                <w:szCs w:val="18"/>
              </w:rPr>
            </w:pPr>
            <w:r w:rsidRPr="001C3A6E">
              <w:rPr>
                <w:rFonts w:eastAsia="Times New Roman" w:cs="Times New Roman"/>
                <w:b/>
                <w:color w:val="17365D"/>
                <w:sz w:val="18"/>
                <w:szCs w:val="18"/>
                <w:lang w:eastAsia="lv-LV"/>
              </w:rPr>
              <w:t>20 512 445 078</w:t>
            </w:r>
          </w:p>
        </w:tc>
        <w:tc>
          <w:tcPr>
            <w:tcW w:w="818" w:type="pct"/>
            <w:tcBorders>
              <w:top w:val="single" w:sz="4" w:space="0" w:color="17365D"/>
              <w:left w:val="nil"/>
              <w:bottom w:val="single" w:sz="4" w:space="0" w:color="17365D"/>
              <w:right w:val="nil"/>
            </w:tcBorders>
            <w:shd w:val="clear" w:color="auto" w:fill="auto"/>
            <w:noWrap/>
            <w:vAlign w:val="center"/>
          </w:tcPr>
          <w:p w14:paraId="1CF4BAE0" w14:textId="4E173647" w:rsidR="00466E9D" w:rsidRPr="00A27896" w:rsidRDefault="00466E9D" w:rsidP="00466E9D">
            <w:pPr>
              <w:spacing w:after="0" w:line="240" w:lineRule="auto"/>
              <w:jc w:val="right"/>
              <w:rPr>
                <w:rFonts w:cs="Times New Roman"/>
                <w:b/>
                <w:color w:val="17365D"/>
                <w:sz w:val="18"/>
                <w:szCs w:val="18"/>
              </w:rPr>
            </w:pPr>
            <w:r w:rsidRPr="001C3A6E">
              <w:rPr>
                <w:rFonts w:eastAsia="Times New Roman" w:cs="Times New Roman"/>
                <w:b/>
                <w:color w:val="17365D"/>
                <w:sz w:val="18"/>
                <w:szCs w:val="18"/>
                <w:lang w:eastAsia="lv-LV"/>
              </w:rPr>
              <w:t>2 974 123 434</w:t>
            </w:r>
          </w:p>
        </w:tc>
        <w:tc>
          <w:tcPr>
            <w:tcW w:w="632" w:type="pct"/>
            <w:tcBorders>
              <w:top w:val="single" w:sz="4" w:space="0" w:color="17365D"/>
              <w:left w:val="nil"/>
              <w:bottom w:val="single" w:sz="4" w:space="0" w:color="17365D"/>
              <w:right w:val="nil"/>
            </w:tcBorders>
            <w:shd w:val="clear" w:color="auto" w:fill="auto"/>
            <w:noWrap/>
            <w:vAlign w:val="center"/>
          </w:tcPr>
          <w:p w14:paraId="73B1E2D6" w14:textId="2BF12BEC" w:rsidR="00466E9D" w:rsidRPr="00A27896" w:rsidRDefault="00466E9D" w:rsidP="00466E9D">
            <w:pPr>
              <w:spacing w:after="0" w:line="240" w:lineRule="auto"/>
              <w:jc w:val="right"/>
              <w:rPr>
                <w:rFonts w:cs="Times New Roman"/>
                <w:b/>
                <w:color w:val="17365D"/>
                <w:sz w:val="18"/>
                <w:szCs w:val="18"/>
              </w:rPr>
            </w:pPr>
            <w:r w:rsidRPr="001C3A6E">
              <w:rPr>
                <w:rFonts w:eastAsia="Times New Roman" w:cs="Times New Roman"/>
                <w:b/>
                <w:color w:val="17365D"/>
                <w:sz w:val="18"/>
                <w:szCs w:val="18"/>
                <w:lang w:eastAsia="lv-LV"/>
              </w:rPr>
              <w:t>14.50</w:t>
            </w:r>
          </w:p>
        </w:tc>
      </w:tr>
      <w:tr w:rsidR="00466E9D" w:rsidRPr="00A27896" w14:paraId="136FA23A" w14:textId="77777777" w:rsidTr="00475A10">
        <w:trPr>
          <w:trHeight w:val="240"/>
        </w:trPr>
        <w:tc>
          <w:tcPr>
            <w:tcW w:w="1408" w:type="pct"/>
            <w:tcBorders>
              <w:top w:val="single" w:sz="4" w:space="0" w:color="17365D"/>
              <w:bottom w:val="single" w:sz="4" w:space="0" w:color="17365D"/>
            </w:tcBorders>
            <w:shd w:val="clear" w:color="auto" w:fill="auto"/>
            <w:vAlign w:val="center"/>
            <w:hideMark/>
          </w:tcPr>
          <w:p w14:paraId="72BD5EB1" w14:textId="77777777" w:rsidR="00466E9D" w:rsidRPr="00A27896" w:rsidRDefault="00466E9D" w:rsidP="00466E9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aizņēmumi</w:t>
            </w:r>
          </w:p>
        </w:tc>
        <w:tc>
          <w:tcPr>
            <w:tcW w:w="518" w:type="pct"/>
            <w:tcBorders>
              <w:top w:val="single" w:sz="4" w:space="0" w:color="17365D"/>
              <w:bottom w:val="single" w:sz="4" w:space="0" w:color="17365D"/>
            </w:tcBorders>
            <w:shd w:val="clear" w:color="auto" w:fill="auto"/>
            <w:noWrap/>
            <w:vAlign w:val="center"/>
            <w:hideMark/>
          </w:tcPr>
          <w:p w14:paraId="65E69E0A" w14:textId="0CB61746" w:rsidR="00466E9D" w:rsidRPr="00A27896" w:rsidRDefault="00466E9D" w:rsidP="00466E9D">
            <w:pPr>
              <w:spacing w:after="0" w:line="240" w:lineRule="auto"/>
              <w:jc w:val="right"/>
              <w:rPr>
                <w:rFonts w:eastAsia="Times New Roman" w:cs="Times New Roman"/>
                <w:color w:val="17365D"/>
                <w:sz w:val="18"/>
                <w:szCs w:val="18"/>
                <w:lang w:eastAsia="lv-LV"/>
              </w:rPr>
            </w:pPr>
            <w:r w:rsidRPr="001C3A6E">
              <w:rPr>
                <w:rFonts w:eastAsia="Times New Roman" w:cs="Times New Roman"/>
                <w:color w:val="17365D"/>
                <w:sz w:val="18"/>
                <w:szCs w:val="18"/>
                <w:lang w:eastAsia="lv-LV"/>
              </w:rPr>
              <w:t>KB.5.1.1.</w:t>
            </w:r>
          </w:p>
        </w:tc>
        <w:tc>
          <w:tcPr>
            <w:tcW w:w="812" w:type="pct"/>
            <w:tcBorders>
              <w:top w:val="single" w:sz="4" w:space="0" w:color="17365D"/>
              <w:left w:val="nil"/>
              <w:bottom w:val="single" w:sz="4" w:space="0" w:color="17365D"/>
              <w:right w:val="nil"/>
            </w:tcBorders>
            <w:shd w:val="clear" w:color="auto" w:fill="auto"/>
            <w:vAlign w:val="center"/>
          </w:tcPr>
          <w:p w14:paraId="5B49DBA5" w14:textId="40A78769"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1 163 441 298</w:t>
            </w:r>
          </w:p>
        </w:tc>
        <w:tc>
          <w:tcPr>
            <w:tcW w:w="812" w:type="pct"/>
            <w:tcBorders>
              <w:top w:val="single" w:sz="4" w:space="0" w:color="17365D"/>
              <w:left w:val="nil"/>
              <w:bottom w:val="single" w:sz="4" w:space="0" w:color="17365D"/>
              <w:right w:val="nil"/>
            </w:tcBorders>
            <w:shd w:val="clear" w:color="auto" w:fill="auto"/>
            <w:vAlign w:val="center"/>
          </w:tcPr>
          <w:p w14:paraId="3B7C2601" w14:textId="76029CB6"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2 148 035 486</w:t>
            </w:r>
          </w:p>
        </w:tc>
        <w:tc>
          <w:tcPr>
            <w:tcW w:w="818" w:type="pct"/>
            <w:tcBorders>
              <w:top w:val="single" w:sz="4" w:space="0" w:color="17365D"/>
              <w:left w:val="nil"/>
              <w:bottom w:val="single" w:sz="4" w:space="0" w:color="17365D"/>
              <w:right w:val="nil"/>
            </w:tcBorders>
            <w:shd w:val="clear" w:color="auto" w:fill="auto"/>
            <w:noWrap/>
            <w:vAlign w:val="center"/>
          </w:tcPr>
          <w:p w14:paraId="24CABEC5" w14:textId="5D42DC97"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-984 594 188</w:t>
            </w:r>
          </w:p>
        </w:tc>
        <w:tc>
          <w:tcPr>
            <w:tcW w:w="632" w:type="pct"/>
            <w:tcBorders>
              <w:top w:val="single" w:sz="4" w:space="0" w:color="17365D"/>
              <w:left w:val="nil"/>
              <w:bottom w:val="single" w:sz="4" w:space="0" w:color="17365D"/>
              <w:right w:val="nil"/>
            </w:tcBorders>
            <w:shd w:val="clear" w:color="auto" w:fill="auto"/>
            <w:noWrap/>
            <w:vAlign w:val="center"/>
          </w:tcPr>
          <w:p w14:paraId="11054D35" w14:textId="69156B0A"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-45.84</w:t>
            </w:r>
          </w:p>
        </w:tc>
      </w:tr>
      <w:tr w:rsidR="00466E9D" w:rsidRPr="00A27896" w14:paraId="725A2ED0" w14:textId="77777777" w:rsidTr="00475A10">
        <w:trPr>
          <w:trHeight w:val="240"/>
        </w:trPr>
        <w:tc>
          <w:tcPr>
            <w:tcW w:w="1408" w:type="pct"/>
            <w:tcBorders>
              <w:top w:val="single" w:sz="4" w:space="0" w:color="17365D"/>
              <w:bottom w:val="single" w:sz="4" w:space="0" w:color="17365D"/>
              <w:right w:val="nil"/>
            </w:tcBorders>
            <w:shd w:val="clear" w:color="auto" w:fill="auto"/>
            <w:vAlign w:val="center"/>
            <w:hideMark/>
          </w:tcPr>
          <w:p w14:paraId="6387FFE6" w14:textId="110885A9" w:rsidR="00466E9D" w:rsidRPr="00A27896" w:rsidRDefault="00466E9D" w:rsidP="00466E9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saistības pret piegādātājiem un darbuzņēmējiem</w:t>
            </w:r>
          </w:p>
        </w:tc>
        <w:tc>
          <w:tcPr>
            <w:tcW w:w="518" w:type="pct"/>
            <w:tcBorders>
              <w:top w:val="single" w:sz="4" w:space="0" w:color="17365D"/>
              <w:left w:val="nil"/>
              <w:bottom w:val="single" w:sz="4" w:space="0" w:color="17365D"/>
              <w:right w:val="nil"/>
            </w:tcBorders>
            <w:shd w:val="clear" w:color="auto" w:fill="auto"/>
            <w:noWrap/>
            <w:vAlign w:val="center"/>
            <w:hideMark/>
          </w:tcPr>
          <w:p w14:paraId="73711057" w14:textId="6B87B7FB" w:rsidR="00466E9D" w:rsidRPr="00A27896" w:rsidRDefault="00466E9D" w:rsidP="00466E9D">
            <w:pPr>
              <w:spacing w:after="0" w:line="240" w:lineRule="auto"/>
              <w:jc w:val="right"/>
              <w:rPr>
                <w:rFonts w:eastAsia="Times New Roman" w:cs="Times New Roman"/>
                <w:color w:val="17365D"/>
                <w:sz w:val="18"/>
                <w:szCs w:val="18"/>
                <w:lang w:eastAsia="lv-LV"/>
              </w:rPr>
            </w:pPr>
            <w:r w:rsidRPr="001C3A6E">
              <w:rPr>
                <w:rFonts w:eastAsia="Times New Roman" w:cs="Times New Roman"/>
                <w:color w:val="17365D"/>
                <w:sz w:val="18"/>
                <w:szCs w:val="18"/>
                <w:lang w:eastAsia="lv-LV"/>
              </w:rPr>
              <w:t>KB.5.1.2.</w:t>
            </w:r>
          </w:p>
        </w:tc>
        <w:tc>
          <w:tcPr>
            <w:tcW w:w="812" w:type="pct"/>
            <w:tcBorders>
              <w:top w:val="single" w:sz="4" w:space="0" w:color="17365D"/>
              <w:left w:val="nil"/>
              <w:bottom w:val="single" w:sz="4" w:space="0" w:color="17365D"/>
              <w:right w:val="nil"/>
            </w:tcBorders>
            <w:shd w:val="clear" w:color="auto" w:fill="auto"/>
            <w:vAlign w:val="center"/>
          </w:tcPr>
          <w:p w14:paraId="538CC820" w14:textId="50AA061A"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130 967 168</w:t>
            </w:r>
          </w:p>
        </w:tc>
        <w:tc>
          <w:tcPr>
            <w:tcW w:w="812" w:type="pct"/>
            <w:tcBorders>
              <w:top w:val="single" w:sz="4" w:space="0" w:color="17365D"/>
              <w:left w:val="nil"/>
              <w:bottom w:val="single" w:sz="4" w:space="0" w:color="17365D"/>
              <w:right w:val="nil"/>
            </w:tcBorders>
            <w:shd w:val="clear" w:color="auto" w:fill="auto"/>
            <w:vAlign w:val="center"/>
          </w:tcPr>
          <w:p w14:paraId="5AE64A77" w14:textId="25B8FF45"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18 099 864</w:t>
            </w:r>
          </w:p>
        </w:tc>
        <w:tc>
          <w:tcPr>
            <w:tcW w:w="818" w:type="pct"/>
            <w:tcBorders>
              <w:top w:val="single" w:sz="4" w:space="0" w:color="17365D"/>
              <w:left w:val="nil"/>
              <w:bottom w:val="single" w:sz="4" w:space="0" w:color="17365D"/>
              <w:right w:val="nil"/>
            </w:tcBorders>
            <w:shd w:val="clear" w:color="auto" w:fill="auto"/>
            <w:noWrap/>
            <w:vAlign w:val="center"/>
          </w:tcPr>
          <w:p w14:paraId="4FC3A513" w14:textId="4525BC27"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112 867 304</w:t>
            </w:r>
          </w:p>
        </w:tc>
        <w:tc>
          <w:tcPr>
            <w:tcW w:w="632" w:type="pct"/>
            <w:tcBorders>
              <w:top w:val="single" w:sz="4" w:space="0" w:color="17365D"/>
              <w:left w:val="nil"/>
              <w:bottom w:val="single" w:sz="4" w:space="0" w:color="17365D"/>
              <w:right w:val="nil"/>
            </w:tcBorders>
            <w:shd w:val="clear" w:color="auto" w:fill="auto"/>
            <w:noWrap/>
            <w:vAlign w:val="center"/>
          </w:tcPr>
          <w:p w14:paraId="1FA0AEAF" w14:textId="53B005F3"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623.58</w:t>
            </w:r>
          </w:p>
        </w:tc>
      </w:tr>
      <w:tr w:rsidR="00196D73" w:rsidRPr="00A27896" w14:paraId="42D2ABF2" w14:textId="77777777" w:rsidTr="00475A10">
        <w:trPr>
          <w:trHeight w:val="54"/>
        </w:trPr>
        <w:tc>
          <w:tcPr>
            <w:tcW w:w="1408" w:type="pct"/>
            <w:tcBorders>
              <w:top w:val="single" w:sz="4" w:space="0" w:color="17365D"/>
              <w:bottom w:val="single" w:sz="4" w:space="0" w:color="17365D"/>
            </w:tcBorders>
            <w:shd w:val="clear" w:color="auto" w:fill="auto"/>
            <w:vAlign w:val="center"/>
            <w:hideMark/>
          </w:tcPr>
          <w:p w14:paraId="3AB52690" w14:textId="77777777" w:rsidR="00196D73" w:rsidRPr="00A27896" w:rsidRDefault="00196D73" w:rsidP="00196D7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uzkrātās saistības</w:t>
            </w:r>
          </w:p>
        </w:tc>
        <w:tc>
          <w:tcPr>
            <w:tcW w:w="518" w:type="pct"/>
            <w:tcBorders>
              <w:top w:val="single" w:sz="4" w:space="0" w:color="17365D"/>
              <w:bottom w:val="single" w:sz="4" w:space="0" w:color="17365D"/>
            </w:tcBorders>
            <w:shd w:val="clear" w:color="auto" w:fill="auto"/>
            <w:noWrap/>
            <w:vAlign w:val="center"/>
          </w:tcPr>
          <w:p w14:paraId="52953A94" w14:textId="41EF2728" w:rsidR="00196D73" w:rsidRPr="00A27896" w:rsidRDefault="00196D73" w:rsidP="00196D73">
            <w:pPr>
              <w:spacing w:after="0" w:line="240" w:lineRule="auto"/>
              <w:jc w:val="right"/>
              <w:rPr>
                <w:rFonts w:eastAsia="Times New Roman" w:cs="Times New Roman"/>
                <w:color w:val="17365D"/>
                <w:sz w:val="18"/>
                <w:szCs w:val="18"/>
                <w:lang w:eastAsia="lv-LV"/>
              </w:rPr>
            </w:pPr>
          </w:p>
        </w:tc>
        <w:tc>
          <w:tcPr>
            <w:tcW w:w="812" w:type="pct"/>
            <w:tcBorders>
              <w:top w:val="single" w:sz="4" w:space="0" w:color="17365D"/>
              <w:left w:val="nil"/>
              <w:bottom w:val="single" w:sz="4" w:space="0" w:color="17365D"/>
              <w:right w:val="nil"/>
            </w:tcBorders>
            <w:shd w:val="clear" w:color="auto" w:fill="auto"/>
            <w:vAlign w:val="center"/>
          </w:tcPr>
          <w:p w14:paraId="41F5188E" w14:textId="58CB9094" w:rsidR="00196D73" w:rsidRPr="00196D73" w:rsidRDefault="00196D73" w:rsidP="00196D73">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53 103 243</w:t>
            </w:r>
          </w:p>
        </w:tc>
        <w:tc>
          <w:tcPr>
            <w:tcW w:w="812" w:type="pct"/>
            <w:tcBorders>
              <w:top w:val="single" w:sz="4" w:space="0" w:color="17365D"/>
              <w:left w:val="nil"/>
              <w:bottom w:val="single" w:sz="4" w:space="0" w:color="17365D"/>
              <w:right w:val="nil"/>
            </w:tcBorders>
            <w:shd w:val="clear" w:color="auto" w:fill="auto"/>
            <w:vAlign w:val="center"/>
          </w:tcPr>
          <w:p w14:paraId="72BBE2CA" w14:textId="14765090" w:rsidR="00196D73" w:rsidRPr="00196D73" w:rsidRDefault="00196D73" w:rsidP="00196D73">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65 522 476</w:t>
            </w:r>
          </w:p>
        </w:tc>
        <w:tc>
          <w:tcPr>
            <w:tcW w:w="818" w:type="pct"/>
            <w:tcBorders>
              <w:top w:val="single" w:sz="4" w:space="0" w:color="17365D"/>
              <w:left w:val="nil"/>
              <w:bottom w:val="single" w:sz="4" w:space="0" w:color="17365D"/>
              <w:right w:val="nil"/>
            </w:tcBorders>
            <w:shd w:val="clear" w:color="auto" w:fill="auto"/>
            <w:noWrap/>
            <w:vAlign w:val="center"/>
          </w:tcPr>
          <w:p w14:paraId="2CF84C1B" w14:textId="19FD7324" w:rsidR="00196D73" w:rsidRPr="00196D73" w:rsidRDefault="00196D73" w:rsidP="00196D73">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-12 419 233</w:t>
            </w:r>
          </w:p>
        </w:tc>
        <w:tc>
          <w:tcPr>
            <w:tcW w:w="632" w:type="pct"/>
            <w:tcBorders>
              <w:top w:val="single" w:sz="4" w:space="0" w:color="17365D"/>
              <w:left w:val="nil"/>
              <w:bottom w:val="single" w:sz="4" w:space="0" w:color="17365D"/>
              <w:right w:val="nil"/>
            </w:tcBorders>
            <w:shd w:val="clear" w:color="auto" w:fill="auto"/>
            <w:noWrap/>
            <w:vAlign w:val="center"/>
          </w:tcPr>
          <w:p w14:paraId="4C8C70DD" w14:textId="2B36E2DA" w:rsidR="00196D73" w:rsidRPr="00196D73" w:rsidRDefault="00196D73" w:rsidP="00196D73">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-18.95</w:t>
            </w:r>
          </w:p>
        </w:tc>
      </w:tr>
      <w:tr w:rsidR="00466E9D" w:rsidRPr="00A27896" w14:paraId="57C61EE4" w14:textId="77777777" w:rsidTr="00475A10">
        <w:trPr>
          <w:trHeight w:val="113"/>
        </w:trPr>
        <w:tc>
          <w:tcPr>
            <w:tcW w:w="1408" w:type="pct"/>
            <w:tcBorders>
              <w:top w:val="single" w:sz="4" w:space="0" w:color="17365D"/>
              <w:bottom w:val="single" w:sz="4" w:space="0" w:color="17365D"/>
            </w:tcBorders>
            <w:shd w:val="clear" w:color="auto" w:fill="auto"/>
            <w:vAlign w:val="center"/>
            <w:hideMark/>
          </w:tcPr>
          <w:p w14:paraId="271B3EB4" w14:textId="1B0CDD2A" w:rsidR="00466E9D" w:rsidRPr="00A27896" w:rsidRDefault="00466E9D" w:rsidP="00466E9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Ilgtermiņa nākamo per</w:t>
            </w:r>
            <w:r w:rsidR="00AA0501">
              <w:rPr>
                <w:rFonts w:eastAsia="Times New Roman" w:cs="Times New Roman"/>
                <w:color w:val="17365D"/>
                <w:sz w:val="18"/>
                <w:szCs w:val="18"/>
                <w:lang w:eastAsia="lv-LV"/>
              </w:rPr>
              <w:t>iodu ieņēmumi un saņemtie avansa maksājumi</w:t>
            </w:r>
          </w:p>
        </w:tc>
        <w:tc>
          <w:tcPr>
            <w:tcW w:w="518" w:type="pct"/>
            <w:tcBorders>
              <w:top w:val="single" w:sz="4" w:space="0" w:color="17365D"/>
              <w:bottom w:val="single" w:sz="4" w:space="0" w:color="17365D"/>
            </w:tcBorders>
            <w:shd w:val="clear" w:color="auto" w:fill="auto"/>
            <w:noWrap/>
            <w:vAlign w:val="center"/>
          </w:tcPr>
          <w:p w14:paraId="5B41466C" w14:textId="39C71FC4" w:rsidR="00466E9D" w:rsidRPr="00A27896" w:rsidRDefault="00466E9D" w:rsidP="00466E9D">
            <w:pPr>
              <w:spacing w:after="0" w:line="240" w:lineRule="auto"/>
              <w:jc w:val="right"/>
              <w:rPr>
                <w:rFonts w:eastAsia="Times New Roman" w:cs="Times New Roman"/>
                <w:color w:val="17365D"/>
                <w:sz w:val="18"/>
                <w:szCs w:val="18"/>
                <w:lang w:eastAsia="lv-LV"/>
              </w:rPr>
            </w:pPr>
            <w:r w:rsidRPr="001C3A6E">
              <w:rPr>
                <w:rFonts w:eastAsia="Times New Roman" w:cs="Times New Roman"/>
                <w:color w:val="17365D"/>
                <w:sz w:val="18"/>
                <w:szCs w:val="18"/>
                <w:lang w:eastAsia="lv-LV"/>
              </w:rPr>
              <w:t>KB.5.1.3.</w:t>
            </w:r>
          </w:p>
        </w:tc>
        <w:tc>
          <w:tcPr>
            <w:tcW w:w="812" w:type="pct"/>
            <w:tcBorders>
              <w:top w:val="single" w:sz="4" w:space="0" w:color="17365D"/>
              <w:left w:val="nil"/>
              <w:bottom w:val="single" w:sz="4" w:space="0" w:color="17365D"/>
              <w:right w:val="nil"/>
            </w:tcBorders>
            <w:shd w:val="clear" w:color="auto" w:fill="auto"/>
            <w:vAlign w:val="center"/>
          </w:tcPr>
          <w:p w14:paraId="72377E90" w14:textId="271A791F"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364 745 414</w:t>
            </w:r>
          </w:p>
        </w:tc>
        <w:tc>
          <w:tcPr>
            <w:tcW w:w="812" w:type="pct"/>
            <w:tcBorders>
              <w:top w:val="single" w:sz="4" w:space="0" w:color="17365D"/>
              <w:left w:val="nil"/>
              <w:bottom w:val="single" w:sz="4" w:space="0" w:color="17365D"/>
              <w:right w:val="nil"/>
            </w:tcBorders>
            <w:shd w:val="clear" w:color="auto" w:fill="auto"/>
            <w:vAlign w:val="center"/>
          </w:tcPr>
          <w:p w14:paraId="55FF58A4" w14:textId="3DA568B6"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274 616 060</w:t>
            </w:r>
          </w:p>
        </w:tc>
        <w:tc>
          <w:tcPr>
            <w:tcW w:w="818" w:type="pct"/>
            <w:tcBorders>
              <w:top w:val="single" w:sz="4" w:space="0" w:color="17365D"/>
              <w:left w:val="nil"/>
              <w:bottom w:val="single" w:sz="4" w:space="0" w:color="17365D"/>
              <w:right w:val="nil"/>
            </w:tcBorders>
            <w:shd w:val="clear" w:color="auto" w:fill="auto"/>
            <w:noWrap/>
            <w:vAlign w:val="center"/>
          </w:tcPr>
          <w:p w14:paraId="3FF86F02" w14:textId="0DAEEEC7"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90 129 354</w:t>
            </w:r>
          </w:p>
        </w:tc>
        <w:tc>
          <w:tcPr>
            <w:tcW w:w="632" w:type="pct"/>
            <w:tcBorders>
              <w:top w:val="single" w:sz="4" w:space="0" w:color="17365D"/>
              <w:left w:val="nil"/>
              <w:bottom w:val="single" w:sz="4" w:space="0" w:color="17365D"/>
              <w:right w:val="nil"/>
            </w:tcBorders>
            <w:shd w:val="clear" w:color="auto" w:fill="auto"/>
            <w:noWrap/>
            <w:vAlign w:val="center"/>
          </w:tcPr>
          <w:p w14:paraId="38C77AFD" w14:textId="0B0B07E9"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32.82</w:t>
            </w:r>
          </w:p>
        </w:tc>
      </w:tr>
      <w:tr w:rsidR="00466E9D" w:rsidRPr="00A27896" w14:paraId="0E3AA838" w14:textId="77777777" w:rsidTr="00475A10">
        <w:trPr>
          <w:trHeight w:val="113"/>
        </w:trPr>
        <w:tc>
          <w:tcPr>
            <w:tcW w:w="1408" w:type="pct"/>
            <w:tcBorders>
              <w:top w:val="single" w:sz="4" w:space="0" w:color="17365D"/>
              <w:bottom w:val="single" w:sz="4" w:space="0" w:color="17365D"/>
              <w:right w:val="nil"/>
            </w:tcBorders>
            <w:shd w:val="clear" w:color="auto" w:fill="auto"/>
            <w:vAlign w:val="center"/>
            <w:hideMark/>
          </w:tcPr>
          <w:p w14:paraId="79545FD2" w14:textId="77777777" w:rsidR="00466E9D" w:rsidRPr="00A27896" w:rsidRDefault="00466E9D" w:rsidP="00466E9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Emitēto obligāciju un citu parāda vērtspapīru ilgtermiņa daļa</w:t>
            </w:r>
          </w:p>
        </w:tc>
        <w:tc>
          <w:tcPr>
            <w:tcW w:w="518" w:type="pct"/>
            <w:tcBorders>
              <w:top w:val="single" w:sz="4" w:space="0" w:color="17365D"/>
              <w:left w:val="nil"/>
              <w:bottom w:val="single" w:sz="4" w:space="0" w:color="17365D"/>
              <w:right w:val="nil"/>
            </w:tcBorders>
            <w:shd w:val="clear" w:color="auto" w:fill="auto"/>
            <w:noWrap/>
            <w:vAlign w:val="center"/>
          </w:tcPr>
          <w:p w14:paraId="34ECE83C" w14:textId="413B314A"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KB.5.1.4.</w:t>
            </w:r>
          </w:p>
        </w:tc>
        <w:tc>
          <w:tcPr>
            <w:tcW w:w="812" w:type="pct"/>
            <w:tcBorders>
              <w:top w:val="single" w:sz="4" w:space="0" w:color="17365D"/>
              <w:left w:val="nil"/>
              <w:bottom w:val="single" w:sz="4" w:space="0" w:color="17365D"/>
              <w:right w:val="nil"/>
            </w:tcBorders>
            <w:shd w:val="clear" w:color="auto" w:fill="auto"/>
            <w:vAlign w:val="center"/>
          </w:tcPr>
          <w:p w14:paraId="7F9623D4" w14:textId="16DEADD7"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13 721 602 492</w:t>
            </w:r>
          </w:p>
        </w:tc>
        <w:tc>
          <w:tcPr>
            <w:tcW w:w="812" w:type="pct"/>
            <w:tcBorders>
              <w:top w:val="single" w:sz="4" w:space="0" w:color="17365D"/>
              <w:left w:val="nil"/>
              <w:bottom w:val="single" w:sz="4" w:space="0" w:color="17365D"/>
              <w:right w:val="nil"/>
            </w:tcBorders>
            <w:shd w:val="clear" w:color="auto" w:fill="auto"/>
            <w:vAlign w:val="center"/>
          </w:tcPr>
          <w:p w14:paraId="3DE97AA5" w14:textId="77BFCF4B"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11 885 848 574</w:t>
            </w:r>
          </w:p>
        </w:tc>
        <w:tc>
          <w:tcPr>
            <w:tcW w:w="818" w:type="pct"/>
            <w:tcBorders>
              <w:top w:val="single" w:sz="4" w:space="0" w:color="17365D"/>
              <w:left w:val="nil"/>
              <w:bottom w:val="single" w:sz="4" w:space="0" w:color="17365D"/>
              <w:right w:val="nil"/>
            </w:tcBorders>
            <w:shd w:val="clear" w:color="auto" w:fill="auto"/>
            <w:noWrap/>
            <w:vAlign w:val="center"/>
          </w:tcPr>
          <w:p w14:paraId="4112E4E2" w14:textId="1480674F"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1 835 753 918</w:t>
            </w:r>
          </w:p>
        </w:tc>
        <w:tc>
          <w:tcPr>
            <w:tcW w:w="632" w:type="pct"/>
            <w:tcBorders>
              <w:top w:val="single" w:sz="4" w:space="0" w:color="17365D"/>
              <w:left w:val="nil"/>
              <w:bottom w:val="single" w:sz="4" w:space="0" w:color="17365D"/>
              <w:right w:val="nil"/>
            </w:tcBorders>
            <w:shd w:val="clear" w:color="auto" w:fill="auto"/>
            <w:noWrap/>
            <w:vAlign w:val="center"/>
          </w:tcPr>
          <w:p w14:paraId="0CE37CE2" w14:textId="1D080D4E"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15.44</w:t>
            </w:r>
          </w:p>
        </w:tc>
      </w:tr>
      <w:tr w:rsidR="00466E9D" w:rsidRPr="00A27896" w14:paraId="6DB69AD9" w14:textId="77777777" w:rsidTr="00475A10">
        <w:trPr>
          <w:trHeight w:val="240"/>
        </w:trPr>
        <w:tc>
          <w:tcPr>
            <w:tcW w:w="1408" w:type="pct"/>
            <w:tcBorders>
              <w:top w:val="single" w:sz="4" w:space="0" w:color="17365D"/>
              <w:bottom w:val="single" w:sz="4" w:space="0" w:color="17365D"/>
            </w:tcBorders>
            <w:shd w:val="clear" w:color="auto" w:fill="auto"/>
            <w:vAlign w:val="center"/>
          </w:tcPr>
          <w:p w14:paraId="7DB6B9EA" w14:textId="6F9840A5" w:rsidR="00466E9D" w:rsidRPr="00A27896" w:rsidRDefault="00466E9D" w:rsidP="00466E9D">
            <w:pPr>
              <w:spacing w:after="0" w:line="240" w:lineRule="auto"/>
              <w:rPr>
                <w:rFonts w:eastAsia="Times New Roman" w:cs="Times New Roman"/>
                <w:color w:val="17365D"/>
                <w:sz w:val="18"/>
                <w:szCs w:val="18"/>
                <w:lang w:eastAsia="lv-LV"/>
              </w:rPr>
            </w:pPr>
            <w:r w:rsidRPr="00D06B09">
              <w:rPr>
                <w:rFonts w:eastAsia="Times New Roman" w:cs="Times New Roman"/>
                <w:color w:val="17365D"/>
                <w:sz w:val="18"/>
                <w:szCs w:val="18"/>
                <w:lang w:eastAsia="lv-LV"/>
              </w:rPr>
              <w:t>Saņemtie ilgtermiņa noguldījumi</w:t>
            </w:r>
          </w:p>
        </w:tc>
        <w:tc>
          <w:tcPr>
            <w:tcW w:w="518" w:type="pct"/>
            <w:tcBorders>
              <w:top w:val="single" w:sz="4" w:space="0" w:color="17365D"/>
              <w:bottom w:val="single" w:sz="4" w:space="0" w:color="17365D"/>
            </w:tcBorders>
            <w:shd w:val="clear" w:color="auto" w:fill="auto"/>
            <w:noWrap/>
            <w:vAlign w:val="center"/>
          </w:tcPr>
          <w:p w14:paraId="660730B4" w14:textId="77777777" w:rsidR="00466E9D" w:rsidRPr="00A27896" w:rsidRDefault="00466E9D" w:rsidP="00466E9D">
            <w:pPr>
              <w:spacing w:after="0" w:line="240" w:lineRule="auto"/>
              <w:jc w:val="right"/>
              <w:rPr>
                <w:rFonts w:eastAsia="Times New Roman" w:cs="Times New Roman"/>
                <w:color w:val="17365D"/>
                <w:sz w:val="18"/>
                <w:szCs w:val="18"/>
                <w:lang w:eastAsia="lv-LV"/>
              </w:rPr>
            </w:pPr>
          </w:p>
        </w:tc>
        <w:tc>
          <w:tcPr>
            <w:tcW w:w="812" w:type="pct"/>
            <w:tcBorders>
              <w:top w:val="single" w:sz="4" w:space="0" w:color="17365D"/>
              <w:left w:val="nil"/>
              <w:bottom w:val="single" w:sz="4" w:space="0" w:color="17365D"/>
              <w:right w:val="nil"/>
            </w:tcBorders>
            <w:shd w:val="clear" w:color="auto" w:fill="auto"/>
            <w:vAlign w:val="center"/>
          </w:tcPr>
          <w:p w14:paraId="3CE45C68" w14:textId="58F32760"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1</w:t>
            </w:r>
          </w:p>
        </w:tc>
        <w:tc>
          <w:tcPr>
            <w:tcW w:w="812" w:type="pct"/>
            <w:tcBorders>
              <w:top w:val="single" w:sz="4" w:space="0" w:color="17365D"/>
              <w:left w:val="nil"/>
              <w:bottom w:val="single" w:sz="4" w:space="0" w:color="17365D"/>
              <w:right w:val="nil"/>
            </w:tcBorders>
            <w:shd w:val="clear" w:color="auto" w:fill="auto"/>
            <w:vAlign w:val="center"/>
          </w:tcPr>
          <w:p w14:paraId="1FB9D4A7" w14:textId="033A7701"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0</w:t>
            </w:r>
          </w:p>
        </w:tc>
        <w:tc>
          <w:tcPr>
            <w:tcW w:w="818" w:type="pct"/>
            <w:tcBorders>
              <w:top w:val="single" w:sz="4" w:space="0" w:color="17365D"/>
              <w:left w:val="nil"/>
              <w:bottom w:val="single" w:sz="4" w:space="0" w:color="17365D"/>
              <w:right w:val="nil"/>
            </w:tcBorders>
            <w:shd w:val="clear" w:color="auto" w:fill="auto"/>
            <w:noWrap/>
            <w:vAlign w:val="center"/>
          </w:tcPr>
          <w:p w14:paraId="371FE076" w14:textId="74F40EC4"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1</w:t>
            </w:r>
          </w:p>
        </w:tc>
        <w:tc>
          <w:tcPr>
            <w:tcW w:w="632" w:type="pct"/>
            <w:tcBorders>
              <w:top w:val="single" w:sz="4" w:space="0" w:color="17365D"/>
              <w:left w:val="nil"/>
              <w:bottom w:val="single" w:sz="4" w:space="0" w:color="17365D"/>
              <w:right w:val="nil"/>
            </w:tcBorders>
            <w:shd w:val="clear" w:color="auto" w:fill="auto"/>
            <w:noWrap/>
            <w:vAlign w:val="center"/>
          </w:tcPr>
          <w:p w14:paraId="5CF2E7E1" w14:textId="0B6D183B" w:rsidR="00466E9D" w:rsidRPr="00CD5851" w:rsidRDefault="00466E9D" w:rsidP="00466E9D">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100</w:t>
            </w:r>
            <w:r w:rsidR="007B6525">
              <w:rPr>
                <w:rFonts w:eastAsia="Times New Roman" w:cs="Times New Roman"/>
                <w:color w:val="17365D"/>
                <w:sz w:val="18"/>
                <w:szCs w:val="18"/>
                <w:lang w:eastAsia="lv-LV"/>
              </w:rPr>
              <w:t>.00</w:t>
            </w:r>
          </w:p>
        </w:tc>
      </w:tr>
      <w:tr w:rsidR="00466E9D" w:rsidRPr="00A27896" w14:paraId="135E9EC7" w14:textId="77777777" w:rsidTr="00475A10">
        <w:trPr>
          <w:trHeight w:val="240"/>
        </w:trPr>
        <w:tc>
          <w:tcPr>
            <w:tcW w:w="1408" w:type="pct"/>
            <w:tcBorders>
              <w:top w:val="single" w:sz="4" w:space="0" w:color="17365D"/>
              <w:bottom w:val="single" w:sz="4" w:space="0" w:color="17365D"/>
            </w:tcBorders>
            <w:shd w:val="clear" w:color="auto" w:fill="auto"/>
            <w:vAlign w:val="center"/>
            <w:hideMark/>
          </w:tcPr>
          <w:p w14:paraId="669BE8A4" w14:textId="77777777" w:rsidR="00466E9D" w:rsidRPr="00A27896" w:rsidRDefault="00466E9D" w:rsidP="00466E9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Pārējās ilgtermiņa saistības</w:t>
            </w:r>
          </w:p>
        </w:tc>
        <w:tc>
          <w:tcPr>
            <w:tcW w:w="518" w:type="pct"/>
            <w:tcBorders>
              <w:top w:val="single" w:sz="4" w:space="0" w:color="17365D"/>
              <w:bottom w:val="single" w:sz="4" w:space="0" w:color="17365D"/>
            </w:tcBorders>
            <w:shd w:val="clear" w:color="auto" w:fill="auto"/>
            <w:noWrap/>
            <w:vAlign w:val="center"/>
          </w:tcPr>
          <w:p w14:paraId="0638D74A" w14:textId="37FD3A8B" w:rsidR="00466E9D" w:rsidRPr="00A27896" w:rsidRDefault="00466E9D" w:rsidP="00466E9D">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KB.5.1.5.</w:t>
            </w:r>
          </w:p>
        </w:tc>
        <w:tc>
          <w:tcPr>
            <w:tcW w:w="812" w:type="pct"/>
            <w:tcBorders>
              <w:top w:val="single" w:sz="4" w:space="0" w:color="17365D"/>
              <w:left w:val="nil"/>
              <w:bottom w:val="single" w:sz="4" w:space="0" w:color="17365D"/>
              <w:right w:val="nil"/>
            </w:tcBorders>
            <w:shd w:val="clear" w:color="auto" w:fill="auto"/>
            <w:vAlign w:val="center"/>
          </w:tcPr>
          <w:p w14:paraId="4DA7E116" w14:textId="08BBB3AD"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8 052 708 896</w:t>
            </w:r>
          </w:p>
        </w:tc>
        <w:tc>
          <w:tcPr>
            <w:tcW w:w="812" w:type="pct"/>
            <w:tcBorders>
              <w:top w:val="single" w:sz="4" w:space="0" w:color="17365D"/>
              <w:left w:val="nil"/>
              <w:bottom w:val="single" w:sz="4" w:space="0" w:color="17365D"/>
              <w:right w:val="nil"/>
            </w:tcBorders>
            <w:shd w:val="clear" w:color="auto" w:fill="auto"/>
            <w:vAlign w:val="center"/>
          </w:tcPr>
          <w:p w14:paraId="3C72F377" w14:textId="23E8AAC6"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6 120 322 618</w:t>
            </w:r>
          </w:p>
        </w:tc>
        <w:tc>
          <w:tcPr>
            <w:tcW w:w="818" w:type="pct"/>
            <w:tcBorders>
              <w:top w:val="single" w:sz="4" w:space="0" w:color="17365D"/>
              <w:left w:val="nil"/>
              <w:bottom w:val="single" w:sz="4" w:space="0" w:color="17365D"/>
              <w:right w:val="nil"/>
            </w:tcBorders>
            <w:shd w:val="clear" w:color="auto" w:fill="auto"/>
            <w:noWrap/>
            <w:vAlign w:val="center"/>
          </w:tcPr>
          <w:p w14:paraId="20F2FA58" w14:textId="2FEC26E0"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1 932 386 278</w:t>
            </w:r>
          </w:p>
        </w:tc>
        <w:tc>
          <w:tcPr>
            <w:tcW w:w="632" w:type="pct"/>
            <w:tcBorders>
              <w:top w:val="single" w:sz="4" w:space="0" w:color="17365D"/>
              <w:left w:val="nil"/>
              <w:bottom w:val="single" w:sz="4" w:space="0" w:color="17365D"/>
              <w:right w:val="nil"/>
            </w:tcBorders>
            <w:shd w:val="clear" w:color="auto" w:fill="auto"/>
            <w:noWrap/>
            <w:vAlign w:val="center"/>
          </w:tcPr>
          <w:p w14:paraId="247ABAD7" w14:textId="119C3B04" w:rsidR="00466E9D" w:rsidRPr="00A27896" w:rsidRDefault="00466E9D" w:rsidP="00466E9D">
            <w:pPr>
              <w:spacing w:after="0" w:line="240" w:lineRule="auto"/>
              <w:jc w:val="right"/>
              <w:rPr>
                <w:rFonts w:cs="Times New Roman"/>
                <w:color w:val="17365D"/>
                <w:sz w:val="18"/>
                <w:szCs w:val="18"/>
              </w:rPr>
            </w:pPr>
            <w:r w:rsidRPr="001C3A6E">
              <w:rPr>
                <w:rFonts w:eastAsia="Times New Roman" w:cs="Times New Roman"/>
                <w:color w:val="17365D"/>
                <w:sz w:val="18"/>
                <w:szCs w:val="18"/>
                <w:lang w:eastAsia="lv-LV"/>
              </w:rPr>
              <w:t>31.57</w:t>
            </w:r>
          </w:p>
        </w:tc>
      </w:tr>
      <w:tr w:rsidR="000C1009" w:rsidRPr="00A27896" w14:paraId="2511B291" w14:textId="77777777" w:rsidTr="002813ED">
        <w:trPr>
          <w:trHeight w:val="56"/>
        </w:trPr>
        <w:tc>
          <w:tcPr>
            <w:tcW w:w="1408" w:type="pct"/>
            <w:tcBorders>
              <w:top w:val="single" w:sz="4" w:space="0" w:color="17365D"/>
              <w:bottom w:val="nil"/>
            </w:tcBorders>
            <w:shd w:val="clear" w:color="auto" w:fill="B9CDE5"/>
            <w:vAlign w:val="center"/>
          </w:tcPr>
          <w:p w14:paraId="2FFDF583" w14:textId="77777777" w:rsidR="00282143" w:rsidRPr="00A27896" w:rsidRDefault="00282143" w:rsidP="00282143">
            <w:pPr>
              <w:spacing w:after="0"/>
              <w:rPr>
                <w:rFonts w:eastAsia="Times New Roman" w:cs="Times New Roman"/>
                <w:color w:val="17365D"/>
                <w:sz w:val="18"/>
                <w:szCs w:val="18"/>
                <w:lang w:eastAsia="lv-LV"/>
              </w:rPr>
            </w:pPr>
          </w:p>
        </w:tc>
        <w:tc>
          <w:tcPr>
            <w:tcW w:w="518" w:type="pct"/>
            <w:tcBorders>
              <w:top w:val="single" w:sz="4" w:space="0" w:color="17365D"/>
              <w:bottom w:val="nil"/>
            </w:tcBorders>
            <w:shd w:val="clear" w:color="auto" w:fill="B9CDE5"/>
            <w:noWrap/>
            <w:vAlign w:val="center"/>
          </w:tcPr>
          <w:p w14:paraId="3CC0656D" w14:textId="77777777" w:rsidR="00282143" w:rsidRPr="00A27896" w:rsidRDefault="00282143" w:rsidP="00282143">
            <w:pPr>
              <w:spacing w:after="0"/>
              <w:jc w:val="center"/>
              <w:rPr>
                <w:rFonts w:eastAsia="Times New Roman" w:cs="Times New Roman"/>
                <w:color w:val="17365D"/>
                <w:sz w:val="18"/>
                <w:szCs w:val="18"/>
                <w:lang w:eastAsia="lv-LV"/>
              </w:rPr>
            </w:pPr>
          </w:p>
        </w:tc>
        <w:tc>
          <w:tcPr>
            <w:tcW w:w="812" w:type="pct"/>
            <w:tcBorders>
              <w:top w:val="single" w:sz="4" w:space="0" w:color="17365D"/>
              <w:bottom w:val="nil"/>
            </w:tcBorders>
            <w:shd w:val="clear" w:color="auto" w:fill="B9CDE5"/>
            <w:vAlign w:val="center"/>
          </w:tcPr>
          <w:p w14:paraId="3BFFE156" w14:textId="77777777" w:rsidR="00282143" w:rsidRPr="00A27896" w:rsidRDefault="00282143" w:rsidP="00282143">
            <w:pPr>
              <w:spacing w:after="0"/>
              <w:jc w:val="right"/>
              <w:rPr>
                <w:rFonts w:eastAsia="Times New Roman" w:cs="Times New Roman"/>
                <w:color w:val="17365D"/>
                <w:sz w:val="18"/>
                <w:szCs w:val="18"/>
                <w:lang w:eastAsia="lv-LV"/>
              </w:rPr>
            </w:pPr>
          </w:p>
        </w:tc>
        <w:tc>
          <w:tcPr>
            <w:tcW w:w="812" w:type="pct"/>
            <w:tcBorders>
              <w:top w:val="single" w:sz="4" w:space="0" w:color="17365D"/>
              <w:bottom w:val="nil"/>
            </w:tcBorders>
            <w:shd w:val="clear" w:color="auto" w:fill="B9CDE5"/>
            <w:vAlign w:val="center"/>
          </w:tcPr>
          <w:p w14:paraId="627478CE" w14:textId="77777777" w:rsidR="00282143" w:rsidRPr="00A27896" w:rsidRDefault="00282143" w:rsidP="00282143">
            <w:pPr>
              <w:spacing w:after="0"/>
              <w:jc w:val="right"/>
              <w:rPr>
                <w:rFonts w:eastAsia="Times New Roman" w:cs="Times New Roman"/>
                <w:color w:val="17365D"/>
                <w:sz w:val="18"/>
                <w:szCs w:val="18"/>
                <w:lang w:eastAsia="lv-LV"/>
              </w:rPr>
            </w:pPr>
          </w:p>
        </w:tc>
        <w:tc>
          <w:tcPr>
            <w:tcW w:w="818" w:type="pct"/>
            <w:tcBorders>
              <w:top w:val="single" w:sz="4" w:space="0" w:color="17365D"/>
              <w:bottom w:val="nil"/>
            </w:tcBorders>
            <w:shd w:val="clear" w:color="auto" w:fill="B9CDE5"/>
            <w:noWrap/>
            <w:vAlign w:val="center"/>
          </w:tcPr>
          <w:p w14:paraId="294B6B80" w14:textId="77777777" w:rsidR="00282143" w:rsidRPr="00A27896" w:rsidRDefault="00282143" w:rsidP="00282143">
            <w:pPr>
              <w:spacing w:after="0"/>
              <w:jc w:val="right"/>
              <w:rPr>
                <w:rFonts w:eastAsia="Times New Roman" w:cs="Times New Roman"/>
                <w:color w:val="17365D"/>
                <w:sz w:val="18"/>
                <w:szCs w:val="18"/>
                <w:lang w:eastAsia="lv-LV"/>
              </w:rPr>
            </w:pPr>
          </w:p>
        </w:tc>
        <w:tc>
          <w:tcPr>
            <w:tcW w:w="632" w:type="pct"/>
            <w:tcBorders>
              <w:top w:val="single" w:sz="4" w:space="0" w:color="17365D"/>
              <w:bottom w:val="nil"/>
            </w:tcBorders>
            <w:shd w:val="clear" w:color="auto" w:fill="B9CDE5"/>
            <w:noWrap/>
            <w:vAlign w:val="center"/>
          </w:tcPr>
          <w:p w14:paraId="4D67E038" w14:textId="77777777" w:rsidR="00282143" w:rsidRPr="00A27896" w:rsidRDefault="00282143" w:rsidP="00282143">
            <w:pPr>
              <w:spacing w:after="0"/>
              <w:jc w:val="right"/>
              <w:rPr>
                <w:rFonts w:eastAsia="Times New Roman" w:cs="Times New Roman"/>
                <w:color w:val="17365D"/>
                <w:sz w:val="18"/>
                <w:szCs w:val="18"/>
                <w:lang w:eastAsia="lv-LV"/>
              </w:rPr>
            </w:pPr>
          </w:p>
        </w:tc>
      </w:tr>
    </w:tbl>
    <w:p w14:paraId="43319563" w14:textId="77777777" w:rsidR="00917326" w:rsidRPr="00917326" w:rsidRDefault="00917326" w:rsidP="00917326">
      <w:pPr>
        <w:pStyle w:val="Heading5"/>
        <w:spacing w:before="240"/>
        <w:rPr>
          <w:rFonts w:cs="Times New Roman"/>
        </w:rPr>
      </w:pPr>
      <w:r w:rsidRPr="00917326">
        <w:rPr>
          <w:rFonts w:cs="Times New Roman"/>
        </w:rPr>
        <w:t>Piezīme Nr. KB.5.1.1. Ilgtermiņa aizņēmumi</w:t>
      </w:r>
    </w:p>
    <w:p w14:paraId="603CD812" w14:textId="14030E33" w:rsidR="00917326" w:rsidRPr="00917326" w:rsidRDefault="00917326" w:rsidP="004105BE">
      <w:pPr>
        <w:pStyle w:val="Pamatteksts1"/>
        <w:ind w:firstLine="284"/>
        <w:rPr>
          <w:color w:val="17365D"/>
        </w:rPr>
      </w:pPr>
      <w:r w:rsidRPr="00917326">
        <w:rPr>
          <w:color w:val="17365D"/>
        </w:rPr>
        <w:t xml:space="preserve">Bilances postenis konsolidēts par savstarpējiem valsts budžeta </w:t>
      </w:r>
      <w:r w:rsidR="004105BE">
        <w:rPr>
          <w:color w:val="17365D"/>
        </w:rPr>
        <w:t>finanšu uzskaites</w:t>
      </w:r>
      <w:r w:rsidRPr="00917326">
        <w:rPr>
          <w:color w:val="17365D"/>
        </w:rPr>
        <w:t xml:space="preserve"> un </w:t>
      </w:r>
      <w:r w:rsidR="006B0E02">
        <w:rPr>
          <w:color w:val="17365D"/>
        </w:rPr>
        <w:t>valsts un</w:t>
      </w:r>
      <w:r w:rsidRPr="00917326">
        <w:rPr>
          <w:color w:val="17365D"/>
        </w:rPr>
        <w:t xml:space="preserve"> pašvaldību </w:t>
      </w:r>
      <w:r w:rsidR="006B0E02">
        <w:rPr>
          <w:color w:val="17365D"/>
        </w:rPr>
        <w:t xml:space="preserve">budžeta iestāžu </w:t>
      </w:r>
      <w:r w:rsidRPr="00917326">
        <w:rPr>
          <w:color w:val="17365D"/>
        </w:rPr>
        <w:t>aizdevumiem un aizņēmumiem.</w:t>
      </w:r>
    </w:p>
    <w:p w14:paraId="193A13F7" w14:textId="1EDFB8FA" w:rsidR="00917326" w:rsidRPr="00917326" w:rsidRDefault="00917326" w:rsidP="004105BE">
      <w:pPr>
        <w:pStyle w:val="Pamatteksts1"/>
        <w:ind w:firstLine="284"/>
        <w:rPr>
          <w:color w:val="17365D"/>
        </w:rPr>
      </w:pPr>
      <w:r w:rsidRPr="00917326">
        <w:rPr>
          <w:color w:val="17365D"/>
        </w:rPr>
        <w:t>Būtiskas šī bilances posteņa izmaiņas veido</w:t>
      </w:r>
      <w:r w:rsidR="00CE32C0">
        <w:rPr>
          <w:color w:val="17365D"/>
        </w:rPr>
        <w:t>jas</w:t>
      </w:r>
      <w:r w:rsidRPr="00917326">
        <w:rPr>
          <w:color w:val="17365D"/>
        </w:rPr>
        <w:t xml:space="preserve"> valsts budžeta finanšu uzskaitē: </w:t>
      </w:r>
    </w:p>
    <w:p w14:paraId="641CB402" w14:textId="4872FDCB" w:rsidR="00917326" w:rsidRPr="00917326" w:rsidRDefault="00917326" w:rsidP="00917326">
      <w:pPr>
        <w:pStyle w:val="Pamatteksts1"/>
        <w:rPr>
          <w:color w:val="17365D"/>
        </w:rPr>
      </w:pPr>
      <w:r w:rsidRPr="00917326">
        <w:rPr>
          <w:color w:val="17365D"/>
        </w:rPr>
        <w:t>•</w:t>
      </w:r>
      <w:r w:rsidRPr="00917326">
        <w:rPr>
          <w:color w:val="17365D"/>
        </w:rPr>
        <w:tab/>
        <w:t>pārklasificētās ilgtermiņa aizņēmumu ī</w:t>
      </w:r>
      <w:r>
        <w:rPr>
          <w:color w:val="17365D"/>
        </w:rPr>
        <w:t xml:space="preserve">stermiņa daļas izmaiņas </w:t>
      </w:r>
      <w:r w:rsidR="00CE32C0">
        <w:rPr>
          <w:color w:val="17365D"/>
        </w:rPr>
        <w:t xml:space="preserve">par </w:t>
      </w:r>
      <w:r>
        <w:rPr>
          <w:color w:val="17365D"/>
        </w:rPr>
        <w:t>(83 333 </w:t>
      </w:r>
      <w:r w:rsidRPr="00917326">
        <w:rPr>
          <w:color w:val="17365D"/>
        </w:rPr>
        <w:t xml:space="preserve">333) </w:t>
      </w:r>
      <w:r w:rsidRPr="00917326">
        <w:rPr>
          <w:i/>
          <w:color w:val="17365D"/>
        </w:rPr>
        <w:t>euro</w:t>
      </w:r>
      <w:r w:rsidRPr="00917326">
        <w:rPr>
          <w:color w:val="17365D"/>
        </w:rPr>
        <w:t>;</w:t>
      </w:r>
    </w:p>
    <w:p w14:paraId="3C32A34B" w14:textId="1BA0F9A3" w:rsidR="00917326" w:rsidRPr="00917326" w:rsidRDefault="00917326" w:rsidP="00917326">
      <w:pPr>
        <w:pStyle w:val="Pamatteksts1"/>
        <w:ind w:left="709" w:hanging="142"/>
        <w:rPr>
          <w:color w:val="17365D"/>
        </w:rPr>
      </w:pPr>
      <w:r w:rsidRPr="00917326">
        <w:rPr>
          <w:color w:val="17365D"/>
        </w:rPr>
        <w:t>•</w:t>
      </w:r>
      <w:r w:rsidRPr="00917326">
        <w:rPr>
          <w:color w:val="17365D"/>
        </w:rPr>
        <w:tab/>
        <w:t>pārklasificēts Starptautiskā Valūtas fonda ilgtermiņa aizņēmums uz pārējām ilgtermiņa saistībām (Speciāl</w:t>
      </w:r>
      <w:r>
        <w:rPr>
          <w:color w:val="17365D"/>
        </w:rPr>
        <w:t>ās aizņēmuma tiesības) (548 049 </w:t>
      </w:r>
      <w:r w:rsidRPr="00917326">
        <w:rPr>
          <w:color w:val="17365D"/>
        </w:rPr>
        <w:t xml:space="preserve">011) </w:t>
      </w:r>
      <w:r w:rsidRPr="00917326">
        <w:rPr>
          <w:i/>
          <w:color w:val="17365D"/>
        </w:rPr>
        <w:t>euro</w:t>
      </w:r>
      <w:r w:rsidRPr="00917326">
        <w:rPr>
          <w:color w:val="17365D"/>
        </w:rPr>
        <w:t xml:space="preserve"> vērtībā;</w:t>
      </w:r>
    </w:p>
    <w:p w14:paraId="7DAF43AB" w14:textId="62BD7BE1" w:rsidR="00917326" w:rsidRPr="00917326" w:rsidRDefault="00917326" w:rsidP="00917326">
      <w:pPr>
        <w:pStyle w:val="Pamatteksts1"/>
        <w:rPr>
          <w:color w:val="17365D"/>
        </w:rPr>
      </w:pPr>
      <w:r w:rsidRPr="00917326">
        <w:rPr>
          <w:color w:val="17365D"/>
        </w:rPr>
        <w:t>•</w:t>
      </w:r>
      <w:r w:rsidRPr="00917326">
        <w:rPr>
          <w:color w:val="17365D"/>
        </w:rPr>
        <w:tab/>
        <w:t>veiktās atmaksas Ziem</w:t>
      </w:r>
      <w:r>
        <w:rPr>
          <w:color w:val="17365D"/>
        </w:rPr>
        <w:t>eļu Investīciju bankai (499 773 </w:t>
      </w:r>
      <w:r w:rsidRPr="00917326">
        <w:rPr>
          <w:color w:val="17365D"/>
        </w:rPr>
        <w:t xml:space="preserve">551) </w:t>
      </w:r>
      <w:r w:rsidRPr="00917326">
        <w:rPr>
          <w:i/>
          <w:color w:val="17365D"/>
        </w:rPr>
        <w:t>euro</w:t>
      </w:r>
      <w:r w:rsidRPr="00917326">
        <w:rPr>
          <w:color w:val="17365D"/>
        </w:rPr>
        <w:t xml:space="preserve"> apmērā;</w:t>
      </w:r>
    </w:p>
    <w:p w14:paraId="3C915EAA" w14:textId="09959000" w:rsidR="00917326" w:rsidRPr="00A27896" w:rsidRDefault="00917326" w:rsidP="00917326">
      <w:pPr>
        <w:pStyle w:val="Pamatteksts1"/>
        <w:rPr>
          <w:color w:val="17365D"/>
        </w:rPr>
      </w:pPr>
      <w:r w:rsidRPr="00917326">
        <w:rPr>
          <w:color w:val="17365D"/>
        </w:rPr>
        <w:t>•</w:t>
      </w:r>
      <w:r w:rsidRPr="00917326">
        <w:rPr>
          <w:color w:val="17365D"/>
        </w:rPr>
        <w:tab/>
        <w:t>saņemt</w:t>
      </w:r>
      <w:r w:rsidR="00CE32C0">
        <w:rPr>
          <w:color w:val="17365D"/>
        </w:rPr>
        <w:t>ais</w:t>
      </w:r>
      <w:r w:rsidRPr="00917326">
        <w:rPr>
          <w:color w:val="17365D"/>
        </w:rPr>
        <w:t xml:space="preserve"> ilgtermiņa aizņēmums no Eir</w:t>
      </w:r>
      <w:r>
        <w:rPr>
          <w:color w:val="17365D"/>
        </w:rPr>
        <w:t>opas Investīciju bankas 200 000 </w:t>
      </w:r>
      <w:r w:rsidRPr="00917326">
        <w:rPr>
          <w:color w:val="17365D"/>
        </w:rPr>
        <w:t xml:space="preserve">000 </w:t>
      </w:r>
      <w:r w:rsidRPr="00917326">
        <w:rPr>
          <w:i/>
          <w:color w:val="17365D"/>
        </w:rPr>
        <w:t>euro</w:t>
      </w:r>
      <w:r w:rsidRPr="00917326">
        <w:rPr>
          <w:color w:val="17365D"/>
        </w:rPr>
        <w:t xml:space="preserve"> apmērā.</w:t>
      </w:r>
    </w:p>
    <w:p w14:paraId="264C118D" w14:textId="77777777" w:rsidR="00917326" w:rsidRPr="00917326" w:rsidRDefault="00917326" w:rsidP="00917326">
      <w:pPr>
        <w:pStyle w:val="Heading5"/>
        <w:spacing w:before="240"/>
        <w:rPr>
          <w:rFonts w:cs="Times New Roman"/>
        </w:rPr>
      </w:pPr>
      <w:r w:rsidRPr="00917326">
        <w:rPr>
          <w:rFonts w:cs="Times New Roman"/>
        </w:rPr>
        <w:t>Piezīme Nr. KB.5.1.2. Ilgtermiņa saistības pret piegādātājiem un darbuzņēmējiem</w:t>
      </w:r>
    </w:p>
    <w:p w14:paraId="4F4A0F09" w14:textId="03D069CE" w:rsidR="00917326" w:rsidRPr="00917326" w:rsidRDefault="00917326" w:rsidP="004105BE">
      <w:pPr>
        <w:pStyle w:val="Pamatteksts1"/>
        <w:ind w:firstLine="284"/>
        <w:rPr>
          <w:rFonts w:eastAsiaTheme="minorHAnsi"/>
          <w:bCs/>
          <w:noProof w:val="0"/>
          <w:color w:val="17365D"/>
          <w:szCs w:val="22"/>
          <w:lang w:eastAsia="en-US"/>
        </w:rPr>
      </w:pPr>
      <w:r w:rsidRPr="00917326">
        <w:rPr>
          <w:rFonts w:eastAsiaTheme="minorHAnsi"/>
          <w:bCs/>
          <w:noProof w:val="0"/>
          <w:color w:val="17365D"/>
          <w:szCs w:val="22"/>
          <w:lang w:eastAsia="en-US"/>
        </w:rPr>
        <w:t>Bilances posteņa būtiskas izmaiņas veido Satiksmes ministrijas atzītās saistības 11</w:t>
      </w:r>
      <w:r>
        <w:rPr>
          <w:rFonts w:eastAsiaTheme="minorHAnsi"/>
          <w:bCs/>
          <w:noProof w:val="0"/>
          <w:color w:val="17365D"/>
          <w:szCs w:val="22"/>
          <w:lang w:eastAsia="en-US"/>
        </w:rPr>
        <w:t> </w:t>
      </w:r>
      <w:r w:rsidRPr="00917326">
        <w:rPr>
          <w:rFonts w:eastAsiaTheme="minorHAnsi"/>
          <w:bCs/>
          <w:noProof w:val="0"/>
          <w:color w:val="17365D"/>
          <w:szCs w:val="22"/>
          <w:lang w:eastAsia="en-US"/>
        </w:rPr>
        <w:t>6033</w:t>
      </w:r>
      <w:r>
        <w:rPr>
          <w:rFonts w:eastAsiaTheme="minorHAnsi"/>
          <w:bCs/>
          <w:noProof w:val="0"/>
          <w:color w:val="17365D"/>
          <w:szCs w:val="22"/>
          <w:lang w:eastAsia="en-US"/>
        </w:rPr>
        <w:t> </w:t>
      </w:r>
      <w:r w:rsidRPr="00917326">
        <w:rPr>
          <w:rFonts w:eastAsiaTheme="minorHAnsi"/>
          <w:bCs/>
          <w:noProof w:val="0"/>
          <w:color w:val="17365D"/>
          <w:szCs w:val="22"/>
          <w:lang w:eastAsia="en-US"/>
        </w:rPr>
        <w:t>537</w:t>
      </w:r>
      <w:r w:rsidR="00CE32C0">
        <w:rPr>
          <w:rFonts w:eastAsiaTheme="minorHAnsi"/>
          <w:bCs/>
          <w:noProof w:val="0"/>
          <w:color w:val="17365D"/>
          <w:szCs w:val="22"/>
          <w:lang w:eastAsia="en-US"/>
        </w:rPr>
        <w:t> </w:t>
      </w:r>
      <w:r w:rsidRPr="00917326">
        <w:rPr>
          <w:rFonts w:eastAsiaTheme="minorHAnsi"/>
          <w:bCs/>
          <w:i/>
          <w:noProof w:val="0"/>
          <w:color w:val="17365D"/>
          <w:szCs w:val="22"/>
          <w:lang w:eastAsia="en-US"/>
        </w:rPr>
        <w:t>euro</w:t>
      </w:r>
      <w:r>
        <w:rPr>
          <w:rFonts w:eastAsiaTheme="minorHAnsi"/>
          <w:bCs/>
          <w:noProof w:val="0"/>
          <w:color w:val="17365D"/>
          <w:szCs w:val="22"/>
          <w:lang w:eastAsia="en-US"/>
        </w:rPr>
        <w:t xml:space="preserve"> </w:t>
      </w:r>
      <w:r w:rsidR="00CE32C0">
        <w:rPr>
          <w:rFonts w:eastAsiaTheme="minorHAnsi"/>
          <w:bCs/>
          <w:noProof w:val="0"/>
          <w:color w:val="17365D"/>
          <w:szCs w:val="22"/>
          <w:lang w:eastAsia="en-US"/>
        </w:rPr>
        <w:t xml:space="preserve">vērtībā </w:t>
      </w:r>
      <w:r w:rsidRPr="00917326">
        <w:rPr>
          <w:rFonts w:eastAsiaTheme="minorHAnsi"/>
          <w:bCs/>
          <w:noProof w:val="0"/>
          <w:color w:val="17365D"/>
          <w:szCs w:val="22"/>
          <w:lang w:eastAsia="en-US"/>
        </w:rPr>
        <w:t xml:space="preserve">saskaņā ar publiskās un privātās partnerības līguma nosacījumiem </w:t>
      </w:r>
      <w:r w:rsidR="004105BE">
        <w:rPr>
          <w:rFonts w:eastAsiaTheme="minorHAnsi"/>
          <w:bCs/>
          <w:noProof w:val="0"/>
          <w:color w:val="17365D"/>
          <w:szCs w:val="22"/>
          <w:lang w:eastAsia="en-US"/>
        </w:rPr>
        <w:t>–</w:t>
      </w:r>
      <w:r w:rsidRPr="00917326">
        <w:rPr>
          <w:rFonts w:eastAsiaTheme="minorHAnsi"/>
          <w:bCs/>
          <w:noProof w:val="0"/>
          <w:color w:val="17365D"/>
          <w:szCs w:val="22"/>
          <w:lang w:eastAsia="en-US"/>
        </w:rPr>
        <w:t xml:space="preserve"> </w:t>
      </w:r>
      <w:r w:rsidR="00CE32C0">
        <w:rPr>
          <w:rFonts w:eastAsiaTheme="minorHAnsi"/>
          <w:bCs/>
          <w:noProof w:val="0"/>
          <w:color w:val="17365D"/>
          <w:szCs w:val="22"/>
          <w:lang w:eastAsia="en-US"/>
        </w:rPr>
        <w:t xml:space="preserve">par </w:t>
      </w:r>
      <w:r w:rsidRPr="00917326">
        <w:rPr>
          <w:rFonts w:eastAsiaTheme="minorHAnsi"/>
          <w:bCs/>
          <w:noProof w:val="0"/>
          <w:color w:val="17365D"/>
          <w:szCs w:val="22"/>
          <w:lang w:eastAsia="en-US"/>
        </w:rPr>
        <w:t>Ķekavas apvedceļa nodošan</w:t>
      </w:r>
      <w:r w:rsidR="00CE32C0">
        <w:rPr>
          <w:rFonts w:eastAsiaTheme="minorHAnsi"/>
          <w:bCs/>
          <w:noProof w:val="0"/>
          <w:color w:val="17365D"/>
          <w:szCs w:val="22"/>
          <w:lang w:eastAsia="en-US"/>
        </w:rPr>
        <w:t>u</w:t>
      </w:r>
      <w:r w:rsidRPr="00917326">
        <w:rPr>
          <w:rFonts w:eastAsiaTheme="minorHAnsi"/>
          <w:bCs/>
          <w:noProof w:val="0"/>
          <w:color w:val="17365D"/>
          <w:szCs w:val="22"/>
          <w:lang w:eastAsia="en-US"/>
        </w:rPr>
        <w:t xml:space="preserve"> ekspluatācijā.</w:t>
      </w:r>
    </w:p>
    <w:p w14:paraId="672FAAAD" w14:textId="319C18A0" w:rsidR="00917326" w:rsidRPr="00917326" w:rsidRDefault="00917326" w:rsidP="00917326">
      <w:pPr>
        <w:pStyle w:val="Heading5"/>
        <w:spacing w:before="240"/>
        <w:rPr>
          <w:rFonts w:cs="Times New Roman"/>
        </w:rPr>
      </w:pPr>
      <w:r w:rsidRPr="00917326">
        <w:rPr>
          <w:rFonts w:cs="Times New Roman"/>
        </w:rPr>
        <w:t>Piezīme Nr. KB.5.1.3. Ilgtermiņa nākamo per</w:t>
      </w:r>
      <w:r w:rsidR="00AA0501">
        <w:rPr>
          <w:rFonts w:cs="Times New Roman"/>
        </w:rPr>
        <w:t>iodu ieņēmumi un saņemtie avansa maksājumi</w:t>
      </w:r>
    </w:p>
    <w:p w14:paraId="498BE030" w14:textId="3AC3F30F" w:rsidR="00917326" w:rsidRPr="00917326" w:rsidRDefault="00917326" w:rsidP="004105BE">
      <w:pPr>
        <w:pStyle w:val="Pamatteksts1"/>
        <w:ind w:firstLine="284"/>
        <w:rPr>
          <w:rFonts w:eastAsiaTheme="minorHAnsi"/>
          <w:bCs/>
          <w:noProof w:val="0"/>
          <w:color w:val="17365D"/>
          <w:szCs w:val="22"/>
          <w:lang w:eastAsia="en-US"/>
        </w:rPr>
      </w:pPr>
      <w:r w:rsidRPr="00917326">
        <w:rPr>
          <w:rFonts w:eastAsiaTheme="minorHAnsi"/>
          <w:bCs/>
          <w:noProof w:val="0"/>
          <w:color w:val="17365D"/>
          <w:szCs w:val="22"/>
          <w:lang w:eastAsia="en-US"/>
        </w:rPr>
        <w:t xml:space="preserve">Būtiskākās šī posteņa izmaiņas veido valsts budžeta finanšu uzskaitē saņemtie </w:t>
      </w:r>
      <w:r w:rsidR="006B0E02">
        <w:rPr>
          <w:rFonts w:eastAsiaTheme="minorHAnsi"/>
          <w:bCs/>
          <w:noProof w:val="0"/>
          <w:color w:val="17365D"/>
          <w:szCs w:val="22"/>
          <w:lang w:eastAsia="en-US"/>
        </w:rPr>
        <w:t>līdzekļi</w:t>
      </w:r>
      <w:r w:rsidRPr="00917326">
        <w:rPr>
          <w:rFonts w:eastAsiaTheme="minorHAnsi"/>
          <w:bCs/>
          <w:noProof w:val="0"/>
          <w:color w:val="17365D"/>
          <w:szCs w:val="22"/>
          <w:lang w:eastAsia="en-US"/>
        </w:rPr>
        <w:t xml:space="preserve"> no siltumnīcefekta gāzu emisiju </w:t>
      </w:r>
      <w:r>
        <w:rPr>
          <w:rFonts w:eastAsiaTheme="minorHAnsi"/>
          <w:bCs/>
          <w:noProof w:val="0"/>
          <w:color w:val="17365D"/>
          <w:szCs w:val="22"/>
          <w:lang w:eastAsia="en-US"/>
        </w:rPr>
        <w:t>kvotu pārdošanas izsolēm 90 758 </w:t>
      </w:r>
      <w:r w:rsidRPr="00917326">
        <w:rPr>
          <w:rFonts w:eastAsiaTheme="minorHAnsi"/>
          <w:bCs/>
          <w:noProof w:val="0"/>
          <w:color w:val="17365D"/>
          <w:szCs w:val="22"/>
          <w:lang w:eastAsia="en-US"/>
        </w:rPr>
        <w:t xml:space="preserve">875 </w:t>
      </w:r>
      <w:r w:rsidRPr="00917326">
        <w:rPr>
          <w:rFonts w:eastAsiaTheme="minorHAnsi"/>
          <w:bCs/>
          <w:i/>
          <w:noProof w:val="0"/>
          <w:color w:val="17365D"/>
          <w:szCs w:val="22"/>
          <w:lang w:eastAsia="en-US"/>
        </w:rPr>
        <w:t>euro</w:t>
      </w:r>
      <w:r w:rsidR="006B0E02">
        <w:rPr>
          <w:rFonts w:eastAsiaTheme="minorHAnsi"/>
          <w:bCs/>
          <w:i/>
          <w:noProof w:val="0"/>
          <w:color w:val="17365D"/>
          <w:szCs w:val="22"/>
          <w:lang w:eastAsia="en-US"/>
        </w:rPr>
        <w:t xml:space="preserve"> </w:t>
      </w:r>
      <w:r w:rsidR="006B0E02">
        <w:rPr>
          <w:rFonts w:eastAsiaTheme="minorHAnsi"/>
          <w:bCs/>
          <w:noProof w:val="0"/>
          <w:color w:val="17365D"/>
          <w:szCs w:val="22"/>
          <w:lang w:eastAsia="en-US"/>
        </w:rPr>
        <w:t>un</w:t>
      </w:r>
      <w:r w:rsidR="00C23F6C">
        <w:rPr>
          <w:rFonts w:eastAsiaTheme="minorHAnsi"/>
          <w:bCs/>
          <w:noProof w:val="0"/>
          <w:color w:val="17365D"/>
          <w:szCs w:val="22"/>
          <w:lang w:eastAsia="en-US"/>
        </w:rPr>
        <w:t xml:space="preserve"> </w:t>
      </w:r>
      <w:r w:rsidRPr="00917326">
        <w:rPr>
          <w:rFonts w:eastAsiaTheme="minorHAnsi"/>
          <w:bCs/>
          <w:noProof w:val="0"/>
          <w:color w:val="17365D"/>
          <w:szCs w:val="22"/>
          <w:lang w:eastAsia="en-US"/>
        </w:rPr>
        <w:t>Modernizācijas fonda emisiju kvotu pārdoš</w:t>
      </w:r>
      <w:r>
        <w:rPr>
          <w:rFonts w:eastAsiaTheme="minorHAnsi"/>
          <w:bCs/>
          <w:noProof w:val="0"/>
          <w:color w:val="17365D"/>
          <w:szCs w:val="22"/>
          <w:lang w:eastAsia="en-US"/>
        </w:rPr>
        <w:t xml:space="preserve">anas izsolēm 5 000 000 </w:t>
      </w:r>
      <w:r w:rsidRPr="00917326">
        <w:rPr>
          <w:rFonts w:eastAsiaTheme="minorHAnsi"/>
          <w:bCs/>
          <w:i/>
          <w:noProof w:val="0"/>
          <w:color w:val="17365D"/>
          <w:szCs w:val="22"/>
          <w:lang w:eastAsia="en-US"/>
        </w:rPr>
        <w:t>euro</w:t>
      </w:r>
      <w:r w:rsidR="006B0E02" w:rsidRPr="006B0E02">
        <w:rPr>
          <w:rFonts w:eastAsiaTheme="minorHAnsi"/>
          <w:bCs/>
          <w:noProof w:val="0"/>
          <w:color w:val="17365D"/>
          <w:szCs w:val="22"/>
          <w:lang w:eastAsia="en-US"/>
        </w:rPr>
        <w:t>, kuru izlietojums paredzēts n</w:t>
      </w:r>
      <w:r w:rsidR="006B0E02">
        <w:rPr>
          <w:rFonts w:eastAsiaTheme="minorHAnsi"/>
          <w:bCs/>
          <w:noProof w:val="0"/>
          <w:color w:val="17365D"/>
          <w:szCs w:val="22"/>
          <w:lang w:eastAsia="en-US"/>
        </w:rPr>
        <w:t>ākamajos periodos.</w:t>
      </w:r>
      <w:r>
        <w:rPr>
          <w:rFonts w:eastAsiaTheme="minorHAnsi"/>
          <w:bCs/>
          <w:noProof w:val="0"/>
          <w:color w:val="17365D"/>
          <w:szCs w:val="22"/>
          <w:lang w:eastAsia="en-US"/>
        </w:rPr>
        <w:t xml:space="preserve"> </w:t>
      </w:r>
      <w:r w:rsidR="006B0E02">
        <w:rPr>
          <w:rFonts w:eastAsiaTheme="minorHAnsi"/>
          <w:bCs/>
          <w:noProof w:val="0"/>
          <w:color w:val="17365D"/>
          <w:szCs w:val="22"/>
          <w:lang w:eastAsia="en-US"/>
        </w:rPr>
        <w:t>U</w:t>
      </w:r>
      <w:r w:rsidRPr="00917326">
        <w:rPr>
          <w:rFonts w:eastAsiaTheme="minorHAnsi"/>
          <w:bCs/>
          <w:noProof w:val="0"/>
          <w:color w:val="17365D"/>
          <w:szCs w:val="22"/>
          <w:lang w:eastAsia="en-US"/>
        </w:rPr>
        <w:t>z īstermiņa nākamo pe</w:t>
      </w:r>
      <w:r w:rsidR="006B0E02">
        <w:rPr>
          <w:rFonts w:eastAsiaTheme="minorHAnsi"/>
          <w:bCs/>
          <w:noProof w:val="0"/>
          <w:color w:val="17365D"/>
          <w:szCs w:val="22"/>
          <w:lang w:eastAsia="en-US"/>
        </w:rPr>
        <w:t>riodu ieņēmumiem pārklasificēti</w:t>
      </w:r>
      <w:r w:rsidRPr="00917326">
        <w:rPr>
          <w:rFonts w:eastAsiaTheme="minorHAnsi"/>
          <w:bCs/>
          <w:noProof w:val="0"/>
          <w:color w:val="17365D"/>
          <w:szCs w:val="22"/>
          <w:lang w:eastAsia="en-US"/>
        </w:rPr>
        <w:t xml:space="preserve"> ilgtermiņa nākamo periodu ieņēmumi </w:t>
      </w:r>
      <w:r w:rsidR="00CE32C0">
        <w:rPr>
          <w:rFonts w:eastAsiaTheme="minorHAnsi"/>
          <w:bCs/>
          <w:noProof w:val="0"/>
          <w:color w:val="17365D"/>
          <w:szCs w:val="22"/>
          <w:lang w:eastAsia="en-US"/>
        </w:rPr>
        <w:t xml:space="preserve">par </w:t>
      </w:r>
      <w:r w:rsidRPr="00917326">
        <w:rPr>
          <w:rFonts w:eastAsiaTheme="minorHAnsi"/>
          <w:bCs/>
          <w:noProof w:val="0"/>
          <w:color w:val="17365D"/>
          <w:szCs w:val="22"/>
          <w:lang w:eastAsia="en-US"/>
        </w:rPr>
        <w:t>siltumnīcefekta gāzu</w:t>
      </w:r>
      <w:r>
        <w:rPr>
          <w:rFonts w:eastAsiaTheme="minorHAnsi"/>
          <w:bCs/>
          <w:noProof w:val="0"/>
          <w:color w:val="17365D"/>
          <w:szCs w:val="22"/>
          <w:lang w:eastAsia="en-US"/>
        </w:rPr>
        <w:t xml:space="preserve"> emisiju kvotu līdzekļi</w:t>
      </w:r>
      <w:r w:rsidR="00CE32C0">
        <w:rPr>
          <w:rFonts w:eastAsiaTheme="minorHAnsi"/>
          <w:bCs/>
          <w:noProof w:val="0"/>
          <w:color w:val="17365D"/>
          <w:szCs w:val="22"/>
          <w:lang w:eastAsia="en-US"/>
        </w:rPr>
        <w:t>em</w:t>
      </w:r>
      <w:r>
        <w:rPr>
          <w:rFonts w:eastAsiaTheme="minorHAnsi"/>
          <w:bCs/>
          <w:noProof w:val="0"/>
          <w:color w:val="17365D"/>
          <w:szCs w:val="22"/>
          <w:lang w:eastAsia="en-US"/>
        </w:rPr>
        <w:t xml:space="preserve"> (29 390 </w:t>
      </w:r>
      <w:r w:rsidRPr="00917326">
        <w:rPr>
          <w:rFonts w:eastAsiaTheme="minorHAnsi"/>
          <w:bCs/>
          <w:noProof w:val="0"/>
          <w:color w:val="17365D"/>
          <w:szCs w:val="22"/>
          <w:lang w:eastAsia="en-US"/>
        </w:rPr>
        <w:t xml:space="preserve">052) </w:t>
      </w:r>
      <w:r w:rsidRPr="00917326">
        <w:rPr>
          <w:rFonts w:eastAsiaTheme="minorHAnsi"/>
          <w:bCs/>
          <w:i/>
          <w:noProof w:val="0"/>
          <w:color w:val="17365D"/>
          <w:szCs w:val="22"/>
          <w:lang w:eastAsia="en-US"/>
        </w:rPr>
        <w:t>euro</w:t>
      </w:r>
      <w:r w:rsidR="00CE32C0">
        <w:rPr>
          <w:rFonts w:eastAsiaTheme="minorHAnsi"/>
          <w:bCs/>
          <w:noProof w:val="0"/>
          <w:color w:val="17365D"/>
          <w:szCs w:val="22"/>
          <w:lang w:eastAsia="en-US"/>
        </w:rPr>
        <w:t xml:space="preserve"> un</w:t>
      </w:r>
      <w:r w:rsidRPr="00917326">
        <w:rPr>
          <w:rFonts w:eastAsiaTheme="minorHAnsi"/>
          <w:bCs/>
          <w:noProof w:val="0"/>
          <w:color w:val="17365D"/>
          <w:szCs w:val="22"/>
          <w:lang w:eastAsia="en-US"/>
        </w:rPr>
        <w:t xml:space="preserve"> Modernizācijas fon</w:t>
      </w:r>
      <w:r>
        <w:rPr>
          <w:rFonts w:eastAsiaTheme="minorHAnsi"/>
          <w:bCs/>
          <w:noProof w:val="0"/>
          <w:color w:val="17365D"/>
          <w:szCs w:val="22"/>
          <w:lang w:eastAsia="en-US"/>
        </w:rPr>
        <w:t>da emisiju kvotu līdzekļi</w:t>
      </w:r>
      <w:r w:rsidR="00CE32C0">
        <w:rPr>
          <w:rFonts w:eastAsiaTheme="minorHAnsi"/>
          <w:bCs/>
          <w:noProof w:val="0"/>
          <w:color w:val="17365D"/>
          <w:szCs w:val="22"/>
          <w:lang w:eastAsia="en-US"/>
        </w:rPr>
        <w:t>em</w:t>
      </w:r>
      <w:r>
        <w:rPr>
          <w:rFonts w:eastAsiaTheme="minorHAnsi"/>
          <w:bCs/>
          <w:noProof w:val="0"/>
          <w:color w:val="17365D"/>
          <w:szCs w:val="22"/>
          <w:lang w:eastAsia="en-US"/>
        </w:rPr>
        <w:t xml:space="preserve"> </w:t>
      </w:r>
      <w:r w:rsidR="00A92D07">
        <w:rPr>
          <w:rFonts w:eastAsiaTheme="minorHAnsi"/>
          <w:bCs/>
          <w:noProof w:val="0"/>
          <w:color w:val="17365D"/>
          <w:szCs w:val="22"/>
          <w:lang w:eastAsia="en-US"/>
        </w:rPr>
        <w:t>(</w:t>
      </w:r>
      <w:r>
        <w:rPr>
          <w:rFonts w:eastAsiaTheme="minorHAnsi"/>
          <w:bCs/>
          <w:noProof w:val="0"/>
          <w:color w:val="17365D"/>
          <w:szCs w:val="22"/>
          <w:lang w:eastAsia="en-US"/>
        </w:rPr>
        <w:t>1 750</w:t>
      </w:r>
      <w:r w:rsidR="00A92D07">
        <w:rPr>
          <w:rFonts w:eastAsiaTheme="minorHAnsi"/>
          <w:bCs/>
          <w:noProof w:val="0"/>
          <w:color w:val="17365D"/>
          <w:szCs w:val="22"/>
          <w:lang w:eastAsia="en-US"/>
        </w:rPr>
        <w:t> </w:t>
      </w:r>
      <w:r w:rsidRPr="00917326">
        <w:rPr>
          <w:rFonts w:eastAsiaTheme="minorHAnsi"/>
          <w:bCs/>
          <w:noProof w:val="0"/>
          <w:color w:val="17365D"/>
          <w:szCs w:val="22"/>
          <w:lang w:eastAsia="en-US"/>
        </w:rPr>
        <w:t>000</w:t>
      </w:r>
      <w:r w:rsidR="00A92D07">
        <w:rPr>
          <w:rFonts w:eastAsiaTheme="minorHAnsi"/>
          <w:bCs/>
          <w:noProof w:val="0"/>
          <w:color w:val="17365D"/>
          <w:szCs w:val="22"/>
          <w:lang w:eastAsia="en-US"/>
        </w:rPr>
        <w:t>)</w:t>
      </w:r>
      <w:r w:rsidRPr="00917326">
        <w:rPr>
          <w:rFonts w:eastAsiaTheme="minorHAnsi"/>
          <w:bCs/>
          <w:noProof w:val="0"/>
          <w:color w:val="17365D"/>
          <w:szCs w:val="22"/>
          <w:lang w:eastAsia="en-US"/>
        </w:rPr>
        <w:t xml:space="preserve"> </w:t>
      </w:r>
      <w:r w:rsidRPr="00917326">
        <w:rPr>
          <w:rFonts w:eastAsiaTheme="minorHAnsi"/>
          <w:bCs/>
          <w:i/>
          <w:noProof w:val="0"/>
          <w:color w:val="17365D"/>
          <w:szCs w:val="22"/>
          <w:lang w:eastAsia="en-US"/>
        </w:rPr>
        <w:t>euro</w:t>
      </w:r>
      <w:r w:rsidRPr="00917326">
        <w:rPr>
          <w:rFonts w:eastAsiaTheme="minorHAnsi"/>
          <w:bCs/>
          <w:noProof w:val="0"/>
          <w:color w:val="17365D"/>
          <w:szCs w:val="22"/>
          <w:lang w:eastAsia="en-US"/>
        </w:rPr>
        <w:t xml:space="preserve"> apmērā.</w:t>
      </w:r>
    </w:p>
    <w:p w14:paraId="16247685" w14:textId="77777777" w:rsidR="00917326" w:rsidRPr="00917326" w:rsidRDefault="00917326" w:rsidP="00917326">
      <w:pPr>
        <w:pStyle w:val="Heading5"/>
        <w:spacing w:before="240"/>
        <w:rPr>
          <w:rFonts w:cs="Times New Roman"/>
        </w:rPr>
      </w:pPr>
      <w:r w:rsidRPr="00917326">
        <w:rPr>
          <w:rFonts w:cs="Times New Roman"/>
        </w:rPr>
        <w:t>Piezīme Nr. KB.5.1.4. Emitēto obligāciju un citu parāda vērtspapīru ilgtermiņa daļa</w:t>
      </w:r>
    </w:p>
    <w:p w14:paraId="0FE38112" w14:textId="47B7A8FA" w:rsidR="00917326" w:rsidRPr="00917326" w:rsidRDefault="00917326" w:rsidP="00917326">
      <w:pPr>
        <w:pStyle w:val="Pamatteksts1"/>
        <w:rPr>
          <w:rFonts w:eastAsiaTheme="minorHAnsi"/>
          <w:bCs/>
          <w:noProof w:val="0"/>
          <w:color w:val="17365D"/>
          <w:szCs w:val="22"/>
          <w:lang w:eastAsia="en-US"/>
        </w:rPr>
      </w:pPr>
      <w:r w:rsidRPr="00917326">
        <w:rPr>
          <w:rFonts w:eastAsiaTheme="minorHAnsi"/>
          <w:bCs/>
          <w:noProof w:val="0"/>
          <w:color w:val="17365D"/>
          <w:szCs w:val="22"/>
          <w:lang w:eastAsia="en-US"/>
        </w:rPr>
        <w:t>Šī posteņa būtiskāko palielinājumu veido valsts budžeta finanšu uzskaitē atzīto emitēto obligāciju un citu parāda vērtspapīru veiktās emisijas ār</w:t>
      </w:r>
      <w:r>
        <w:rPr>
          <w:rFonts w:eastAsiaTheme="minorHAnsi"/>
          <w:bCs/>
          <w:noProof w:val="0"/>
          <w:color w:val="17365D"/>
          <w:szCs w:val="22"/>
          <w:lang w:eastAsia="en-US"/>
        </w:rPr>
        <w:t>valstu finanšu tirgos 3 195 000 </w:t>
      </w:r>
      <w:r w:rsidRPr="00917326">
        <w:rPr>
          <w:rFonts w:eastAsiaTheme="minorHAnsi"/>
          <w:bCs/>
          <w:noProof w:val="0"/>
          <w:color w:val="17365D"/>
          <w:szCs w:val="22"/>
          <w:lang w:eastAsia="en-US"/>
        </w:rPr>
        <w:t xml:space="preserve">000 </w:t>
      </w:r>
      <w:r w:rsidRPr="00917326">
        <w:rPr>
          <w:rFonts w:eastAsiaTheme="minorHAnsi"/>
          <w:bCs/>
          <w:i/>
          <w:noProof w:val="0"/>
          <w:color w:val="17365D"/>
          <w:szCs w:val="22"/>
          <w:lang w:eastAsia="en-US"/>
        </w:rPr>
        <w:t>euro</w:t>
      </w:r>
      <w:r w:rsidRPr="00917326">
        <w:rPr>
          <w:rFonts w:eastAsiaTheme="minorHAnsi"/>
          <w:bCs/>
          <w:noProof w:val="0"/>
          <w:color w:val="17365D"/>
          <w:szCs w:val="22"/>
          <w:lang w:eastAsia="en-US"/>
        </w:rPr>
        <w:t xml:space="preserve"> vērtībā un uz īstermiņu pārklasificētā vidēja un ilgtermiņa parāda vērtspapīru </w:t>
      </w:r>
      <w:r>
        <w:rPr>
          <w:rFonts w:eastAsiaTheme="minorHAnsi"/>
          <w:bCs/>
          <w:noProof w:val="0"/>
          <w:color w:val="17365D"/>
          <w:szCs w:val="22"/>
          <w:lang w:eastAsia="en-US"/>
        </w:rPr>
        <w:t>īstermiņa daļa (1 320 000 </w:t>
      </w:r>
      <w:r w:rsidRPr="00917326">
        <w:rPr>
          <w:rFonts w:eastAsiaTheme="minorHAnsi"/>
          <w:bCs/>
          <w:noProof w:val="0"/>
          <w:color w:val="17365D"/>
          <w:szCs w:val="22"/>
          <w:lang w:eastAsia="en-US"/>
        </w:rPr>
        <w:t xml:space="preserve">000) </w:t>
      </w:r>
      <w:r w:rsidRPr="00917326">
        <w:rPr>
          <w:rFonts w:eastAsiaTheme="minorHAnsi"/>
          <w:bCs/>
          <w:i/>
          <w:noProof w:val="0"/>
          <w:color w:val="17365D"/>
          <w:szCs w:val="22"/>
          <w:lang w:eastAsia="en-US"/>
        </w:rPr>
        <w:t>euro</w:t>
      </w:r>
      <w:r w:rsidRPr="00917326">
        <w:rPr>
          <w:rFonts w:eastAsiaTheme="minorHAnsi"/>
          <w:bCs/>
          <w:noProof w:val="0"/>
          <w:color w:val="17365D"/>
          <w:szCs w:val="22"/>
          <w:lang w:eastAsia="en-US"/>
        </w:rPr>
        <w:t xml:space="preserve"> vērtībā.</w:t>
      </w:r>
    </w:p>
    <w:p w14:paraId="25DB3E39" w14:textId="77777777" w:rsidR="00917326" w:rsidRPr="00613D92" w:rsidRDefault="00917326" w:rsidP="00613D92">
      <w:pPr>
        <w:pStyle w:val="Heading5"/>
        <w:spacing w:before="240"/>
        <w:rPr>
          <w:rFonts w:cs="Times New Roman"/>
        </w:rPr>
      </w:pPr>
      <w:r w:rsidRPr="00613D92">
        <w:rPr>
          <w:rFonts w:cs="Times New Roman"/>
        </w:rPr>
        <w:lastRenderedPageBreak/>
        <w:t>Piezīme Nr. KB.5.1.5. Pārējās ilgtermiņa saistības</w:t>
      </w:r>
    </w:p>
    <w:p w14:paraId="103F36A0" w14:textId="77777777" w:rsidR="005D171A" w:rsidRDefault="00917326" w:rsidP="002A298A">
      <w:pPr>
        <w:pStyle w:val="Pamatteksts1"/>
        <w:rPr>
          <w:rFonts w:eastAsiaTheme="minorHAnsi"/>
          <w:bCs/>
          <w:noProof w:val="0"/>
          <w:color w:val="17365D"/>
          <w:szCs w:val="22"/>
          <w:lang w:eastAsia="en-US"/>
        </w:rPr>
      </w:pPr>
      <w:r w:rsidRPr="00917326">
        <w:rPr>
          <w:rFonts w:eastAsiaTheme="minorHAnsi"/>
          <w:bCs/>
          <w:noProof w:val="0"/>
          <w:color w:val="17365D"/>
          <w:szCs w:val="22"/>
          <w:lang w:eastAsia="en-US"/>
        </w:rPr>
        <w:t>Bilances posteņa būtiskas izmaiņas veido</w:t>
      </w:r>
      <w:r w:rsidR="005D171A">
        <w:rPr>
          <w:rFonts w:eastAsiaTheme="minorHAnsi"/>
          <w:bCs/>
          <w:noProof w:val="0"/>
          <w:color w:val="17365D"/>
          <w:szCs w:val="22"/>
          <w:lang w:eastAsia="en-US"/>
        </w:rPr>
        <w:t>:</w:t>
      </w:r>
    </w:p>
    <w:p w14:paraId="3A91AC90" w14:textId="5CE72F60" w:rsidR="005D171A" w:rsidRDefault="00917326" w:rsidP="00146A16">
      <w:pPr>
        <w:pStyle w:val="Pamatteksts1"/>
        <w:numPr>
          <w:ilvl w:val="0"/>
          <w:numId w:val="39"/>
        </w:numPr>
        <w:rPr>
          <w:rFonts w:eastAsiaTheme="minorHAnsi"/>
          <w:bCs/>
          <w:noProof w:val="0"/>
          <w:color w:val="17365D"/>
          <w:szCs w:val="22"/>
          <w:lang w:eastAsia="en-US"/>
        </w:rPr>
      </w:pPr>
      <w:r w:rsidRPr="00917326">
        <w:rPr>
          <w:rFonts w:eastAsiaTheme="minorHAnsi"/>
          <w:bCs/>
          <w:noProof w:val="0"/>
          <w:color w:val="17365D"/>
          <w:szCs w:val="22"/>
          <w:lang w:eastAsia="en-US"/>
        </w:rPr>
        <w:t>Labklājības ministrija</w:t>
      </w:r>
      <w:r w:rsidR="00824F8F">
        <w:rPr>
          <w:rFonts w:eastAsiaTheme="minorHAnsi"/>
          <w:bCs/>
          <w:noProof w:val="0"/>
          <w:color w:val="17365D"/>
          <w:szCs w:val="22"/>
          <w:lang w:eastAsia="en-US"/>
        </w:rPr>
        <w:t>s saistību pieaugums 1 398 974 </w:t>
      </w:r>
      <w:r w:rsidRPr="00917326">
        <w:rPr>
          <w:rFonts w:eastAsiaTheme="minorHAnsi"/>
          <w:bCs/>
          <w:noProof w:val="0"/>
          <w:color w:val="17365D"/>
          <w:szCs w:val="22"/>
          <w:lang w:eastAsia="en-US"/>
        </w:rPr>
        <w:t xml:space="preserve">394 </w:t>
      </w:r>
      <w:r w:rsidRPr="00824F8F">
        <w:rPr>
          <w:rFonts w:eastAsiaTheme="minorHAnsi"/>
          <w:bCs/>
          <w:i/>
          <w:noProof w:val="0"/>
          <w:color w:val="17365D"/>
          <w:szCs w:val="22"/>
          <w:lang w:eastAsia="en-US"/>
        </w:rPr>
        <w:t>euro</w:t>
      </w:r>
      <w:r w:rsidRPr="00917326">
        <w:rPr>
          <w:rFonts w:eastAsiaTheme="minorHAnsi"/>
          <w:bCs/>
          <w:noProof w:val="0"/>
          <w:color w:val="17365D"/>
          <w:szCs w:val="22"/>
          <w:lang w:eastAsia="en-US"/>
        </w:rPr>
        <w:t xml:space="preserve"> vērtībā pret valsts fondēto pensiju shēmu dalībniekiem par reģistrētajām iemak</w:t>
      </w:r>
      <w:r w:rsidR="005D171A">
        <w:rPr>
          <w:rFonts w:eastAsiaTheme="minorHAnsi"/>
          <w:bCs/>
          <w:noProof w:val="0"/>
          <w:color w:val="17365D"/>
          <w:szCs w:val="22"/>
          <w:lang w:eastAsia="en-US"/>
        </w:rPr>
        <w:t>sām shēmas dalībnieku kontos;</w:t>
      </w:r>
    </w:p>
    <w:p w14:paraId="19CF6143" w14:textId="62B9F96E" w:rsidR="005D171A" w:rsidRDefault="00917326" w:rsidP="00146A16">
      <w:pPr>
        <w:pStyle w:val="Pamatteksts1"/>
        <w:numPr>
          <w:ilvl w:val="0"/>
          <w:numId w:val="39"/>
        </w:numPr>
        <w:rPr>
          <w:rFonts w:eastAsiaTheme="minorHAnsi"/>
          <w:bCs/>
          <w:noProof w:val="0"/>
          <w:color w:val="17365D"/>
          <w:szCs w:val="22"/>
          <w:lang w:eastAsia="en-US"/>
        </w:rPr>
      </w:pPr>
      <w:r w:rsidRPr="00917326">
        <w:rPr>
          <w:rFonts w:eastAsiaTheme="minorHAnsi"/>
          <w:bCs/>
          <w:noProof w:val="0"/>
          <w:color w:val="17365D"/>
          <w:szCs w:val="22"/>
          <w:lang w:eastAsia="en-US"/>
        </w:rPr>
        <w:t>Satiksmes ministrijas saistības par Rail Bal</w:t>
      </w:r>
      <w:r w:rsidR="00824F8F">
        <w:rPr>
          <w:rFonts w:eastAsiaTheme="minorHAnsi"/>
          <w:bCs/>
          <w:noProof w:val="0"/>
          <w:color w:val="17365D"/>
          <w:szCs w:val="22"/>
          <w:lang w:eastAsia="en-US"/>
        </w:rPr>
        <w:t>tica projekta finansējumu 8 248 </w:t>
      </w:r>
      <w:r w:rsidRPr="00917326">
        <w:rPr>
          <w:rFonts w:eastAsiaTheme="minorHAnsi"/>
          <w:bCs/>
          <w:noProof w:val="0"/>
          <w:color w:val="17365D"/>
          <w:szCs w:val="22"/>
          <w:lang w:eastAsia="en-US"/>
        </w:rPr>
        <w:t xml:space="preserve">697 </w:t>
      </w:r>
      <w:r w:rsidRPr="00824F8F">
        <w:rPr>
          <w:rFonts w:eastAsiaTheme="minorHAnsi"/>
          <w:bCs/>
          <w:i/>
          <w:noProof w:val="0"/>
          <w:color w:val="17365D"/>
          <w:szCs w:val="22"/>
          <w:lang w:eastAsia="en-US"/>
        </w:rPr>
        <w:t>euro</w:t>
      </w:r>
      <w:r w:rsidRPr="00917326">
        <w:rPr>
          <w:rFonts w:eastAsiaTheme="minorHAnsi"/>
          <w:bCs/>
          <w:noProof w:val="0"/>
          <w:color w:val="17365D"/>
          <w:szCs w:val="22"/>
          <w:lang w:eastAsia="en-US"/>
        </w:rPr>
        <w:t xml:space="preserve"> vērtībā</w:t>
      </w:r>
      <w:r w:rsidR="005D171A">
        <w:rPr>
          <w:rFonts w:eastAsiaTheme="minorHAnsi"/>
          <w:bCs/>
          <w:noProof w:val="0"/>
          <w:color w:val="17365D"/>
          <w:szCs w:val="22"/>
          <w:lang w:eastAsia="en-US"/>
        </w:rPr>
        <w:t>;</w:t>
      </w:r>
    </w:p>
    <w:p w14:paraId="2C8E4382" w14:textId="3F23198A" w:rsidR="005D171A" w:rsidRPr="005D171A" w:rsidRDefault="00917326" w:rsidP="00146A16">
      <w:pPr>
        <w:pStyle w:val="Pamatteksts1"/>
        <w:numPr>
          <w:ilvl w:val="0"/>
          <w:numId w:val="39"/>
        </w:numPr>
        <w:rPr>
          <w:rFonts w:eastAsiaTheme="minorHAnsi"/>
          <w:bCs/>
          <w:noProof w:val="0"/>
          <w:color w:val="17365D"/>
          <w:szCs w:val="22"/>
          <w:lang w:eastAsia="en-US"/>
        </w:rPr>
      </w:pPr>
      <w:r w:rsidRPr="00917326">
        <w:rPr>
          <w:rFonts w:eastAsiaTheme="minorHAnsi"/>
          <w:bCs/>
          <w:noProof w:val="0"/>
          <w:color w:val="17365D"/>
          <w:szCs w:val="22"/>
          <w:lang w:eastAsia="en-US"/>
        </w:rPr>
        <w:t>Zemkopības ministrijas ilgtermiņa saistīb</w:t>
      </w:r>
      <w:r w:rsidR="00CE32C0">
        <w:rPr>
          <w:rFonts w:eastAsiaTheme="minorHAnsi"/>
          <w:bCs/>
          <w:noProof w:val="0"/>
          <w:color w:val="17365D"/>
          <w:szCs w:val="22"/>
          <w:lang w:eastAsia="en-US"/>
        </w:rPr>
        <w:t>u</w:t>
      </w:r>
      <w:r w:rsidRPr="00917326">
        <w:rPr>
          <w:rFonts w:eastAsiaTheme="minorHAnsi"/>
          <w:bCs/>
          <w:noProof w:val="0"/>
          <w:color w:val="17365D"/>
          <w:szCs w:val="22"/>
          <w:lang w:eastAsia="en-US"/>
        </w:rPr>
        <w:t xml:space="preserve"> </w:t>
      </w:r>
      <w:r w:rsidR="004105BE">
        <w:rPr>
          <w:rFonts w:eastAsiaTheme="minorHAnsi"/>
          <w:bCs/>
          <w:noProof w:val="0"/>
          <w:color w:val="17365D"/>
          <w:szCs w:val="22"/>
          <w:lang w:eastAsia="en-US"/>
        </w:rPr>
        <w:t>pieaugumu</w:t>
      </w:r>
      <w:r w:rsidRPr="00917326">
        <w:rPr>
          <w:rFonts w:eastAsiaTheme="minorHAnsi"/>
          <w:bCs/>
          <w:noProof w:val="0"/>
          <w:color w:val="17365D"/>
          <w:szCs w:val="22"/>
          <w:lang w:eastAsia="en-US"/>
        </w:rPr>
        <w:t xml:space="preserve"> veido AS “Attīstības finanšu institūcija </w:t>
      </w:r>
      <w:r w:rsidR="00CE32C0">
        <w:rPr>
          <w:rFonts w:eastAsiaTheme="minorHAnsi"/>
          <w:bCs/>
          <w:noProof w:val="0"/>
          <w:color w:val="17365D"/>
          <w:szCs w:val="22"/>
          <w:lang w:eastAsia="en-US"/>
        </w:rPr>
        <w:t>Altum</w:t>
      </w:r>
      <w:r w:rsidRPr="002A298A">
        <w:rPr>
          <w:rFonts w:eastAsiaTheme="minorHAnsi"/>
          <w:bCs/>
          <w:noProof w:val="0"/>
          <w:color w:val="17365D"/>
          <w:szCs w:val="22"/>
          <w:lang w:eastAsia="en-US"/>
        </w:rPr>
        <w:t xml:space="preserve">” </w:t>
      </w:r>
      <w:r w:rsidR="002A298A" w:rsidRPr="002A298A">
        <w:rPr>
          <w:rFonts w:eastAsiaTheme="minorHAnsi"/>
          <w:color w:val="17365D"/>
          <w:szCs w:val="22"/>
        </w:rPr>
        <w:t>Eiropas Lauksaimniecības Fonda lauku attīstībai (</w:t>
      </w:r>
      <w:r w:rsidRPr="002A298A">
        <w:rPr>
          <w:rFonts w:eastAsiaTheme="minorHAnsi"/>
          <w:bCs/>
          <w:noProof w:val="0"/>
          <w:color w:val="17365D"/>
          <w:szCs w:val="22"/>
          <w:lang w:eastAsia="en-US"/>
        </w:rPr>
        <w:t>ELFLA</w:t>
      </w:r>
      <w:r w:rsidR="002A298A" w:rsidRPr="002A298A">
        <w:rPr>
          <w:rFonts w:eastAsiaTheme="minorHAnsi"/>
          <w:bCs/>
          <w:noProof w:val="0"/>
          <w:color w:val="17365D"/>
          <w:szCs w:val="22"/>
          <w:lang w:eastAsia="en-US"/>
        </w:rPr>
        <w:t>)</w:t>
      </w:r>
      <w:r w:rsidRPr="002A298A">
        <w:rPr>
          <w:rFonts w:eastAsiaTheme="minorHAnsi"/>
          <w:bCs/>
          <w:noProof w:val="0"/>
          <w:color w:val="17365D"/>
          <w:szCs w:val="22"/>
          <w:lang w:eastAsia="en-US"/>
        </w:rPr>
        <w:t xml:space="preserve"> </w:t>
      </w:r>
      <w:r w:rsidR="00C23F6C" w:rsidRPr="002A298A">
        <w:rPr>
          <w:color w:val="17365D"/>
        </w:rPr>
        <w:t>2014.</w:t>
      </w:r>
      <w:r w:rsidR="004105BE">
        <w:rPr>
          <w:color w:val="17365D"/>
        </w:rPr>
        <w:t xml:space="preserve"> – </w:t>
      </w:r>
      <w:r w:rsidR="00C23F6C" w:rsidRPr="002A298A">
        <w:rPr>
          <w:color w:val="17365D"/>
        </w:rPr>
        <w:t>2020.</w:t>
      </w:r>
      <w:r w:rsidR="00C23F6C" w:rsidRPr="005D171A">
        <w:rPr>
          <w:color w:val="17365D"/>
        </w:rPr>
        <w:t xml:space="preserve">gada plānošanas perioda </w:t>
      </w:r>
      <w:r w:rsidRPr="005D171A">
        <w:rPr>
          <w:rFonts w:eastAsiaTheme="minorHAnsi"/>
          <w:bCs/>
          <w:noProof w:val="0"/>
          <w:color w:val="17365D"/>
          <w:szCs w:val="22"/>
          <w:lang w:eastAsia="en-US"/>
        </w:rPr>
        <w:t>finanšu instrumenta ietvaro</w:t>
      </w:r>
      <w:r w:rsidR="00824F8F" w:rsidRPr="005D171A">
        <w:rPr>
          <w:rFonts w:eastAsiaTheme="minorHAnsi"/>
          <w:bCs/>
          <w:noProof w:val="0"/>
          <w:color w:val="17365D"/>
          <w:szCs w:val="22"/>
          <w:lang w:eastAsia="en-US"/>
        </w:rPr>
        <w:t>s piešķirtais finansējums 7 494 </w:t>
      </w:r>
      <w:r w:rsidRPr="005D171A">
        <w:rPr>
          <w:rFonts w:eastAsiaTheme="minorHAnsi"/>
          <w:bCs/>
          <w:noProof w:val="0"/>
          <w:color w:val="17365D"/>
          <w:szCs w:val="22"/>
          <w:lang w:eastAsia="en-US"/>
        </w:rPr>
        <w:t xml:space="preserve">114 </w:t>
      </w:r>
      <w:r w:rsidRPr="005D171A">
        <w:rPr>
          <w:rFonts w:eastAsiaTheme="minorHAnsi"/>
          <w:bCs/>
          <w:i/>
          <w:noProof w:val="0"/>
          <w:color w:val="17365D"/>
          <w:szCs w:val="22"/>
          <w:lang w:eastAsia="en-US"/>
        </w:rPr>
        <w:t>euro</w:t>
      </w:r>
      <w:r w:rsidR="005D171A" w:rsidRPr="005D171A">
        <w:rPr>
          <w:rFonts w:eastAsiaTheme="minorHAnsi"/>
          <w:bCs/>
          <w:noProof w:val="0"/>
          <w:color w:val="17365D"/>
          <w:szCs w:val="22"/>
          <w:lang w:eastAsia="en-US"/>
        </w:rPr>
        <w:t>;</w:t>
      </w:r>
    </w:p>
    <w:p w14:paraId="472AA851" w14:textId="1563B11C" w:rsidR="00917326" w:rsidRPr="005D171A" w:rsidRDefault="00917326" w:rsidP="00146A16">
      <w:pPr>
        <w:pStyle w:val="Pamatteksts1"/>
        <w:numPr>
          <w:ilvl w:val="0"/>
          <w:numId w:val="39"/>
        </w:numPr>
        <w:rPr>
          <w:rFonts w:eastAsiaTheme="minorHAnsi"/>
          <w:color w:val="17365D"/>
          <w:szCs w:val="22"/>
        </w:rPr>
      </w:pPr>
      <w:r w:rsidRPr="005D171A">
        <w:rPr>
          <w:rFonts w:eastAsiaTheme="minorHAnsi"/>
          <w:bCs/>
          <w:noProof w:val="0"/>
          <w:color w:val="17365D"/>
          <w:szCs w:val="22"/>
          <w:lang w:eastAsia="en-US"/>
        </w:rPr>
        <w:t>valsts budžeta finanšu uzskaitē pārklasificēt</w:t>
      </w:r>
      <w:r w:rsidR="002776C2" w:rsidRPr="005D171A">
        <w:rPr>
          <w:rFonts w:eastAsiaTheme="minorHAnsi"/>
          <w:bCs/>
          <w:noProof w:val="0"/>
          <w:color w:val="17365D"/>
          <w:szCs w:val="22"/>
          <w:lang w:eastAsia="en-US"/>
        </w:rPr>
        <w:t>ais</w:t>
      </w:r>
      <w:r w:rsidRPr="005D171A">
        <w:rPr>
          <w:rFonts w:eastAsiaTheme="minorHAnsi"/>
          <w:bCs/>
          <w:noProof w:val="0"/>
          <w:color w:val="17365D"/>
          <w:szCs w:val="22"/>
          <w:lang w:eastAsia="en-US"/>
        </w:rPr>
        <w:t xml:space="preserve"> ilgtermiņa aizņēmum</w:t>
      </w:r>
      <w:r w:rsidR="002776C2" w:rsidRPr="005D171A">
        <w:rPr>
          <w:rFonts w:eastAsiaTheme="minorHAnsi"/>
          <w:bCs/>
          <w:noProof w:val="0"/>
          <w:color w:val="17365D"/>
          <w:szCs w:val="22"/>
          <w:lang w:eastAsia="en-US"/>
        </w:rPr>
        <w:t>s</w:t>
      </w:r>
      <w:r w:rsidRPr="005D171A">
        <w:rPr>
          <w:rFonts w:eastAsiaTheme="minorHAnsi"/>
          <w:bCs/>
          <w:noProof w:val="0"/>
          <w:color w:val="17365D"/>
          <w:szCs w:val="22"/>
          <w:lang w:eastAsia="en-US"/>
        </w:rPr>
        <w:t xml:space="preserve"> no Starptautiskā Valūtas fonda (Speciālās aizņēmuma tiesības)</w:t>
      </w:r>
      <w:r w:rsidR="006F0F8A" w:rsidRPr="005D171A">
        <w:rPr>
          <w:rFonts w:eastAsiaTheme="minorHAnsi"/>
          <w:bCs/>
          <w:noProof w:val="0"/>
          <w:color w:val="17365D"/>
          <w:szCs w:val="22"/>
          <w:lang w:eastAsia="en-US"/>
        </w:rPr>
        <w:t xml:space="preserve"> 548 049 </w:t>
      </w:r>
      <w:r w:rsidRPr="005D171A">
        <w:rPr>
          <w:rFonts w:eastAsiaTheme="minorHAnsi"/>
          <w:bCs/>
          <w:noProof w:val="0"/>
          <w:color w:val="17365D"/>
          <w:szCs w:val="22"/>
          <w:lang w:eastAsia="en-US"/>
        </w:rPr>
        <w:t xml:space="preserve">011 </w:t>
      </w:r>
      <w:r w:rsidRPr="005D171A">
        <w:rPr>
          <w:rFonts w:eastAsiaTheme="minorHAnsi"/>
          <w:bCs/>
          <w:i/>
          <w:noProof w:val="0"/>
          <w:color w:val="17365D"/>
          <w:szCs w:val="22"/>
          <w:lang w:eastAsia="en-US"/>
        </w:rPr>
        <w:t>euro</w:t>
      </w:r>
      <w:r w:rsidR="002776C2" w:rsidRPr="005D171A">
        <w:rPr>
          <w:rFonts w:eastAsiaTheme="minorHAnsi"/>
          <w:bCs/>
          <w:i/>
          <w:noProof w:val="0"/>
          <w:color w:val="17365D"/>
          <w:szCs w:val="22"/>
          <w:lang w:eastAsia="en-US"/>
        </w:rPr>
        <w:t xml:space="preserve"> </w:t>
      </w:r>
      <w:r w:rsidR="002776C2" w:rsidRPr="005D171A">
        <w:rPr>
          <w:rFonts w:eastAsiaTheme="minorHAnsi"/>
          <w:bCs/>
          <w:noProof w:val="0"/>
          <w:color w:val="17365D"/>
          <w:szCs w:val="22"/>
          <w:lang w:eastAsia="en-US"/>
        </w:rPr>
        <w:t>vērtībā</w:t>
      </w:r>
      <w:r w:rsidRPr="005D171A">
        <w:rPr>
          <w:rFonts w:eastAsiaTheme="minorHAnsi"/>
          <w:bCs/>
          <w:noProof w:val="0"/>
          <w:color w:val="17365D"/>
          <w:szCs w:val="22"/>
          <w:lang w:eastAsia="en-US"/>
        </w:rPr>
        <w:t>.</w:t>
      </w:r>
    </w:p>
    <w:p w14:paraId="026DCA73" w14:textId="6FFB8661" w:rsidR="00FD2C7A" w:rsidRPr="00A27896" w:rsidRDefault="007E4B5E" w:rsidP="005A3758">
      <w:pPr>
        <w:pStyle w:val="Heading4"/>
        <w:rPr>
          <w:rFonts w:cs="Times New Roman"/>
        </w:rPr>
      </w:pPr>
      <w:r w:rsidRPr="005D171A">
        <w:rPr>
          <w:rFonts w:cs="Times New Roman"/>
        </w:rPr>
        <w:t xml:space="preserve">Piezīme Nr. </w:t>
      </w:r>
      <w:r w:rsidR="00FD2C7A" w:rsidRPr="005D171A">
        <w:rPr>
          <w:rFonts w:cs="Times New Roman"/>
        </w:rPr>
        <w:t>KB.</w:t>
      </w:r>
      <w:r w:rsidR="00FB303F" w:rsidRPr="005D171A">
        <w:rPr>
          <w:rFonts w:cs="Times New Roman"/>
        </w:rPr>
        <w:t>5.2.-5.9.</w:t>
      </w:r>
      <w:r w:rsidR="00FD2C7A" w:rsidRPr="005D171A">
        <w:rPr>
          <w:rFonts w:cs="Times New Roman"/>
        </w:rPr>
        <w:t xml:space="preserve"> Īstermiņa saist</w:t>
      </w:r>
      <w:r w:rsidR="00FD2C7A" w:rsidRPr="00A27896">
        <w:rPr>
          <w:rFonts w:cs="Times New Roman"/>
        </w:rPr>
        <w:t>ības</w:t>
      </w:r>
    </w:p>
    <w:p w14:paraId="48FC40C5" w14:textId="5EECA42B" w:rsidR="0019588C" w:rsidRPr="00A27896" w:rsidRDefault="004105BE" w:rsidP="001749DD">
      <w:pPr>
        <w:pStyle w:val="Tabulasnosaukums1"/>
        <w:spacing w:before="0"/>
        <w:rPr>
          <w:rFonts w:cs="Times New Roman"/>
          <w:i/>
          <w:color w:val="17365D"/>
        </w:rPr>
      </w:pPr>
      <w:r>
        <w:rPr>
          <w:rFonts w:cs="Times New Roman"/>
          <w:i/>
          <w:color w:val="17365D"/>
        </w:rPr>
        <w:t>1.</w:t>
      </w:r>
      <w:r w:rsidR="00BF7AE9" w:rsidRPr="00A27896">
        <w:rPr>
          <w:rFonts w:cs="Times New Roman"/>
          <w:i/>
          <w:color w:val="17365D"/>
        </w:rPr>
        <w:t>2</w:t>
      </w:r>
      <w:r w:rsidR="00D95E24" w:rsidRPr="00A27896">
        <w:rPr>
          <w:rFonts w:cs="Times New Roman"/>
          <w:i/>
          <w:color w:val="17365D"/>
        </w:rPr>
        <w:t>1</w:t>
      </w:r>
      <w:r w:rsidR="0019588C" w:rsidRPr="00A27896">
        <w:rPr>
          <w:rFonts w:cs="Times New Roman"/>
          <w:i/>
          <w:color w:val="17365D"/>
        </w:rPr>
        <w:t>. tabula</w:t>
      </w:r>
      <w:r w:rsidR="00BF3156" w:rsidRPr="00A27896">
        <w:rPr>
          <w:rFonts w:cs="Times New Roman"/>
          <w:i/>
          <w:color w:val="17365D"/>
        </w:rPr>
        <w:t>.</w:t>
      </w:r>
      <w:r w:rsidR="0019588C" w:rsidRPr="00A27896">
        <w:rPr>
          <w:rFonts w:cs="Times New Roman"/>
          <w:i/>
          <w:color w:val="17365D"/>
        </w:rPr>
        <w:t xml:space="preserve"> </w:t>
      </w:r>
      <w:r w:rsidR="00BF3156" w:rsidRPr="00A27896">
        <w:rPr>
          <w:rFonts w:cs="Times New Roman"/>
          <w:i/>
          <w:color w:val="17365D"/>
        </w:rPr>
        <w:t xml:space="preserve">Īstermiņa saistības </w:t>
      </w:r>
      <w:r w:rsidR="00BF3156" w:rsidRPr="00A27896">
        <w:rPr>
          <w:rFonts w:eastAsia="Times New Roman" w:cs="Times New Roman"/>
          <w:i/>
          <w:color w:val="17365D"/>
          <w:szCs w:val="20"/>
          <w:lang w:eastAsia="lv-LV"/>
        </w:rPr>
        <w:t>(</w:t>
      </w:r>
      <w:r w:rsidR="008944A8" w:rsidRPr="00A27896">
        <w:rPr>
          <w:rFonts w:eastAsia="Times New Roman" w:cs="Times New Roman"/>
          <w:i/>
          <w:color w:val="17365D"/>
          <w:szCs w:val="20"/>
          <w:lang w:eastAsia="lv-LV"/>
        </w:rPr>
        <w:t>euro</w:t>
      </w:r>
      <w:r w:rsidR="00BF3156" w:rsidRPr="00A27896">
        <w:rPr>
          <w:rFonts w:eastAsia="Times New Roman" w:cs="Times New Roman"/>
          <w:i/>
          <w:color w:val="17365D"/>
          <w:szCs w:val="20"/>
          <w:lang w:eastAsia="lv-LV"/>
        </w:rPr>
        <w:t>)</w:t>
      </w:r>
    </w:p>
    <w:tbl>
      <w:tblPr>
        <w:tblW w:w="5000" w:type="pct"/>
        <w:tblLayout w:type="fixed"/>
        <w:tblLook w:val="04A0" w:firstRow="1" w:lastRow="0" w:firstColumn="1" w:lastColumn="0" w:noHBand="0" w:noVBand="1"/>
      </w:tblPr>
      <w:tblGrid>
        <w:gridCol w:w="2973"/>
        <w:gridCol w:w="907"/>
        <w:gridCol w:w="1336"/>
        <w:gridCol w:w="1371"/>
        <w:gridCol w:w="1558"/>
        <w:gridCol w:w="1209"/>
      </w:tblGrid>
      <w:tr w:rsidR="000C1009" w:rsidRPr="00A27896" w14:paraId="0E5F87F0" w14:textId="77777777" w:rsidTr="00196D73">
        <w:trPr>
          <w:trHeight w:val="684"/>
          <w:tblHeader/>
        </w:trPr>
        <w:tc>
          <w:tcPr>
            <w:tcW w:w="1589" w:type="pct"/>
            <w:tcBorders>
              <w:bottom w:val="single" w:sz="4" w:space="0" w:color="17365D"/>
            </w:tcBorders>
            <w:shd w:val="clear" w:color="auto" w:fill="B9CDE5"/>
            <w:vAlign w:val="center"/>
            <w:hideMark/>
          </w:tcPr>
          <w:p w14:paraId="104D98BE"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Rādītāji</w:t>
            </w:r>
          </w:p>
        </w:tc>
        <w:tc>
          <w:tcPr>
            <w:tcW w:w="485" w:type="pct"/>
            <w:tcBorders>
              <w:bottom w:val="single" w:sz="4" w:space="0" w:color="17365D"/>
            </w:tcBorders>
            <w:shd w:val="clear" w:color="auto" w:fill="B9CDE5"/>
            <w:vAlign w:val="center"/>
            <w:hideMark/>
          </w:tcPr>
          <w:p w14:paraId="0BE96CF8"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Piezīmes</w:t>
            </w:r>
            <w:r w:rsidRPr="00A27896">
              <w:rPr>
                <w:rFonts w:eastAsia="Times New Roman" w:cs="Times New Roman"/>
                <w:b/>
                <w:bCs/>
                <w:color w:val="17365D"/>
                <w:sz w:val="18"/>
                <w:szCs w:val="18"/>
                <w:lang w:eastAsia="lv-LV"/>
              </w:rPr>
              <w:br/>
              <w:t>Nr.</w:t>
            </w:r>
          </w:p>
        </w:tc>
        <w:tc>
          <w:tcPr>
            <w:tcW w:w="714" w:type="pct"/>
            <w:tcBorders>
              <w:bottom w:val="single" w:sz="4" w:space="0" w:color="17365D"/>
            </w:tcBorders>
            <w:shd w:val="clear" w:color="auto" w:fill="B9CDE5"/>
            <w:vAlign w:val="center"/>
            <w:hideMark/>
          </w:tcPr>
          <w:p w14:paraId="15062590"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733" w:type="pct"/>
            <w:tcBorders>
              <w:bottom w:val="single" w:sz="4" w:space="0" w:color="17365D"/>
            </w:tcBorders>
            <w:shd w:val="clear" w:color="auto" w:fill="B9CDE5"/>
            <w:vAlign w:val="center"/>
            <w:hideMark/>
          </w:tcPr>
          <w:p w14:paraId="27DBB305"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833" w:type="pct"/>
            <w:tcBorders>
              <w:bottom w:val="single" w:sz="4" w:space="0" w:color="17365D"/>
            </w:tcBorders>
            <w:shd w:val="clear" w:color="auto" w:fill="B9CDE5"/>
            <w:vAlign w:val="center"/>
            <w:hideMark/>
          </w:tcPr>
          <w:p w14:paraId="326F9904" w14:textId="671AC4DC"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Izmaiņas </w:t>
            </w:r>
            <w:r w:rsidRPr="00A27896">
              <w:rPr>
                <w:rFonts w:eastAsia="Times New Roman" w:cs="Times New Roman"/>
                <w:b/>
                <w:bCs/>
                <w:color w:val="17365D"/>
                <w:sz w:val="18"/>
                <w:szCs w:val="18"/>
                <w:lang w:eastAsia="lv-LV"/>
              </w:rPr>
              <w:br/>
              <w:t>(+,</w:t>
            </w:r>
            <w:r w:rsidR="002B1B27" w:rsidRPr="00A27896">
              <w:rPr>
                <w:rFonts w:eastAsia="Times New Roman" w:cs="Times New Roman"/>
                <w:b/>
                <w:bCs/>
                <w:color w:val="17365D"/>
                <w:sz w:val="18"/>
                <w:szCs w:val="18"/>
                <w:lang w:eastAsia="lv-LV"/>
              </w:rPr>
              <w:t xml:space="preserve"> – </w:t>
            </w:r>
            <w:r w:rsidRPr="00A27896">
              <w:rPr>
                <w:rFonts w:eastAsia="Times New Roman" w:cs="Times New Roman"/>
                <w:b/>
                <w:bCs/>
                <w:color w:val="17365D"/>
                <w:sz w:val="18"/>
                <w:szCs w:val="18"/>
                <w:lang w:eastAsia="lv-LV"/>
              </w:rPr>
              <w:t>)</w:t>
            </w:r>
          </w:p>
        </w:tc>
        <w:tc>
          <w:tcPr>
            <w:tcW w:w="646" w:type="pct"/>
            <w:tcBorders>
              <w:bottom w:val="single" w:sz="4" w:space="0" w:color="17365D"/>
            </w:tcBorders>
            <w:shd w:val="clear" w:color="auto" w:fill="B9CDE5"/>
            <w:vAlign w:val="center"/>
            <w:hideMark/>
          </w:tcPr>
          <w:p w14:paraId="7E4DEBE4" w14:textId="77777777" w:rsidR="00B06300" w:rsidRPr="00A27896" w:rsidRDefault="00B06300" w:rsidP="00B06300">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Procentuālās izmaiņas (3./2.*100)</w:t>
            </w:r>
          </w:p>
        </w:tc>
      </w:tr>
      <w:tr w:rsidR="000C1009" w:rsidRPr="00A27896" w14:paraId="77876682" w14:textId="77777777" w:rsidTr="00196D73">
        <w:trPr>
          <w:trHeight w:val="240"/>
          <w:tblHeader/>
        </w:trPr>
        <w:tc>
          <w:tcPr>
            <w:tcW w:w="1589" w:type="pct"/>
            <w:tcBorders>
              <w:top w:val="single" w:sz="4" w:space="0" w:color="17365D"/>
              <w:bottom w:val="single" w:sz="4" w:space="0" w:color="17365D"/>
            </w:tcBorders>
            <w:shd w:val="clear" w:color="auto" w:fill="auto"/>
            <w:vAlign w:val="center"/>
            <w:hideMark/>
          </w:tcPr>
          <w:p w14:paraId="01EEAA47"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485" w:type="pct"/>
            <w:tcBorders>
              <w:top w:val="single" w:sz="4" w:space="0" w:color="17365D"/>
              <w:bottom w:val="single" w:sz="4" w:space="0" w:color="17365D"/>
            </w:tcBorders>
            <w:shd w:val="clear" w:color="auto" w:fill="auto"/>
            <w:vAlign w:val="center"/>
            <w:hideMark/>
          </w:tcPr>
          <w:p w14:paraId="3C072016"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w:t>
            </w:r>
          </w:p>
        </w:tc>
        <w:tc>
          <w:tcPr>
            <w:tcW w:w="714" w:type="pct"/>
            <w:tcBorders>
              <w:top w:val="single" w:sz="4" w:space="0" w:color="17365D"/>
              <w:bottom w:val="single" w:sz="4" w:space="0" w:color="17365D"/>
            </w:tcBorders>
            <w:shd w:val="clear" w:color="auto" w:fill="auto"/>
            <w:vAlign w:val="center"/>
            <w:hideMark/>
          </w:tcPr>
          <w:p w14:paraId="7866D1F8"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733" w:type="pct"/>
            <w:tcBorders>
              <w:top w:val="single" w:sz="4" w:space="0" w:color="17365D"/>
              <w:bottom w:val="single" w:sz="4" w:space="0" w:color="17365D"/>
            </w:tcBorders>
            <w:shd w:val="clear" w:color="auto" w:fill="auto"/>
            <w:vAlign w:val="center"/>
            <w:hideMark/>
          </w:tcPr>
          <w:p w14:paraId="1B92101B"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833" w:type="pct"/>
            <w:tcBorders>
              <w:top w:val="single" w:sz="4" w:space="0" w:color="17365D"/>
              <w:bottom w:val="single" w:sz="4" w:space="0" w:color="17365D"/>
            </w:tcBorders>
            <w:shd w:val="clear" w:color="auto" w:fill="auto"/>
            <w:vAlign w:val="center"/>
            <w:hideMark/>
          </w:tcPr>
          <w:p w14:paraId="4D809CC5"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46" w:type="pct"/>
            <w:tcBorders>
              <w:top w:val="single" w:sz="4" w:space="0" w:color="17365D"/>
              <w:bottom w:val="single" w:sz="4" w:space="0" w:color="17365D"/>
            </w:tcBorders>
            <w:shd w:val="clear" w:color="auto" w:fill="auto"/>
            <w:vAlign w:val="center"/>
            <w:hideMark/>
          </w:tcPr>
          <w:p w14:paraId="5A0B1DE9" w14:textId="77777777" w:rsidR="00B06300" w:rsidRPr="00A27896" w:rsidRDefault="00B06300" w:rsidP="00B06300">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920C94" w:rsidRPr="00A27896" w14:paraId="716668F7" w14:textId="77777777" w:rsidTr="00C87349">
        <w:trPr>
          <w:trHeight w:val="240"/>
        </w:trPr>
        <w:tc>
          <w:tcPr>
            <w:tcW w:w="1589" w:type="pct"/>
            <w:tcBorders>
              <w:top w:val="single" w:sz="4" w:space="0" w:color="17365D"/>
              <w:bottom w:val="single" w:sz="4" w:space="0" w:color="17365D"/>
            </w:tcBorders>
            <w:shd w:val="clear" w:color="auto" w:fill="auto"/>
            <w:vAlign w:val="center"/>
            <w:hideMark/>
          </w:tcPr>
          <w:p w14:paraId="20747487" w14:textId="45840F84" w:rsidR="00920C94" w:rsidRPr="00A27896" w:rsidRDefault="00920C94" w:rsidP="00920C94">
            <w:pPr>
              <w:spacing w:after="0" w:line="240" w:lineRule="auto"/>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Īstermiņa saistības </w:t>
            </w:r>
          </w:p>
        </w:tc>
        <w:tc>
          <w:tcPr>
            <w:tcW w:w="485" w:type="pct"/>
            <w:tcBorders>
              <w:top w:val="single" w:sz="4" w:space="0" w:color="17365D"/>
              <w:bottom w:val="single" w:sz="4" w:space="0" w:color="17365D"/>
            </w:tcBorders>
            <w:shd w:val="clear" w:color="auto" w:fill="auto"/>
            <w:vAlign w:val="center"/>
            <w:hideMark/>
          </w:tcPr>
          <w:p w14:paraId="2EA716B7" w14:textId="02EAF6C8" w:rsidR="00920C94" w:rsidRPr="00A27896" w:rsidRDefault="00920C94" w:rsidP="00920C94">
            <w:pPr>
              <w:spacing w:after="0" w:line="240" w:lineRule="auto"/>
              <w:jc w:val="center"/>
              <w:rPr>
                <w:rFonts w:eastAsia="Times New Roman" w:cs="Times New Roman"/>
                <w:b/>
                <w:bCs/>
                <w:color w:val="17365D"/>
                <w:sz w:val="18"/>
                <w:szCs w:val="18"/>
                <w:lang w:eastAsia="lv-LV"/>
              </w:rPr>
            </w:pPr>
            <w:r w:rsidRPr="00A27896">
              <w:rPr>
                <w:rFonts w:cs="Times New Roman"/>
                <w:b/>
                <w:color w:val="17365D"/>
                <w:sz w:val="18"/>
                <w:szCs w:val="18"/>
              </w:rPr>
              <w:t>KB.5.2.-5.9.</w:t>
            </w:r>
          </w:p>
        </w:tc>
        <w:tc>
          <w:tcPr>
            <w:tcW w:w="714" w:type="pct"/>
            <w:tcBorders>
              <w:top w:val="single" w:sz="4" w:space="0" w:color="17365D"/>
              <w:left w:val="nil"/>
              <w:bottom w:val="single" w:sz="4" w:space="0" w:color="auto"/>
              <w:right w:val="nil"/>
            </w:tcBorders>
            <w:shd w:val="clear" w:color="auto" w:fill="auto"/>
            <w:vAlign w:val="center"/>
          </w:tcPr>
          <w:p w14:paraId="5B1F42BF" w14:textId="20A69CF3" w:rsidR="00920C94" w:rsidRPr="00C87349" w:rsidRDefault="00920C94" w:rsidP="00920C94">
            <w:pPr>
              <w:spacing w:after="0" w:line="240" w:lineRule="auto"/>
              <w:jc w:val="right"/>
              <w:rPr>
                <w:rFonts w:eastAsia="Times New Roman" w:cs="Times New Roman"/>
                <w:b/>
                <w:color w:val="17365D"/>
                <w:sz w:val="18"/>
                <w:szCs w:val="18"/>
                <w:lang w:eastAsia="lv-LV"/>
              </w:rPr>
            </w:pPr>
            <w:r w:rsidRPr="00C87349">
              <w:rPr>
                <w:rFonts w:eastAsia="Times New Roman" w:cs="Times New Roman"/>
                <w:b/>
                <w:color w:val="17365D"/>
                <w:sz w:val="18"/>
                <w:szCs w:val="18"/>
                <w:lang w:eastAsia="lv-LV"/>
              </w:rPr>
              <w:t>5 406 777 945</w:t>
            </w:r>
          </w:p>
        </w:tc>
        <w:tc>
          <w:tcPr>
            <w:tcW w:w="733" w:type="pct"/>
            <w:tcBorders>
              <w:top w:val="single" w:sz="4" w:space="0" w:color="17365D"/>
              <w:left w:val="nil"/>
              <w:bottom w:val="single" w:sz="4" w:space="0" w:color="auto"/>
              <w:right w:val="nil"/>
            </w:tcBorders>
            <w:shd w:val="clear" w:color="auto" w:fill="auto"/>
            <w:vAlign w:val="center"/>
          </w:tcPr>
          <w:p w14:paraId="5950722D" w14:textId="32DFD5E5" w:rsidR="00920C94" w:rsidRPr="00C87349" w:rsidRDefault="00920C94" w:rsidP="00920C94">
            <w:pPr>
              <w:spacing w:after="0" w:line="240" w:lineRule="auto"/>
              <w:jc w:val="right"/>
              <w:rPr>
                <w:rFonts w:eastAsia="Times New Roman" w:cs="Times New Roman"/>
                <w:b/>
                <w:color w:val="17365D"/>
                <w:sz w:val="18"/>
                <w:szCs w:val="18"/>
                <w:lang w:eastAsia="lv-LV"/>
              </w:rPr>
            </w:pPr>
            <w:r w:rsidRPr="00C87349">
              <w:rPr>
                <w:rFonts w:eastAsia="Times New Roman" w:cs="Times New Roman"/>
                <w:b/>
                <w:color w:val="17365D"/>
                <w:sz w:val="18"/>
                <w:szCs w:val="18"/>
                <w:lang w:eastAsia="lv-LV"/>
              </w:rPr>
              <w:t>5 401 685 792</w:t>
            </w:r>
          </w:p>
        </w:tc>
        <w:tc>
          <w:tcPr>
            <w:tcW w:w="833" w:type="pct"/>
            <w:tcBorders>
              <w:top w:val="single" w:sz="4" w:space="0" w:color="17365D"/>
              <w:left w:val="nil"/>
              <w:bottom w:val="single" w:sz="4" w:space="0" w:color="auto"/>
              <w:right w:val="nil"/>
            </w:tcBorders>
            <w:shd w:val="clear" w:color="auto" w:fill="auto"/>
            <w:noWrap/>
            <w:vAlign w:val="center"/>
          </w:tcPr>
          <w:p w14:paraId="7E390B8D" w14:textId="501D6DD5" w:rsidR="00920C94" w:rsidRPr="00C87349" w:rsidRDefault="00920C94" w:rsidP="00920C94">
            <w:pPr>
              <w:spacing w:after="0" w:line="240" w:lineRule="auto"/>
              <w:jc w:val="right"/>
              <w:rPr>
                <w:rFonts w:eastAsia="Times New Roman" w:cs="Times New Roman"/>
                <w:b/>
                <w:color w:val="17365D"/>
                <w:sz w:val="18"/>
                <w:szCs w:val="18"/>
                <w:lang w:eastAsia="lv-LV"/>
              </w:rPr>
            </w:pPr>
            <w:r w:rsidRPr="00C87349">
              <w:rPr>
                <w:rFonts w:eastAsia="Times New Roman" w:cs="Times New Roman"/>
                <w:b/>
                <w:color w:val="17365D"/>
                <w:sz w:val="18"/>
                <w:szCs w:val="18"/>
                <w:lang w:eastAsia="lv-LV"/>
              </w:rPr>
              <w:t>5 092 153</w:t>
            </w:r>
          </w:p>
        </w:tc>
        <w:tc>
          <w:tcPr>
            <w:tcW w:w="646" w:type="pct"/>
            <w:tcBorders>
              <w:top w:val="single" w:sz="4" w:space="0" w:color="17365D"/>
              <w:left w:val="nil"/>
              <w:bottom w:val="single" w:sz="4" w:space="0" w:color="auto"/>
              <w:right w:val="nil"/>
            </w:tcBorders>
            <w:shd w:val="clear" w:color="auto" w:fill="auto"/>
            <w:noWrap/>
            <w:vAlign w:val="center"/>
          </w:tcPr>
          <w:p w14:paraId="6D7D0CF1" w14:textId="140B74B3" w:rsidR="00920C94" w:rsidRPr="00C87349" w:rsidRDefault="00920C94" w:rsidP="00920C94">
            <w:pPr>
              <w:spacing w:after="0" w:line="240" w:lineRule="auto"/>
              <w:jc w:val="right"/>
              <w:rPr>
                <w:rFonts w:eastAsia="Times New Roman" w:cs="Times New Roman"/>
                <w:b/>
                <w:color w:val="17365D"/>
                <w:sz w:val="18"/>
                <w:szCs w:val="18"/>
                <w:lang w:eastAsia="lv-LV"/>
              </w:rPr>
            </w:pPr>
            <w:r w:rsidRPr="00C87349">
              <w:rPr>
                <w:rFonts w:eastAsia="Times New Roman" w:cs="Times New Roman"/>
                <w:b/>
                <w:color w:val="17365D"/>
                <w:sz w:val="18"/>
                <w:szCs w:val="18"/>
                <w:lang w:eastAsia="lv-LV"/>
              </w:rPr>
              <w:t>0.09</w:t>
            </w:r>
          </w:p>
        </w:tc>
      </w:tr>
      <w:tr w:rsidR="00525C6C" w:rsidRPr="00A27896" w14:paraId="606F14B6" w14:textId="77777777" w:rsidTr="00196D73">
        <w:trPr>
          <w:trHeight w:val="480"/>
        </w:trPr>
        <w:tc>
          <w:tcPr>
            <w:tcW w:w="1589" w:type="pct"/>
            <w:tcBorders>
              <w:top w:val="single" w:sz="4" w:space="0" w:color="17365D"/>
              <w:bottom w:val="single" w:sz="4" w:space="0" w:color="17365D"/>
            </w:tcBorders>
            <w:shd w:val="clear" w:color="auto" w:fill="auto"/>
            <w:vAlign w:val="center"/>
            <w:hideMark/>
          </w:tcPr>
          <w:p w14:paraId="00D5CFD5" w14:textId="5960654D" w:rsidR="00525C6C" w:rsidRPr="00A27896" w:rsidRDefault="00525C6C" w:rsidP="00525C6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aizņēmumi un ilgtermiņa aizņēmumu īstermiņa daļa</w:t>
            </w:r>
          </w:p>
        </w:tc>
        <w:tc>
          <w:tcPr>
            <w:tcW w:w="485" w:type="pct"/>
            <w:tcBorders>
              <w:top w:val="single" w:sz="4" w:space="0" w:color="17365D"/>
              <w:bottom w:val="single" w:sz="4" w:space="0" w:color="17365D"/>
            </w:tcBorders>
            <w:shd w:val="clear" w:color="auto" w:fill="auto"/>
            <w:noWrap/>
            <w:vAlign w:val="center"/>
            <w:hideMark/>
          </w:tcPr>
          <w:p w14:paraId="2592DAD9" w14:textId="3750E2E2" w:rsidR="00525C6C" w:rsidRPr="00A27896" w:rsidRDefault="00525C6C" w:rsidP="002A298A">
            <w:pPr>
              <w:spacing w:after="0" w:line="240" w:lineRule="auto"/>
              <w:jc w:val="center"/>
              <w:rPr>
                <w:rFonts w:eastAsia="Times New Roman" w:cs="Times New Roman"/>
                <w:color w:val="17365D"/>
                <w:sz w:val="18"/>
                <w:szCs w:val="18"/>
                <w:lang w:eastAsia="lv-LV"/>
              </w:rPr>
            </w:pPr>
          </w:p>
        </w:tc>
        <w:tc>
          <w:tcPr>
            <w:tcW w:w="714" w:type="pct"/>
            <w:tcBorders>
              <w:top w:val="single" w:sz="4" w:space="0" w:color="auto"/>
              <w:left w:val="nil"/>
              <w:bottom w:val="single" w:sz="4" w:space="0" w:color="auto"/>
              <w:right w:val="nil"/>
            </w:tcBorders>
            <w:shd w:val="clear" w:color="auto" w:fill="auto"/>
            <w:vAlign w:val="center"/>
          </w:tcPr>
          <w:p w14:paraId="0DE280B7" w14:textId="650C8A80" w:rsidR="00525C6C" w:rsidRPr="00A27896" w:rsidRDefault="00525C6C" w:rsidP="00525C6C">
            <w:pPr>
              <w:spacing w:after="0" w:line="240" w:lineRule="auto"/>
              <w:jc w:val="right"/>
              <w:rPr>
                <w:rFonts w:cs="Times New Roman"/>
                <w:color w:val="17365D"/>
                <w:sz w:val="18"/>
                <w:szCs w:val="18"/>
              </w:rPr>
            </w:pPr>
            <w:r>
              <w:rPr>
                <w:color w:val="17365D"/>
                <w:sz w:val="18"/>
                <w:szCs w:val="18"/>
              </w:rPr>
              <w:t>219 449 693</w:t>
            </w:r>
          </w:p>
        </w:tc>
        <w:tc>
          <w:tcPr>
            <w:tcW w:w="733" w:type="pct"/>
            <w:tcBorders>
              <w:top w:val="single" w:sz="4" w:space="0" w:color="auto"/>
              <w:left w:val="nil"/>
              <w:bottom w:val="single" w:sz="4" w:space="0" w:color="auto"/>
              <w:right w:val="nil"/>
            </w:tcBorders>
            <w:shd w:val="clear" w:color="auto" w:fill="auto"/>
            <w:vAlign w:val="center"/>
          </w:tcPr>
          <w:p w14:paraId="4570AF34" w14:textId="4816E137" w:rsidR="00525C6C" w:rsidRPr="00A27896" w:rsidRDefault="00525C6C" w:rsidP="00525C6C">
            <w:pPr>
              <w:spacing w:after="0" w:line="240" w:lineRule="auto"/>
              <w:jc w:val="right"/>
              <w:rPr>
                <w:rFonts w:cs="Times New Roman"/>
                <w:color w:val="17365D"/>
                <w:sz w:val="18"/>
                <w:szCs w:val="18"/>
              </w:rPr>
            </w:pPr>
            <w:r>
              <w:rPr>
                <w:color w:val="17365D"/>
                <w:sz w:val="18"/>
                <w:szCs w:val="18"/>
              </w:rPr>
              <w:t>146 559 760</w:t>
            </w:r>
          </w:p>
        </w:tc>
        <w:tc>
          <w:tcPr>
            <w:tcW w:w="833" w:type="pct"/>
            <w:tcBorders>
              <w:top w:val="single" w:sz="4" w:space="0" w:color="auto"/>
              <w:left w:val="nil"/>
              <w:bottom w:val="single" w:sz="4" w:space="0" w:color="auto"/>
              <w:right w:val="nil"/>
            </w:tcBorders>
            <w:shd w:val="clear" w:color="auto" w:fill="auto"/>
            <w:noWrap/>
            <w:vAlign w:val="center"/>
          </w:tcPr>
          <w:p w14:paraId="0EFE415C" w14:textId="6E79034C" w:rsidR="00525C6C" w:rsidRPr="00A27896" w:rsidRDefault="00525C6C" w:rsidP="00525C6C">
            <w:pPr>
              <w:spacing w:after="0" w:line="240" w:lineRule="auto"/>
              <w:jc w:val="right"/>
              <w:rPr>
                <w:rFonts w:cs="Times New Roman"/>
                <w:color w:val="17365D"/>
                <w:sz w:val="18"/>
                <w:szCs w:val="18"/>
              </w:rPr>
            </w:pPr>
            <w:r>
              <w:rPr>
                <w:color w:val="17365D"/>
                <w:sz w:val="18"/>
                <w:szCs w:val="18"/>
              </w:rPr>
              <w:t>72 889 933</w:t>
            </w:r>
          </w:p>
        </w:tc>
        <w:tc>
          <w:tcPr>
            <w:tcW w:w="646" w:type="pct"/>
            <w:tcBorders>
              <w:top w:val="single" w:sz="4" w:space="0" w:color="auto"/>
              <w:left w:val="nil"/>
              <w:bottom w:val="single" w:sz="4" w:space="0" w:color="auto"/>
              <w:right w:val="nil"/>
            </w:tcBorders>
            <w:shd w:val="clear" w:color="auto" w:fill="auto"/>
            <w:noWrap/>
            <w:vAlign w:val="center"/>
          </w:tcPr>
          <w:p w14:paraId="4B1E31F3" w14:textId="614DC23E" w:rsidR="00525C6C" w:rsidRPr="00A27896" w:rsidRDefault="00525C6C" w:rsidP="00525C6C">
            <w:pPr>
              <w:spacing w:after="0" w:line="240" w:lineRule="auto"/>
              <w:jc w:val="right"/>
              <w:rPr>
                <w:rFonts w:cs="Times New Roman"/>
                <w:color w:val="17365D"/>
                <w:sz w:val="18"/>
                <w:szCs w:val="18"/>
              </w:rPr>
            </w:pPr>
            <w:r>
              <w:rPr>
                <w:color w:val="17365D"/>
                <w:sz w:val="18"/>
                <w:szCs w:val="18"/>
              </w:rPr>
              <w:t>49.73</w:t>
            </w:r>
          </w:p>
        </w:tc>
      </w:tr>
      <w:tr w:rsidR="00525C6C" w:rsidRPr="00A27896" w14:paraId="56135CD8" w14:textId="77777777" w:rsidTr="00196D73">
        <w:trPr>
          <w:trHeight w:val="54"/>
        </w:trPr>
        <w:tc>
          <w:tcPr>
            <w:tcW w:w="1589" w:type="pct"/>
            <w:tcBorders>
              <w:top w:val="single" w:sz="4" w:space="0" w:color="17365D"/>
              <w:bottom w:val="single" w:sz="4" w:space="0" w:color="17365D"/>
            </w:tcBorders>
            <w:shd w:val="clear" w:color="auto" w:fill="auto"/>
            <w:vAlign w:val="center"/>
            <w:hideMark/>
          </w:tcPr>
          <w:p w14:paraId="712EEE96" w14:textId="203D2262" w:rsidR="00525C6C" w:rsidRPr="00A27896" w:rsidRDefault="00525C6C" w:rsidP="00525C6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saistības pret piegādātājiem un darbuzņēmējiem</w:t>
            </w:r>
          </w:p>
        </w:tc>
        <w:tc>
          <w:tcPr>
            <w:tcW w:w="485" w:type="pct"/>
            <w:tcBorders>
              <w:top w:val="single" w:sz="4" w:space="0" w:color="17365D"/>
              <w:bottom w:val="single" w:sz="4" w:space="0" w:color="17365D"/>
            </w:tcBorders>
            <w:shd w:val="clear" w:color="auto" w:fill="auto"/>
            <w:noWrap/>
            <w:vAlign w:val="center"/>
          </w:tcPr>
          <w:p w14:paraId="3083D738" w14:textId="6EA1D645" w:rsidR="00525C6C" w:rsidRPr="00A27896" w:rsidRDefault="00525C6C" w:rsidP="00525C6C">
            <w:pPr>
              <w:spacing w:after="0" w:line="240" w:lineRule="auto"/>
              <w:jc w:val="center"/>
              <w:rPr>
                <w:rFonts w:eastAsia="Times New Roman" w:cs="Times New Roman"/>
                <w:color w:val="17365D"/>
                <w:sz w:val="18"/>
                <w:szCs w:val="18"/>
                <w:lang w:eastAsia="lv-LV"/>
              </w:rPr>
            </w:pPr>
          </w:p>
        </w:tc>
        <w:tc>
          <w:tcPr>
            <w:tcW w:w="714" w:type="pct"/>
            <w:tcBorders>
              <w:top w:val="single" w:sz="4" w:space="0" w:color="auto"/>
              <w:left w:val="nil"/>
              <w:bottom w:val="single" w:sz="4" w:space="0" w:color="auto"/>
              <w:right w:val="nil"/>
            </w:tcBorders>
            <w:shd w:val="clear" w:color="auto" w:fill="auto"/>
            <w:vAlign w:val="center"/>
          </w:tcPr>
          <w:p w14:paraId="4CE45A62" w14:textId="4C4013DB" w:rsidR="00525C6C" w:rsidRPr="00A27896" w:rsidRDefault="00525C6C" w:rsidP="00525C6C">
            <w:pPr>
              <w:spacing w:after="0" w:line="240" w:lineRule="auto"/>
              <w:jc w:val="right"/>
              <w:rPr>
                <w:rFonts w:cs="Times New Roman"/>
                <w:color w:val="17365D"/>
                <w:sz w:val="18"/>
                <w:szCs w:val="18"/>
              </w:rPr>
            </w:pPr>
            <w:r>
              <w:rPr>
                <w:color w:val="17365D"/>
                <w:sz w:val="18"/>
                <w:szCs w:val="18"/>
              </w:rPr>
              <w:t>190 348 203</w:t>
            </w:r>
          </w:p>
        </w:tc>
        <w:tc>
          <w:tcPr>
            <w:tcW w:w="733" w:type="pct"/>
            <w:tcBorders>
              <w:top w:val="single" w:sz="4" w:space="0" w:color="auto"/>
              <w:left w:val="nil"/>
              <w:bottom w:val="single" w:sz="4" w:space="0" w:color="auto"/>
              <w:right w:val="nil"/>
            </w:tcBorders>
            <w:shd w:val="clear" w:color="auto" w:fill="auto"/>
            <w:vAlign w:val="center"/>
          </w:tcPr>
          <w:p w14:paraId="6F6C2FAD" w14:textId="1C28DC32" w:rsidR="00525C6C" w:rsidRPr="00A27896" w:rsidRDefault="00525C6C" w:rsidP="00525C6C">
            <w:pPr>
              <w:spacing w:after="0" w:line="240" w:lineRule="auto"/>
              <w:jc w:val="right"/>
              <w:rPr>
                <w:rFonts w:cs="Times New Roman"/>
                <w:color w:val="17365D"/>
                <w:sz w:val="18"/>
                <w:szCs w:val="18"/>
              </w:rPr>
            </w:pPr>
            <w:r>
              <w:rPr>
                <w:color w:val="17365D"/>
                <w:sz w:val="18"/>
                <w:szCs w:val="18"/>
              </w:rPr>
              <w:t>259 817 177</w:t>
            </w:r>
          </w:p>
        </w:tc>
        <w:tc>
          <w:tcPr>
            <w:tcW w:w="833" w:type="pct"/>
            <w:tcBorders>
              <w:top w:val="single" w:sz="4" w:space="0" w:color="auto"/>
              <w:left w:val="nil"/>
              <w:bottom w:val="single" w:sz="4" w:space="0" w:color="auto"/>
              <w:right w:val="nil"/>
            </w:tcBorders>
            <w:shd w:val="clear" w:color="auto" w:fill="auto"/>
            <w:noWrap/>
            <w:vAlign w:val="center"/>
          </w:tcPr>
          <w:p w14:paraId="246DE407" w14:textId="5AAC74F9" w:rsidR="00525C6C" w:rsidRPr="00A27896" w:rsidRDefault="00525C6C" w:rsidP="00525C6C">
            <w:pPr>
              <w:spacing w:after="0" w:line="240" w:lineRule="auto"/>
              <w:jc w:val="right"/>
              <w:rPr>
                <w:rFonts w:cs="Times New Roman"/>
                <w:color w:val="17365D"/>
                <w:sz w:val="18"/>
                <w:szCs w:val="18"/>
              </w:rPr>
            </w:pPr>
            <w:r>
              <w:rPr>
                <w:color w:val="17365D"/>
                <w:sz w:val="18"/>
                <w:szCs w:val="18"/>
              </w:rPr>
              <w:t>-69 468 974</w:t>
            </w:r>
          </w:p>
        </w:tc>
        <w:tc>
          <w:tcPr>
            <w:tcW w:w="646" w:type="pct"/>
            <w:tcBorders>
              <w:top w:val="single" w:sz="4" w:space="0" w:color="auto"/>
              <w:left w:val="nil"/>
              <w:bottom w:val="single" w:sz="4" w:space="0" w:color="auto"/>
              <w:right w:val="nil"/>
            </w:tcBorders>
            <w:shd w:val="clear" w:color="auto" w:fill="auto"/>
            <w:noWrap/>
            <w:vAlign w:val="center"/>
          </w:tcPr>
          <w:p w14:paraId="26D1B4D7" w14:textId="00E5A543" w:rsidR="00525C6C" w:rsidRPr="00A27896" w:rsidRDefault="00525C6C" w:rsidP="00525C6C">
            <w:pPr>
              <w:spacing w:after="0" w:line="240" w:lineRule="auto"/>
              <w:jc w:val="right"/>
              <w:rPr>
                <w:rFonts w:cs="Times New Roman"/>
                <w:color w:val="17365D"/>
                <w:sz w:val="18"/>
                <w:szCs w:val="18"/>
              </w:rPr>
            </w:pPr>
            <w:r>
              <w:rPr>
                <w:color w:val="17365D"/>
                <w:sz w:val="18"/>
                <w:szCs w:val="18"/>
              </w:rPr>
              <w:t>-26.74</w:t>
            </w:r>
          </w:p>
        </w:tc>
      </w:tr>
      <w:tr w:rsidR="00525C6C" w:rsidRPr="00A27896" w14:paraId="6C6E1EE3" w14:textId="77777777" w:rsidTr="00196D73">
        <w:trPr>
          <w:trHeight w:val="240"/>
        </w:trPr>
        <w:tc>
          <w:tcPr>
            <w:tcW w:w="1589" w:type="pct"/>
            <w:tcBorders>
              <w:top w:val="single" w:sz="4" w:space="0" w:color="17365D"/>
              <w:bottom w:val="single" w:sz="4" w:space="0" w:color="17365D"/>
            </w:tcBorders>
            <w:shd w:val="clear" w:color="auto" w:fill="auto"/>
            <w:vAlign w:val="center"/>
            <w:hideMark/>
          </w:tcPr>
          <w:p w14:paraId="3FDDA1E9" w14:textId="15E8238A" w:rsidR="00525C6C" w:rsidRPr="00A27896" w:rsidRDefault="00525C6C" w:rsidP="00525C6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Īstermiņa uzkrātās saistības</w:t>
            </w:r>
          </w:p>
        </w:tc>
        <w:tc>
          <w:tcPr>
            <w:tcW w:w="485" w:type="pct"/>
            <w:tcBorders>
              <w:top w:val="single" w:sz="4" w:space="0" w:color="17365D"/>
              <w:bottom w:val="single" w:sz="4" w:space="0" w:color="17365D"/>
            </w:tcBorders>
            <w:shd w:val="clear" w:color="auto" w:fill="auto"/>
            <w:noWrap/>
            <w:vAlign w:val="center"/>
          </w:tcPr>
          <w:p w14:paraId="34994083" w14:textId="51A60FCC" w:rsidR="00525C6C" w:rsidRPr="00A27896" w:rsidRDefault="00525C6C" w:rsidP="00525C6C">
            <w:pPr>
              <w:spacing w:after="0" w:line="240" w:lineRule="auto"/>
              <w:jc w:val="center"/>
              <w:rPr>
                <w:rFonts w:eastAsia="Times New Roman" w:cs="Times New Roman"/>
                <w:color w:val="17365D"/>
                <w:sz w:val="18"/>
                <w:szCs w:val="18"/>
                <w:lang w:eastAsia="lv-LV"/>
              </w:rPr>
            </w:pPr>
          </w:p>
        </w:tc>
        <w:tc>
          <w:tcPr>
            <w:tcW w:w="714" w:type="pct"/>
            <w:tcBorders>
              <w:top w:val="single" w:sz="4" w:space="0" w:color="auto"/>
              <w:left w:val="nil"/>
              <w:bottom w:val="single" w:sz="4" w:space="0" w:color="auto"/>
              <w:right w:val="nil"/>
            </w:tcBorders>
            <w:shd w:val="clear" w:color="auto" w:fill="auto"/>
            <w:vAlign w:val="center"/>
          </w:tcPr>
          <w:p w14:paraId="764CA566" w14:textId="2EF23EB3" w:rsidR="00525C6C" w:rsidRPr="00A27896" w:rsidRDefault="00525C6C" w:rsidP="00525C6C">
            <w:pPr>
              <w:spacing w:after="0" w:line="240" w:lineRule="auto"/>
              <w:jc w:val="right"/>
              <w:rPr>
                <w:rFonts w:cs="Times New Roman"/>
                <w:color w:val="17365D"/>
                <w:sz w:val="18"/>
                <w:szCs w:val="18"/>
              </w:rPr>
            </w:pPr>
            <w:r>
              <w:rPr>
                <w:color w:val="17365D"/>
                <w:sz w:val="18"/>
                <w:szCs w:val="18"/>
              </w:rPr>
              <w:t>969 529 104</w:t>
            </w:r>
          </w:p>
        </w:tc>
        <w:tc>
          <w:tcPr>
            <w:tcW w:w="733" w:type="pct"/>
            <w:tcBorders>
              <w:top w:val="single" w:sz="4" w:space="0" w:color="auto"/>
              <w:left w:val="nil"/>
              <w:bottom w:val="single" w:sz="4" w:space="0" w:color="auto"/>
              <w:right w:val="nil"/>
            </w:tcBorders>
            <w:shd w:val="clear" w:color="auto" w:fill="auto"/>
            <w:vAlign w:val="center"/>
          </w:tcPr>
          <w:p w14:paraId="757222A7" w14:textId="51C62600" w:rsidR="00525C6C" w:rsidRPr="00A27896" w:rsidRDefault="00525C6C" w:rsidP="00525C6C">
            <w:pPr>
              <w:spacing w:after="0" w:line="240" w:lineRule="auto"/>
              <w:jc w:val="right"/>
              <w:rPr>
                <w:rFonts w:cs="Times New Roman"/>
                <w:color w:val="17365D"/>
                <w:sz w:val="18"/>
                <w:szCs w:val="18"/>
              </w:rPr>
            </w:pPr>
            <w:r>
              <w:rPr>
                <w:color w:val="17365D"/>
                <w:sz w:val="18"/>
                <w:szCs w:val="18"/>
              </w:rPr>
              <w:t>1 016 691 843</w:t>
            </w:r>
          </w:p>
        </w:tc>
        <w:tc>
          <w:tcPr>
            <w:tcW w:w="833" w:type="pct"/>
            <w:tcBorders>
              <w:top w:val="single" w:sz="4" w:space="0" w:color="auto"/>
              <w:left w:val="nil"/>
              <w:bottom w:val="single" w:sz="4" w:space="0" w:color="auto"/>
              <w:right w:val="nil"/>
            </w:tcBorders>
            <w:shd w:val="clear" w:color="auto" w:fill="auto"/>
            <w:noWrap/>
            <w:vAlign w:val="center"/>
          </w:tcPr>
          <w:p w14:paraId="36A85063" w14:textId="2FD0C354" w:rsidR="00525C6C" w:rsidRPr="00A27896" w:rsidRDefault="00525C6C" w:rsidP="00525C6C">
            <w:pPr>
              <w:spacing w:after="0" w:line="240" w:lineRule="auto"/>
              <w:jc w:val="right"/>
              <w:rPr>
                <w:rFonts w:cs="Times New Roman"/>
                <w:color w:val="17365D"/>
                <w:sz w:val="18"/>
                <w:szCs w:val="18"/>
              </w:rPr>
            </w:pPr>
            <w:r>
              <w:rPr>
                <w:color w:val="17365D"/>
                <w:sz w:val="18"/>
                <w:szCs w:val="18"/>
              </w:rPr>
              <w:t>-47 162 739</w:t>
            </w:r>
          </w:p>
        </w:tc>
        <w:tc>
          <w:tcPr>
            <w:tcW w:w="646" w:type="pct"/>
            <w:tcBorders>
              <w:top w:val="single" w:sz="4" w:space="0" w:color="auto"/>
              <w:left w:val="nil"/>
              <w:bottom w:val="single" w:sz="4" w:space="0" w:color="auto"/>
              <w:right w:val="nil"/>
            </w:tcBorders>
            <w:shd w:val="clear" w:color="auto" w:fill="auto"/>
            <w:noWrap/>
            <w:vAlign w:val="center"/>
          </w:tcPr>
          <w:p w14:paraId="7220B935" w14:textId="60F24A13" w:rsidR="00525C6C" w:rsidRPr="00A27896" w:rsidRDefault="00525C6C" w:rsidP="00525C6C">
            <w:pPr>
              <w:spacing w:after="0" w:line="240" w:lineRule="auto"/>
              <w:jc w:val="right"/>
              <w:rPr>
                <w:rFonts w:cs="Times New Roman"/>
                <w:color w:val="17365D"/>
                <w:sz w:val="18"/>
                <w:szCs w:val="18"/>
              </w:rPr>
            </w:pPr>
            <w:r>
              <w:rPr>
                <w:color w:val="17365D"/>
                <w:sz w:val="18"/>
                <w:szCs w:val="18"/>
              </w:rPr>
              <w:t>-4.64</w:t>
            </w:r>
          </w:p>
        </w:tc>
      </w:tr>
      <w:tr w:rsidR="00525C6C" w:rsidRPr="00A27896" w14:paraId="234D6C0F" w14:textId="77777777" w:rsidTr="00196D73">
        <w:trPr>
          <w:trHeight w:val="54"/>
        </w:trPr>
        <w:tc>
          <w:tcPr>
            <w:tcW w:w="1589" w:type="pct"/>
            <w:tcBorders>
              <w:top w:val="single" w:sz="4" w:space="0" w:color="17365D"/>
              <w:bottom w:val="single" w:sz="4" w:space="0" w:color="17365D"/>
            </w:tcBorders>
            <w:shd w:val="clear" w:color="auto" w:fill="auto"/>
            <w:vAlign w:val="center"/>
            <w:hideMark/>
          </w:tcPr>
          <w:p w14:paraId="0F26340F" w14:textId="38C0682F" w:rsidR="00525C6C" w:rsidRPr="00A27896" w:rsidRDefault="00525C6C" w:rsidP="00525C6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Valsts budžeta finanšu uzskaites īstermiņa saistības</w:t>
            </w:r>
          </w:p>
        </w:tc>
        <w:tc>
          <w:tcPr>
            <w:tcW w:w="485" w:type="pct"/>
            <w:tcBorders>
              <w:top w:val="single" w:sz="4" w:space="0" w:color="17365D"/>
              <w:bottom w:val="single" w:sz="4" w:space="0" w:color="17365D"/>
            </w:tcBorders>
            <w:shd w:val="clear" w:color="auto" w:fill="auto"/>
            <w:noWrap/>
            <w:vAlign w:val="center"/>
            <w:hideMark/>
          </w:tcPr>
          <w:p w14:paraId="47A7D19B" w14:textId="72F4485B" w:rsidR="00525C6C" w:rsidRPr="00A27896" w:rsidRDefault="00525C6C" w:rsidP="00525C6C">
            <w:pPr>
              <w:spacing w:after="0" w:line="240" w:lineRule="auto"/>
              <w:jc w:val="center"/>
              <w:rPr>
                <w:rFonts w:eastAsia="Times New Roman" w:cs="Times New Roman"/>
                <w:color w:val="17365D"/>
                <w:sz w:val="18"/>
                <w:szCs w:val="18"/>
                <w:lang w:eastAsia="lv-LV"/>
              </w:rPr>
            </w:pPr>
          </w:p>
        </w:tc>
        <w:tc>
          <w:tcPr>
            <w:tcW w:w="714" w:type="pct"/>
            <w:tcBorders>
              <w:top w:val="single" w:sz="4" w:space="0" w:color="auto"/>
              <w:left w:val="nil"/>
              <w:bottom w:val="single" w:sz="4" w:space="0" w:color="auto"/>
              <w:right w:val="nil"/>
            </w:tcBorders>
            <w:shd w:val="clear" w:color="auto" w:fill="auto"/>
            <w:vAlign w:val="center"/>
          </w:tcPr>
          <w:p w14:paraId="0C20FCF5" w14:textId="7C8567E5" w:rsidR="00525C6C" w:rsidRPr="00A27896" w:rsidRDefault="00525C6C" w:rsidP="00525C6C">
            <w:pPr>
              <w:spacing w:after="0" w:line="240" w:lineRule="auto"/>
              <w:jc w:val="right"/>
              <w:rPr>
                <w:rFonts w:cs="Times New Roman"/>
                <w:color w:val="17365D"/>
                <w:sz w:val="18"/>
                <w:szCs w:val="18"/>
              </w:rPr>
            </w:pPr>
            <w:r>
              <w:rPr>
                <w:color w:val="17365D"/>
                <w:sz w:val="18"/>
                <w:szCs w:val="18"/>
              </w:rPr>
              <w:t>1 704 361 477</w:t>
            </w:r>
          </w:p>
        </w:tc>
        <w:tc>
          <w:tcPr>
            <w:tcW w:w="733" w:type="pct"/>
            <w:tcBorders>
              <w:top w:val="single" w:sz="4" w:space="0" w:color="auto"/>
              <w:left w:val="nil"/>
              <w:bottom w:val="single" w:sz="4" w:space="0" w:color="auto"/>
              <w:right w:val="nil"/>
            </w:tcBorders>
            <w:shd w:val="clear" w:color="auto" w:fill="auto"/>
            <w:vAlign w:val="center"/>
          </w:tcPr>
          <w:p w14:paraId="6894E7B7" w14:textId="1ABC9038" w:rsidR="00525C6C" w:rsidRPr="00A27896" w:rsidRDefault="00525C6C" w:rsidP="00525C6C">
            <w:pPr>
              <w:spacing w:after="0" w:line="240" w:lineRule="auto"/>
              <w:jc w:val="right"/>
              <w:rPr>
                <w:rFonts w:cs="Times New Roman"/>
                <w:color w:val="17365D"/>
                <w:sz w:val="18"/>
                <w:szCs w:val="18"/>
              </w:rPr>
            </w:pPr>
            <w:r>
              <w:rPr>
                <w:color w:val="17365D"/>
                <w:sz w:val="18"/>
                <w:szCs w:val="18"/>
              </w:rPr>
              <w:t>1 616 259 555</w:t>
            </w:r>
          </w:p>
        </w:tc>
        <w:tc>
          <w:tcPr>
            <w:tcW w:w="833" w:type="pct"/>
            <w:tcBorders>
              <w:top w:val="single" w:sz="4" w:space="0" w:color="auto"/>
              <w:left w:val="nil"/>
              <w:bottom w:val="single" w:sz="4" w:space="0" w:color="auto"/>
              <w:right w:val="nil"/>
            </w:tcBorders>
            <w:shd w:val="clear" w:color="auto" w:fill="auto"/>
            <w:noWrap/>
            <w:vAlign w:val="center"/>
          </w:tcPr>
          <w:p w14:paraId="338A57D5" w14:textId="393202BA" w:rsidR="00525C6C" w:rsidRPr="00A27896" w:rsidRDefault="00525C6C" w:rsidP="00525C6C">
            <w:pPr>
              <w:spacing w:after="0" w:line="240" w:lineRule="auto"/>
              <w:jc w:val="right"/>
              <w:rPr>
                <w:rFonts w:cs="Times New Roman"/>
                <w:color w:val="17365D"/>
                <w:sz w:val="18"/>
                <w:szCs w:val="18"/>
              </w:rPr>
            </w:pPr>
            <w:r>
              <w:rPr>
                <w:color w:val="17365D"/>
                <w:sz w:val="18"/>
                <w:szCs w:val="18"/>
              </w:rPr>
              <w:t>88 101 922</w:t>
            </w:r>
          </w:p>
        </w:tc>
        <w:tc>
          <w:tcPr>
            <w:tcW w:w="646" w:type="pct"/>
            <w:tcBorders>
              <w:top w:val="single" w:sz="4" w:space="0" w:color="auto"/>
              <w:left w:val="nil"/>
              <w:bottom w:val="single" w:sz="4" w:space="0" w:color="auto"/>
              <w:right w:val="nil"/>
            </w:tcBorders>
            <w:shd w:val="clear" w:color="auto" w:fill="auto"/>
            <w:noWrap/>
            <w:vAlign w:val="center"/>
          </w:tcPr>
          <w:p w14:paraId="5D5865FC" w14:textId="55327F4A" w:rsidR="00525C6C" w:rsidRPr="00A27896" w:rsidRDefault="00525C6C" w:rsidP="00525C6C">
            <w:pPr>
              <w:spacing w:after="0" w:line="240" w:lineRule="auto"/>
              <w:jc w:val="right"/>
              <w:rPr>
                <w:rFonts w:cs="Times New Roman"/>
                <w:color w:val="17365D"/>
                <w:sz w:val="18"/>
                <w:szCs w:val="18"/>
              </w:rPr>
            </w:pPr>
            <w:r>
              <w:rPr>
                <w:color w:val="17365D"/>
                <w:sz w:val="18"/>
                <w:szCs w:val="18"/>
              </w:rPr>
              <w:t>5.45</w:t>
            </w:r>
          </w:p>
        </w:tc>
      </w:tr>
      <w:tr w:rsidR="00525C6C" w:rsidRPr="00A27896" w14:paraId="55B7FA0F" w14:textId="77777777" w:rsidTr="00196D73">
        <w:trPr>
          <w:trHeight w:val="54"/>
        </w:trPr>
        <w:tc>
          <w:tcPr>
            <w:tcW w:w="1589" w:type="pct"/>
            <w:tcBorders>
              <w:top w:val="single" w:sz="4" w:space="0" w:color="17365D"/>
              <w:bottom w:val="single" w:sz="4" w:space="0" w:color="17365D"/>
            </w:tcBorders>
            <w:shd w:val="clear" w:color="auto" w:fill="auto"/>
            <w:vAlign w:val="center"/>
            <w:hideMark/>
          </w:tcPr>
          <w:p w14:paraId="57A3D563" w14:textId="7C1FA64B" w:rsidR="00525C6C" w:rsidRPr="00A27896" w:rsidRDefault="00525C6C" w:rsidP="00525C6C">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Norēķini par darba samaksu un ieturējumiem (izņemot nodokļus)</w:t>
            </w:r>
          </w:p>
        </w:tc>
        <w:tc>
          <w:tcPr>
            <w:tcW w:w="485" w:type="pct"/>
            <w:tcBorders>
              <w:top w:val="single" w:sz="4" w:space="0" w:color="17365D"/>
              <w:bottom w:val="single" w:sz="4" w:space="0" w:color="17365D"/>
            </w:tcBorders>
            <w:shd w:val="clear" w:color="auto" w:fill="auto"/>
            <w:noWrap/>
            <w:vAlign w:val="center"/>
          </w:tcPr>
          <w:p w14:paraId="433E1899" w14:textId="341D0A9E" w:rsidR="00525C6C" w:rsidRPr="00A27896" w:rsidRDefault="00525C6C" w:rsidP="00525C6C">
            <w:pPr>
              <w:spacing w:after="0" w:line="240" w:lineRule="auto"/>
              <w:jc w:val="center"/>
              <w:rPr>
                <w:rFonts w:eastAsia="Times New Roman" w:cs="Times New Roman"/>
                <w:color w:val="17365D"/>
                <w:sz w:val="18"/>
                <w:szCs w:val="18"/>
                <w:lang w:eastAsia="lv-LV"/>
              </w:rPr>
            </w:pPr>
          </w:p>
        </w:tc>
        <w:tc>
          <w:tcPr>
            <w:tcW w:w="714" w:type="pct"/>
            <w:tcBorders>
              <w:top w:val="single" w:sz="4" w:space="0" w:color="auto"/>
              <w:left w:val="nil"/>
              <w:bottom w:val="single" w:sz="4" w:space="0" w:color="auto"/>
              <w:right w:val="nil"/>
            </w:tcBorders>
            <w:shd w:val="clear" w:color="auto" w:fill="auto"/>
            <w:vAlign w:val="center"/>
          </w:tcPr>
          <w:p w14:paraId="4042730F" w14:textId="71DA2439" w:rsidR="00525C6C" w:rsidRPr="00A27896" w:rsidRDefault="00525C6C" w:rsidP="00525C6C">
            <w:pPr>
              <w:spacing w:after="0" w:line="240" w:lineRule="auto"/>
              <w:jc w:val="right"/>
              <w:rPr>
                <w:rFonts w:cs="Times New Roman"/>
                <w:color w:val="17365D"/>
                <w:sz w:val="18"/>
                <w:szCs w:val="18"/>
              </w:rPr>
            </w:pPr>
            <w:r>
              <w:rPr>
                <w:color w:val="17365D"/>
                <w:sz w:val="18"/>
                <w:szCs w:val="18"/>
              </w:rPr>
              <w:t>72 448 508</w:t>
            </w:r>
          </w:p>
        </w:tc>
        <w:tc>
          <w:tcPr>
            <w:tcW w:w="733" w:type="pct"/>
            <w:tcBorders>
              <w:top w:val="single" w:sz="4" w:space="0" w:color="auto"/>
              <w:left w:val="nil"/>
              <w:bottom w:val="single" w:sz="4" w:space="0" w:color="auto"/>
              <w:right w:val="nil"/>
            </w:tcBorders>
            <w:shd w:val="clear" w:color="auto" w:fill="auto"/>
            <w:vAlign w:val="center"/>
          </w:tcPr>
          <w:p w14:paraId="5044D93F" w14:textId="71BDBDF0" w:rsidR="00525C6C" w:rsidRPr="00A27896" w:rsidRDefault="00525C6C" w:rsidP="00525C6C">
            <w:pPr>
              <w:spacing w:after="0" w:line="240" w:lineRule="auto"/>
              <w:jc w:val="right"/>
              <w:rPr>
                <w:rFonts w:cs="Times New Roman"/>
                <w:color w:val="17365D"/>
                <w:sz w:val="18"/>
                <w:szCs w:val="18"/>
              </w:rPr>
            </w:pPr>
            <w:r>
              <w:rPr>
                <w:color w:val="17365D"/>
                <w:sz w:val="18"/>
                <w:szCs w:val="18"/>
              </w:rPr>
              <w:t>62 455 248</w:t>
            </w:r>
          </w:p>
        </w:tc>
        <w:tc>
          <w:tcPr>
            <w:tcW w:w="833" w:type="pct"/>
            <w:tcBorders>
              <w:top w:val="single" w:sz="4" w:space="0" w:color="auto"/>
              <w:left w:val="nil"/>
              <w:bottom w:val="single" w:sz="4" w:space="0" w:color="auto"/>
              <w:right w:val="nil"/>
            </w:tcBorders>
            <w:shd w:val="clear" w:color="auto" w:fill="auto"/>
            <w:noWrap/>
            <w:vAlign w:val="center"/>
          </w:tcPr>
          <w:p w14:paraId="7C4F14B5" w14:textId="23B9292E" w:rsidR="00525C6C" w:rsidRPr="00A27896" w:rsidRDefault="00525C6C" w:rsidP="00525C6C">
            <w:pPr>
              <w:spacing w:after="0" w:line="240" w:lineRule="auto"/>
              <w:jc w:val="right"/>
              <w:rPr>
                <w:rFonts w:cs="Times New Roman"/>
                <w:color w:val="17365D"/>
                <w:sz w:val="18"/>
                <w:szCs w:val="18"/>
              </w:rPr>
            </w:pPr>
            <w:r>
              <w:rPr>
                <w:color w:val="17365D"/>
                <w:sz w:val="18"/>
                <w:szCs w:val="18"/>
              </w:rPr>
              <w:t>9 993 260</w:t>
            </w:r>
          </w:p>
        </w:tc>
        <w:tc>
          <w:tcPr>
            <w:tcW w:w="646" w:type="pct"/>
            <w:tcBorders>
              <w:top w:val="single" w:sz="4" w:space="0" w:color="auto"/>
              <w:left w:val="nil"/>
              <w:bottom w:val="single" w:sz="4" w:space="0" w:color="auto"/>
              <w:right w:val="nil"/>
            </w:tcBorders>
            <w:shd w:val="clear" w:color="auto" w:fill="auto"/>
            <w:noWrap/>
            <w:vAlign w:val="center"/>
          </w:tcPr>
          <w:p w14:paraId="00DA6742" w14:textId="3505D6F5" w:rsidR="00525C6C" w:rsidRPr="00A27896" w:rsidRDefault="00525C6C" w:rsidP="00525C6C">
            <w:pPr>
              <w:spacing w:after="0" w:line="240" w:lineRule="auto"/>
              <w:jc w:val="right"/>
              <w:rPr>
                <w:rFonts w:cs="Times New Roman"/>
                <w:color w:val="17365D"/>
                <w:sz w:val="18"/>
                <w:szCs w:val="18"/>
              </w:rPr>
            </w:pPr>
            <w:r>
              <w:rPr>
                <w:color w:val="17365D"/>
                <w:sz w:val="18"/>
                <w:szCs w:val="18"/>
              </w:rPr>
              <w:t>16.00</w:t>
            </w:r>
          </w:p>
        </w:tc>
      </w:tr>
      <w:tr w:rsidR="00196D73" w:rsidRPr="00A27896" w14:paraId="670C8238" w14:textId="77777777" w:rsidTr="00C87349">
        <w:trPr>
          <w:trHeight w:val="54"/>
        </w:trPr>
        <w:tc>
          <w:tcPr>
            <w:tcW w:w="1589" w:type="pct"/>
            <w:tcBorders>
              <w:top w:val="single" w:sz="4" w:space="0" w:color="17365D"/>
              <w:bottom w:val="single" w:sz="4" w:space="0" w:color="17365D"/>
            </w:tcBorders>
            <w:shd w:val="clear" w:color="auto" w:fill="auto"/>
            <w:vAlign w:val="center"/>
            <w:hideMark/>
          </w:tcPr>
          <w:p w14:paraId="0E00FC4D" w14:textId="1BB6884A" w:rsidR="00196D73" w:rsidRPr="00A27896" w:rsidRDefault="00196D73" w:rsidP="00196D7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Saistības par nodokļiem, nodevām un citiem maksājumiem</w:t>
            </w:r>
          </w:p>
        </w:tc>
        <w:tc>
          <w:tcPr>
            <w:tcW w:w="485" w:type="pct"/>
            <w:tcBorders>
              <w:top w:val="single" w:sz="4" w:space="0" w:color="17365D"/>
              <w:bottom w:val="single" w:sz="4" w:space="0" w:color="17365D"/>
            </w:tcBorders>
            <w:shd w:val="clear" w:color="auto" w:fill="auto"/>
            <w:noWrap/>
            <w:vAlign w:val="center"/>
          </w:tcPr>
          <w:p w14:paraId="56DBD5A9" w14:textId="05B77149" w:rsidR="00196D73" w:rsidRPr="00A27896" w:rsidRDefault="00196D73" w:rsidP="00196D73">
            <w:pPr>
              <w:spacing w:after="0" w:line="240" w:lineRule="auto"/>
              <w:jc w:val="center"/>
              <w:rPr>
                <w:rFonts w:eastAsia="Times New Roman" w:cs="Times New Roman"/>
                <w:color w:val="17365D"/>
                <w:sz w:val="18"/>
                <w:szCs w:val="18"/>
                <w:lang w:eastAsia="lv-LV"/>
              </w:rPr>
            </w:pPr>
          </w:p>
        </w:tc>
        <w:tc>
          <w:tcPr>
            <w:tcW w:w="714" w:type="pct"/>
            <w:tcBorders>
              <w:top w:val="single" w:sz="4" w:space="0" w:color="auto"/>
              <w:left w:val="nil"/>
              <w:bottom w:val="single" w:sz="4" w:space="0" w:color="auto"/>
              <w:right w:val="nil"/>
            </w:tcBorders>
            <w:shd w:val="clear" w:color="auto" w:fill="auto"/>
            <w:vAlign w:val="center"/>
          </w:tcPr>
          <w:p w14:paraId="4AA09D5E" w14:textId="1688B538" w:rsidR="00196D73" w:rsidRPr="00196D73" w:rsidRDefault="00196D73" w:rsidP="00196D73">
            <w:pPr>
              <w:spacing w:after="0" w:line="240" w:lineRule="auto"/>
              <w:jc w:val="right"/>
              <w:rPr>
                <w:color w:val="17365D"/>
                <w:sz w:val="18"/>
                <w:szCs w:val="18"/>
              </w:rPr>
            </w:pPr>
            <w:r w:rsidRPr="00C87349">
              <w:rPr>
                <w:color w:val="17365D"/>
                <w:sz w:val="18"/>
                <w:szCs w:val="18"/>
              </w:rPr>
              <w:t>177 496 669</w:t>
            </w:r>
          </w:p>
        </w:tc>
        <w:tc>
          <w:tcPr>
            <w:tcW w:w="733" w:type="pct"/>
            <w:tcBorders>
              <w:top w:val="single" w:sz="4" w:space="0" w:color="auto"/>
              <w:left w:val="nil"/>
              <w:bottom w:val="single" w:sz="4" w:space="0" w:color="auto"/>
              <w:right w:val="nil"/>
            </w:tcBorders>
            <w:shd w:val="clear" w:color="auto" w:fill="auto"/>
            <w:vAlign w:val="center"/>
          </w:tcPr>
          <w:p w14:paraId="0EC20B59" w14:textId="159CF60B" w:rsidR="00196D73" w:rsidRPr="00196D73" w:rsidRDefault="00196D73" w:rsidP="00196D73">
            <w:pPr>
              <w:spacing w:after="0" w:line="240" w:lineRule="auto"/>
              <w:jc w:val="right"/>
              <w:rPr>
                <w:color w:val="17365D"/>
                <w:sz w:val="18"/>
                <w:szCs w:val="18"/>
              </w:rPr>
            </w:pPr>
            <w:r w:rsidRPr="00C87349">
              <w:rPr>
                <w:color w:val="17365D"/>
                <w:sz w:val="18"/>
                <w:szCs w:val="18"/>
              </w:rPr>
              <w:t>154 397 871</w:t>
            </w:r>
          </w:p>
        </w:tc>
        <w:tc>
          <w:tcPr>
            <w:tcW w:w="833" w:type="pct"/>
            <w:tcBorders>
              <w:top w:val="single" w:sz="4" w:space="0" w:color="auto"/>
              <w:left w:val="nil"/>
              <w:bottom w:val="single" w:sz="4" w:space="0" w:color="auto"/>
              <w:right w:val="nil"/>
            </w:tcBorders>
            <w:shd w:val="clear" w:color="auto" w:fill="auto"/>
            <w:noWrap/>
            <w:vAlign w:val="center"/>
          </w:tcPr>
          <w:p w14:paraId="453A13E6" w14:textId="4197CF86" w:rsidR="00196D73" w:rsidRPr="00196D73" w:rsidRDefault="00196D73" w:rsidP="00196D73">
            <w:pPr>
              <w:spacing w:after="0" w:line="240" w:lineRule="auto"/>
              <w:jc w:val="right"/>
              <w:rPr>
                <w:color w:val="17365D"/>
                <w:sz w:val="18"/>
                <w:szCs w:val="18"/>
              </w:rPr>
            </w:pPr>
            <w:r w:rsidRPr="00C87349">
              <w:rPr>
                <w:color w:val="17365D"/>
                <w:sz w:val="18"/>
                <w:szCs w:val="18"/>
              </w:rPr>
              <w:t>23 098 798</w:t>
            </w:r>
          </w:p>
        </w:tc>
        <w:tc>
          <w:tcPr>
            <w:tcW w:w="646" w:type="pct"/>
            <w:tcBorders>
              <w:top w:val="single" w:sz="4" w:space="0" w:color="auto"/>
              <w:left w:val="nil"/>
              <w:bottom w:val="single" w:sz="4" w:space="0" w:color="auto"/>
              <w:right w:val="nil"/>
            </w:tcBorders>
            <w:shd w:val="clear" w:color="auto" w:fill="auto"/>
            <w:noWrap/>
            <w:vAlign w:val="center"/>
          </w:tcPr>
          <w:p w14:paraId="601A2BBB" w14:textId="7801251D" w:rsidR="00196D73" w:rsidRPr="00196D73" w:rsidRDefault="00196D73" w:rsidP="00196D73">
            <w:pPr>
              <w:spacing w:after="0" w:line="240" w:lineRule="auto"/>
              <w:jc w:val="right"/>
              <w:rPr>
                <w:color w:val="17365D"/>
                <w:sz w:val="18"/>
                <w:szCs w:val="18"/>
              </w:rPr>
            </w:pPr>
            <w:r w:rsidRPr="00C87349">
              <w:rPr>
                <w:color w:val="17365D"/>
                <w:sz w:val="18"/>
                <w:szCs w:val="18"/>
              </w:rPr>
              <w:t>14.96</w:t>
            </w:r>
          </w:p>
        </w:tc>
      </w:tr>
      <w:tr w:rsidR="00196D73" w:rsidRPr="00A27896" w14:paraId="2D2D2A01" w14:textId="77777777" w:rsidTr="00C87349">
        <w:trPr>
          <w:trHeight w:val="240"/>
        </w:trPr>
        <w:tc>
          <w:tcPr>
            <w:tcW w:w="1589" w:type="pct"/>
            <w:tcBorders>
              <w:top w:val="single" w:sz="4" w:space="0" w:color="17365D"/>
              <w:bottom w:val="single" w:sz="4" w:space="0" w:color="17365D"/>
            </w:tcBorders>
            <w:shd w:val="clear" w:color="auto" w:fill="auto"/>
            <w:vAlign w:val="center"/>
            <w:hideMark/>
          </w:tcPr>
          <w:p w14:paraId="65EC7DA7" w14:textId="694B2759" w:rsidR="00196D73" w:rsidRPr="00A27896" w:rsidRDefault="00196D73" w:rsidP="00196D7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Pārējās īstermiņa saistības</w:t>
            </w:r>
          </w:p>
        </w:tc>
        <w:tc>
          <w:tcPr>
            <w:tcW w:w="485" w:type="pct"/>
            <w:tcBorders>
              <w:top w:val="single" w:sz="4" w:space="0" w:color="17365D"/>
              <w:bottom w:val="single" w:sz="4" w:space="0" w:color="17365D"/>
            </w:tcBorders>
            <w:shd w:val="clear" w:color="auto" w:fill="auto"/>
            <w:noWrap/>
            <w:vAlign w:val="center"/>
          </w:tcPr>
          <w:p w14:paraId="3C9D4B4E" w14:textId="1F490315" w:rsidR="00196D73" w:rsidRPr="00A27896" w:rsidRDefault="00196D73" w:rsidP="00196D73">
            <w:pPr>
              <w:spacing w:after="0" w:line="240" w:lineRule="auto"/>
              <w:jc w:val="center"/>
              <w:rPr>
                <w:rFonts w:eastAsia="Times New Roman" w:cs="Times New Roman"/>
                <w:color w:val="17365D"/>
                <w:sz w:val="18"/>
                <w:szCs w:val="18"/>
                <w:lang w:eastAsia="lv-LV"/>
              </w:rPr>
            </w:pPr>
          </w:p>
        </w:tc>
        <w:tc>
          <w:tcPr>
            <w:tcW w:w="714" w:type="pct"/>
            <w:tcBorders>
              <w:top w:val="single" w:sz="4" w:space="0" w:color="auto"/>
              <w:left w:val="nil"/>
              <w:bottom w:val="single" w:sz="4" w:space="0" w:color="auto"/>
              <w:right w:val="nil"/>
            </w:tcBorders>
            <w:shd w:val="clear" w:color="auto" w:fill="auto"/>
            <w:vAlign w:val="center"/>
          </w:tcPr>
          <w:p w14:paraId="795ECECB" w14:textId="5EF9B6C7" w:rsidR="00196D73" w:rsidRPr="00196D73" w:rsidRDefault="00196D73" w:rsidP="00196D73">
            <w:pPr>
              <w:spacing w:after="0" w:line="240" w:lineRule="auto"/>
              <w:jc w:val="right"/>
              <w:rPr>
                <w:color w:val="17365D"/>
                <w:sz w:val="18"/>
                <w:szCs w:val="18"/>
              </w:rPr>
            </w:pPr>
            <w:r w:rsidRPr="00C87349">
              <w:rPr>
                <w:color w:val="17365D"/>
                <w:sz w:val="18"/>
                <w:szCs w:val="18"/>
              </w:rPr>
              <w:t>1 026 352 063</w:t>
            </w:r>
          </w:p>
        </w:tc>
        <w:tc>
          <w:tcPr>
            <w:tcW w:w="733" w:type="pct"/>
            <w:tcBorders>
              <w:top w:val="single" w:sz="4" w:space="0" w:color="auto"/>
              <w:left w:val="nil"/>
              <w:bottom w:val="single" w:sz="4" w:space="0" w:color="auto"/>
              <w:right w:val="nil"/>
            </w:tcBorders>
            <w:shd w:val="clear" w:color="auto" w:fill="auto"/>
            <w:vAlign w:val="center"/>
          </w:tcPr>
          <w:p w14:paraId="45302B52" w14:textId="2CE5EA34" w:rsidR="00196D73" w:rsidRPr="00196D73" w:rsidRDefault="00196D73" w:rsidP="00196D73">
            <w:pPr>
              <w:spacing w:after="0" w:line="240" w:lineRule="auto"/>
              <w:jc w:val="right"/>
              <w:rPr>
                <w:color w:val="17365D"/>
                <w:sz w:val="18"/>
                <w:szCs w:val="18"/>
              </w:rPr>
            </w:pPr>
            <w:r w:rsidRPr="00C87349">
              <w:rPr>
                <w:color w:val="17365D"/>
                <w:sz w:val="18"/>
                <w:szCs w:val="18"/>
              </w:rPr>
              <w:t>1 106 751 121</w:t>
            </w:r>
          </w:p>
        </w:tc>
        <w:tc>
          <w:tcPr>
            <w:tcW w:w="833" w:type="pct"/>
            <w:tcBorders>
              <w:top w:val="single" w:sz="4" w:space="0" w:color="auto"/>
              <w:left w:val="nil"/>
              <w:bottom w:val="single" w:sz="4" w:space="0" w:color="auto"/>
              <w:right w:val="nil"/>
            </w:tcBorders>
            <w:shd w:val="clear" w:color="auto" w:fill="auto"/>
            <w:noWrap/>
            <w:vAlign w:val="center"/>
          </w:tcPr>
          <w:p w14:paraId="63FAC014" w14:textId="0B5694AD" w:rsidR="00196D73" w:rsidRPr="00196D73" w:rsidRDefault="00196D73" w:rsidP="00196D73">
            <w:pPr>
              <w:spacing w:after="0" w:line="240" w:lineRule="auto"/>
              <w:jc w:val="right"/>
              <w:rPr>
                <w:color w:val="17365D"/>
                <w:sz w:val="18"/>
                <w:szCs w:val="18"/>
              </w:rPr>
            </w:pPr>
            <w:r w:rsidRPr="00C87349">
              <w:rPr>
                <w:color w:val="17365D"/>
                <w:sz w:val="18"/>
                <w:szCs w:val="18"/>
              </w:rPr>
              <w:t>-80 399 058</w:t>
            </w:r>
          </w:p>
        </w:tc>
        <w:tc>
          <w:tcPr>
            <w:tcW w:w="646" w:type="pct"/>
            <w:tcBorders>
              <w:top w:val="single" w:sz="4" w:space="0" w:color="auto"/>
              <w:left w:val="nil"/>
              <w:bottom w:val="single" w:sz="4" w:space="0" w:color="auto"/>
              <w:right w:val="nil"/>
            </w:tcBorders>
            <w:shd w:val="clear" w:color="auto" w:fill="auto"/>
            <w:noWrap/>
            <w:vAlign w:val="center"/>
          </w:tcPr>
          <w:p w14:paraId="25A7B08F" w14:textId="139264C7" w:rsidR="00196D73" w:rsidRPr="00196D73" w:rsidRDefault="00196D73" w:rsidP="00196D73">
            <w:pPr>
              <w:spacing w:after="0" w:line="240" w:lineRule="auto"/>
              <w:jc w:val="right"/>
              <w:rPr>
                <w:color w:val="17365D"/>
                <w:sz w:val="18"/>
                <w:szCs w:val="18"/>
              </w:rPr>
            </w:pPr>
            <w:r w:rsidRPr="00C87349">
              <w:rPr>
                <w:color w:val="17365D"/>
                <w:sz w:val="18"/>
                <w:szCs w:val="18"/>
              </w:rPr>
              <w:t>-7.26</w:t>
            </w:r>
          </w:p>
        </w:tc>
      </w:tr>
      <w:tr w:rsidR="00196D73" w:rsidRPr="00A27896" w14:paraId="4E98CD20" w14:textId="77777777" w:rsidTr="00C87349">
        <w:trPr>
          <w:trHeight w:val="435"/>
        </w:trPr>
        <w:tc>
          <w:tcPr>
            <w:tcW w:w="1589" w:type="pct"/>
            <w:tcBorders>
              <w:top w:val="single" w:sz="4" w:space="0" w:color="17365D"/>
              <w:bottom w:val="single" w:sz="4" w:space="0" w:color="17365D"/>
            </w:tcBorders>
            <w:shd w:val="clear" w:color="auto" w:fill="auto"/>
            <w:vAlign w:val="center"/>
            <w:hideMark/>
          </w:tcPr>
          <w:p w14:paraId="38B129DA" w14:textId="2E77E084" w:rsidR="00196D73" w:rsidRPr="00A27896" w:rsidRDefault="00196D73" w:rsidP="00196D7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Nākamo periodu ieņēmumi, saņemtie avansa maksājumi un transferti</w:t>
            </w:r>
          </w:p>
        </w:tc>
        <w:tc>
          <w:tcPr>
            <w:tcW w:w="485" w:type="pct"/>
            <w:tcBorders>
              <w:top w:val="single" w:sz="4" w:space="0" w:color="17365D"/>
              <w:bottom w:val="single" w:sz="4" w:space="0" w:color="17365D"/>
            </w:tcBorders>
            <w:shd w:val="clear" w:color="auto" w:fill="auto"/>
            <w:noWrap/>
            <w:vAlign w:val="center"/>
          </w:tcPr>
          <w:p w14:paraId="7F9F6097" w14:textId="4F07FCFE" w:rsidR="00196D73" w:rsidRPr="00A27896" w:rsidRDefault="00196D73" w:rsidP="00196D73">
            <w:pPr>
              <w:spacing w:after="0" w:line="240" w:lineRule="auto"/>
              <w:jc w:val="center"/>
              <w:rPr>
                <w:rFonts w:eastAsia="Times New Roman" w:cs="Times New Roman"/>
                <w:color w:val="17365D"/>
                <w:sz w:val="18"/>
                <w:szCs w:val="18"/>
                <w:lang w:eastAsia="lv-LV"/>
              </w:rPr>
            </w:pPr>
          </w:p>
        </w:tc>
        <w:tc>
          <w:tcPr>
            <w:tcW w:w="714" w:type="pct"/>
            <w:tcBorders>
              <w:top w:val="single" w:sz="4" w:space="0" w:color="auto"/>
              <w:left w:val="nil"/>
              <w:bottom w:val="single" w:sz="4" w:space="0" w:color="auto"/>
              <w:right w:val="nil"/>
            </w:tcBorders>
            <w:shd w:val="clear" w:color="auto" w:fill="auto"/>
            <w:vAlign w:val="center"/>
          </w:tcPr>
          <w:p w14:paraId="20497D3D" w14:textId="7230D50C" w:rsidR="00196D73" w:rsidRPr="00196D73" w:rsidRDefault="00196D73" w:rsidP="00196D73">
            <w:pPr>
              <w:spacing w:after="0" w:line="240" w:lineRule="auto"/>
              <w:jc w:val="right"/>
              <w:rPr>
                <w:color w:val="17365D"/>
                <w:sz w:val="18"/>
                <w:szCs w:val="18"/>
              </w:rPr>
            </w:pPr>
            <w:r w:rsidRPr="00C87349">
              <w:rPr>
                <w:color w:val="17365D"/>
                <w:sz w:val="18"/>
                <w:szCs w:val="18"/>
              </w:rPr>
              <w:t>1 046 792 228</w:t>
            </w:r>
          </w:p>
        </w:tc>
        <w:tc>
          <w:tcPr>
            <w:tcW w:w="733" w:type="pct"/>
            <w:tcBorders>
              <w:top w:val="single" w:sz="4" w:space="0" w:color="auto"/>
              <w:left w:val="nil"/>
              <w:bottom w:val="single" w:sz="4" w:space="0" w:color="auto"/>
              <w:right w:val="nil"/>
            </w:tcBorders>
            <w:shd w:val="clear" w:color="auto" w:fill="auto"/>
            <w:vAlign w:val="center"/>
          </w:tcPr>
          <w:p w14:paraId="3E5654B8" w14:textId="566A1462" w:rsidR="00196D73" w:rsidRPr="00196D73" w:rsidRDefault="00196D73" w:rsidP="00196D73">
            <w:pPr>
              <w:spacing w:after="0" w:line="240" w:lineRule="auto"/>
              <w:jc w:val="right"/>
              <w:rPr>
                <w:color w:val="17365D"/>
                <w:sz w:val="18"/>
                <w:szCs w:val="18"/>
              </w:rPr>
            </w:pPr>
            <w:r w:rsidRPr="00C87349">
              <w:rPr>
                <w:color w:val="17365D"/>
                <w:sz w:val="18"/>
                <w:szCs w:val="18"/>
              </w:rPr>
              <w:t>1 038 753 217</w:t>
            </w:r>
          </w:p>
        </w:tc>
        <w:tc>
          <w:tcPr>
            <w:tcW w:w="833" w:type="pct"/>
            <w:tcBorders>
              <w:top w:val="single" w:sz="4" w:space="0" w:color="auto"/>
              <w:left w:val="nil"/>
              <w:bottom w:val="single" w:sz="4" w:space="0" w:color="auto"/>
              <w:right w:val="nil"/>
            </w:tcBorders>
            <w:shd w:val="clear" w:color="auto" w:fill="auto"/>
            <w:noWrap/>
            <w:vAlign w:val="center"/>
          </w:tcPr>
          <w:p w14:paraId="10FCDC3B" w14:textId="3E9CEA83" w:rsidR="00196D73" w:rsidRPr="00196D73" w:rsidRDefault="00196D73" w:rsidP="00196D73">
            <w:pPr>
              <w:spacing w:after="0" w:line="240" w:lineRule="auto"/>
              <w:jc w:val="right"/>
              <w:rPr>
                <w:color w:val="17365D"/>
                <w:sz w:val="18"/>
                <w:szCs w:val="18"/>
              </w:rPr>
            </w:pPr>
            <w:r w:rsidRPr="00C87349">
              <w:rPr>
                <w:color w:val="17365D"/>
                <w:sz w:val="18"/>
                <w:szCs w:val="18"/>
              </w:rPr>
              <w:t>8 039 011</w:t>
            </w:r>
          </w:p>
        </w:tc>
        <w:tc>
          <w:tcPr>
            <w:tcW w:w="646" w:type="pct"/>
            <w:tcBorders>
              <w:top w:val="single" w:sz="4" w:space="0" w:color="auto"/>
              <w:left w:val="nil"/>
              <w:bottom w:val="single" w:sz="4" w:space="0" w:color="auto"/>
              <w:right w:val="nil"/>
            </w:tcBorders>
            <w:shd w:val="clear" w:color="auto" w:fill="auto"/>
            <w:noWrap/>
            <w:vAlign w:val="center"/>
          </w:tcPr>
          <w:p w14:paraId="4F997E8D" w14:textId="24DD878C" w:rsidR="00196D73" w:rsidRPr="00196D73" w:rsidRDefault="00196D73" w:rsidP="00196D73">
            <w:pPr>
              <w:spacing w:after="0" w:line="240" w:lineRule="auto"/>
              <w:jc w:val="right"/>
              <w:rPr>
                <w:color w:val="17365D"/>
                <w:sz w:val="18"/>
                <w:szCs w:val="18"/>
              </w:rPr>
            </w:pPr>
            <w:r w:rsidRPr="00C87349">
              <w:rPr>
                <w:color w:val="17365D"/>
                <w:sz w:val="18"/>
                <w:szCs w:val="18"/>
              </w:rPr>
              <w:t>0.77</w:t>
            </w:r>
          </w:p>
        </w:tc>
      </w:tr>
      <w:tr w:rsidR="000C1009" w:rsidRPr="00A27896" w14:paraId="3CE7B457" w14:textId="77777777" w:rsidTr="00196D73">
        <w:trPr>
          <w:trHeight w:val="162"/>
        </w:trPr>
        <w:tc>
          <w:tcPr>
            <w:tcW w:w="1589" w:type="pct"/>
            <w:tcBorders>
              <w:top w:val="single" w:sz="4" w:space="0" w:color="17365D"/>
            </w:tcBorders>
            <w:shd w:val="clear" w:color="auto" w:fill="B9CDE5"/>
            <w:vAlign w:val="center"/>
          </w:tcPr>
          <w:p w14:paraId="57021FA9" w14:textId="77777777" w:rsidR="008E1DFC" w:rsidRPr="00A27896" w:rsidRDefault="008E1DFC" w:rsidP="008E1DFC">
            <w:pPr>
              <w:spacing w:after="0"/>
              <w:rPr>
                <w:rFonts w:eastAsia="Times New Roman" w:cs="Times New Roman"/>
                <w:color w:val="17365D"/>
                <w:sz w:val="18"/>
                <w:szCs w:val="18"/>
                <w:lang w:eastAsia="lv-LV"/>
              </w:rPr>
            </w:pPr>
          </w:p>
        </w:tc>
        <w:tc>
          <w:tcPr>
            <w:tcW w:w="485" w:type="pct"/>
            <w:tcBorders>
              <w:top w:val="single" w:sz="4" w:space="0" w:color="17365D"/>
            </w:tcBorders>
            <w:shd w:val="clear" w:color="auto" w:fill="B9CDE5"/>
            <w:noWrap/>
            <w:vAlign w:val="center"/>
          </w:tcPr>
          <w:p w14:paraId="07858AD6" w14:textId="77777777" w:rsidR="008E1DFC" w:rsidRPr="00A27896" w:rsidRDefault="008E1DFC" w:rsidP="008E1DFC">
            <w:pPr>
              <w:spacing w:after="0"/>
              <w:jc w:val="center"/>
              <w:rPr>
                <w:rFonts w:eastAsia="Times New Roman" w:cs="Times New Roman"/>
                <w:color w:val="17365D"/>
                <w:sz w:val="18"/>
                <w:szCs w:val="18"/>
                <w:lang w:eastAsia="lv-LV"/>
              </w:rPr>
            </w:pPr>
          </w:p>
        </w:tc>
        <w:tc>
          <w:tcPr>
            <w:tcW w:w="714" w:type="pct"/>
            <w:tcBorders>
              <w:top w:val="single" w:sz="4" w:space="0" w:color="auto"/>
            </w:tcBorders>
            <w:shd w:val="clear" w:color="auto" w:fill="B9CDE5"/>
            <w:vAlign w:val="center"/>
          </w:tcPr>
          <w:p w14:paraId="292BF18F" w14:textId="77777777" w:rsidR="008E1DFC" w:rsidRPr="00A27896" w:rsidRDefault="008E1DFC" w:rsidP="008E1DFC">
            <w:pPr>
              <w:spacing w:after="0"/>
              <w:jc w:val="right"/>
              <w:rPr>
                <w:rFonts w:eastAsia="Times New Roman" w:cs="Times New Roman"/>
                <w:color w:val="17365D"/>
                <w:sz w:val="18"/>
                <w:szCs w:val="18"/>
                <w:lang w:eastAsia="lv-LV"/>
              </w:rPr>
            </w:pPr>
          </w:p>
        </w:tc>
        <w:tc>
          <w:tcPr>
            <w:tcW w:w="733" w:type="pct"/>
            <w:tcBorders>
              <w:top w:val="single" w:sz="4" w:space="0" w:color="auto"/>
            </w:tcBorders>
            <w:shd w:val="clear" w:color="auto" w:fill="B9CDE5"/>
            <w:vAlign w:val="center"/>
          </w:tcPr>
          <w:p w14:paraId="15DECF2C" w14:textId="77777777" w:rsidR="008E1DFC" w:rsidRPr="00A27896" w:rsidRDefault="008E1DFC" w:rsidP="008E1DFC">
            <w:pPr>
              <w:spacing w:after="0"/>
              <w:jc w:val="right"/>
              <w:rPr>
                <w:rFonts w:eastAsia="Times New Roman" w:cs="Times New Roman"/>
                <w:color w:val="17365D"/>
                <w:sz w:val="18"/>
                <w:szCs w:val="18"/>
                <w:lang w:eastAsia="lv-LV"/>
              </w:rPr>
            </w:pPr>
          </w:p>
        </w:tc>
        <w:tc>
          <w:tcPr>
            <w:tcW w:w="833" w:type="pct"/>
            <w:tcBorders>
              <w:top w:val="single" w:sz="4" w:space="0" w:color="auto"/>
            </w:tcBorders>
            <w:shd w:val="clear" w:color="auto" w:fill="B9CDE5"/>
            <w:noWrap/>
            <w:vAlign w:val="center"/>
          </w:tcPr>
          <w:p w14:paraId="1FBE84C2" w14:textId="77777777" w:rsidR="008E1DFC" w:rsidRPr="00A27896" w:rsidRDefault="008E1DFC" w:rsidP="008E1DFC">
            <w:pPr>
              <w:spacing w:after="0"/>
              <w:jc w:val="right"/>
              <w:rPr>
                <w:rFonts w:eastAsia="Times New Roman" w:cs="Times New Roman"/>
                <w:color w:val="17365D"/>
                <w:sz w:val="18"/>
                <w:szCs w:val="18"/>
                <w:lang w:eastAsia="lv-LV"/>
              </w:rPr>
            </w:pPr>
          </w:p>
        </w:tc>
        <w:tc>
          <w:tcPr>
            <w:tcW w:w="646" w:type="pct"/>
            <w:tcBorders>
              <w:top w:val="single" w:sz="4" w:space="0" w:color="auto"/>
            </w:tcBorders>
            <w:shd w:val="clear" w:color="auto" w:fill="B9CDE5"/>
            <w:noWrap/>
            <w:vAlign w:val="center"/>
          </w:tcPr>
          <w:p w14:paraId="6AF7BBAC" w14:textId="77777777" w:rsidR="008E1DFC" w:rsidRPr="00A27896" w:rsidRDefault="008E1DFC" w:rsidP="008E1DFC">
            <w:pPr>
              <w:spacing w:after="0"/>
              <w:jc w:val="right"/>
              <w:rPr>
                <w:rFonts w:eastAsia="Times New Roman" w:cs="Times New Roman"/>
                <w:b/>
                <w:bCs/>
                <w:color w:val="17365D"/>
                <w:sz w:val="18"/>
                <w:szCs w:val="18"/>
                <w:lang w:eastAsia="lv-LV"/>
              </w:rPr>
            </w:pPr>
          </w:p>
        </w:tc>
      </w:tr>
    </w:tbl>
    <w:p w14:paraId="23E0C3EE" w14:textId="77777777" w:rsidR="004105BE" w:rsidRDefault="004105BE" w:rsidP="002776C2">
      <w:pPr>
        <w:pStyle w:val="ListParagraph"/>
        <w:spacing w:after="120" w:line="240" w:lineRule="auto"/>
        <w:contextualSpacing w:val="0"/>
        <w:jc w:val="both"/>
        <w:rPr>
          <w:rFonts w:cs="Times New Roman"/>
          <w:color w:val="17365D"/>
        </w:rPr>
      </w:pPr>
    </w:p>
    <w:p w14:paraId="4E63944D" w14:textId="2AB95AE5" w:rsidR="002776C2" w:rsidRPr="002A298A" w:rsidRDefault="002776C2" w:rsidP="002776C2">
      <w:pPr>
        <w:pStyle w:val="ListParagraph"/>
        <w:spacing w:after="120" w:line="240" w:lineRule="auto"/>
        <w:contextualSpacing w:val="0"/>
        <w:jc w:val="both"/>
        <w:rPr>
          <w:rFonts w:cs="Times New Roman"/>
          <w:color w:val="17365D"/>
        </w:rPr>
      </w:pPr>
      <w:r>
        <w:rPr>
          <w:rFonts w:cs="Times New Roman"/>
          <w:color w:val="17365D"/>
        </w:rPr>
        <w:t>Īstermiņa saistību apmērā būtisk</w:t>
      </w:r>
      <w:r w:rsidR="002A298A">
        <w:rPr>
          <w:rFonts w:cs="Times New Roman"/>
          <w:color w:val="17365D"/>
        </w:rPr>
        <w:t>a</w:t>
      </w:r>
      <w:r>
        <w:rPr>
          <w:rFonts w:cs="Times New Roman"/>
          <w:color w:val="17365D"/>
        </w:rPr>
        <w:t>s izmaiņas pārskata periodā nav bijušas.</w:t>
      </w:r>
    </w:p>
    <w:p w14:paraId="433F1BA8" w14:textId="204C42DA" w:rsidR="004726F6" w:rsidRPr="00A27896" w:rsidRDefault="004726F6" w:rsidP="00FD10CC">
      <w:pPr>
        <w:pStyle w:val="Heading3"/>
      </w:pPr>
      <w:r w:rsidRPr="00A27896">
        <w:t>Zembilan</w:t>
      </w:r>
      <w:r w:rsidR="00D5669D" w:rsidRPr="00A27896">
        <w:t>ce</w:t>
      </w:r>
    </w:p>
    <w:p w14:paraId="6A1479B7" w14:textId="4072C69E" w:rsidR="00A7434F" w:rsidRPr="00A27896" w:rsidRDefault="0064183C" w:rsidP="005A3758">
      <w:pPr>
        <w:pStyle w:val="Heading4"/>
        <w:rPr>
          <w:rFonts w:cs="Times New Roman"/>
        </w:rPr>
      </w:pPr>
      <w:r w:rsidRPr="00A27896">
        <w:rPr>
          <w:rFonts w:cs="Times New Roman"/>
        </w:rPr>
        <w:t xml:space="preserve">Piezīme Nr. </w:t>
      </w:r>
      <w:r w:rsidR="005F1199" w:rsidRPr="00A27896">
        <w:rPr>
          <w:rFonts w:cs="Times New Roman"/>
        </w:rPr>
        <w:t>KB.</w:t>
      </w:r>
      <w:r w:rsidR="00FB303F" w:rsidRPr="00A27896">
        <w:rPr>
          <w:rFonts w:cs="Times New Roman"/>
        </w:rPr>
        <w:t>9.1</w:t>
      </w:r>
      <w:r w:rsidR="004726F6" w:rsidRPr="00A27896">
        <w:rPr>
          <w:rFonts w:cs="Times New Roman"/>
        </w:rPr>
        <w:t>. Zembilances aktīvi</w:t>
      </w:r>
    </w:p>
    <w:p w14:paraId="2E8E4510" w14:textId="47646EC8" w:rsidR="00B96DDE" w:rsidRPr="00E72168" w:rsidRDefault="004105BE" w:rsidP="0064183C">
      <w:pPr>
        <w:pStyle w:val="Tabulasnosaukums1"/>
        <w:rPr>
          <w:rFonts w:cs="Times New Roman"/>
          <w:i/>
          <w:color w:val="17365D"/>
        </w:rPr>
      </w:pPr>
      <w:r>
        <w:rPr>
          <w:rFonts w:cs="Times New Roman"/>
          <w:i/>
          <w:color w:val="17365D"/>
        </w:rPr>
        <w:t>1.</w:t>
      </w:r>
      <w:r w:rsidR="003777C5" w:rsidRPr="00E72168">
        <w:rPr>
          <w:rFonts w:cs="Times New Roman"/>
          <w:i/>
          <w:color w:val="17365D"/>
        </w:rPr>
        <w:t>2</w:t>
      </w:r>
      <w:r w:rsidR="000229AE" w:rsidRPr="00E72168">
        <w:rPr>
          <w:rFonts w:cs="Times New Roman"/>
          <w:i/>
          <w:color w:val="17365D"/>
        </w:rPr>
        <w:t>2</w:t>
      </w:r>
      <w:r w:rsidR="00B96DDE" w:rsidRPr="00E72168">
        <w:rPr>
          <w:rFonts w:cs="Times New Roman"/>
          <w:i/>
          <w:color w:val="17365D"/>
        </w:rPr>
        <w:t>. tabula</w:t>
      </w:r>
      <w:r w:rsidR="0064183C" w:rsidRPr="00E72168">
        <w:rPr>
          <w:rFonts w:cs="Times New Roman"/>
          <w:i/>
          <w:color w:val="17365D"/>
        </w:rPr>
        <w:t>. Zembilances aktīvi (</w:t>
      </w:r>
      <w:r w:rsidR="00966B1D" w:rsidRPr="00E72168">
        <w:rPr>
          <w:rFonts w:cs="Times New Roman"/>
          <w:i/>
          <w:color w:val="17365D"/>
        </w:rPr>
        <w:t>euro</w:t>
      </w:r>
      <w:r w:rsidR="0064183C" w:rsidRPr="00E72168">
        <w:rPr>
          <w:rFonts w:cs="Times New Roman"/>
          <w:i/>
          <w:color w:val="17365D"/>
        </w:rPr>
        <w:t>)</w:t>
      </w:r>
    </w:p>
    <w:tbl>
      <w:tblPr>
        <w:tblW w:w="4999" w:type="pct"/>
        <w:tblLayout w:type="fixed"/>
        <w:tblLook w:val="04A0" w:firstRow="1" w:lastRow="0" w:firstColumn="1" w:lastColumn="0" w:noHBand="0" w:noVBand="1"/>
      </w:tblPr>
      <w:tblGrid>
        <w:gridCol w:w="2834"/>
        <w:gridCol w:w="1135"/>
        <w:gridCol w:w="1418"/>
        <w:gridCol w:w="1558"/>
        <w:gridCol w:w="1191"/>
        <w:gridCol w:w="1216"/>
      </w:tblGrid>
      <w:tr w:rsidR="000C1009" w:rsidRPr="00E72168" w14:paraId="78DF2922" w14:textId="77777777" w:rsidTr="00CE4EF3">
        <w:trPr>
          <w:trHeight w:val="684"/>
          <w:tblHeader/>
        </w:trPr>
        <w:tc>
          <w:tcPr>
            <w:tcW w:w="1515" w:type="pct"/>
            <w:tcBorders>
              <w:bottom w:val="single" w:sz="4" w:space="0" w:color="17365D"/>
            </w:tcBorders>
            <w:shd w:val="clear" w:color="auto" w:fill="B9CDE5"/>
            <w:vAlign w:val="center"/>
            <w:hideMark/>
          </w:tcPr>
          <w:p w14:paraId="22FC39A7" w14:textId="77777777" w:rsidR="0004095E" w:rsidRPr="00E72168" w:rsidRDefault="0004095E" w:rsidP="0004095E">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Rādītāji</w:t>
            </w:r>
          </w:p>
        </w:tc>
        <w:tc>
          <w:tcPr>
            <w:tcW w:w="607" w:type="pct"/>
            <w:tcBorders>
              <w:bottom w:val="single" w:sz="4" w:space="0" w:color="17365D"/>
            </w:tcBorders>
            <w:shd w:val="clear" w:color="auto" w:fill="B9CDE5"/>
            <w:vAlign w:val="center"/>
            <w:hideMark/>
          </w:tcPr>
          <w:p w14:paraId="413C700B"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Piezīmes</w:t>
            </w:r>
            <w:r w:rsidRPr="00E72168">
              <w:rPr>
                <w:rFonts w:eastAsia="Times New Roman" w:cs="Times New Roman"/>
                <w:b/>
                <w:bCs/>
                <w:color w:val="17365D"/>
                <w:sz w:val="18"/>
                <w:szCs w:val="18"/>
                <w:lang w:eastAsia="lv-LV"/>
              </w:rPr>
              <w:br/>
              <w:t>Nr.</w:t>
            </w:r>
          </w:p>
        </w:tc>
        <w:tc>
          <w:tcPr>
            <w:tcW w:w="758" w:type="pct"/>
            <w:tcBorders>
              <w:bottom w:val="single" w:sz="4" w:space="0" w:color="17365D"/>
            </w:tcBorders>
            <w:shd w:val="clear" w:color="auto" w:fill="B9CDE5"/>
            <w:vAlign w:val="center"/>
            <w:hideMark/>
          </w:tcPr>
          <w:p w14:paraId="46A32E90"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Pārskata perioda beigās</w:t>
            </w:r>
          </w:p>
        </w:tc>
        <w:tc>
          <w:tcPr>
            <w:tcW w:w="833" w:type="pct"/>
            <w:tcBorders>
              <w:bottom w:val="single" w:sz="4" w:space="0" w:color="17365D"/>
            </w:tcBorders>
            <w:shd w:val="clear" w:color="auto" w:fill="B9CDE5"/>
            <w:vAlign w:val="center"/>
            <w:hideMark/>
          </w:tcPr>
          <w:p w14:paraId="7D3E189C"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Pārskata perioda sākumā</w:t>
            </w:r>
          </w:p>
        </w:tc>
        <w:tc>
          <w:tcPr>
            <w:tcW w:w="637" w:type="pct"/>
            <w:tcBorders>
              <w:bottom w:val="single" w:sz="4" w:space="0" w:color="17365D"/>
            </w:tcBorders>
            <w:shd w:val="clear" w:color="auto" w:fill="B9CDE5"/>
            <w:vAlign w:val="center"/>
            <w:hideMark/>
          </w:tcPr>
          <w:p w14:paraId="524311C1" w14:textId="5A37F86B"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 xml:space="preserve">Izmaiņas </w:t>
            </w:r>
            <w:r w:rsidRPr="00E72168">
              <w:rPr>
                <w:rFonts w:eastAsia="Times New Roman" w:cs="Times New Roman"/>
                <w:b/>
                <w:bCs/>
                <w:color w:val="17365D"/>
                <w:sz w:val="18"/>
                <w:szCs w:val="18"/>
                <w:lang w:eastAsia="lv-LV"/>
              </w:rPr>
              <w:br/>
              <w:t>(+,</w:t>
            </w:r>
            <w:r w:rsidR="002B1B27" w:rsidRPr="00E72168">
              <w:rPr>
                <w:rFonts w:eastAsia="Times New Roman" w:cs="Times New Roman"/>
                <w:b/>
                <w:bCs/>
                <w:color w:val="17365D"/>
                <w:sz w:val="18"/>
                <w:szCs w:val="18"/>
                <w:lang w:eastAsia="lv-LV"/>
              </w:rPr>
              <w:t xml:space="preserve"> – </w:t>
            </w:r>
            <w:r w:rsidRPr="00E72168">
              <w:rPr>
                <w:rFonts w:eastAsia="Times New Roman" w:cs="Times New Roman"/>
                <w:b/>
                <w:bCs/>
                <w:color w:val="17365D"/>
                <w:sz w:val="18"/>
                <w:szCs w:val="18"/>
                <w:lang w:eastAsia="lv-LV"/>
              </w:rPr>
              <w:t>)</w:t>
            </w:r>
          </w:p>
        </w:tc>
        <w:tc>
          <w:tcPr>
            <w:tcW w:w="650" w:type="pct"/>
            <w:tcBorders>
              <w:bottom w:val="single" w:sz="4" w:space="0" w:color="17365D"/>
            </w:tcBorders>
            <w:shd w:val="clear" w:color="auto" w:fill="B9CDE5"/>
            <w:vAlign w:val="center"/>
            <w:hideMark/>
          </w:tcPr>
          <w:p w14:paraId="720D0754"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Procentuālās izmaiņas (3./2.*100)</w:t>
            </w:r>
          </w:p>
        </w:tc>
      </w:tr>
      <w:tr w:rsidR="000C1009" w:rsidRPr="00E72168" w14:paraId="39455C1A" w14:textId="77777777" w:rsidTr="00CE4EF3">
        <w:trPr>
          <w:trHeight w:val="240"/>
          <w:tblHeader/>
        </w:trPr>
        <w:tc>
          <w:tcPr>
            <w:tcW w:w="1515" w:type="pct"/>
            <w:tcBorders>
              <w:top w:val="single" w:sz="4" w:space="0" w:color="17365D"/>
              <w:bottom w:val="single" w:sz="4" w:space="0" w:color="17365D"/>
            </w:tcBorders>
            <w:shd w:val="clear" w:color="auto" w:fill="auto"/>
            <w:vAlign w:val="center"/>
            <w:hideMark/>
          </w:tcPr>
          <w:p w14:paraId="2439F4DD" w14:textId="77777777" w:rsidR="0004095E" w:rsidRPr="00E72168" w:rsidRDefault="0004095E" w:rsidP="0004095E">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A</w:t>
            </w:r>
          </w:p>
        </w:tc>
        <w:tc>
          <w:tcPr>
            <w:tcW w:w="607" w:type="pct"/>
            <w:tcBorders>
              <w:top w:val="single" w:sz="4" w:space="0" w:color="17365D"/>
              <w:bottom w:val="single" w:sz="4" w:space="0" w:color="17365D"/>
            </w:tcBorders>
            <w:shd w:val="clear" w:color="auto" w:fill="auto"/>
            <w:vAlign w:val="center"/>
            <w:hideMark/>
          </w:tcPr>
          <w:p w14:paraId="5E739155"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B</w:t>
            </w:r>
          </w:p>
        </w:tc>
        <w:tc>
          <w:tcPr>
            <w:tcW w:w="758" w:type="pct"/>
            <w:tcBorders>
              <w:top w:val="single" w:sz="4" w:space="0" w:color="17365D"/>
              <w:bottom w:val="single" w:sz="4" w:space="0" w:color="17365D"/>
            </w:tcBorders>
            <w:shd w:val="clear" w:color="auto" w:fill="auto"/>
            <w:vAlign w:val="center"/>
            <w:hideMark/>
          </w:tcPr>
          <w:p w14:paraId="129B5BEC"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1</w:t>
            </w:r>
          </w:p>
        </w:tc>
        <w:tc>
          <w:tcPr>
            <w:tcW w:w="833" w:type="pct"/>
            <w:tcBorders>
              <w:top w:val="single" w:sz="4" w:space="0" w:color="17365D"/>
              <w:bottom w:val="single" w:sz="4" w:space="0" w:color="17365D"/>
            </w:tcBorders>
            <w:shd w:val="clear" w:color="auto" w:fill="auto"/>
            <w:vAlign w:val="center"/>
            <w:hideMark/>
          </w:tcPr>
          <w:p w14:paraId="6D2231BE"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2</w:t>
            </w:r>
          </w:p>
        </w:tc>
        <w:tc>
          <w:tcPr>
            <w:tcW w:w="637" w:type="pct"/>
            <w:tcBorders>
              <w:top w:val="single" w:sz="4" w:space="0" w:color="17365D"/>
              <w:bottom w:val="single" w:sz="4" w:space="0" w:color="17365D"/>
            </w:tcBorders>
            <w:shd w:val="clear" w:color="auto" w:fill="auto"/>
            <w:vAlign w:val="center"/>
            <w:hideMark/>
          </w:tcPr>
          <w:p w14:paraId="53DB2B07"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3</w:t>
            </w:r>
          </w:p>
        </w:tc>
        <w:tc>
          <w:tcPr>
            <w:tcW w:w="650" w:type="pct"/>
            <w:tcBorders>
              <w:top w:val="single" w:sz="4" w:space="0" w:color="17365D"/>
              <w:bottom w:val="single" w:sz="4" w:space="0" w:color="17365D"/>
            </w:tcBorders>
            <w:shd w:val="clear" w:color="auto" w:fill="auto"/>
            <w:vAlign w:val="center"/>
            <w:hideMark/>
          </w:tcPr>
          <w:p w14:paraId="1A0E7FB1" w14:textId="77777777" w:rsidR="0004095E" w:rsidRPr="00E72168" w:rsidRDefault="0004095E" w:rsidP="00B93375">
            <w:pPr>
              <w:spacing w:after="0"/>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4</w:t>
            </w:r>
          </w:p>
        </w:tc>
      </w:tr>
      <w:tr w:rsidR="00DB2C9E" w:rsidRPr="00E72168" w14:paraId="13351E6D" w14:textId="77777777" w:rsidTr="00DB2C9E">
        <w:trPr>
          <w:trHeight w:val="240"/>
        </w:trPr>
        <w:tc>
          <w:tcPr>
            <w:tcW w:w="1515" w:type="pct"/>
            <w:tcBorders>
              <w:top w:val="single" w:sz="4" w:space="0" w:color="17365D"/>
              <w:bottom w:val="single" w:sz="4" w:space="0" w:color="17365D"/>
            </w:tcBorders>
            <w:shd w:val="clear" w:color="auto" w:fill="auto"/>
            <w:vAlign w:val="center"/>
            <w:hideMark/>
          </w:tcPr>
          <w:p w14:paraId="34EB3121" w14:textId="77777777" w:rsidR="00DB2C9E" w:rsidRPr="00E72168" w:rsidRDefault="00DB2C9E" w:rsidP="00DB2C9E">
            <w:pPr>
              <w:spacing w:after="0" w:line="240" w:lineRule="auto"/>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 xml:space="preserve">Zembilances aktīvi </w:t>
            </w:r>
          </w:p>
        </w:tc>
        <w:tc>
          <w:tcPr>
            <w:tcW w:w="607" w:type="pct"/>
            <w:tcBorders>
              <w:top w:val="single" w:sz="4" w:space="0" w:color="17365D"/>
              <w:bottom w:val="single" w:sz="4" w:space="0" w:color="17365D"/>
            </w:tcBorders>
            <w:shd w:val="clear" w:color="auto" w:fill="auto"/>
            <w:vAlign w:val="center"/>
            <w:hideMark/>
          </w:tcPr>
          <w:p w14:paraId="3DC8971B" w14:textId="54DD509F" w:rsidR="00DB2C9E" w:rsidRPr="00E72168" w:rsidRDefault="00DB2C9E" w:rsidP="00DB2C9E">
            <w:pPr>
              <w:spacing w:after="0" w:line="240" w:lineRule="auto"/>
              <w:jc w:val="center"/>
              <w:rPr>
                <w:rFonts w:eastAsia="Times New Roman" w:cs="Times New Roman"/>
                <w:b/>
                <w:bCs/>
                <w:color w:val="17365D"/>
                <w:sz w:val="18"/>
                <w:szCs w:val="18"/>
                <w:lang w:eastAsia="lv-LV"/>
              </w:rPr>
            </w:pPr>
            <w:r w:rsidRPr="00E72168">
              <w:rPr>
                <w:rFonts w:cs="Times New Roman"/>
                <w:b/>
                <w:color w:val="17365D"/>
                <w:sz w:val="18"/>
                <w:szCs w:val="18"/>
              </w:rPr>
              <w:t>KB.9.1.</w:t>
            </w:r>
          </w:p>
        </w:tc>
        <w:tc>
          <w:tcPr>
            <w:tcW w:w="758" w:type="pct"/>
            <w:tcBorders>
              <w:top w:val="single" w:sz="4" w:space="0" w:color="17365D"/>
              <w:left w:val="nil"/>
              <w:bottom w:val="single" w:sz="4" w:space="0" w:color="17365D"/>
            </w:tcBorders>
            <w:shd w:val="clear" w:color="auto" w:fill="auto"/>
            <w:noWrap/>
            <w:vAlign w:val="center"/>
          </w:tcPr>
          <w:p w14:paraId="5359B1A9" w14:textId="7A1E16D7" w:rsidR="00DB2C9E" w:rsidRPr="00E72168" w:rsidRDefault="00DB2C9E" w:rsidP="00DB2C9E">
            <w:pPr>
              <w:spacing w:after="0" w:line="240" w:lineRule="auto"/>
              <w:ind w:left="-57"/>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925 176 166</w:t>
            </w:r>
          </w:p>
        </w:tc>
        <w:tc>
          <w:tcPr>
            <w:tcW w:w="833" w:type="pct"/>
            <w:tcBorders>
              <w:top w:val="single" w:sz="4" w:space="0" w:color="17365D"/>
              <w:bottom w:val="single" w:sz="4" w:space="0" w:color="17365D"/>
            </w:tcBorders>
            <w:shd w:val="clear" w:color="auto" w:fill="auto"/>
            <w:noWrap/>
            <w:vAlign w:val="center"/>
          </w:tcPr>
          <w:p w14:paraId="33018BD8" w14:textId="33264146" w:rsidR="00DB2C9E" w:rsidRPr="00E72168" w:rsidRDefault="00DB2C9E" w:rsidP="00DB2C9E">
            <w:pPr>
              <w:spacing w:after="0" w:line="240" w:lineRule="auto"/>
              <w:ind w:left="-57"/>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914 325 125</w:t>
            </w:r>
          </w:p>
        </w:tc>
        <w:tc>
          <w:tcPr>
            <w:tcW w:w="637" w:type="pct"/>
            <w:tcBorders>
              <w:top w:val="single" w:sz="4" w:space="0" w:color="17365D"/>
              <w:bottom w:val="single" w:sz="4" w:space="0" w:color="17365D"/>
            </w:tcBorders>
            <w:shd w:val="clear" w:color="auto" w:fill="auto"/>
            <w:noWrap/>
            <w:vAlign w:val="center"/>
          </w:tcPr>
          <w:p w14:paraId="5D5EA313" w14:textId="4EC9D504" w:rsidR="00DB2C9E" w:rsidRPr="00E72168" w:rsidRDefault="00DB2C9E" w:rsidP="00DB2C9E">
            <w:pPr>
              <w:spacing w:after="0" w:line="240" w:lineRule="auto"/>
              <w:ind w:left="-57"/>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10 851 041</w:t>
            </w:r>
          </w:p>
        </w:tc>
        <w:tc>
          <w:tcPr>
            <w:tcW w:w="650" w:type="pct"/>
            <w:tcBorders>
              <w:top w:val="single" w:sz="4" w:space="0" w:color="17365D"/>
              <w:bottom w:val="single" w:sz="4" w:space="0" w:color="17365D"/>
            </w:tcBorders>
            <w:shd w:val="clear" w:color="auto" w:fill="auto"/>
            <w:noWrap/>
            <w:vAlign w:val="center"/>
          </w:tcPr>
          <w:p w14:paraId="12A3064B" w14:textId="36FCDBF9" w:rsidR="00DB2C9E" w:rsidRPr="00E72168" w:rsidRDefault="00DB2C9E" w:rsidP="00DB2C9E">
            <w:pPr>
              <w:spacing w:after="0" w:line="240" w:lineRule="auto"/>
              <w:ind w:left="-57"/>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1.19</w:t>
            </w:r>
          </w:p>
        </w:tc>
      </w:tr>
      <w:tr w:rsidR="00DB2C9E" w:rsidRPr="00E72168" w14:paraId="2CF53D76" w14:textId="77777777" w:rsidTr="00DB2C9E">
        <w:trPr>
          <w:trHeight w:val="240"/>
        </w:trPr>
        <w:tc>
          <w:tcPr>
            <w:tcW w:w="1515" w:type="pct"/>
            <w:tcBorders>
              <w:top w:val="single" w:sz="4" w:space="0" w:color="17365D"/>
              <w:bottom w:val="single" w:sz="4" w:space="0" w:color="17365D"/>
            </w:tcBorders>
            <w:shd w:val="clear" w:color="auto" w:fill="auto"/>
            <w:vAlign w:val="center"/>
            <w:hideMark/>
          </w:tcPr>
          <w:p w14:paraId="77DCF165" w14:textId="77777777" w:rsidR="00DB2C9E" w:rsidRPr="00E72168" w:rsidRDefault="00DB2C9E" w:rsidP="00DB2C9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Iespējamie aktīvi</w:t>
            </w:r>
          </w:p>
        </w:tc>
        <w:tc>
          <w:tcPr>
            <w:tcW w:w="607" w:type="pct"/>
            <w:tcBorders>
              <w:top w:val="single" w:sz="4" w:space="0" w:color="17365D"/>
              <w:bottom w:val="single" w:sz="4" w:space="0" w:color="17365D"/>
            </w:tcBorders>
            <w:shd w:val="clear" w:color="auto" w:fill="auto"/>
            <w:noWrap/>
            <w:vAlign w:val="center"/>
            <w:hideMark/>
          </w:tcPr>
          <w:p w14:paraId="72259990" w14:textId="7A387C2B" w:rsidR="00DB2C9E" w:rsidRPr="00E72168" w:rsidRDefault="00DB2C9E" w:rsidP="00DB2C9E">
            <w:pPr>
              <w:spacing w:after="0" w:line="240" w:lineRule="auto"/>
              <w:jc w:val="center"/>
              <w:rPr>
                <w:rFonts w:eastAsia="Times New Roman" w:cs="Times New Roman"/>
                <w:color w:val="17365D"/>
                <w:sz w:val="18"/>
                <w:szCs w:val="18"/>
                <w:lang w:eastAsia="lv-LV"/>
              </w:rPr>
            </w:pPr>
            <w:r w:rsidRPr="00E72168">
              <w:rPr>
                <w:rFonts w:cs="Times New Roman"/>
                <w:color w:val="17365D"/>
                <w:sz w:val="18"/>
                <w:szCs w:val="18"/>
              </w:rPr>
              <w:t>KB.9.1.1.</w:t>
            </w:r>
          </w:p>
        </w:tc>
        <w:tc>
          <w:tcPr>
            <w:tcW w:w="758" w:type="pct"/>
            <w:tcBorders>
              <w:top w:val="single" w:sz="4" w:space="0" w:color="17365D"/>
              <w:left w:val="nil"/>
              <w:bottom w:val="single" w:sz="4" w:space="0" w:color="17365D"/>
            </w:tcBorders>
            <w:shd w:val="clear" w:color="auto" w:fill="auto"/>
            <w:noWrap/>
            <w:vAlign w:val="center"/>
          </w:tcPr>
          <w:p w14:paraId="27811C7B" w14:textId="2AF00ADF" w:rsidR="00DB2C9E" w:rsidRPr="00E72168" w:rsidRDefault="00DB2C9E" w:rsidP="00DB2C9E">
            <w:pPr>
              <w:spacing w:after="0"/>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81 455 143</w:t>
            </w:r>
          </w:p>
        </w:tc>
        <w:tc>
          <w:tcPr>
            <w:tcW w:w="833" w:type="pct"/>
            <w:tcBorders>
              <w:top w:val="single" w:sz="4" w:space="0" w:color="17365D"/>
              <w:bottom w:val="single" w:sz="4" w:space="0" w:color="17365D"/>
            </w:tcBorders>
            <w:shd w:val="clear" w:color="auto" w:fill="auto"/>
            <w:noWrap/>
            <w:vAlign w:val="center"/>
          </w:tcPr>
          <w:p w14:paraId="1F2E5534" w14:textId="3D4446FD" w:rsidR="00DB2C9E" w:rsidRPr="00E72168" w:rsidRDefault="00DB2C9E" w:rsidP="00DB2C9E">
            <w:pPr>
              <w:spacing w:after="0"/>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207 969 780</w:t>
            </w:r>
          </w:p>
        </w:tc>
        <w:tc>
          <w:tcPr>
            <w:tcW w:w="637" w:type="pct"/>
            <w:tcBorders>
              <w:top w:val="single" w:sz="4" w:space="0" w:color="17365D"/>
              <w:bottom w:val="single" w:sz="4" w:space="0" w:color="17365D"/>
            </w:tcBorders>
            <w:shd w:val="clear" w:color="auto" w:fill="auto"/>
            <w:noWrap/>
            <w:vAlign w:val="center"/>
          </w:tcPr>
          <w:p w14:paraId="4F878069" w14:textId="407C73F1" w:rsidR="00DB2C9E" w:rsidRPr="00E72168" w:rsidRDefault="00DB2C9E" w:rsidP="00DB2C9E">
            <w:pPr>
              <w:spacing w:after="0"/>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-126 514 637</w:t>
            </w:r>
          </w:p>
        </w:tc>
        <w:tc>
          <w:tcPr>
            <w:tcW w:w="650" w:type="pct"/>
            <w:tcBorders>
              <w:top w:val="single" w:sz="4" w:space="0" w:color="17365D"/>
              <w:bottom w:val="single" w:sz="4" w:space="0" w:color="17365D"/>
            </w:tcBorders>
            <w:shd w:val="clear" w:color="auto" w:fill="auto"/>
            <w:noWrap/>
            <w:vAlign w:val="center"/>
          </w:tcPr>
          <w:p w14:paraId="1C5611CA" w14:textId="0F805BC3" w:rsidR="00DB2C9E" w:rsidRPr="00E72168" w:rsidRDefault="00DB2C9E" w:rsidP="00DB2C9E">
            <w:pPr>
              <w:spacing w:after="0"/>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-60.83</w:t>
            </w:r>
          </w:p>
        </w:tc>
      </w:tr>
      <w:tr w:rsidR="00DB2C9E" w:rsidRPr="00E72168" w14:paraId="3704F33B" w14:textId="77777777" w:rsidTr="00DB2C9E">
        <w:trPr>
          <w:trHeight w:val="160"/>
        </w:trPr>
        <w:tc>
          <w:tcPr>
            <w:tcW w:w="1515" w:type="pct"/>
            <w:tcBorders>
              <w:top w:val="single" w:sz="4" w:space="0" w:color="17365D"/>
              <w:bottom w:val="single" w:sz="4" w:space="0" w:color="17365D"/>
            </w:tcBorders>
            <w:shd w:val="clear" w:color="auto" w:fill="auto"/>
            <w:vAlign w:val="center"/>
            <w:hideMark/>
          </w:tcPr>
          <w:p w14:paraId="5743B1DB" w14:textId="54E3CFD6" w:rsidR="00DB2C9E" w:rsidRPr="00E72168" w:rsidRDefault="00DB2C9E" w:rsidP="00DB2C9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lastRenderedPageBreak/>
              <w:t>Paziņotās dividendes un saņemamie maksājumi par kapitāla daļu izmantošanu</w:t>
            </w:r>
          </w:p>
        </w:tc>
        <w:tc>
          <w:tcPr>
            <w:tcW w:w="607" w:type="pct"/>
            <w:tcBorders>
              <w:top w:val="single" w:sz="4" w:space="0" w:color="17365D"/>
              <w:bottom w:val="single" w:sz="4" w:space="0" w:color="17365D"/>
            </w:tcBorders>
            <w:shd w:val="clear" w:color="auto" w:fill="auto"/>
            <w:noWrap/>
            <w:vAlign w:val="center"/>
          </w:tcPr>
          <w:p w14:paraId="5B0AFE2A" w14:textId="6A175B3A" w:rsidR="00DB2C9E" w:rsidRPr="00E72168" w:rsidRDefault="00950697" w:rsidP="00950697">
            <w:pPr>
              <w:spacing w:after="0" w:line="240" w:lineRule="auto"/>
              <w:jc w:val="center"/>
              <w:rPr>
                <w:rFonts w:eastAsia="Times New Roman" w:cs="Times New Roman"/>
                <w:color w:val="17365D"/>
                <w:sz w:val="18"/>
                <w:szCs w:val="18"/>
                <w:lang w:eastAsia="lv-LV"/>
              </w:rPr>
            </w:pPr>
            <w:r w:rsidRPr="00E72168">
              <w:rPr>
                <w:rFonts w:cs="Times New Roman"/>
                <w:color w:val="17365D"/>
                <w:sz w:val="18"/>
                <w:szCs w:val="18"/>
              </w:rPr>
              <w:t>KB.9.1.2.</w:t>
            </w:r>
          </w:p>
        </w:tc>
        <w:tc>
          <w:tcPr>
            <w:tcW w:w="758" w:type="pct"/>
            <w:tcBorders>
              <w:top w:val="single" w:sz="4" w:space="0" w:color="17365D"/>
              <w:left w:val="nil"/>
              <w:bottom w:val="single" w:sz="4" w:space="0" w:color="17365D"/>
            </w:tcBorders>
            <w:shd w:val="clear" w:color="auto" w:fill="auto"/>
            <w:noWrap/>
            <w:vAlign w:val="center"/>
          </w:tcPr>
          <w:p w14:paraId="4FC588C5" w14:textId="08D052E4" w:rsidR="00DB2C9E" w:rsidRPr="00E72168" w:rsidRDefault="00DB2C9E" w:rsidP="00DB2C9E">
            <w:pPr>
              <w:spacing w:after="0"/>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318 297 226</w:t>
            </w:r>
          </w:p>
        </w:tc>
        <w:tc>
          <w:tcPr>
            <w:tcW w:w="833" w:type="pct"/>
            <w:tcBorders>
              <w:top w:val="single" w:sz="4" w:space="0" w:color="17365D"/>
              <w:bottom w:val="single" w:sz="4" w:space="0" w:color="17365D"/>
            </w:tcBorders>
            <w:shd w:val="clear" w:color="auto" w:fill="auto"/>
            <w:noWrap/>
            <w:vAlign w:val="center"/>
          </w:tcPr>
          <w:p w14:paraId="681CBC8A" w14:textId="592D077A" w:rsidR="00DB2C9E" w:rsidRPr="00E72168" w:rsidRDefault="00DB2C9E" w:rsidP="00DB2C9E">
            <w:pPr>
              <w:spacing w:after="0"/>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142 302 339</w:t>
            </w:r>
          </w:p>
        </w:tc>
        <w:tc>
          <w:tcPr>
            <w:tcW w:w="637" w:type="pct"/>
            <w:tcBorders>
              <w:top w:val="single" w:sz="4" w:space="0" w:color="17365D"/>
              <w:bottom w:val="single" w:sz="4" w:space="0" w:color="17365D"/>
            </w:tcBorders>
            <w:shd w:val="clear" w:color="auto" w:fill="auto"/>
            <w:noWrap/>
            <w:vAlign w:val="center"/>
          </w:tcPr>
          <w:p w14:paraId="3179E535" w14:textId="11B71B44" w:rsidR="00DB2C9E" w:rsidRPr="00E72168" w:rsidRDefault="00DB2C9E" w:rsidP="00DB2C9E">
            <w:pPr>
              <w:spacing w:after="0"/>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175 994 887</w:t>
            </w:r>
          </w:p>
        </w:tc>
        <w:tc>
          <w:tcPr>
            <w:tcW w:w="650" w:type="pct"/>
            <w:tcBorders>
              <w:top w:val="single" w:sz="4" w:space="0" w:color="17365D"/>
              <w:bottom w:val="single" w:sz="4" w:space="0" w:color="17365D"/>
            </w:tcBorders>
            <w:shd w:val="clear" w:color="auto" w:fill="auto"/>
            <w:noWrap/>
            <w:vAlign w:val="center"/>
          </w:tcPr>
          <w:p w14:paraId="2C5AEB63" w14:textId="15A4D53D" w:rsidR="00DB2C9E" w:rsidRPr="00E72168" w:rsidRDefault="00DB2C9E" w:rsidP="00DB2C9E">
            <w:pPr>
              <w:spacing w:after="0"/>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123.68</w:t>
            </w:r>
          </w:p>
        </w:tc>
      </w:tr>
      <w:tr w:rsidR="00920C94" w:rsidRPr="00E72168" w14:paraId="59A9CC7E" w14:textId="77777777" w:rsidTr="00C87349">
        <w:trPr>
          <w:trHeight w:val="240"/>
        </w:trPr>
        <w:tc>
          <w:tcPr>
            <w:tcW w:w="1515" w:type="pct"/>
            <w:tcBorders>
              <w:top w:val="single" w:sz="4" w:space="0" w:color="17365D"/>
              <w:bottom w:val="single" w:sz="4" w:space="0" w:color="17365D"/>
            </w:tcBorders>
            <w:shd w:val="clear" w:color="auto" w:fill="auto"/>
            <w:vAlign w:val="center"/>
            <w:hideMark/>
          </w:tcPr>
          <w:p w14:paraId="53F3F619" w14:textId="4A72151A" w:rsidR="00920C94" w:rsidRPr="00E72168" w:rsidRDefault="00920C94" w:rsidP="00920C94">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Aprēķinātie līgumsodi, naudas sodi, soda naudas un kavējuma naudas</w:t>
            </w:r>
          </w:p>
        </w:tc>
        <w:tc>
          <w:tcPr>
            <w:tcW w:w="607" w:type="pct"/>
            <w:tcBorders>
              <w:top w:val="single" w:sz="4" w:space="0" w:color="17365D"/>
              <w:bottom w:val="single" w:sz="4" w:space="0" w:color="17365D"/>
            </w:tcBorders>
            <w:shd w:val="clear" w:color="auto" w:fill="auto"/>
            <w:noWrap/>
            <w:vAlign w:val="center"/>
          </w:tcPr>
          <w:p w14:paraId="51350ADA" w14:textId="7535BAB5" w:rsidR="00920C94" w:rsidRPr="00E72168" w:rsidRDefault="00920C94" w:rsidP="00920C94">
            <w:pPr>
              <w:spacing w:after="0" w:line="240" w:lineRule="auto"/>
              <w:jc w:val="right"/>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tcBorders>
            <w:shd w:val="clear" w:color="auto" w:fill="auto"/>
            <w:noWrap/>
            <w:vAlign w:val="center"/>
          </w:tcPr>
          <w:p w14:paraId="7AEE2B01" w14:textId="61A5C52C" w:rsidR="00920C94" w:rsidRPr="00E72168" w:rsidRDefault="00920C94" w:rsidP="00920C94">
            <w:pPr>
              <w:spacing w:after="0"/>
              <w:ind w:left="-113"/>
              <w:jc w:val="right"/>
              <w:rPr>
                <w:rFonts w:eastAsia="Times New Roman" w:cs="Times New Roman"/>
                <w:color w:val="17365D"/>
                <w:sz w:val="18"/>
                <w:szCs w:val="18"/>
                <w:lang w:eastAsia="lv-LV"/>
              </w:rPr>
            </w:pPr>
            <w:r w:rsidRPr="00C87349">
              <w:rPr>
                <w:rFonts w:eastAsia="Times New Roman" w:cs="Times New Roman"/>
                <w:color w:val="17365D"/>
                <w:sz w:val="18"/>
                <w:szCs w:val="18"/>
                <w:lang w:eastAsia="lv-LV"/>
              </w:rPr>
              <w:t>278 248 328</w:t>
            </w:r>
          </w:p>
        </w:tc>
        <w:tc>
          <w:tcPr>
            <w:tcW w:w="833" w:type="pct"/>
            <w:tcBorders>
              <w:top w:val="single" w:sz="4" w:space="0" w:color="17365D"/>
              <w:bottom w:val="single" w:sz="4" w:space="0" w:color="17365D"/>
            </w:tcBorders>
            <w:shd w:val="clear" w:color="auto" w:fill="auto"/>
            <w:noWrap/>
            <w:vAlign w:val="center"/>
          </w:tcPr>
          <w:p w14:paraId="1DF4AF17" w14:textId="2F8A157B" w:rsidR="00920C94" w:rsidRPr="00E72168" w:rsidRDefault="00920C94" w:rsidP="00920C94">
            <w:pPr>
              <w:spacing w:after="0"/>
              <w:ind w:left="-113"/>
              <w:jc w:val="right"/>
              <w:rPr>
                <w:rFonts w:eastAsia="Times New Roman" w:cs="Times New Roman"/>
                <w:color w:val="17365D"/>
                <w:sz w:val="18"/>
                <w:szCs w:val="18"/>
                <w:lang w:eastAsia="lv-LV"/>
              </w:rPr>
            </w:pPr>
            <w:r w:rsidRPr="00C87349">
              <w:rPr>
                <w:rFonts w:eastAsia="Times New Roman" w:cs="Times New Roman"/>
                <w:color w:val="17365D"/>
                <w:sz w:val="18"/>
                <w:szCs w:val="18"/>
                <w:lang w:eastAsia="lv-LV"/>
              </w:rPr>
              <w:t>286 981 933</w:t>
            </w:r>
          </w:p>
        </w:tc>
        <w:tc>
          <w:tcPr>
            <w:tcW w:w="637" w:type="pct"/>
            <w:tcBorders>
              <w:top w:val="single" w:sz="4" w:space="0" w:color="17365D"/>
              <w:bottom w:val="single" w:sz="4" w:space="0" w:color="17365D"/>
            </w:tcBorders>
            <w:shd w:val="clear" w:color="auto" w:fill="auto"/>
            <w:noWrap/>
            <w:vAlign w:val="center"/>
          </w:tcPr>
          <w:p w14:paraId="4EEDC438" w14:textId="5F66EA1F" w:rsidR="00920C94" w:rsidRPr="00E72168" w:rsidRDefault="00920C94" w:rsidP="00920C94">
            <w:pPr>
              <w:spacing w:after="0"/>
              <w:ind w:left="-113"/>
              <w:jc w:val="right"/>
              <w:rPr>
                <w:rFonts w:eastAsia="Times New Roman" w:cs="Times New Roman"/>
                <w:color w:val="17365D"/>
                <w:sz w:val="18"/>
                <w:szCs w:val="18"/>
                <w:lang w:eastAsia="lv-LV"/>
              </w:rPr>
            </w:pPr>
            <w:r w:rsidRPr="00C87349">
              <w:rPr>
                <w:rFonts w:eastAsia="Times New Roman" w:cs="Times New Roman"/>
                <w:color w:val="17365D"/>
                <w:sz w:val="18"/>
                <w:szCs w:val="18"/>
                <w:lang w:eastAsia="lv-LV"/>
              </w:rPr>
              <w:t>-8 733 605</w:t>
            </w:r>
          </w:p>
        </w:tc>
        <w:tc>
          <w:tcPr>
            <w:tcW w:w="650" w:type="pct"/>
            <w:tcBorders>
              <w:top w:val="single" w:sz="4" w:space="0" w:color="17365D"/>
              <w:bottom w:val="single" w:sz="4" w:space="0" w:color="17365D"/>
            </w:tcBorders>
            <w:shd w:val="clear" w:color="auto" w:fill="auto"/>
            <w:noWrap/>
            <w:vAlign w:val="center"/>
          </w:tcPr>
          <w:p w14:paraId="128D8165" w14:textId="0A308A52" w:rsidR="00920C94" w:rsidRPr="00E72168" w:rsidRDefault="00920C94" w:rsidP="00920C94">
            <w:pPr>
              <w:spacing w:after="0"/>
              <w:ind w:left="-113"/>
              <w:jc w:val="right"/>
              <w:rPr>
                <w:rFonts w:eastAsia="Times New Roman" w:cs="Times New Roman"/>
                <w:color w:val="17365D"/>
                <w:sz w:val="18"/>
                <w:szCs w:val="18"/>
                <w:lang w:eastAsia="lv-LV"/>
              </w:rPr>
            </w:pPr>
            <w:r w:rsidRPr="00C87349">
              <w:rPr>
                <w:rFonts w:eastAsia="Times New Roman" w:cs="Times New Roman"/>
                <w:color w:val="17365D"/>
                <w:sz w:val="18"/>
                <w:szCs w:val="18"/>
                <w:lang w:eastAsia="lv-LV"/>
              </w:rPr>
              <w:t>-3.04</w:t>
            </w:r>
          </w:p>
        </w:tc>
      </w:tr>
      <w:tr w:rsidR="00DB2C9E" w:rsidRPr="00E72168" w14:paraId="265874F2" w14:textId="77777777" w:rsidTr="00DB2C9E">
        <w:trPr>
          <w:trHeight w:val="480"/>
        </w:trPr>
        <w:tc>
          <w:tcPr>
            <w:tcW w:w="1515" w:type="pct"/>
            <w:tcBorders>
              <w:top w:val="single" w:sz="4" w:space="0" w:color="17365D"/>
              <w:bottom w:val="single" w:sz="4" w:space="0" w:color="17365D"/>
            </w:tcBorders>
            <w:shd w:val="clear" w:color="auto" w:fill="auto"/>
            <w:vAlign w:val="center"/>
            <w:hideMark/>
          </w:tcPr>
          <w:p w14:paraId="6216DE94" w14:textId="3F619509" w:rsidR="00DB2C9E" w:rsidRPr="00E72168" w:rsidRDefault="00DB2C9E" w:rsidP="00DB2C9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Prasības par prettiesiski atsavinātiem aktīviem</w:t>
            </w:r>
          </w:p>
        </w:tc>
        <w:tc>
          <w:tcPr>
            <w:tcW w:w="607" w:type="pct"/>
            <w:tcBorders>
              <w:top w:val="single" w:sz="4" w:space="0" w:color="17365D"/>
              <w:bottom w:val="single" w:sz="4" w:space="0" w:color="17365D"/>
            </w:tcBorders>
            <w:shd w:val="clear" w:color="auto" w:fill="auto"/>
            <w:noWrap/>
            <w:vAlign w:val="center"/>
          </w:tcPr>
          <w:p w14:paraId="2265C7AF" w14:textId="2217995E" w:rsidR="00DB2C9E" w:rsidRPr="00E72168" w:rsidRDefault="00DB2C9E" w:rsidP="00DB2C9E">
            <w:pPr>
              <w:spacing w:after="0" w:line="240" w:lineRule="auto"/>
              <w:jc w:val="right"/>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tcBorders>
            <w:shd w:val="clear" w:color="auto" w:fill="auto"/>
            <w:noWrap/>
            <w:vAlign w:val="center"/>
          </w:tcPr>
          <w:p w14:paraId="35AA37FA" w14:textId="16F772A8" w:rsidR="00DB2C9E" w:rsidRPr="00E72168" w:rsidRDefault="00DB2C9E" w:rsidP="00DB2C9E">
            <w:pPr>
              <w:spacing w:after="0"/>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2 090 269</w:t>
            </w:r>
          </w:p>
        </w:tc>
        <w:tc>
          <w:tcPr>
            <w:tcW w:w="833" w:type="pct"/>
            <w:tcBorders>
              <w:top w:val="single" w:sz="4" w:space="0" w:color="17365D"/>
              <w:bottom w:val="single" w:sz="4" w:space="0" w:color="17365D"/>
            </w:tcBorders>
            <w:shd w:val="clear" w:color="auto" w:fill="auto"/>
            <w:noWrap/>
            <w:vAlign w:val="center"/>
          </w:tcPr>
          <w:p w14:paraId="5E323C86" w14:textId="5B4D7DA4" w:rsidR="00DB2C9E" w:rsidRPr="00E72168" w:rsidRDefault="00DB2C9E" w:rsidP="00DB2C9E">
            <w:pPr>
              <w:spacing w:after="0"/>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2 133 234</w:t>
            </w:r>
          </w:p>
        </w:tc>
        <w:tc>
          <w:tcPr>
            <w:tcW w:w="637" w:type="pct"/>
            <w:tcBorders>
              <w:top w:val="single" w:sz="4" w:space="0" w:color="17365D"/>
              <w:bottom w:val="single" w:sz="4" w:space="0" w:color="17365D"/>
            </w:tcBorders>
            <w:shd w:val="clear" w:color="auto" w:fill="auto"/>
            <w:noWrap/>
            <w:vAlign w:val="center"/>
          </w:tcPr>
          <w:p w14:paraId="4848BE31" w14:textId="2F5C8906" w:rsidR="00DB2C9E" w:rsidRPr="00E72168" w:rsidRDefault="00DB2C9E" w:rsidP="00DB2C9E">
            <w:pPr>
              <w:spacing w:after="0"/>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-42 965</w:t>
            </w:r>
          </w:p>
        </w:tc>
        <w:tc>
          <w:tcPr>
            <w:tcW w:w="650" w:type="pct"/>
            <w:tcBorders>
              <w:top w:val="single" w:sz="4" w:space="0" w:color="17365D"/>
              <w:bottom w:val="single" w:sz="4" w:space="0" w:color="17365D"/>
            </w:tcBorders>
            <w:shd w:val="clear" w:color="auto" w:fill="auto"/>
            <w:noWrap/>
            <w:vAlign w:val="center"/>
          </w:tcPr>
          <w:p w14:paraId="29B52BA7" w14:textId="31E89C06" w:rsidR="00DB2C9E" w:rsidRPr="00E72168" w:rsidRDefault="00DB2C9E" w:rsidP="00DB2C9E">
            <w:pPr>
              <w:spacing w:after="0"/>
              <w:ind w:left="-113"/>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-2.01</w:t>
            </w:r>
          </w:p>
        </w:tc>
      </w:tr>
      <w:tr w:rsidR="00920C94" w:rsidRPr="00E72168" w14:paraId="09E982EA" w14:textId="77777777" w:rsidTr="00C87349">
        <w:trPr>
          <w:trHeight w:val="240"/>
        </w:trPr>
        <w:tc>
          <w:tcPr>
            <w:tcW w:w="1515" w:type="pct"/>
            <w:tcBorders>
              <w:top w:val="single" w:sz="4" w:space="0" w:color="17365D"/>
              <w:bottom w:val="single" w:sz="4" w:space="0" w:color="17365D"/>
            </w:tcBorders>
            <w:shd w:val="clear" w:color="auto" w:fill="auto"/>
            <w:vAlign w:val="center"/>
            <w:hideMark/>
          </w:tcPr>
          <w:p w14:paraId="2A8B2223" w14:textId="77777777" w:rsidR="00920C94" w:rsidRPr="00E72168" w:rsidRDefault="00920C94" w:rsidP="00920C94">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Citi zembilances aktīvi</w:t>
            </w:r>
          </w:p>
        </w:tc>
        <w:tc>
          <w:tcPr>
            <w:tcW w:w="607" w:type="pct"/>
            <w:tcBorders>
              <w:top w:val="single" w:sz="4" w:space="0" w:color="17365D"/>
              <w:bottom w:val="single" w:sz="4" w:space="0" w:color="17365D"/>
            </w:tcBorders>
            <w:shd w:val="clear" w:color="auto" w:fill="auto"/>
            <w:noWrap/>
            <w:vAlign w:val="center"/>
          </w:tcPr>
          <w:p w14:paraId="36A9515D" w14:textId="29489902" w:rsidR="00920C94" w:rsidRPr="00E72168" w:rsidRDefault="00920C94" w:rsidP="00920C94">
            <w:pPr>
              <w:spacing w:after="0" w:line="240" w:lineRule="auto"/>
              <w:jc w:val="right"/>
              <w:rPr>
                <w:rFonts w:eastAsia="Times New Roman" w:cs="Times New Roman"/>
                <w:color w:val="17365D"/>
                <w:sz w:val="18"/>
                <w:szCs w:val="18"/>
                <w:lang w:eastAsia="lv-LV"/>
              </w:rPr>
            </w:pPr>
          </w:p>
        </w:tc>
        <w:tc>
          <w:tcPr>
            <w:tcW w:w="758" w:type="pct"/>
            <w:tcBorders>
              <w:top w:val="single" w:sz="4" w:space="0" w:color="17365D"/>
              <w:left w:val="nil"/>
              <w:bottom w:val="single" w:sz="4" w:space="0" w:color="17365D"/>
            </w:tcBorders>
            <w:shd w:val="clear" w:color="auto" w:fill="auto"/>
            <w:noWrap/>
            <w:vAlign w:val="center"/>
          </w:tcPr>
          <w:p w14:paraId="18A31C8D" w14:textId="03372437" w:rsidR="00920C94" w:rsidRPr="00E72168" w:rsidRDefault="00920C94" w:rsidP="00920C94">
            <w:pPr>
              <w:spacing w:after="0"/>
              <w:ind w:left="-113"/>
              <w:jc w:val="right"/>
              <w:rPr>
                <w:rFonts w:eastAsia="Times New Roman" w:cs="Times New Roman"/>
                <w:color w:val="17365D"/>
                <w:sz w:val="18"/>
                <w:szCs w:val="18"/>
                <w:lang w:eastAsia="lv-LV"/>
              </w:rPr>
            </w:pPr>
            <w:r w:rsidRPr="00C87349">
              <w:rPr>
                <w:rFonts w:eastAsia="Times New Roman" w:cs="Times New Roman"/>
                <w:color w:val="17365D"/>
                <w:sz w:val="18"/>
                <w:szCs w:val="18"/>
                <w:lang w:eastAsia="lv-LV"/>
              </w:rPr>
              <w:t>244 901 471</w:t>
            </w:r>
          </w:p>
        </w:tc>
        <w:tc>
          <w:tcPr>
            <w:tcW w:w="833" w:type="pct"/>
            <w:tcBorders>
              <w:top w:val="single" w:sz="4" w:space="0" w:color="17365D"/>
              <w:bottom w:val="single" w:sz="4" w:space="0" w:color="17365D"/>
            </w:tcBorders>
            <w:shd w:val="clear" w:color="auto" w:fill="auto"/>
            <w:noWrap/>
            <w:vAlign w:val="center"/>
          </w:tcPr>
          <w:p w14:paraId="448B16CD" w14:textId="7574FCD6" w:rsidR="00920C94" w:rsidRPr="00E72168" w:rsidRDefault="00920C94" w:rsidP="00920C94">
            <w:pPr>
              <w:spacing w:after="0"/>
              <w:ind w:left="-113"/>
              <w:jc w:val="right"/>
              <w:rPr>
                <w:rFonts w:eastAsia="Times New Roman" w:cs="Times New Roman"/>
                <w:color w:val="17365D"/>
                <w:sz w:val="18"/>
                <w:szCs w:val="18"/>
                <w:lang w:eastAsia="lv-LV"/>
              </w:rPr>
            </w:pPr>
            <w:r w:rsidRPr="00C87349">
              <w:rPr>
                <w:rFonts w:eastAsia="Times New Roman" w:cs="Times New Roman"/>
                <w:color w:val="17365D"/>
                <w:sz w:val="18"/>
                <w:szCs w:val="18"/>
                <w:lang w:eastAsia="lv-LV"/>
              </w:rPr>
              <w:t>274 937 839</w:t>
            </w:r>
          </w:p>
        </w:tc>
        <w:tc>
          <w:tcPr>
            <w:tcW w:w="637" w:type="pct"/>
            <w:tcBorders>
              <w:top w:val="single" w:sz="4" w:space="0" w:color="17365D"/>
              <w:bottom w:val="single" w:sz="4" w:space="0" w:color="17365D"/>
            </w:tcBorders>
            <w:shd w:val="clear" w:color="auto" w:fill="auto"/>
            <w:noWrap/>
            <w:vAlign w:val="center"/>
          </w:tcPr>
          <w:p w14:paraId="26F69E8D" w14:textId="24149A0D" w:rsidR="00920C94" w:rsidRPr="00E72168" w:rsidRDefault="00920C94" w:rsidP="00920C94">
            <w:pPr>
              <w:spacing w:after="0"/>
              <w:ind w:left="-113"/>
              <w:jc w:val="right"/>
              <w:rPr>
                <w:rFonts w:eastAsia="Times New Roman" w:cs="Times New Roman"/>
                <w:color w:val="17365D"/>
                <w:sz w:val="18"/>
                <w:szCs w:val="18"/>
                <w:lang w:eastAsia="lv-LV"/>
              </w:rPr>
            </w:pPr>
            <w:r w:rsidRPr="00C87349">
              <w:rPr>
                <w:rFonts w:eastAsia="Times New Roman" w:cs="Times New Roman"/>
                <w:color w:val="17365D"/>
                <w:sz w:val="18"/>
                <w:szCs w:val="18"/>
                <w:lang w:eastAsia="lv-LV"/>
              </w:rPr>
              <w:t>-30 036 368</w:t>
            </w:r>
          </w:p>
        </w:tc>
        <w:tc>
          <w:tcPr>
            <w:tcW w:w="650" w:type="pct"/>
            <w:tcBorders>
              <w:top w:val="single" w:sz="4" w:space="0" w:color="17365D"/>
              <w:bottom w:val="single" w:sz="4" w:space="0" w:color="17365D"/>
            </w:tcBorders>
            <w:shd w:val="clear" w:color="auto" w:fill="auto"/>
            <w:noWrap/>
            <w:vAlign w:val="center"/>
          </w:tcPr>
          <w:p w14:paraId="5E2D4629" w14:textId="4566BC50" w:rsidR="00920C94" w:rsidRPr="00E72168" w:rsidRDefault="00920C94" w:rsidP="00920C94">
            <w:pPr>
              <w:spacing w:after="0"/>
              <w:ind w:left="-113"/>
              <w:jc w:val="right"/>
              <w:rPr>
                <w:rFonts w:eastAsia="Times New Roman" w:cs="Times New Roman"/>
                <w:color w:val="17365D"/>
                <w:sz w:val="18"/>
                <w:szCs w:val="18"/>
                <w:lang w:eastAsia="lv-LV"/>
              </w:rPr>
            </w:pPr>
            <w:r w:rsidRPr="00C87349">
              <w:rPr>
                <w:rFonts w:eastAsia="Times New Roman" w:cs="Times New Roman"/>
                <w:color w:val="17365D"/>
                <w:sz w:val="18"/>
                <w:szCs w:val="18"/>
                <w:lang w:eastAsia="lv-LV"/>
              </w:rPr>
              <w:t>-10.92</w:t>
            </w:r>
          </w:p>
        </w:tc>
      </w:tr>
      <w:tr w:rsidR="000229AE" w:rsidRPr="00E72168" w14:paraId="58CCA512" w14:textId="77777777" w:rsidTr="00CE4EF3">
        <w:trPr>
          <w:trHeight w:val="240"/>
        </w:trPr>
        <w:tc>
          <w:tcPr>
            <w:tcW w:w="1515" w:type="pct"/>
            <w:tcBorders>
              <w:top w:val="single" w:sz="4" w:space="0" w:color="17365D"/>
            </w:tcBorders>
            <w:shd w:val="clear" w:color="auto" w:fill="B9CDE5"/>
            <w:vAlign w:val="center"/>
          </w:tcPr>
          <w:p w14:paraId="5A5C7AD1" w14:textId="77777777" w:rsidR="000229AE" w:rsidRPr="00E72168" w:rsidRDefault="000229AE" w:rsidP="000229AE">
            <w:pPr>
              <w:spacing w:after="0"/>
              <w:rPr>
                <w:rFonts w:eastAsia="Times New Roman" w:cs="Times New Roman"/>
                <w:color w:val="17365D"/>
                <w:sz w:val="18"/>
                <w:szCs w:val="18"/>
                <w:lang w:eastAsia="lv-LV"/>
              </w:rPr>
            </w:pPr>
          </w:p>
        </w:tc>
        <w:tc>
          <w:tcPr>
            <w:tcW w:w="607" w:type="pct"/>
            <w:tcBorders>
              <w:top w:val="single" w:sz="4" w:space="0" w:color="17365D"/>
            </w:tcBorders>
            <w:shd w:val="clear" w:color="auto" w:fill="B9CDE5"/>
            <w:noWrap/>
          </w:tcPr>
          <w:p w14:paraId="28E07945" w14:textId="0225DE15" w:rsidR="000229AE" w:rsidRPr="00E72168" w:rsidRDefault="000229AE" w:rsidP="000229AE">
            <w:pPr>
              <w:spacing w:after="0"/>
              <w:jc w:val="center"/>
              <w:rPr>
                <w:rFonts w:eastAsia="Times New Roman" w:cs="Times New Roman"/>
                <w:color w:val="17365D"/>
                <w:sz w:val="18"/>
                <w:szCs w:val="18"/>
                <w:lang w:eastAsia="lv-LV"/>
              </w:rPr>
            </w:pPr>
          </w:p>
        </w:tc>
        <w:tc>
          <w:tcPr>
            <w:tcW w:w="758" w:type="pct"/>
            <w:tcBorders>
              <w:top w:val="single" w:sz="4" w:space="0" w:color="17365D"/>
            </w:tcBorders>
            <w:shd w:val="clear" w:color="auto" w:fill="B9CDE5"/>
            <w:noWrap/>
          </w:tcPr>
          <w:p w14:paraId="469921A2" w14:textId="48766C4F" w:rsidR="000229AE" w:rsidRPr="00E72168" w:rsidRDefault="000229AE" w:rsidP="000229AE">
            <w:pPr>
              <w:spacing w:after="0"/>
              <w:jc w:val="right"/>
              <w:rPr>
                <w:rFonts w:eastAsia="Times New Roman" w:cs="Times New Roman"/>
                <w:color w:val="17365D"/>
                <w:sz w:val="18"/>
                <w:szCs w:val="18"/>
                <w:lang w:eastAsia="lv-LV"/>
              </w:rPr>
            </w:pPr>
          </w:p>
        </w:tc>
        <w:tc>
          <w:tcPr>
            <w:tcW w:w="833" w:type="pct"/>
            <w:tcBorders>
              <w:top w:val="single" w:sz="4" w:space="0" w:color="17365D"/>
            </w:tcBorders>
            <w:shd w:val="clear" w:color="auto" w:fill="B9CDE5"/>
            <w:noWrap/>
          </w:tcPr>
          <w:p w14:paraId="7BAC2E52" w14:textId="332FB66E" w:rsidR="000229AE" w:rsidRPr="00E72168" w:rsidRDefault="000229AE" w:rsidP="000229AE">
            <w:pPr>
              <w:spacing w:after="0"/>
              <w:jc w:val="right"/>
              <w:rPr>
                <w:rFonts w:eastAsia="Times New Roman" w:cs="Times New Roman"/>
                <w:color w:val="17365D"/>
                <w:sz w:val="18"/>
                <w:szCs w:val="18"/>
                <w:lang w:eastAsia="lv-LV"/>
              </w:rPr>
            </w:pPr>
          </w:p>
        </w:tc>
        <w:tc>
          <w:tcPr>
            <w:tcW w:w="637" w:type="pct"/>
            <w:tcBorders>
              <w:top w:val="single" w:sz="4" w:space="0" w:color="17365D"/>
            </w:tcBorders>
            <w:shd w:val="clear" w:color="auto" w:fill="B9CDE5"/>
            <w:noWrap/>
          </w:tcPr>
          <w:p w14:paraId="177A0444" w14:textId="7DA80E0B" w:rsidR="000229AE" w:rsidRPr="00E72168" w:rsidRDefault="000229AE" w:rsidP="000229AE">
            <w:pPr>
              <w:spacing w:after="0"/>
              <w:jc w:val="right"/>
              <w:rPr>
                <w:rFonts w:eastAsia="Times New Roman" w:cs="Times New Roman"/>
                <w:color w:val="17365D"/>
                <w:sz w:val="18"/>
                <w:szCs w:val="18"/>
                <w:lang w:eastAsia="lv-LV"/>
              </w:rPr>
            </w:pPr>
          </w:p>
        </w:tc>
        <w:tc>
          <w:tcPr>
            <w:tcW w:w="650" w:type="pct"/>
            <w:tcBorders>
              <w:top w:val="single" w:sz="4" w:space="0" w:color="17365D"/>
            </w:tcBorders>
            <w:shd w:val="clear" w:color="auto" w:fill="B9CDE5"/>
            <w:noWrap/>
          </w:tcPr>
          <w:p w14:paraId="3F025D93" w14:textId="516DD598" w:rsidR="000229AE" w:rsidRPr="00E72168" w:rsidRDefault="000229AE" w:rsidP="000229AE">
            <w:pPr>
              <w:spacing w:after="0"/>
              <w:jc w:val="right"/>
              <w:rPr>
                <w:rFonts w:eastAsia="Times New Roman" w:cs="Times New Roman"/>
                <w:color w:val="17365D"/>
                <w:sz w:val="18"/>
                <w:szCs w:val="18"/>
                <w:lang w:eastAsia="lv-LV"/>
              </w:rPr>
            </w:pPr>
          </w:p>
        </w:tc>
      </w:tr>
    </w:tbl>
    <w:p w14:paraId="297D7319" w14:textId="515288D7" w:rsidR="004726F6" w:rsidRPr="00E72168" w:rsidRDefault="0064183C" w:rsidP="00C74E79">
      <w:pPr>
        <w:pStyle w:val="Heading5"/>
        <w:spacing w:before="240"/>
        <w:rPr>
          <w:rFonts w:cs="Times New Roman"/>
        </w:rPr>
      </w:pPr>
      <w:r w:rsidRPr="00E72168">
        <w:rPr>
          <w:rFonts w:cs="Times New Roman"/>
        </w:rPr>
        <w:t xml:space="preserve">Piezīme Nr. </w:t>
      </w:r>
      <w:r w:rsidR="005F1199" w:rsidRPr="00E72168">
        <w:rPr>
          <w:rFonts w:cs="Times New Roman"/>
        </w:rPr>
        <w:t>KB.</w:t>
      </w:r>
      <w:r w:rsidR="00FB303F" w:rsidRPr="00E72168">
        <w:rPr>
          <w:rFonts w:cs="Times New Roman"/>
        </w:rPr>
        <w:t>9.1.1</w:t>
      </w:r>
      <w:r w:rsidR="004726F6" w:rsidRPr="00E72168">
        <w:rPr>
          <w:rFonts w:cs="Times New Roman"/>
        </w:rPr>
        <w:t xml:space="preserve">. </w:t>
      </w:r>
      <w:r w:rsidR="002F68AC" w:rsidRPr="00E72168">
        <w:rPr>
          <w:rFonts w:cs="Times New Roman"/>
        </w:rPr>
        <w:t>Iespējamie aktīvi</w:t>
      </w:r>
      <w:r w:rsidR="00A62385" w:rsidRPr="00E72168" w:rsidDel="00A62385">
        <w:rPr>
          <w:rFonts w:cs="Times New Roman"/>
        </w:rPr>
        <w:t xml:space="preserve"> </w:t>
      </w:r>
    </w:p>
    <w:p w14:paraId="5475A75D" w14:textId="77777777" w:rsidR="005D171A" w:rsidRDefault="00657799" w:rsidP="006D7BEC">
      <w:pPr>
        <w:spacing w:after="120" w:line="240" w:lineRule="auto"/>
        <w:ind w:firstLine="284"/>
        <w:jc w:val="both"/>
        <w:rPr>
          <w:rFonts w:cs="Times New Roman"/>
          <w:color w:val="17365D"/>
        </w:rPr>
      </w:pPr>
      <w:r w:rsidRPr="00E72168">
        <w:rPr>
          <w:rFonts w:cs="Times New Roman"/>
          <w:color w:val="17365D"/>
        </w:rPr>
        <w:t>Saskaņā ar iestāžu sniegto informāciju lielākais samazinājums zembilances postenī “Iespējamie aktīvi” ir veidojies</w:t>
      </w:r>
      <w:r w:rsidR="005D171A">
        <w:rPr>
          <w:rFonts w:cs="Times New Roman"/>
          <w:color w:val="17365D"/>
        </w:rPr>
        <w:t>:</w:t>
      </w:r>
    </w:p>
    <w:p w14:paraId="2BD6D3DA" w14:textId="77777777" w:rsidR="005D171A" w:rsidRPr="005D171A" w:rsidRDefault="00657799" w:rsidP="00146A16">
      <w:pPr>
        <w:pStyle w:val="ListParagraph"/>
        <w:numPr>
          <w:ilvl w:val="0"/>
          <w:numId w:val="40"/>
        </w:numPr>
        <w:spacing w:after="120" w:line="240" w:lineRule="auto"/>
        <w:ind w:left="1003" w:hanging="357"/>
        <w:contextualSpacing w:val="0"/>
        <w:jc w:val="both"/>
        <w:rPr>
          <w:rFonts w:cs="Times New Roman"/>
          <w:color w:val="17365D"/>
        </w:rPr>
      </w:pPr>
      <w:r w:rsidRPr="005D171A">
        <w:rPr>
          <w:rFonts w:cs="Times New Roman"/>
          <w:color w:val="17365D"/>
        </w:rPr>
        <w:t xml:space="preserve">Satiksmes ministrijai par ekspluatācijā nodoto publiskās un privātās partnerības līguma aktīvu </w:t>
      </w:r>
      <w:r w:rsidR="00DA25C4" w:rsidRPr="005D171A">
        <w:rPr>
          <w:rFonts w:cs="Times New Roman"/>
          <w:color w:val="17365D"/>
        </w:rPr>
        <w:softHyphen/>
      </w:r>
      <w:r w:rsidRPr="005D171A">
        <w:rPr>
          <w:rFonts w:cs="Times New Roman"/>
          <w:color w:val="17365D"/>
        </w:rPr>
        <w:t>Ķekavas apvedceļ</w:t>
      </w:r>
      <w:r w:rsidR="00DA25C4" w:rsidRPr="005D171A">
        <w:rPr>
          <w:rFonts w:cs="Times New Roman"/>
          <w:color w:val="17365D"/>
        </w:rPr>
        <w:t>u</w:t>
      </w:r>
      <w:r w:rsidRPr="005D171A">
        <w:rPr>
          <w:rFonts w:cs="Times New Roman"/>
          <w:color w:val="17365D"/>
        </w:rPr>
        <w:t xml:space="preserve"> (75 266 700) </w:t>
      </w:r>
      <w:r w:rsidRPr="005D171A">
        <w:rPr>
          <w:rFonts w:cs="Times New Roman"/>
          <w:i/>
          <w:color w:val="17365D"/>
        </w:rPr>
        <w:t>euro</w:t>
      </w:r>
      <w:r w:rsidRPr="005D171A">
        <w:rPr>
          <w:rFonts w:cs="Times New Roman"/>
          <w:color w:val="17365D"/>
        </w:rPr>
        <w:t xml:space="preserve"> vērtībā</w:t>
      </w:r>
      <w:r w:rsidR="005D171A" w:rsidRPr="005D171A">
        <w:rPr>
          <w:rFonts w:cs="Times New Roman"/>
          <w:color w:val="17365D"/>
        </w:rPr>
        <w:t>;</w:t>
      </w:r>
    </w:p>
    <w:p w14:paraId="330EA0AE" w14:textId="2CCA8408" w:rsidR="00657799" w:rsidRPr="005D171A" w:rsidRDefault="00657799" w:rsidP="00146A16">
      <w:pPr>
        <w:pStyle w:val="ListParagraph"/>
        <w:numPr>
          <w:ilvl w:val="0"/>
          <w:numId w:val="40"/>
        </w:numPr>
        <w:spacing w:after="120" w:line="240" w:lineRule="auto"/>
        <w:ind w:left="1003" w:hanging="357"/>
        <w:contextualSpacing w:val="0"/>
        <w:jc w:val="both"/>
        <w:rPr>
          <w:rFonts w:cs="Times New Roman"/>
          <w:color w:val="17365D"/>
        </w:rPr>
      </w:pPr>
      <w:r w:rsidRPr="005D171A">
        <w:rPr>
          <w:rFonts w:cs="Times New Roman"/>
          <w:color w:val="17365D"/>
        </w:rPr>
        <w:t xml:space="preserve">Aizsardzības ministrijai (29 414 533) </w:t>
      </w:r>
      <w:r w:rsidRPr="005D171A">
        <w:rPr>
          <w:rFonts w:cs="Times New Roman"/>
          <w:i/>
          <w:color w:val="17365D"/>
        </w:rPr>
        <w:t>euro</w:t>
      </w:r>
      <w:r w:rsidRPr="005D171A">
        <w:rPr>
          <w:rFonts w:cs="Times New Roman"/>
          <w:color w:val="17365D"/>
        </w:rPr>
        <w:t xml:space="preserve"> vērtībā samazinājums par aktīvu sastāvā atzītiem materiāli tehniskiem līdzekļiem militāro projektu ietvaros, kas atradās glabāšanā, un par sabiedroto spēku būvniecības objektu N</w:t>
      </w:r>
      <w:r w:rsidR="002776C2" w:rsidRPr="005D171A">
        <w:rPr>
          <w:rFonts w:cs="Times New Roman"/>
          <w:color w:val="17365D"/>
        </w:rPr>
        <w:t>acionālo Bruņoto spēku</w:t>
      </w:r>
      <w:r w:rsidRPr="005D171A">
        <w:rPr>
          <w:rFonts w:cs="Times New Roman"/>
          <w:color w:val="17365D"/>
        </w:rPr>
        <w:t xml:space="preserve"> infrastruktūras attīstības projektu ietvaros (12 110 625) </w:t>
      </w:r>
      <w:r w:rsidRPr="005D171A">
        <w:rPr>
          <w:rFonts w:cs="Times New Roman"/>
          <w:i/>
          <w:color w:val="17365D"/>
        </w:rPr>
        <w:t xml:space="preserve">euro </w:t>
      </w:r>
      <w:r w:rsidR="00ED2560" w:rsidRPr="005D171A">
        <w:rPr>
          <w:rFonts w:cs="Times New Roman"/>
          <w:color w:val="17365D"/>
        </w:rPr>
        <w:t xml:space="preserve">vērtībā. </w:t>
      </w:r>
    </w:p>
    <w:p w14:paraId="5336F9A5" w14:textId="6093A110" w:rsidR="00657799" w:rsidRPr="005D171A" w:rsidRDefault="00657799" w:rsidP="00146A16">
      <w:pPr>
        <w:pStyle w:val="ListParagraph"/>
        <w:numPr>
          <w:ilvl w:val="0"/>
          <w:numId w:val="40"/>
        </w:numPr>
        <w:spacing w:after="120" w:line="240" w:lineRule="auto"/>
        <w:ind w:left="1003" w:hanging="357"/>
        <w:contextualSpacing w:val="0"/>
        <w:jc w:val="both"/>
        <w:rPr>
          <w:color w:val="17365D"/>
        </w:rPr>
      </w:pPr>
      <w:r w:rsidRPr="005D171A">
        <w:rPr>
          <w:color w:val="17365D"/>
        </w:rPr>
        <w:t>Valmieras no</w:t>
      </w:r>
      <w:r w:rsidR="001D3CD2" w:rsidRPr="005D171A">
        <w:rPr>
          <w:color w:val="17365D"/>
        </w:rPr>
        <w:t>vadam samazinājums</w:t>
      </w:r>
      <w:r w:rsidRPr="005D171A">
        <w:rPr>
          <w:color w:val="17365D"/>
        </w:rPr>
        <w:t xml:space="preserve"> </w:t>
      </w:r>
      <w:r w:rsidR="002776C2" w:rsidRPr="005D171A">
        <w:rPr>
          <w:color w:val="17365D"/>
        </w:rPr>
        <w:t xml:space="preserve">šajā </w:t>
      </w:r>
      <w:r w:rsidRPr="005D171A">
        <w:rPr>
          <w:color w:val="17365D"/>
        </w:rPr>
        <w:t xml:space="preserve">postenī </w:t>
      </w:r>
      <w:r w:rsidR="001D3CD2" w:rsidRPr="005D171A">
        <w:rPr>
          <w:color w:val="17365D"/>
        </w:rPr>
        <w:t xml:space="preserve">galvenokārt </w:t>
      </w:r>
      <w:r w:rsidRPr="005D171A">
        <w:rPr>
          <w:color w:val="17365D"/>
        </w:rPr>
        <w:t>veido</w:t>
      </w:r>
      <w:r w:rsidR="001D3CD2" w:rsidRPr="005D171A">
        <w:rPr>
          <w:color w:val="17365D"/>
        </w:rPr>
        <w:t>jies</w:t>
      </w:r>
      <w:r w:rsidRPr="005D171A">
        <w:rPr>
          <w:color w:val="17365D"/>
        </w:rPr>
        <w:t xml:space="preserve"> E</w:t>
      </w:r>
      <w:r w:rsidR="002776C2" w:rsidRPr="005D171A">
        <w:rPr>
          <w:color w:val="17365D"/>
        </w:rPr>
        <w:t>iropas Sociālā fonda</w:t>
      </w:r>
      <w:r w:rsidR="001231AF" w:rsidRPr="005D171A">
        <w:rPr>
          <w:color w:val="17365D"/>
        </w:rPr>
        <w:t xml:space="preserve"> </w:t>
      </w:r>
      <w:r w:rsidR="002776C2" w:rsidRPr="005D171A">
        <w:rPr>
          <w:color w:val="17365D"/>
        </w:rPr>
        <w:t>(E</w:t>
      </w:r>
      <w:r w:rsidRPr="005D171A">
        <w:rPr>
          <w:color w:val="17365D"/>
        </w:rPr>
        <w:t>SF</w:t>
      </w:r>
      <w:r w:rsidR="002776C2" w:rsidRPr="005D171A">
        <w:rPr>
          <w:color w:val="17365D"/>
        </w:rPr>
        <w:t>)</w:t>
      </w:r>
      <w:r w:rsidRPr="005D171A">
        <w:rPr>
          <w:color w:val="17365D"/>
        </w:rPr>
        <w:t xml:space="preserve"> projektu īstenošana</w:t>
      </w:r>
      <w:r w:rsidR="001D3CD2" w:rsidRPr="005D171A">
        <w:rPr>
          <w:color w:val="17365D"/>
        </w:rPr>
        <w:t>s rezultātā, tai skaitā,</w:t>
      </w:r>
      <w:r w:rsidRPr="005D171A">
        <w:rPr>
          <w:color w:val="17365D"/>
        </w:rPr>
        <w:t xml:space="preserve"> </w:t>
      </w:r>
      <w:r w:rsidR="002776C2" w:rsidRPr="005D171A">
        <w:rPr>
          <w:color w:val="17365D"/>
        </w:rPr>
        <w:t>“</w:t>
      </w:r>
      <w:r w:rsidRPr="005D171A">
        <w:rPr>
          <w:color w:val="17365D"/>
        </w:rPr>
        <w:t xml:space="preserve">Dienvidu industriālās maģistrāles attīstība L.Laicena ielas – zemes vienībai </w:t>
      </w:r>
      <w:r w:rsidR="002776C2" w:rsidRPr="005D171A">
        <w:rPr>
          <w:color w:val="17365D"/>
        </w:rPr>
        <w:t>“</w:t>
      </w:r>
      <w:r w:rsidRPr="005D171A">
        <w:rPr>
          <w:color w:val="17365D"/>
        </w:rPr>
        <w:t>Vecais dzelzceļš</w:t>
      </w:r>
      <w:r w:rsidR="002776C2" w:rsidRPr="005D171A">
        <w:rPr>
          <w:color w:val="17365D"/>
        </w:rPr>
        <w:t>”</w:t>
      </w:r>
      <w:r w:rsidRPr="005D171A">
        <w:rPr>
          <w:color w:val="17365D"/>
        </w:rPr>
        <w:t xml:space="preserve"> izbūve</w:t>
      </w:r>
      <w:r w:rsidR="001D3CD2" w:rsidRPr="005D171A">
        <w:rPr>
          <w:color w:val="17365D"/>
        </w:rPr>
        <w:t>”</w:t>
      </w:r>
      <w:r w:rsidRPr="005D171A">
        <w:rPr>
          <w:color w:val="17365D"/>
        </w:rPr>
        <w:t xml:space="preserve">, </w:t>
      </w:r>
      <w:r w:rsidR="001D3CD2" w:rsidRPr="005D171A">
        <w:rPr>
          <w:color w:val="17365D"/>
        </w:rPr>
        <w:t>“</w:t>
      </w:r>
      <w:r w:rsidRPr="005D171A">
        <w:rPr>
          <w:color w:val="17365D"/>
        </w:rPr>
        <w:t>Valmieras Valsts ģi</w:t>
      </w:r>
      <w:r w:rsidR="001D3CD2" w:rsidRPr="005D171A">
        <w:rPr>
          <w:color w:val="17365D"/>
        </w:rPr>
        <w:t>mnāzijas mācību vides uzlabošana</w:t>
      </w:r>
      <w:r w:rsidRPr="005D171A">
        <w:rPr>
          <w:color w:val="17365D"/>
        </w:rPr>
        <w:t xml:space="preserve"> un dienesta viesnīcas pārbūve</w:t>
      </w:r>
      <w:r w:rsidR="001D3CD2" w:rsidRPr="005D171A">
        <w:rPr>
          <w:color w:val="17365D"/>
        </w:rPr>
        <w:t>”</w:t>
      </w:r>
      <w:r w:rsidRPr="005D171A">
        <w:rPr>
          <w:color w:val="17365D"/>
        </w:rPr>
        <w:t xml:space="preserve">, </w:t>
      </w:r>
      <w:r w:rsidR="002776C2" w:rsidRPr="005D171A">
        <w:rPr>
          <w:color w:val="17365D"/>
        </w:rPr>
        <w:t>“</w:t>
      </w:r>
      <w:r w:rsidRPr="005D171A">
        <w:rPr>
          <w:color w:val="17365D"/>
        </w:rPr>
        <w:t>Industriālo teritoriju attīstība Valmierā – 1. kārta</w:t>
      </w:r>
      <w:r w:rsidR="002776C2" w:rsidRPr="005D171A">
        <w:rPr>
          <w:color w:val="17365D"/>
        </w:rPr>
        <w:t>”</w:t>
      </w:r>
      <w:r w:rsidRPr="005D171A">
        <w:rPr>
          <w:color w:val="17365D"/>
        </w:rPr>
        <w:t xml:space="preserve"> un </w:t>
      </w:r>
      <w:r w:rsidR="002776C2" w:rsidRPr="005D171A">
        <w:rPr>
          <w:color w:val="17365D"/>
        </w:rPr>
        <w:t>“</w:t>
      </w:r>
      <w:r w:rsidRPr="005D171A">
        <w:rPr>
          <w:color w:val="17365D"/>
        </w:rPr>
        <w:t>Valmieras Vēsturiskā centra attīstība</w:t>
      </w:r>
      <w:r w:rsidR="002776C2" w:rsidRPr="005D171A">
        <w:rPr>
          <w:color w:val="17365D"/>
        </w:rPr>
        <w:t>”</w:t>
      </w:r>
      <w:r w:rsidRPr="005D171A">
        <w:rPr>
          <w:color w:val="17365D"/>
        </w:rPr>
        <w:t xml:space="preserve"> (13 901 808) </w:t>
      </w:r>
      <w:r w:rsidRPr="005D171A">
        <w:rPr>
          <w:i/>
          <w:color w:val="17365D"/>
        </w:rPr>
        <w:t>euro</w:t>
      </w:r>
      <w:r w:rsidRPr="005D171A">
        <w:rPr>
          <w:color w:val="17365D"/>
        </w:rPr>
        <w:t xml:space="preserve"> vērtībā.</w:t>
      </w:r>
    </w:p>
    <w:p w14:paraId="2FA2E1CF" w14:textId="2B5E81DD" w:rsidR="00950697" w:rsidRPr="00E72168" w:rsidRDefault="00950697" w:rsidP="00163199">
      <w:pPr>
        <w:pStyle w:val="Heading5"/>
        <w:spacing w:before="240"/>
        <w:jc w:val="both"/>
        <w:rPr>
          <w:rFonts w:cs="Times New Roman"/>
        </w:rPr>
      </w:pPr>
      <w:r w:rsidRPr="00E72168">
        <w:rPr>
          <w:rFonts w:cs="Times New Roman"/>
        </w:rPr>
        <w:t>Piezīme Nr. KB.</w:t>
      </w:r>
      <w:r w:rsidR="00163199" w:rsidRPr="00E72168">
        <w:rPr>
          <w:rFonts w:cs="Times New Roman"/>
        </w:rPr>
        <w:t>9.1.2</w:t>
      </w:r>
      <w:r w:rsidRPr="00E72168">
        <w:rPr>
          <w:rFonts w:cs="Times New Roman"/>
        </w:rPr>
        <w:t xml:space="preserve">. </w:t>
      </w:r>
      <w:r w:rsidR="00163199" w:rsidRPr="00E72168">
        <w:rPr>
          <w:rFonts w:cs="Times New Roman"/>
        </w:rPr>
        <w:t>Paziņotās dividendes un saņemamie maksājumi par kapitāla daļu izmantošanu</w:t>
      </w:r>
    </w:p>
    <w:p w14:paraId="6C1100D1" w14:textId="6ACE3D1F" w:rsidR="00A81A5D" w:rsidRPr="00BF4C61" w:rsidRDefault="00996C40" w:rsidP="006D7BEC">
      <w:pPr>
        <w:pStyle w:val="Pamatteksts1"/>
        <w:rPr>
          <w:rFonts w:eastAsiaTheme="minorHAnsi"/>
          <w:noProof w:val="0"/>
          <w:color w:val="17365D"/>
          <w:szCs w:val="22"/>
          <w:lang w:eastAsia="en-US"/>
        </w:rPr>
      </w:pPr>
      <w:r w:rsidRPr="00BF4C61">
        <w:rPr>
          <w:rFonts w:eastAsiaTheme="minorHAnsi"/>
          <w:noProof w:val="0"/>
          <w:color w:val="17365D"/>
          <w:szCs w:val="22"/>
          <w:lang w:eastAsia="en-US"/>
        </w:rPr>
        <w:t xml:space="preserve">Lielākās izmaiņas </w:t>
      </w:r>
      <w:r w:rsidR="00DA25C4" w:rsidRPr="00BF4C61">
        <w:rPr>
          <w:rFonts w:eastAsiaTheme="minorHAnsi"/>
          <w:noProof w:val="0"/>
          <w:color w:val="17365D"/>
          <w:szCs w:val="22"/>
          <w:lang w:eastAsia="en-US"/>
        </w:rPr>
        <w:t xml:space="preserve">šī </w:t>
      </w:r>
      <w:r w:rsidRPr="00BF4C61">
        <w:rPr>
          <w:rFonts w:eastAsiaTheme="minorHAnsi"/>
          <w:noProof w:val="0"/>
          <w:color w:val="17365D"/>
          <w:szCs w:val="22"/>
          <w:lang w:eastAsia="en-US"/>
        </w:rPr>
        <w:t xml:space="preserve">zembilances posteņa vērtībā saistītas ar </w:t>
      </w:r>
      <w:r w:rsidR="00DA25C4" w:rsidRPr="00BF4C61">
        <w:rPr>
          <w:rFonts w:eastAsiaTheme="minorHAnsi"/>
          <w:noProof w:val="0"/>
          <w:color w:val="17365D"/>
          <w:szCs w:val="22"/>
          <w:lang w:eastAsia="en-US"/>
        </w:rPr>
        <w:t xml:space="preserve">palielinājumu </w:t>
      </w:r>
      <w:r w:rsidR="00A81A5D" w:rsidRPr="00BF4C61">
        <w:rPr>
          <w:rFonts w:eastAsiaTheme="minorHAnsi"/>
          <w:noProof w:val="0"/>
          <w:color w:val="17365D"/>
          <w:szCs w:val="22"/>
          <w:lang w:eastAsia="en-US"/>
        </w:rPr>
        <w:t>Ekon</w:t>
      </w:r>
      <w:r w:rsidRPr="00BF4C61">
        <w:rPr>
          <w:rFonts w:eastAsiaTheme="minorHAnsi"/>
          <w:noProof w:val="0"/>
          <w:color w:val="17365D"/>
          <w:szCs w:val="22"/>
          <w:lang w:eastAsia="en-US"/>
        </w:rPr>
        <w:t>omikas ministrija</w:t>
      </w:r>
      <w:r w:rsidR="00DA25C4" w:rsidRPr="00BF4C61">
        <w:rPr>
          <w:rFonts w:eastAsiaTheme="minorHAnsi"/>
          <w:noProof w:val="0"/>
          <w:color w:val="17365D"/>
          <w:szCs w:val="22"/>
          <w:lang w:eastAsia="en-US"/>
        </w:rPr>
        <w:t>i</w:t>
      </w:r>
      <w:r w:rsidRPr="00BF4C61">
        <w:rPr>
          <w:rFonts w:eastAsiaTheme="minorHAnsi"/>
          <w:noProof w:val="0"/>
          <w:color w:val="17365D"/>
          <w:szCs w:val="22"/>
          <w:lang w:eastAsia="en-US"/>
        </w:rPr>
        <w:t xml:space="preserve"> </w:t>
      </w:r>
      <w:r w:rsidR="00A81A5D" w:rsidRPr="00BF4C61">
        <w:rPr>
          <w:rFonts w:eastAsiaTheme="minorHAnsi"/>
          <w:noProof w:val="0"/>
          <w:color w:val="17365D"/>
          <w:szCs w:val="22"/>
          <w:lang w:eastAsia="en-US"/>
        </w:rPr>
        <w:t>par AS “Latvenergo” paredzamām dividenžu iemaksām valsts budžetā 179 139</w:t>
      </w:r>
      <w:r w:rsidR="00BF4C61">
        <w:rPr>
          <w:rFonts w:eastAsiaTheme="minorHAnsi"/>
          <w:noProof w:val="0"/>
          <w:color w:val="17365D"/>
          <w:szCs w:val="22"/>
          <w:lang w:eastAsia="en-US"/>
        </w:rPr>
        <w:t> </w:t>
      </w:r>
      <w:r w:rsidR="00A81A5D" w:rsidRPr="00BF4C61">
        <w:rPr>
          <w:rFonts w:eastAsiaTheme="minorHAnsi"/>
          <w:noProof w:val="0"/>
          <w:color w:val="17365D"/>
          <w:szCs w:val="22"/>
          <w:lang w:eastAsia="en-US"/>
        </w:rPr>
        <w:t>380</w:t>
      </w:r>
      <w:r w:rsidR="00BF4C61">
        <w:rPr>
          <w:rFonts w:eastAsiaTheme="minorHAnsi"/>
          <w:noProof w:val="0"/>
          <w:color w:val="17365D"/>
          <w:szCs w:val="22"/>
          <w:lang w:eastAsia="en-US"/>
        </w:rPr>
        <w:t> </w:t>
      </w:r>
      <w:r w:rsidR="00A81A5D" w:rsidRPr="00BF4C61">
        <w:rPr>
          <w:rFonts w:eastAsiaTheme="minorHAnsi"/>
          <w:i/>
          <w:noProof w:val="0"/>
          <w:color w:val="17365D"/>
          <w:szCs w:val="22"/>
          <w:lang w:eastAsia="en-US"/>
        </w:rPr>
        <w:t>euro</w:t>
      </w:r>
      <w:r w:rsidRPr="00BF4C61">
        <w:rPr>
          <w:rFonts w:eastAsiaTheme="minorHAnsi"/>
          <w:noProof w:val="0"/>
          <w:color w:val="17365D"/>
          <w:szCs w:val="22"/>
          <w:lang w:eastAsia="en-US"/>
        </w:rPr>
        <w:t xml:space="preserve"> vērtībā un samazinājumu</w:t>
      </w:r>
      <w:r w:rsidR="00A81A5D" w:rsidRPr="00BF4C61">
        <w:rPr>
          <w:rFonts w:eastAsiaTheme="minorHAnsi"/>
          <w:noProof w:val="0"/>
          <w:color w:val="17365D"/>
          <w:szCs w:val="22"/>
          <w:lang w:eastAsia="en-US"/>
        </w:rPr>
        <w:t xml:space="preserve"> par SIA </w:t>
      </w:r>
      <w:r w:rsidR="00DA25C4" w:rsidRPr="00BF4C61">
        <w:rPr>
          <w:rFonts w:eastAsiaTheme="minorHAnsi"/>
          <w:noProof w:val="0"/>
          <w:color w:val="17365D"/>
          <w:szCs w:val="22"/>
          <w:lang w:eastAsia="en-US"/>
        </w:rPr>
        <w:t>“</w:t>
      </w:r>
      <w:r w:rsidR="00A81A5D" w:rsidRPr="00BF4C61">
        <w:rPr>
          <w:rFonts w:eastAsiaTheme="minorHAnsi"/>
          <w:noProof w:val="0"/>
          <w:color w:val="17365D"/>
          <w:szCs w:val="22"/>
          <w:lang w:eastAsia="en-US"/>
        </w:rPr>
        <w:t>TET</w:t>
      </w:r>
      <w:r w:rsidR="00DA25C4" w:rsidRPr="00BF4C61">
        <w:rPr>
          <w:rFonts w:eastAsiaTheme="minorHAnsi"/>
          <w:noProof w:val="0"/>
          <w:color w:val="17365D"/>
          <w:szCs w:val="22"/>
          <w:lang w:eastAsia="en-US"/>
        </w:rPr>
        <w:t>”</w:t>
      </w:r>
      <w:r w:rsidR="00A81A5D" w:rsidRPr="00BF4C61">
        <w:rPr>
          <w:rFonts w:eastAsiaTheme="minorHAnsi"/>
          <w:noProof w:val="0"/>
          <w:color w:val="17365D"/>
          <w:szCs w:val="22"/>
          <w:lang w:eastAsia="en-US"/>
        </w:rPr>
        <w:t xml:space="preserve"> </w:t>
      </w:r>
      <w:r w:rsidRPr="00BF4C61">
        <w:rPr>
          <w:rFonts w:eastAsiaTheme="minorHAnsi"/>
          <w:noProof w:val="0"/>
          <w:color w:val="17365D"/>
          <w:szCs w:val="22"/>
          <w:lang w:eastAsia="en-US"/>
        </w:rPr>
        <w:t xml:space="preserve">paredzamām </w:t>
      </w:r>
      <w:r w:rsidR="00A81A5D" w:rsidRPr="00BF4C61">
        <w:rPr>
          <w:rFonts w:eastAsiaTheme="minorHAnsi"/>
          <w:noProof w:val="0"/>
          <w:color w:val="17365D"/>
          <w:szCs w:val="22"/>
          <w:lang w:eastAsia="en-US"/>
        </w:rPr>
        <w:t xml:space="preserve">dividenžu iemaksām valsts budžetā (3 188 995) </w:t>
      </w:r>
      <w:r w:rsidR="00A81A5D" w:rsidRPr="00BF4C61">
        <w:rPr>
          <w:rFonts w:eastAsiaTheme="minorHAnsi"/>
          <w:i/>
          <w:noProof w:val="0"/>
          <w:color w:val="17365D"/>
          <w:szCs w:val="22"/>
          <w:lang w:eastAsia="en-US"/>
        </w:rPr>
        <w:t>euro</w:t>
      </w:r>
      <w:r w:rsidR="00A81A5D" w:rsidRPr="00BF4C61">
        <w:rPr>
          <w:rFonts w:eastAsiaTheme="minorHAnsi"/>
          <w:noProof w:val="0"/>
          <w:color w:val="17365D"/>
          <w:szCs w:val="22"/>
          <w:lang w:eastAsia="en-US"/>
        </w:rPr>
        <w:t xml:space="preserve"> vērtībā.</w:t>
      </w:r>
    </w:p>
    <w:p w14:paraId="54F22116" w14:textId="50EE8796" w:rsidR="005E5801" w:rsidRPr="00A27896" w:rsidRDefault="0064183C" w:rsidP="005A3758">
      <w:pPr>
        <w:pStyle w:val="Heading4"/>
        <w:rPr>
          <w:rFonts w:cs="Times New Roman"/>
        </w:rPr>
      </w:pPr>
      <w:r w:rsidRPr="00A27896">
        <w:rPr>
          <w:rFonts w:cs="Times New Roman"/>
        </w:rPr>
        <w:t xml:space="preserve">Piezīme Nr. </w:t>
      </w:r>
      <w:r w:rsidR="001C6E01" w:rsidRPr="00A27896">
        <w:rPr>
          <w:rFonts w:cs="Times New Roman"/>
        </w:rPr>
        <w:t>KB.</w:t>
      </w:r>
      <w:r w:rsidR="00A36FE8" w:rsidRPr="00A27896">
        <w:rPr>
          <w:rFonts w:cs="Times New Roman"/>
        </w:rPr>
        <w:t>9.5</w:t>
      </w:r>
      <w:r w:rsidR="001C6E01" w:rsidRPr="00A27896">
        <w:rPr>
          <w:rFonts w:cs="Times New Roman"/>
        </w:rPr>
        <w:t>. Zembilances pasīvi</w:t>
      </w:r>
    </w:p>
    <w:p w14:paraId="67EC265A" w14:textId="2434BFD1" w:rsidR="00A87549" w:rsidRPr="00A27896" w:rsidRDefault="001231AF" w:rsidP="00E0533C">
      <w:pPr>
        <w:pStyle w:val="Tabulasnosaukums1"/>
        <w:spacing w:before="0" w:line="240" w:lineRule="auto"/>
        <w:rPr>
          <w:rFonts w:cs="Times New Roman"/>
          <w:i/>
          <w:color w:val="17365D"/>
        </w:rPr>
      </w:pPr>
      <w:r>
        <w:rPr>
          <w:rFonts w:cs="Times New Roman"/>
          <w:i/>
          <w:color w:val="17365D"/>
        </w:rPr>
        <w:t>1.</w:t>
      </w:r>
      <w:r w:rsidR="001C6E01" w:rsidRPr="00A27896">
        <w:rPr>
          <w:rFonts w:cs="Times New Roman"/>
          <w:i/>
          <w:color w:val="17365D"/>
        </w:rPr>
        <w:t>2</w:t>
      </w:r>
      <w:r w:rsidR="000229AE" w:rsidRPr="00A27896">
        <w:rPr>
          <w:rFonts w:cs="Times New Roman"/>
          <w:i/>
          <w:color w:val="17365D"/>
        </w:rPr>
        <w:t>3</w:t>
      </w:r>
      <w:r w:rsidR="001C6E01" w:rsidRPr="00A27896">
        <w:rPr>
          <w:rFonts w:cs="Times New Roman"/>
          <w:i/>
          <w:color w:val="17365D"/>
        </w:rPr>
        <w:t>. tabula</w:t>
      </w:r>
      <w:r w:rsidR="00A87549" w:rsidRPr="00A27896">
        <w:rPr>
          <w:rFonts w:cs="Times New Roman"/>
          <w:i/>
          <w:color w:val="17365D"/>
        </w:rPr>
        <w:t>. Zembilances pasīvi (</w:t>
      </w:r>
      <w:r w:rsidR="00B06962" w:rsidRPr="00A27896">
        <w:rPr>
          <w:rFonts w:cs="Times New Roman"/>
          <w:i/>
          <w:color w:val="17365D"/>
        </w:rPr>
        <w:t>euro</w:t>
      </w:r>
      <w:r w:rsidR="00A87549" w:rsidRPr="00A27896">
        <w:rPr>
          <w:rFonts w:cs="Times New Roman"/>
          <w:i/>
          <w:color w:val="17365D"/>
        </w:rPr>
        <w:t>)</w:t>
      </w:r>
      <w:r w:rsidR="001C6E01" w:rsidRPr="00A27896">
        <w:rPr>
          <w:rFonts w:cs="Times New Roman"/>
          <w:i/>
          <w:color w:val="17365D"/>
        </w:rPr>
        <w:t xml:space="preserve"> </w:t>
      </w:r>
    </w:p>
    <w:tbl>
      <w:tblPr>
        <w:tblW w:w="5000" w:type="pct"/>
        <w:tblLayout w:type="fixed"/>
        <w:tblLook w:val="04A0" w:firstRow="1" w:lastRow="0" w:firstColumn="1" w:lastColumn="0" w:noHBand="0" w:noVBand="1"/>
      </w:tblPr>
      <w:tblGrid>
        <w:gridCol w:w="3213"/>
        <w:gridCol w:w="979"/>
        <w:gridCol w:w="1398"/>
        <w:gridCol w:w="1255"/>
        <w:gridCol w:w="1257"/>
        <w:gridCol w:w="1252"/>
      </w:tblGrid>
      <w:tr w:rsidR="000C1009" w:rsidRPr="00A27896" w14:paraId="0E726323" w14:textId="77777777" w:rsidTr="003F0D49">
        <w:trPr>
          <w:trHeight w:val="684"/>
          <w:tblHeader/>
        </w:trPr>
        <w:tc>
          <w:tcPr>
            <w:tcW w:w="1717" w:type="pct"/>
            <w:tcBorders>
              <w:bottom w:val="single" w:sz="4" w:space="0" w:color="17365D"/>
            </w:tcBorders>
            <w:shd w:val="clear" w:color="auto" w:fill="B9CDE5"/>
            <w:vAlign w:val="center"/>
            <w:hideMark/>
          </w:tcPr>
          <w:p w14:paraId="698830F8"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Rādītāji</w:t>
            </w:r>
          </w:p>
        </w:tc>
        <w:tc>
          <w:tcPr>
            <w:tcW w:w="523" w:type="pct"/>
            <w:tcBorders>
              <w:bottom w:val="single" w:sz="4" w:space="0" w:color="17365D"/>
            </w:tcBorders>
            <w:shd w:val="clear" w:color="auto" w:fill="B9CDE5"/>
            <w:vAlign w:val="center"/>
            <w:hideMark/>
          </w:tcPr>
          <w:p w14:paraId="28CB97FA"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Piezīmes</w:t>
            </w:r>
            <w:r w:rsidRPr="00A27896">
              <w:rPr>
                <w:rFonts w:eastAsia="Times New Roman" w:cs="Times New Roman"/>
                <w:b/>
                <w:bCs/>
                <w:color w:val="17365D"/>
                <w:sz w:val="18"/>
                <w:szCs w:val="18"/>
                <w:lang w:eastAsia="lv-LV"/>
              </w:rPr>
              <w:br/>
              <w:t>Nr.</w:t>
            </w:r>
          </w:p>
        </w:tc>
        <w:tc>
          <w:tcPr>
            <w:tcW w:w="747" w:type="pct"/>
            <w:tcBorders>
              <w:bottom w:val="single" w:sz="4" w:space="0" w:color="17365D"/>
            </w:tcBorders>
            <w:shd w:val="clear" w:color="auto" w:fill="B9CDE5"/>
            <w:vAlign w:val="center"/>
            <w:hideMark/>
          </w:tcPr>
          <w:p w14:paraId="25920B4B"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671" w:type="pct"/>
            <w:tcBorders>
              <w:bottom w:val="single" w:sz="4" w:space="0" w:color="17365D"/>
            </w:tcBorders>
            <w:shd w:val="clear" w:color="auto" w:fill="B9CDE5"/>
            <w:vAlign w:val="center"/>
            <w:hideMark/>
          </w:tcPr>
          <w:p w14:paraId="6EC7FBEF"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672" w:type="pct"/>
            <w:tcBorders>
              <w:bottom w:val="single" w:sz="4" w:space="0" w:color="17365D"/>
            </w:tcBorders>
            <w:shd w:val="clear" w:color="auto" w:fill="B9CDE5"/>
            <w:vAlign w:val="center"/>
            <w:hideMark/>
          </w:tcPr>
          <w:p w14:paraId="0918E8CD" w14:textId="7879BB23"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Izmaiņas </w:t>
            </w:r>
            <w:r w:rsidRPr="00A27896">
              <w:rPr>
                <w:rFonts w:eastAsia="Times New Roman" w:cs="Times New Roman"/>
                <w:b/>
                <w:bCs/>
                <w:color w:val="17365D"/>
                <w:sz w:val="18"/>
                <w:szCs w:val="18"/>
                <w:lang w:eastAsia="lv-LV"/>
              </w:rPr>
              <w:br/>
              <w:t>(+,</w:t>
            </w:r>
            <w:r w:rsidR="002B1B27" w:rsidRPr="00A27896">
              <w:rPr>
                <w:rFonts w:eastAsia="Times New Roman" w:cs="Times New Roman"/>
                <w:b/>
                <w:bCs/>
                <w:color w:val="17365D"/>
                <w:sz w:val="18"/>
                <w:szCs w:val="18"/>
                <w:lang w:eastAsia="lv-LV"/>
              </w:rPr>
              <w:t xml:space="preserve"> – </w:t>
            </w:r>
            <w:r w:rsidRPr="00A27896">
              <w:rPr>
                <w:rFonts w:eastAsia="Times New Roman" w:cs="Times New Roman"/>
                <w:b/>
                <w:bCs/>
                <w:color w:val="17365D"/>
                <w:sz w:val="18"/>
                <w:szCs w:val="18"/>
                <w:lang w:eastAsia="lv-LV"/>
              </w:rPr>
              <w:t>)</w:t>
            </w:r>
          </w:p>
        </w:tc>
        <w:tc>
          <w:tcPr>
            <w:tcW w:w="669" w:type="pct"/>
            <w:tcBorders>
              <w:bottom w:val="single" w:sz="4" w:space="0" w:color="17365D"/>
            </w:tcBorders>
            <w:shd w:val="clear" w:color="auto" w:fill="B9CDE5"/>
            <w:vAlign w:val="center"/>
            <w:hideMark/>
          </w:tcPr>
          <w:p w14:paraId="1BA7C662"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Procentuālās izmaiņas (3./2.*100)</w:t>
            </w:r>
          </w:p>
        </w:tc>
      </w:tr>
      <w:tr w:rsidR="000C1009" w:rsidRPr="00A27896" w14:paraId="3817CA84" w14:textId="77777777" w:rsidTr="001231AF">
        <w:trPr>
          <w:trHeight w:val="240"/>
          <w:tblHeader/>
        </w:trPr>
        <w:tc>
          <w:tcPr>
            <w:tcW w:w="1717" w:type="pct"/>
            <w:tcBorders>
              <w:top w:val="single" w:sz="4" w:space="0" w:color="17365D"/>
              <w:bottom w:val="single" w:sz="4" w:space="0" w:color="17365D"/>
            </w:tcBorders>
            <w:shd w:val="clear" w:color="auto" w:fill="auto"/>
            <w:vAlign w:val="center"/>
            <w:hideMark/>
          </w:tcPr>
          <w:p w14:paraId="5551FEC5"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523" w:type="pct"/>
            <w:tcBorders>
              <w:top w:val="single" w:sz="4" w:space="0" w:color="17365D"/>
              <w:bottom w:val="single" w:sz="4" w:space="0" w:color="17365D"/>
            </w:tcBorders>
            <w:shd w:val="clear" w:color="auto" w:fill="auto"/>
            <w:vAlign w:val="center"/>
            <w:hideMark/>
          </w:tcPr>
          <w:p w14:paraId="45A7A93A"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B</w:t>
            </w:r>
          </w:p>
        </w:tc>
        <w:tc>
          <w:tcPr>
            <w:tcW w:w="747" w:type="pct"/>
            <w:tcBorders>
              <w:top w:val="single" w:sz="4" w:space="0" w:color="17365D"/>
              <w:bottom w:val="single" w:sz="4" w:space="0" w:color="17365D"/>
            </w:tcBorders>
            <w:shd w:val="clear" w:color="auto" w:fill="auto"/>
            <w:vAlign w:val="center"/>
            <w:hideMark/>
          </w:tcPr>
          <w:p w14:paraId="4C13F1DB"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671" w:type="pct"/>
            <w:tcBorders>
              <w:top w:val="single" w:sz="4" w:space="0" w:color="17365D"/>
              <w:bottom w:val="single" w:sz="4" w:space="0" w:color="17365D"/>
            </w:tcBorders>
            <w:shd w:val="clear" w:color="auto" w:fill="auto"/>
            <w:vAlign w:val="center"/>
            <w:hideMark/>
          </w:tcPr>
          <w:p w14:paraId="34324BF4"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672" w:type="pct"/>
            <w:tcBorders>
              <w:top w:val="single" w:sz="4" w:space="0" w:color="17365D"/>
              <w:bottom w:val="single" w:sz="4" w:space="0" w:color="17365D"/>
            </w:tcBorders>
            <w:shd w:val="clear" w:color="auto" w:fill="auto"/>
            <w:vAlign w:val="center"/>
            <w:hideMark/>
          </w:tcPr>
          <w:p w14:paraId="0898B0FA"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669" w:type="pct"/>
            <w:tcBorders>
              <w:top w:val="single" w:sz="4" w:space="0" w:color="17365D"/>
              <w:bottom w:val="single" w:sz="4" w:space="0" w:color="17365D"/>
            </w:tcBorders>
            <w:shd w:val="clear" w:color="auto" w:fill="auto"/>
            <w:vAlign w:val="center"/>
            <w:hideMark/>
          </w:tcPr>
          <w:p w14:paraId="64CA186C" w14:textId="77777777" w:rsidR="00443E95" w:rsidRPr="00A27896" w:rsidRDefault="00443E95" w:rsidP="00443E95">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r>
      <w:tr w:rsidR="009A4FC0" w:rsidRPr="00A27896" w14:paraId="4EAEFD5A" w14:textId="77777777" w:rsidTr="001231AF">
        <w:trPr>
          <w:trHeight w:val="240"/>
        </w:trPr>
        <w:tc>
          <w:tcPr>
            <w:tcW w:w="1717" w:type="pct"/>
            <w:tcBorders>
              <w:top w:val="single" w:sz="4" w:space="0" w:color="17365D"/>
              <w:bottom w:val="single" w:sz="4" w:space="0" w:color="17365D"/>
            </w:tcBorders>
            <w:shd w:val="clear" w:color="auto" w:fill="auto"/>
            <w:vAlign w:val="center"/>
            <w:hideMark/>
          </w:tcPr>
          <w:p w14:paraId="03C0F748" w14:textId="77777777" w:rsidR="009A4FC0" w:rsidRPr="00A27896" w:rsidRDefault="009A4FC0" w:rsidP="009A4FC0">
            <w:pPr>
              <w:spacing w:after="0"/>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Zembilances pasīvi</w:t>
            </w:r>
          </w:p>
        </w:tc>
        <w:tc>
          <w:tcPr>
            <w:tcW w:w="523" w:type="pct"/>
            <w:tcBorders>
              <w:top w:val="single" w:sz="4" w:space="0" w:color="17365D"/>
              <w:bottom w:val="single" w:sz="4" w:space="0" w:color="17365D"/>
            </w:tcBorders>
            <w:shd w:val="clear" w:color="auto" w:fill="auto"/>
            <w:vAlign w:val="center"/>
            <w:hideMark/>
          </w:tcPr>
          <w:p w14:paraId="1CDB4A05" w14:textId="1114C877" w:rsidR="009A4FC0" w:rsidRPr="00A27896" w:rsidRDefault="009A4FC0" w:rsidP="009A4FC0">
            <w:pPr>
              <w:spacing w:after="0" w:line="240" w:lineRule="auto"/>
              <w:ind w:left="-57"/>
              <w:jc w:val="center"/>
              <w:rPr>
                <w:rFonts w:cs="Times New Roman"/>
                <w:b/>
                <w:color w:val="17365D"/>
                <w:sz w:val="18"/>
                <w:szCs w:val="18"/>
              </w:rPr>
            </w:pPr>
            <w:r w:rsidRPr="00A27896">
              <w:rPr>
                <w:rFonts w:cs="Times New Roman"/>
                <w:b/>
                <w:color w:val="17365D"/>
                <w:sz w:val="18"/>
                <w:szCs w:val="18"/>
              </w:rPr>
              <w:t>KB.9.5.</w:t>
            </w:r>
          </w:p>
        </w:tc>
        <w:tc>
          <w:tcPr>
            <w:tcW w:w="747" w:type="pct"/>
            <w:tcBorders>
              <w:top w:val="single" w:sz="4" w:space="0" w:color="17365D"/>
              <w:left w:val="nil"/>
              <w:bottom w:val="single" w:sz="4" w:space="0" w:color="auto"/>
              <w:right w:val="nil"/>
            </w:tcBorders>
            <w:shd w:val="clear" w:color="auto" w:fill="auto"/>
            <w:noWrap/>
            <w:vAlign w:val="center"/>
          </w:tcPr>
          <w:p w14:paraId="23B35286" w14:textId="4E346149" w:rsidR="009A4FC0" w:rsidRPr="00A27896" w:rsidRDefault="009A4FC0" w:rsidP="009A4FC0">
            <w:pPr>
              <w:spacing w:after="0" w:line="240" w:lineRule="auto"/>
              <w:ind w:left="-57"/>
              <w:jc w:val="right"/>
              <w:rPr>
                <w:rFonts w:eastAsia="Times New Roman" w:cs="Times New Roman"/>
                <w:b/>
                <w:color w:val="17365D"/>
                <w:sz w:val="18"/>
                <w:szCs w:val="18"/>
                <w:lang w:eastAsia="lv-LV"/>
              </w:rPr>
            </w:pPr>
            <w:r>
              <w:rPr>
                <w:b/>
                <w:bCs/>
                <w:color w:val="17365D"/>
                <w:sz w:val="18"/>
                <w:szCs w:val="18"/>
              </w:rPr>
              <w:t>7 063 553 002</w:t>
            </w:r>
          </w:p>
        </w:tc>
        <w:tc>
          <w:tcPr>
            <w:tcW w:w="671" w:type="pct"/>
            <w:tcBorders>
              <w:top w:val="single" w:sz="4" w:space="0" w:color="17365D"/>
              <w:left w:val="nil"/>
              <w:bottom w:val="single" w:sz="4" w:space="0" w:color="auto"/>
              <w:right w:val="nil"/>
            </w:tcBorders>
            <w:shd w:val="clear" w:color="auto" w:fill="auto"/>
            <w:noWrap/>
            <w:vAlign w:val="center"/>
          </w:tcPr>
          <w:p w14:paraId="317194B4" w14:textId="6F9A2202" w:rsidR="009A4FC0" w:rsidRPr="00A27896" w:rsidRDefault="009A4FC0" w:rsidP="009A4FC0">
            <w:pPr>
              <w:spacing w:after="0" w:line="240" w:lineRule="auto"/>
              <w:ind w:left="-57"/>
              <w:jc w:val="right"/>
              <w:rPr>
                <w:rFonts w:eastAsia="Times New Roman" w:cs="Times New Roman"/>
                <w:b/>
                <w:color w:val="17365D"/>
                <w:sz w:val="18"/>
                <w:szCs w:val="18"/>
                <w:lang w:eastAsia="lv-LV"/>
              </w:rPr>
            </w:pPr>
            <w:r>
              <w:rPr>
                <w:b/>
                <w:bCs/>
                <w:color w:val="17365D"/>
                <w:sz w:val="18"/>
                <w:szCs w:val="18"/>
              </w:rPr>
              <w:t>5 776 027 569</w:t>
            </w:r>
          </w:p>
        </w:tc>
        <w:tc>
          <w:tcPr>
            <w:tcW w:w="672" w:type="pct"/>
            <w:tcBorders>
              <w:top w:val="single" w:sz="4" w:space="0" w:color="17365D"/>
              <w:left w:val="nil"/>
              <w:bottom w:val="single" w:sz="4" w:space="0" w:color="auto"/>
              <w:right w:val="nil"/>
            </w:tcBorders>
            <w:shd w:val="clear" w:color="auto" w:fill="auto"/>
            <w:noWrap/>
            <w:vAlign w:val="center"/>
          </w:tcPr>
          <w:p w14:paraId="6D6295CE" w14:textId="3185A8F8" w:rsidR="009A4FC0" w:rsidRPr="00A27896" w:rsidRDefault="009A4FC0" w:rsidP="009A4FC0">
            <w:pPr>
              <w:spacing w:after="0" w:line="240" w:lineRule="auto"/>
              <w:ind w:left="-57"/>
              <w:jc w:val="right"/>
              <w:rPr>
                <w:rFonts w:eastAsia="Times New Roman" w:cs="Times New Roman"/>
                <w:b/>
                <w:color w:val="17365D"/>
                <w:sz w:val="18"/>
                <w:szCs w:val="18"/>
                <w:lang w:eastAsia="lv-LV"/>
              </w:rPr>
            </w:pPr>
            <w:r>
              <w:rPr>
                <w:b/>
                <w:bCs/>
                <w:color w:val="17365D"/>
                <w:sz w:val="18"/>
                <w:szCs w:val="18"/>
              </w:rPr>
              <w:t>1 287 525 433</w:t>
            </w:r>
          </w:p>
        </w:tc>
        <w:tc>
          <w:tcPr>
            <w:tcW w:w="669" w:type="pct"/>
            <w:tcBorders>
              <w:top w:val="single" w:sz="4" w:space="0" w:color="17365D"/>
              <w:left w:val="nil"/>
              <w:bottom w:val="single" w:sz="4" w:space="0" w:color="auto"/>
              <w:right w:val="nil"/>
            </w:tcBorders>
            <w:shd w:val="clear" w:color="auto" w:fill="auto"/>
            <w:noWrap/>
            <w:vAlign w:val="center"/>
          </w:tcPr>
          <w:p w14:paraId="7A19E68F" w14:textId="4FE64013" w:rsidR="009A4FC0" w:rsidRPr="00A27896" w:rsidRDefault="009A4FC0" w:rsidP="009A4FC0">
            <w:pPr>
              <w:spacing w:after="0" w:line="240" w:lineRule="auto"/>
              <w:ind w:left="-57"/>
              <w:jc w:val="right"/>
              <w:rPr>
                <w:rFonts w:eastAsia="Times New Roman" w:cs="Times New Roman"/>
                <w:b/>
                <w:color w:val="17365D"/>
                <w:sz w:val="18"/>
                <w:szCs w:val="18"/>
                <w:lang w:eastAsia="lv-LV"/>
              </w:rPr>
            </w:pPr>
            <w:r>
              <w:rPr>
                <w:b/>
                <w:bCs/>
                <w:color w:val="17365D"/>
                <w:sz w:val="18"/>
                <w:szCs w:val="18"/>
              </w:rPr>
              <w:t>22.29</w:t>
            </w:r>
          </w:p>
        </w:tc>
      </w:tr>
      <w:tr w:rsidR="009A4FC0" w:rsidRPr="00A27896" w14:paraId="4CAD5466" w14:textId="77777777" w:rsidTr="001231AF">
        <w:trPr>
          <w:trHeight w:val="751"/>
        </w:trPr>
        <w:tc>
          <w:tcPr>
            <w:tcW w:w="1717" w:type="pct"/>
            <w:tcBorders>
              <w:top w:val="single" w:sz="4" w:space="0" w:color="17365D"/>
              <w:bottom w:val="single" w:sz="4" w:space="0" w:color="17365D"/>
            </w:tcBorders>
            <w:shd w:val="clear" w:color="auto" w:fill="auto"/>
            <w:vAlign w:val="center"/>
            <w:hideMark/>
          </w:tcPr>
          <w:p w14:paraId="2A3A33D9" w14:textId="7FF93999" w:rsidR="009A4FC0" w:rsidRPr="00A27896" w:rsidRDefault="009A4FC0" w:rsidP="009A4FC0">
            <w:pPr>
              <w:spacing w:after="0" w:line="240" w:lineRule="auto"/>
              <w:rPr>
                <w:rFonts w:eastAsia="Times New Roman" w:cs="Times New Roman"/>
                <w:color w:val="17365D"/>
                <w:sz w:val="18"/>
                <w:szCs w:val="18"/>
                <w:lang w:eastAsia="lv-LV"/>
              </w:rPr>
            </w:pPr>
            <w:r w:rsidRPr="009A4FC0">
              <w:rPr>
                <w:rFonts w:eastAsia="Times New Roman" w:cs="Times New Roman"/>
                <w:color w:val="17365D"/>
                <w:sz w:val="18"/>
                <w:szCs w:val="18"/>
                <w:lang w:eastAsia="lv-LV"/>
              </w:rPr>
              <w:t>Nākotnes saistības saskaņā ar līgumiem, kas noslēgti par ārvalstu finanšu palīdzības un Eiropas Savienības politiku instrumentu finansētajiem projektiem</w:t>
            </w:r>
          </w:p>
        </w:tc>
        <w:tc>
          <w:tcPr>
            <w:tcW w:w="523" w:type="pct"/>
            <w:tcBorders>
              <w:top w:val="single" w:sz="4" w:space="0" w:color="17365D"/>
              <w:bottom w:val="single" w:sz="4" w:space="0" w:color="17365D"/>
            </w:tcBorders>
            <w:shd w:val="clear" w:color="auto" w:fill="auto"/>
            <w:noWrap/>
            <w:vAlign w:val="center"/>
            <w:hideMark/>
          </w:tcPr>
          <w:p w14:paraId="15E3D09E" w14:textId="655B31AE" w:rsidR="009A4FC0" w:rsidRPr="00A27896" w:rsidRDefault="009A4FC0" w:rsidP="009A4FC0">
            <w:pPr>
              <w:spacing w:after="0"/>
              <w:jc w:val="center"/>
              <w:rPr>
                <w:rFonts w:eastAsia="Times New Roman" w:cs="Times New Roman"/>
                <w:color w:val="17365D"/>
                <w:sz w:val="18"/>
                <w:szCs w:val="18"/>
                <w:lang w:eastAsia="lv-LV"/>
              </w:rPr>
            </w:pPr>
            <w:r w:rsidRPr="00A27896">
              <w:rPr>
                <w:rFonts w:cs="Times New Roman"/>
                <w:color w:val="17365D"/>
                <w:sz w:val="18"/>
                <w:szCs w:val="18"/>
              </w:rPr>
              <w:t>KB.9.5.1.</w:t>
            </w:r>
          </w:p>
        </w:tc>
        <w:tc>
          <w:tcPr>
            <w:tcW w:w="747" w:type="pct"/>
            <w:tcBorders>
              <w:top w:val="single" w:sz="4" w:space="0" w:color="auto"/>
              <w:left w:val="nil"/>
              <w:bottom w:val="single" w:sz="4" w:space="0" w:color="auto"/>
              <w:right w:val="nil"/>
            </w:tcBorders>
            <w:shd w:val="clear" w:color="auto" w:fill="auto"/>
            <w:noWrap/>
            <w:vAlign w:val="center"/>
          </w:tcPr>
          <w:p w14:paraId="5FC70D7F" w14:textId="762010FE" w:rsidR="009A4FC0" w:rsidRPr="00A27896" w:rsidRDefault="009A4FC0" w:rsidP="009A4FC0">
            <w:pPr>
              <w:spacing w:after="0"/>
              <w:ind w:left="-113"/>
              <w:jc w:val="right"/>
              <w:rPr>
                <w:rFonts w:eastAsia="Times New Roman" w:cs="Times New Roman"/>
                <w:color w:val="17365D"/>
                <w:sz w:val="18"/>
                <w:szCs w:val="18"/>
                <w:lang w:eastAsia="lv-LV"/>
              </w:rPr>
            </w:pPr>
            <w:r>
              <w:rPr>
                <w:color w:val="17365D"/>
                <w:sz w:val="18"/>
                <w:szCs w:val="18"/>
              </w:rPr>
              <w:t>2 564 489 371</w:t>
            </w:r>
          </w:p>
        </w:tc>
        <w:tc>
          <w:tcPr>
            <w:tcW w:w="671" w:type="pct"/>
            <w:tcBorders>
              <w:top w:val="single" w:sz="4" w:space="0" w:color="auto"/>
              <w:left w:val="nil"/>
              <w:bottom w:val="single" w:sz="4" w:space="0" w:color="auto"/>
              <w:right w:val="nil"/>
            </w:tcBorders>
            <w:shd w:val="clear" w:color="auto" w:fill="auto"/>
            <w:noWrap/>
            <w:vAlign w:val="center"/>
          </w:tcPr>
          <w:p w14:paraId="725DA1A4" w14:textId="695978E6" w:rsidR="009A4FC0" w:rsidRPr="00A27896" w:rsidRDefault="009A4FC0" w:rsidP="009A4FC0">
            <w:pPr>
              <w:spacing w:after="0"/>
              <w:ind w:left="-113"/>
              <w:jc w:val="right"/>
              <w:rPr>
                <w:rFonts w:eastAsia="Times New Roman" w:cs="Times New Roman"/>
                <w:color w:val="17365D"/>
                <w:sz w:val="18"/>
                <w:szCs w:val="18"/>
                <w:lang w:eastAsia="lv-LV"/>
              </w:rPr>
            </w:pPr>
            <w:r>
              <w:rPr>
                <w:color w:val="17365D"/>
                <w:sz w:val="18"/>
                <w:szCs w:val="18"/>
              </w:rPr>
              <w:t>1 815 574 432</w:t>
            </w:r>
          </w:p>
        </w:tc>
        <w:tc>
          <w:tcPr>
            <w:tcW w:w="672" w:type="pct"/>
            <w:tcBorders>
              <w:top w:val="single" w:sz="4" w:space="0" w:color="auto"/>
              <w:left w:val="nil"/>
              <w:bottom w:val="single" w:sz="4" w:space="0" w:color="auto"/>
              <w:right w:val="nil"/>
            </w:tcBorders>
            <w:shd w:val="clear" w:color="auto" w:fill="auto"/>
            <w:noWrap/>
            <w:vAlign w:val="center"/>
          </w:tcPr>
          <w:p w14:paraId="0D0F0EFC" w14:textId="51F80D85" w:rsidR="009A4FC0" w:rsidRPr="00A27896" w:rsidRDefault="009A4FC0" w:rsidP="009A4FC0">
            <w:pPr>
              <w:spacing w:after="0"/>
              <w:ind w:left="-113"/>
              <w:jc w:val="right"/>
              <w:rPr>
                <w:rFonts w:eastAsia="Times New Roman" w:cs="Times New Roman"/>
                <w:color w:val="17365D"/>
                <w:sz w:val="18"/>
                <w:szCs w:val="18"/>
                <w:lang w:eastAsia="lv-LV"/>
              </w:rPr>
            </w:pPr>
            <w:r>
              <w:rPr>
                <w:color w:val="17365D"/>
                <w:sz w:val="18"/>
                <w:szCs w:val="18"/>
              </w:rPr>
              <w:t>748 914 939</w:t>
            </w:r>
          </w:p>
        </w:tc>
        <w:tc>
          <w:tcPr>
            <w:tcW w:w="669" w:type="pct"/>
            <w:tcBorders>
              <w:top w:val="single" w:sz="4" w:space="0" w:color="auto"/>
              <w:left w:val="nil"/>
              <w:bottom w:val="single" w:sz="4" w:space="0" w:color="auto"/>
              <w:right w:val="nil"/>
            </w:tcBorders>
            <w:shd w:val="clear" w:color="auto" w:fill="auto"/>
            <w:noWrap/>
            <w:vAlign w:val="center"/>
          </w:tcPr>
          <w:p w14:paraId="15BE9D82" w14:textId="0750E750" w:rsidR="009A4FC0" w:rsidRPr="00A27896" w:rsidRDefault="009A4FC0" w:rsidP="009A4FC0">
            <w:pPr>
              <w:spacing w:after="0"/>
              <w:ind w:left="-113"/>
              <w:jc w:val="right"/>
              <w:rPr>
                <w:rFonts w:eastAsia="Times New Roman" w:cs="Times New Roman"/>
                <w:color w:val="17365D"/>
                <w:sz w:val="18"/>
                <w:szCs w:val="18"/>
                <w:lang w:eastAsia="lv-LV"/>
              </w:rPr>
            </w:pPr>
            <w:r>
              <w:rPr>
                <w:color w:val="17365D"/>
                <w:sz w:val="18"/>
                <w:szCs w:val="18"/>
              </w:rPr>
              <w:t>41.25</w:t>
            </w:r>
          </w:p>
        </w:tc>
      </w:tr>
      <w:tr w:rsidR="009A4FC0" w:rsidRPr="00A27896" w14:paraId="045CBAF8" w14:textId="77777777" w:rsidTr="001231AF">
        <w:trPr>
          <w:trHeight w:val="979"/>
        </w:trPr>
        <w:tc>
          <w:tcPr>
            <w:tcW w:w="1717" w:type="pct"/>
            <w:tcBorders>
              <w:top w:val="single" w:sz="4" w:space="0" w:color="17365D"/>
              <w:bottom w:val="single" w:sz="4" w:space="0" w:color="17365D"/>
            </w:tcBorders>
            <w:shd w:val="clear" w:color="auto" w:fill="auto"/>
            <w:vAlign w:val="center"/>
            <w:hideMark/>
          </w:tcPr>
          <w:p w14:paraId="308BB488" w14:textId="5B9A4527" w:rsidR="009A4FC0" w:rsidRPr="00A27896" w:rsidRDefault="009A4FC0" w:rsidP="009A4FC0">
            <w:pPr>
              <w:spacing w:after="0" w:line="240" w:lineRule="auto"/>
              <w:rPr>
                <w:rFonts w:eastAsia="Times New Roman" w:cs="Times New Roman"/>
                <w:color w:val="17365D"/>
                <w:sz w:val="18"/>
                <w:szCs w:val="18"/>
                <w:lang w:eastAsia="lv-LV"/>
              </w:rPr>
            </w:pPr>
            <w:r w:rsidRPr="001C3A6E">
              <w:rPr>
                <w:rFonts w:eastAsia="Times New Roman" w:cs="Times New Roman"/>
                <w:color w:val="17365D"/>
                <w:sz w:val="18"/>
                <w:szCs w:val="18"/>
                <w:lang w:eastAsia="lv-LV"/>
              </w:rPr>
              <w:t>Nākotnes saistības saskaņā ar līgumiem un vadības lēmumiem par ilgtermiņa ieguldījumu iegādi un izveidošanu, izņemot tos, kas noslēgti par ārvalstu finanšu palīdzības un Eiropas Savienības politiku instrumentu finansētajiem projektiem</w:t>
            </w:r>
          </w:p>
        </w:tc>
        <w:tc>
          <w:tcPr>
            <w:tcW w:w="523" w:type="pct"/>
            <w:tcBorders>
              <w:top w:val="single" w:sz="4" w:space="0" w:color="17365D"/>
              <w:bottom w:val="single" w:sz="4" w:space="0" w:color="17365D"/>
            </w:tcBorders>
            <w:shd w:val="clear" w:color="auto" w:fill="auto"/>
            <w:noWrap/>
            <w:vAlign w:val="center"/>
            <w:hideMark/>
          </w:tcPr>
          <w:p w14:paraId="7A999953" w14:textId="485BDB0F" w:rsidR="009A4FC0" w:rsidRPr="00A27896" w:rsidRDefault="009A4FC0" w:rsidP="009A4FC0">
            <w:pPr>
              <w:spacing w:after="0"/>
              <w:jc w:val="right"/>
              <w:rPr>
                <w:rFonts w:eastAsia="Times New Roman" w:cs="Times New Roman"/>
                <w:color w:val="17365D"/>
                <w:sz w:val="18"/>
                <w:szCs w:val="18"/>
                <w:lang w:eastAsia="lv-LV"/>
              </w:rPr>
            </w:pPr>
            <w:r>
              <w:rPr>
                <w:rFonts w:eastAsia="Times New Roman" w:cs="Times New Roman"/>
                <w:color w:val="17365D"/>
                <w:sz w:val="18"/>
                <w:szCs w:val="18"/>
                <w:lang w:eastAsia="lv-LV"/>
              </w:rPr>
              <w:t>KB.9.5.2</w:t>
            </w:r>
            <w:r w:rsidRPr="003F7EA2">
              <w:rPr>
                <w:rFonts w:eastAsia="Times New Roman" w:cs="Times New Roman"/>
                <w:color w:val="17365D"/>
                <w:sz w:val="18"/>
                <w:szCs w:val="18"/>
                <w:lang w:eastAsia="lv-LV"/>
              </w:rPr>
              <w:t>.</w:t>
            </w:r>
          </w:p>
        </w:tc>
        <w:tc>
          <w:tcPr>
            <w:tcW w:w="747" w:type="pct"/>
            <w:tcBorders>
              <w:top w:val="single" w:sz="4" w:space="0" w:color="auto"/>
              <w:left w:val="nil"/>
              <w:bottom w:val="single" w:sz="4" w:space="0" w:color="auto"/>
              <w:right w:val="nil"/>
            </w:tcBorders>
            <w:shd w:val="clear" w:color="000000" w:fill="FFFFFF"/>
            <w:noWrap/>
            <w:vAlign w:val="center"/>
          </w:tcPr>
          <w:p w14:paraId="719BEFC6" w14:textId="33A1EA59"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1 462 532 937</w:t>
            </w:r>
          </w:p>
        </w:tc>
        <w:tc>
          <w:tcPr>
            <w:tcW w:w="671" w:type="pct"/>
            <w:tcBorders>
              <w:top w:val="single" w:sz="4" w:space="0" w:color="auto"/>
              <w:left w:val="nil"/>
              <w:bottom w:val="single" w:sz="4" w:space="0" w:color="auto"/>
              <w:right w:val="nil"/>
            </w:tcBorders>
            <w:shd w:val="clear" w:color="000000" w:fill="FFFFFF"/>
            <w:noWrap/>
            <w:vAlign w:val="center"/>
          </w:tcPr>
          <w:p w14:paraId="064A6B0E" w14:textId="7FA25EC6"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702 355 507</w:t>
            </w:r>
          </w:p>
        </w:tc>
        <w:tc>
          <w:tcPr>
            <w:tcW w:w="672" w:type="pct"/>
            <w:tcBorders>
              <w:top w:val="single" w:sz="4" w:space="0" w:color="auto"/>
              <w:left w:val="nil"/>
              <w:bottom w:val="single" w:sz="4" w:space="0" w:color="auto"/>
              <w:right w:val="nil"/>
            </w:tcBorders>
            <w:shd w:val="clear" w:color="000000" w:fill="FFFFFF"/>
            <w:noWrap/>
            <w:vAlign w:val="center"/>
          </w:tcPr>
          <w:p w14:paraId="6FF9AFC1" w14:textId="0849A51A"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760 177 430</w:t>
            </w:r>
          </w:p>
        </w:tc>
        <w:tc>
          <w:tcPr>
            <w:tcW w:w="669" w:type="pct"/>
            <w:tcBorders>
              <w:top w:val="single" w:sz="4" w:space="0" w:color="auto"/>
              <w:left w:val="nil"/>
              <w:bottom w:val="single" w:sz="4" w:space="0" w:color="auto"/>
              <w:right w:val="nil"/>
            </w:tcBorders>
            <w:shd w:val="clear" w:color="000000" w:fill="FFFFFF"/>
            <w:noWrap/>
            <w:vAlign w:val="center"/>
          </w:tcPr>
          <w:p w14:paraId="58D87DBE" w14:textId="60BEA7AD"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108.23</w:t>
            </w:r>
          </w:p>
        </w:tc>
      </w:tr>
      <w:tr w:rsidR="009A4FC0" w:rsidRPr="00A27896" w14:paraId="28E985D4" w14:textId="77777777" w:rsidTr="001231AF">
        <w:trPr>
          <w:trHeight w:val="449"/>
        </w:trPr>
        <w:tc>
          <w:tcPr>
            <w:tcW w:w="1717" w:type="pct"/>
            <w:tcBorders>
              <w:top w:val="single" w:sz="4" w:space="0" w:color="17365D"/>
              <w:bottom w:val="single" w:sz="4" w:space="0" w:color="17365D"/>
            </w:tcBorders>
            <w:shd w:val="clear" w:color="auto" w:fill="auto"/>
            <w:vAlign w:val="center"/>
            <w:hideMark/>
          </w:tcPr>
          <w:p w14:paraId="747D6082" w14:textId="77DF0CB1" w:rsidR="009A4FC0" w:rsidRPr="00A27896" w:rsidRDefault="009A4FC0" w:rsidP="009A4FC0">
            <w:pPr>
              <w:spacing w:after="0" w:line="240" w:lineRule="auto"/>
              <w:rPr>
                <w:rFonts w:eastAsia="Times New Roman" w:cs="Times New Roman"/>
                <w:color w:val="17365D"/>
                <w:sz w:val="18"/>
                <w:szCs w:val="18"/>
                <w:lang w:eastAsia="lv-LV"/>
              </w:rPr>
            </w:pPr>
            <w:r w:rsidRPr="003F7EA2">
              <w:rPr>
                <w:rFonts w:eastAsia="Times New Roman" w:cs="Times New Roman"/>
                <w:color w:val="17365D"/>
                <w:sz w:val="18"/>
                <w:szCs w:val="18"/>
                <w:lang w:eastAsia="lv-LV"/>
              </w:rPr>
              <w:lastRenderedPageBreak/>
              <w:t>Nākotnes saistības saskaņā ar līgumiem un vadības lēmumiem par preču un pakalpojumu iegādi, izņemot tos, kas noslēgti par ārvalstu finanšu palīdzības un Eiropas Savienības politiku instrumentu finansētajiem projektiem un nomu</w:t>
            </w:r>
          </w:p>
        </w:tc>
        <w:tc>
          <w:tcPr>
            <w:tcW w:w="523" w:type="pct"/>
            <w:tcBorders>
              <w:top w:val="single" w:sz="4" w:space="0" w:color="17365D"/>
              <w:bottom w:val="single" w:sz="4" w:space="0" w:color="17365D"/>
            </w:tcBorders>
            <w:shd w:val="clear" w:color="auto" w:fill="auto"/>
            <w:noWrap/>
            <w:vAlign w:val="center"/>
          </w:tcPr>
          <w:p w14:paraId="08EC3FB6" w14:textId="10CFE97B" w:rsidR="009A4FC0" w:rsidRPr="00A27896" w:rsidRDefault="009A4FC0" w:rsidP="009A4FC0">
            <w:pPr>
              <w:spacing w:after="0"/>
              <w:jc w:val="center"/>
              <w:rPr>
                <w:rFonts w:eastAsia="Times New Roman" w:cs="Times New Roman"/>
                <w:color w:val="17365D"/>
                <w:sz w:val="18"/>
                <w:szCs w:val="18"/>
                <w:lang w:eastAsia="lv-LV"/>
              </w:rPr>
            </w:pPr>
            <w:r w:rsidRPr="00A27896">
              <w:rPr>
                <w:rFonts w:cs="Times New Roman"/>
                <w:color w:val="17365D"/>
                <w:sz w:val="18"/>
                <w:szCs w:val="18"/>
              </w:rPr>
              <w:t>KB.9.5.</w:t>
            </w:r>
            <w:r>
              <w:rPr>
                <w:rFonts w:cs="Times New Roman"/>
                <w:color w:val="17365D"/>
                <w:sz w:val="18"/>
                <w:szCs w:val="18"/>
              </w:rPr>
              <w:t>3</w:t>
            </w:r>
            <w:r w:rsidRPr="00A27896">
              <w:rPr>
                <w:rFonts w:cs="Times New Roman"/>
                <w:color w:val="17365D"/>
                <w:sz w:val="18"/>
                <w:szCs w:val="18"/>
              </w:rPr>
              <w:t>.</w:t>
            </w:r>
          </w:p>
        </w:tc>
        <w:tc>
          <w:tcPr>
            <w:tcW w:w="747" w:type="pct"/>
            <w:tcBorders>
              <w:top w:val="single" w:sz="4" w:space="0" w:color="auto"/>
              <w:left w:val="nil"/>
              <w:bottom w:val="single" w:sz="4" w:space="0" w:color="auto"/>
              <w:right w:val="nil"/>
            </w:tcBorders>
            <w:shd w:val="clear" w:color="000000" w:fill="FFFFFF"/>
            <w:noWrap/>
            <w:vAlign w:val="center"/>
          </w:tcPr>
          <w:p w14:paraId="6A54CC8E" w14:textId="1E5AD9F0"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97 514 381</w:t>
            </w:r>
          </w:p>
        </w:tc>
        <w:tc>
          <w:tcPr>
            <w:tcW w:w="671" w:type="pct"/>
            <w:tcBorders>
              <w:top w:val="single" w:sz="4" w:space="0" w:color="auto"/>
              <w:left w:val="nil"/>
              <w:bottom w:val="single" w:sz="4" w:space="0" w:color="auto"/>
              <w:right w:val="nil"/>
            </w:tcBorders>
            <w:shd w:val="clear" w:color="000000" w:fill="FFFFFF"/>
            <w:noWrap/>
            <w:vAlign w:val="center"/>
          </w:tcPr>
          <w:p w14:paraId="52386091" w14:textId="0756A35E"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338 408 811</w:t>
            </w:r>
          </w:p>
        </w:tc>
        <w:tc>
          <w:tcPr>
            <w:tcW w:w="672" w:type="pct"/>
            <w:tcBorders>
              <w:top w:val="single" w:sz="4" w:space="0" w:color="auto"/>
              <w:left w:val="nil"/>
              <w:bottom w:val="single" w:sz="4" w:space="0" w:color="auto"/>
              <w:right w:val="nil"/>
            </w:tcBorders>
            <w:shd w:val="clear" w:color="000000" w:fill="FFFFFF"/>
            <w:noWrap/>
            <w:vAlign w:val="center"/>
          </w:tcPr>
          <w:p w14:paraId="57DD739D" w14:textId="4551DD71"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-240 894 430</w:t>
            </w:r>
          </w:p>
        </w:tc>
        <w:tc>
          <w:tcPr>
            <w:tcW w:w="669" w:type="pct"/>
            <w:tcBorders>
              <w:top w:val="single" w:sz="4" w:space="0" w:color="auto"/>
              <w:left w:val="nil"/>
              <w:bottom w:val="single" w:sz="4" w:space="0" w:color="auto"/>
              <w:right w:val="nil"/>
            </w:tcBorders>
            <w:shd w:val="clear" w:color="000000" w:fill="FFFFFF"/>
            <w:noWrap/>
            <w:vAlign w:val="center"/>
          </w:tcPr>
          <w:p w14:paraId="65A93F2D" w14:textId="217F053C"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-71.18</w:t>
            </w:r>
          </w:p>
        </w:tc>
      </w:tr>
      <w:tr w:rsidR="009A4FC0" w:rsidRPr="00A27896" w14:paraId="2CCD036D" w14:textId="77777777" w:rsidTr="001231AF">
        <w:trPr>
          <w:trHeight w:val="480"/>
        </w:trPr>
        <w:tc>
          <w:tcPr>
            <w:tcW w:w="1717" w:type="pct"/>
            <w:tcBorders>
              <w:top w:val="single" w:sz="4" w:space="0" w:color="17365D"/>
              <w:bottom w:val="single" w:sz="4" w:space="0" w:color="17365D"/>
            </w:tcBorders>
            <w:shd w:val="clear" w:color="auto" w:fill="auto"/>
            <w:vAlign w:val="center"/>
            <w:hideMark/>
          </w:tcPr>
          <w:p w14:paraId="21BFDFBF" w14:textId="77777777" w:rsidR="009A4FC0" w:rsidRPr="00A27896" w:rsidRDefault="009A4FC0" w:rsidP="009A4FC0">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Saņemtie, bet neapmaksātie avansa attaisnojuma dokumenti</w:t>
            </w:r>
          </w:p>
        </w:tc>
        <w:tc>
          <w:tcPr>
            <w:tcW w:w="523" w:type="pct"/>
            <w:tcBorders>
              <w:top w:val="single" w:sz="4" w:space="0" w:color="17365D"/>
              <w:bottom w:val="single" w:sz="4" w:space="0" w:color="17365D"/>
            </w:tcBorders>
            <w:shd w:val="clear" w:color="auto" w:fill="auto"/>
            <w:noWrap/>
            <w:vAlign w:val="center"/>
          </w:tcPr>
          <w:p w14:paraId="58F77209" w14:textId="3366AA0B" w:rsidR="009A4FC0" w:rsidRPr="00A27896" w:rsidRDefault="009A4FC0" w:rsidP="009A4FC0">
            <w:pPr>
              <w:spacing w:after="0"/>
              <w:jc w:val="center"/>
              <w:rPr>
                <w:rFonts w:eastAsia="Times New Roman" w:cs="Times New Roman"/>
                <w:color w:val="17365D"/>
                <w:sz w:val="18"/>
                <w:szCs w:val="18"/>
                <w:lang w:eastAsia="lv-LV"/>
              </w:rPr>
            </w:pPr>
          </w:p>
        </w:tc>
        <w:tc>
          <w:tcPr>
            <w:tcW w:w="747" w:type="pct"/>
            <w:tcBorders>
              <w:top w:val="single" w:sz="4" w:space="0" w:color="auto"/>
              <w:left w:val="nil"/>
              <w:bottom w:val="single" w:sz="4" w:space="0" w:color="auto"/>
              <w:right w:val="nil"/>
            </w:tcBorders>
            <w:shd w:val="clear" w:color="000000" w:fill="FFFFFF"/>
            <w:noWrap/>
            <w:vAlign w:val="center"/>
          </w:tcPr>
          <w:p w14:paraId="27DEA055" w14:textId="74D9D697"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22 087 873</w:t>
            </w:r>
          </w:p>
        </w:tc>
        <w:tc>
          <w:tcPr>
            <w:tcW w:w="671" w:type="pct"/>
            <w:tcBorders>
              <w:top w:val="single" w:sz="4" w:space="0" w:color="auto"/>
              <w:left w:val="nil"/>
              <w:bottom w:val="single" w:sz="4" w:space="0" w:color="auto"/>
              <w:right w:val="nil"/>
            </w:tcBorders>
            <w:shd w:val="clear" w:color="000000" w:fill="FFFFFF"/>
            <w:noWrap/>
            <w:vAlign w:val="center"/>
          </w:tcPr>
          <w:p w14:paraId="22B9A749" w14:textId="7A21D478"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7 314 899</w:t>
            </w:r>
          </w:p>
        </w:tc>
        <w:tc>
          <w:tcPr>
            <w:tcW w:w="672" w:type="pct"/>
            <w:tcBorders>
              <w:top w:val="single" w:sz="4" w:space="0" w:color="auto"/>
              <w:left w:val="nil"/>
              <w:bottom w:val="single" w:sz="4" w:space="0" w:color="auto"/>
              <w:right w:val="nil"/>
            </w:tcBorders>
            <w:shd w:val="clear" w:color="000000" w:fill="FFFFFF"/>
            <w:noWrap/>
            <w:vAlign w:val="center"/>
          </w:tcPr>
          <w:p w14:paraId="47535D28" w14:textId="1954A057"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14 772 974</w:t>
            </w:r>
          </w:p>
        </w:tc>
        <w:tc>
          <w:tcPr>
            <w:tcW w:w="669" w:type="pct"/>
            <w:tcBorders>
              <w:top w:val="single" w:sz="4" w:space="0" w:color="auto"/>
              <w:left w:val="nil"/>
              <w:bottom w:val="single" w:sz="4" w:space="0" w:color="auto"/>
              <w:right w:val="nil"/>
            </w:tcBorders>
            <w:shd w:val="clear" w:color="000000" w:fill="FFFFFF"/>
            <w:noWrap/>
            <w:vAlign w:val="center"/>
          </w:tcPr>
          <w:p w14:paraId="6429A5DD" w14:textId="02514895"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201.96</w:t>
            </w:r>
          </w:p>
        </w:tc>
      </w:tr>
      <w:tr w:rsidR="009A4FC0" w:rsidRPr="00A27896" w14:paraId="39BDF8B1" w14:textId="77777777" w:rsidTr="001231AF">
        <w:trPr>
          <w:trHeight w:val="300"/>
        </w:trPr>
        <w:tc>
          <w:tcPr>
            <w:tcW w:w="1717" w:type="pct"/>
            <w:tcBorders>
              <w:top w:val="single" w:sz="4" w:space="0" w:color="17365D"/>
              <w:bottom w:val="single" w:sz="4" w:space="0" w:color="17365D"/>
            </w:tcBorders>
            <w:shd w:val="clear" w:color="auto" w:fill="auto"/>
            <w:vAlign w:val="center"/>
            <w:hideMark/>
          </w:tcPr>
          <w:p w14:paraId="500934E7" w14:textId="77777777" w:rsidR="009A4FC0" w:rsidRPr="00A27896" w:rsidRDefault="009A4FC0" w:rsidP="009A4FC0">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Nākotnes nomas maksājumi</w:t>
            </w:r>
          </w:p>
        </w:tc>
        <w:tc>
          <w:tcPr>
            <w:tcW w:w="523" w:type="pct"/>
            <w:tcBorders>
              <w:top w:val="single" w:sz="4" w:space="0" w:color="17365D"/>
              <w:bottom w:val="single" w:sz="4" w:space="0" w:color="17365D"/>
            </w:tcBorders>
            <w:shd w:val="clear" w:color="auto" w:fill="auto"/>
            <w:noWrap/>
            <w:vAlign w:val="center"/>
          </w:tcPr>
          <w:p w14:paraId="0C3F66A0" w14:textId="3CE337F1" w:rsidR="009A4FC0" w:rsidRPr="00A27896" w:rsidRDefault="009A4FC0" w:rsidP="009A4FC0">
            <w:pPr>
              <w:spacing w:after="0"/>
              <w:jc w:val="center"/>
              <w:rPr>
                <w:rFonts w:eastAsia="Times New Roman" w:cs="Times New Roman"/>
                <w:color w:val="17365D"/>
                <w:sz w:val="18"/>
                <w:szCs w:val="18"/>
                <w:lang w:eastAsia="lv-LV"/>
              </w:rPr>
            </w:pPr>
          </w:p>
        </w:tc>
        <w:tc>
          <w:tcPr>
            <w:tcW w:w="747" w:type="pct"/>
            <w:tcBorders>
              <w:top w:val="single" w:sz="4" w:space="0" w:color="auto"/>
              <w:left w:val="nil"/>
              <w:bottom w:val="single" w:sz="4" w:space="0" w:color="auto"/>
              <w:right w:val="nil"/>
            </w:tcBorders>
            <w:shd w:val="clear" w:color="000000" w:fill="FFFFFF"/>
            <w:noWrap/>
            <w:vAlign w:val="center"/>
          </w:tcPr>
          <w:p w14:paraId="7750C065" w14:textId="3517E809"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9 541 697</w:t>
            </w:r>
          </w:p>
        </w:tc>
        <w:tc>
          <w:tcPr>
            <w:tcW w:w="671" w:type="pct"/>
            <w:tcBorders>
              <w:top w:val="single" w:sz="4" w:space="0" w:color="auto"/>
              <w:left w:val="nil"/>
              <w:bottom w:val="single" w:sz="4" w:space="0" w:color="auto"/>
              <w:right w:val="nil"/>
            </w:tcBorders>
            <w:shd w:val="clear" w:color="000000" w:fill="FFFFFF"/>
            <w:noWrap/>
            <w:vAlign w:val="center"/>
          </w:tcPr>
          <w:p w14:paraId="6FF1CC56" w14:textId="79766FC1"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10 916 559</w:t>
            </w:r>
          </w:p>
        </w:tc>
        <w:tc>
          <w:tcPr>
            <w:tcW w:w="672" w:type="pct"/>
            <w:tcBorders>
              <w:top w:val="single" w:sz="4" w:space="0" w:color="auto"/>
              <w:left w:val="nil"/>
              <w:bottom w:val="single" w:sz="4" w:space="0" w:color="auto"/>
              <w:right w:val="nil"/>
            </w:tcBorders>
            <w:shd w:val="clear" w:color="000000" w:fill="FFFFFF"/>
            <w:noWrap/>
            <w:vAlign w:val="center"/>
          </w:tcPr>
          <w:p w14:paraId="2A3903F1" w14:textId="4F187185"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-1 374 862</w:t>
            </w:r>
          </w:p>
        </w:tc>
        <w:tc>
          <w:tcPr>
            <w:tcW w:w="669" w:type="pct"/>
            <w:tcBorders>
              <w:top w:val="single" w:sz="4" w:space="0" w:color="auto"/>
              <w:left w:val="nil"/>
              <w:bottom w:val="single" w:sz="4" w:space="0" w:color="auto"/>
              <w:right w:val="nil"/>
            </w:tcBorders>
            <w:shd w:val="clear" w:color="000000" w:fill="FFFFFF"/>
            <w:noWrap/>
            <w:vAlign w:val="center"/>
          </w:tcPr>
          <w:p w14:paraId="68590266" w14:textId="4993C255"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-12.59</w:t>
            </w:r>
          </w:p>
        </w:tc>
      </w:tr>
      <w:tr w:rsidR="009A4FC0" w:rsidRPr="00A27896" w14:paraId="1831E1F1" w14:textId="77777777" w:rsidTr="001231AF">
        <w:trPr>
          <w:trHeight w:val="300"/>
        </w:trPr>
        <w:tc>
          <w:tcPr>
            <w:tcW w:w="1717" w:type="pct"/>
            <w:tcBorders>
              <w:top w:val="single" w:sz="4" w:space="0" w:color="17365D"/>
              <w:bottom w:val="single" w:sz="4" w:space="0" w:color="17365D"/>
            </w:tcBorders>
            <w:shd w:val="clear" w:color="auto" w:fill="auto"/>
            <w:vAlign w:val="center"/>
            <w:hideMark/>
          </w:tcPr>
          <w:p w14:paraId="47FA7EE2" w14:textId="77777777" w:rsidR="009A4FC0" w:rsidRPr="00A27896" w:rsidRDefault="009A4FC0" w:rsidP="009A4FC0">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Izsniegtie galvojumi</w:t>
            </w:r>
          </w:p>
        </w:tc>
        <w:tc>
          <w:tcPr>
            <w:tcW w:w="523" w:type="pct"/>
            <w:tcBorders>
              <w:top w:val="single" w:sz="4" w:space="0" w:color="17365D"/>
              <w:bottom w:val="single" w:sz="4" w:space="0" w:color="17365D"/>
            </w:tcBorders>
            <w:shd w:val="clear" w:color="auto" w:fill="auto"/>
            <w:noWrap/>
            <w:vAlign w:val="center"/>
          </w:tcPr>
          <w:p w14:paraId="6FE2831C" w14:textId="25B7E1E6" w:rsidR="009A4FC0" w:rsidRPr="00A27896" w:rsidRDefault="009A4FC0" w:rsidP="009A4FC0">
            <w:pPr>
              <w:spacing w:after="0"/>
              <w:jc w:val="center"/>
              <w:rPr>
                <w:rFonts w:eastAsia="Times New Roman" w:cs="Times New Roman"/>
                <w:color w:val="17365D"/>
                <w:sz w:val="18"/>
                <w:szCs w:val="18"/>
                <w:lang w:eastAsia="lv-LV"/>
              </w:rPr>
            </w:pPr>
          </w:p>
        </w:tc>
        <w:tc>
          <w:tcPr>
            <w:tcW w:w="747" w:type="pct"/>
            <w:tcBorders>
              <w:top w:val="single" w:sz="4" w:space="0" w:color="auto"/>
              <w:left w:val="nil"/>
              <w:bottom w:val="single" w:sz="4" w:space="0" w:color="auto"/>
              <w:right w:val="nil"/>
            </w:tcBorders>
            <w:shd w:val="clear" w:color="000000" w:fill="FFFFFF"/>
            <w:noWrap/>
            <w:vAlign w:val="center"/>
          </w:tcPr>
          <w:p w14:paraId="5FCCAF4C" w14:textId="56DE8C92"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36 922 165</w:t>
            </w:r>
          </w:p>
        </w:tc>
        <w:tc>
          <w:tcPr>
            <w:tcW w:w="671" w:type="pct"/>
            <w:tcBorders>
              <w:top w:val="single" w:sz="4" w:space="0" w:color="auto"/>
              <w:left w:val="nil"/>
              <w:bottom w:val="single" w:sz="4" w:space="0" w:color="auto"/>
              <w:right w:val="nil"/>
            </w:tcBorders>
            <w:shd w:val="clear" w:color="000000" w:fill="FFFFFF"/>
            <w:noWrap/>
            <w:vAlign w:val="center"/>
          </w:tcPr>
          <w:p w14:paraId="4A6DE6A0" w14:textId="1452097B"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57 161 623</w:t>
            </w:r>
          </w:p>
        </w:tc>
        <w:tc>
          <w:tcPr>
            <w:tcW w:w="672" w:type="pct"/>
            <w:tcBorders>
              <w:top w:val="single" w:sz="4" w:space="0" w:color="auto"/>
              <w:left w:val="nil"/>
              <w:bottom w:val="single" w:sz="4" w:space="0" w:color="auto"/>
              <w:right w:val="nil"/>
            </w:tcBorders>
            <w:shd w:val="clear" w:color="000000" w:fill="FFFFFF"/>
            <w:noWrap/>
            <w:vAlign w:val="center"/>
          </w:tcPr>
          <w:p w14:paraId="7535772A" w14:textId="548CF2C0"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-20 239 458</w:t>
            </w:r>
          </w:p>
        </w:tc>
        <w:tc>
          <w:tcPr>
            <w:tcW w:w="669" w:type="pct"/>
            <w:tcBorders>
              <w:top w:val="single" w:sz="4" w:space="0" w:color="auto"/>
              <w:left w:val="nil"/>
              <w:bottom w:val="single" w:sz="4" w:space="0" w:color="auto"/>
              <w:right w:val="nil"/>
            </w:tcBorders>
            <w:shd w:val="clear" w:color="000000" w:fill="FFFFFF"/>
            <w:noWrap/>
            <w:vAlign w:val="center"/>
          </w:tcPr>
          <w:p w14:paraId="1F298DCE" w14:textId="26C5B0CE"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-35.41</w:t>
            </w:r>
          </w:p>
        </w:tc>
      </w:tr>
      <w:tr w:rsidR="009A4FC0" w:rsidRPr="00A27896" w14:paraId="2D20940B" w14:textId="77777777" w:rsidTr="001231AF">
        <w:trPr>
          <w:trHeight w:val="300"/>
        </w:trPr>
        <w:tc>
          <w:tcPr>
            <w:tcW w:w="1717" w:type="pct"/>
            <w:tcBorders>
              <w:top w:val="single" w:sz="4" w:space="0" w:color="17365D"/>
              <w:bottom w:val="single" w:sz="4" w:space="0" w:color="17365D"/>
            </w:tcBorders>
            <w:shd w:val="clear" w:color="auto" w:fill="auto"/>
            <w:vAlign w:val="center"/>
            <w:hideMark/>
          </w:tcPr>
          <w:p w14:paraId="4CB5A6AD" w14:textId="77777777" w:rsidR="009A4FC0" w:rsidRPr="00A27896" w:rsidRDefault="009A4FC0" w:rsidP="009A4FC0">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Citas zembilances saistības</w:t>
            </w:r>
          </w:p>
        </w:tc>
        <w:tc>
          <w:tcPr>
            <w:tcW w:w="523" w:type="pct"/>
            <w:tcBorders>
              <w:top w:val="single" w:sz="4" w:space="0" w:color="17365D"/>
              <w:bottom w:val="single" w:sz="4" w:space="0" w:color="17365D"/>
            </w:tcBorders>
            <w:shd w:val="clear" w:color="auto" w:fill="auto"/>
            <w:noWrap/>
            <w:vAlign w:val="center"/>
            <w:hideMark/>
          </w:tcPr>
          <w:p w14:paraId="6FC829AA" w14:textId="5D84FCC6" w:rsidR="009A4FC0" w:rsidRPr="00A27896" w:rsidRDefault="009A4FC0" w:rsidP="009A4FC0">
            <w:pPr>
              <w:spacing w:after="0"/>
              <w:jc w:val="center"/>
              <w:rPr>
                <w:rFonts w:eastAsia="Times New Roman" w:cs="Times New Roman"/>
                <w:color w:val="17365D"/>
                <w:sz w:val="18"/>
                <w:szCs w:val="18"/>
                <w:lang w:eastAsia="lv-LV"/>
              </w:rPr>
            </w:pPr>
          </w:p>
        </w:tc>
        <w:tc>
          <w:tcPr>
            <w:tcW w:w="747" w:type="pct"/>
            <w:tcBorders>
              <w:top w:val="single" w:sz="4" w:space="0" w:color="auto"/>
              <w:left w:val="nil"/>
              <w:bottom w:val="single" w:sz="4" w:space="0" w:color="auto"/>
              <w:right w:val="nil"/>
            </w:tcBorders>
            <w:shd w:val="clear" w:color="000000" w:fill="FFFFFF"/>
            <w:noWrap/>
            <w:vAlign w:val="center"/>
          </w:tcPr>
          <w:p w14:paraId="6CF35165" w14:textId="28102E18"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2 870 464 578</w:t>
            </w:r>
          </w:p>
        </w:tc>
        <w:tc>
          <w:tcPr>
            <w:tcW w:w="671" w:type="pct"/>
            <w:tcBorders>
              <w:top w:val="single" w:sz="4" w:space="0" w:color="auto"/>
              <w:left w:val="nil"/>
              <w:bottom w:val="single" w:sz="4" w:space="0" w:color="auto"/>
              <w:right w:val="nil"/>
            </w:tcBorders>
            <w:shd w:val="clear" w:color="000000" w:fill="FFFFFF"/>
            <w:noWrap/>
            <w:vAlign w:val="center"/>
          </w:tcPr>
          <w:p w14:paraId="4D868C99" w14:textId="18E2D0EF"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2 844 295 738</w:t>
            </w:r>
          </w:p>
        </w:tc>
        <w:tc>
          <w:tcPr>
            <w:tcW w:w="672" w:type="pct"/>
            <w:tcBorders>
              <w:top w:val="single" w:sz="4" w:space="0" w:color="auto"/>
              <w:left w:val="nil"/>
              <w:bottom w:val="single" w:sz="4" w:space="0" w:color="auto"/>
              <w:right w:val="nil"/>
            </w:tcBorders>
            <w:shd w:val="clear" w:color="000000" w:fill="FFFFFF"/>
            <w:noWrap/>
            <w:vAlign w:val="center"/>
          </w:tcPr>
          <w:p w14:paraId="3DCC9BA1" w14:textId="611D2FCB"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26 168 840</w:t>
            </w:r>
          </w:p>
        </w:tc>
        <w:tc>
          <w:tcPr>
            <w:tcW w:w="669" w:type="pct"/>
            <w:tcBorders>
              <w:top w:val="single" w:sz="4" w:space="0" w:color="auto"/>
              <w:left w:val="nil"/>
              <w:bottom w:val="single" w:sz="4" w:space="0" w:color="auto"/>
              <w:right w:val="nil"/>
            </w:tcBorders>
            <w:shd w:val="clear" w:color="000000" w:fill="FFFFFF"/>
            <w:noWrap/>
            <w:vAlign w:val="center"/>
          </w:tcPr>
          <w:p w14:paraId="6D7B455B" w14:textId="441AB421" w:rsidR="009A4FC0" w:rsidRPr="00A27896" w:rsidRDefault="009A4FC0" w:rsidP="009A4FC0">
            <w:pPr>
              <w:spacing w:after="0" w:line="240" w:lineRule="auto"/>
              <w:ind w:left="-57"/>
              <w:jc w:val="right"/>
              <w:rPr>
                <w:rFonts w:eastAsia="Times New Roman" w:cs="Times New Roman"/>
                <w:color w:val="17365D"/>
                <w:sz w:val="18"/>
                <w:szCs w:val="18"/>
                <w:lang w:eastAsia="lv-LV"/>
              </w:rPr>
            </w:pPr>
            <w:r>
              <w:rPr>
                <w:color w:val="17365D"/>
                <w:sz w:val="18"/>
                <w:szCs w:val="18"/>
              </w:rPr>
              <w:t>0.92</w:t>
            </w:r>
          </w:p>
        </w:tc>
      </w:tr>
      <w:tr w:rsidR="000C1009" w:rsidRPr="00A27896" w14:paraId="5A82BCCE" w14:textId="77777777" w:rsidTr="001231AF">
        <w:trPr>
          <w:trHeight w:val="56"/>
        </w:trPr>
        <w:tc>
          <w:tcPr>
            <w:tcW w:w="1717" w:type="pct"/>
            <w:tcBorders>
              <w:top w:val="single" w:sz="4" w:space="0" w:color="17365D"/>
            </w:tcBorders>
            <w:shd w:val="clear" w:color="auto" w:fill="B9CDE5"/>
            <w:vAlign w:val="center"/>
          </w:tcPr>
          <w:p w14:paraId="72330591" w14:textId="77777777" w:rsidR="00C7109A" w:rsidRPr="00A27896" w:rsidRDefault="00C7109A" w:rsidP="00C7109A">
            <w:pPr>
              <w:spacing w:after="0"/>
              <w:rPr>
                <w:rFonts w:eastAsia="Times New Roman" w:cs="Times New Roman"/>
                <w:color w:val="17365D"/>
                <w:sz w:val="18"/>
                <w:szCs w:val="18"/>
                <w:lang w:eastAsia="lv-LV"/>
              </w:rPr>
            </w:pPr>
          </w:p>
        </w:tc>
        <w:tc>
          <w:tcPr>
            <w:tcW w:w="523" w:type="pct"/>
            <w:tcBorders>
              <w:top w:val="single" w:sz="4" w:space="0" w:color="17365D"/>
            </w:tcBorders>
            <w:shd w:val="clear" w:color="auto" w:fill="B9CDE5"/>
            <w:noWrap/>
            <w:vAlign w:val="center"/>
          </w:tcPr>
          <w:p w14:paraId="2A697627" w14:textId="77777777" w:rsidR="00C7109A" w:rsidRPr="00A27896" w:rsidRDefault="00C7109A" w:rsidP="00C7109A">
            <w:pPr>
              <w:spacing w:after="0"/>
              <w:jc w:val="center"/>
              <w:rPr>
                <w:rFonts w:eastAsia="Times New Roman" w:cs="Times New Roman"/>
                <w:color w:val="17365D"/>
                <w:sz w:val="18"/>
                <w:szCs w:val="18"/>
                <w:lang w:eastAsia="lv-LV"/>
              </w:rPr>
            </w:pPr>
          </w:p>
        </w:tc>
        <w:tc>
          <w:tcPr>
            <w:tcW w:w="747" w:type="pct"/>
            <w:tcBorders>
              <w:top w:val="single" w:sz="4" w:space="0" w:color="auto"/>
            </w:tcBorders>
            <w:shd w:val="clear" w:color="auto" w:fill="B9CDE5"/>
            <w:noWrap/>
            <w:vAlign w:val="center"/>
          </w:tcPr>
          <w:p w14:paraId="2AE66DFE" w14:textId="77777777" w:rsidR="00C7109A" w:rsidRPr="00A27896" w:rsidRDefault="00C7109A" w:rsidP="00C7109A">
            <w:pPr>
              <w:spacing w:after="0"/>
              <w:jc w:val="right"/>
              <w:rPr>
                <w:rFonts w:eastAsia="Times New Roman" w:cs="Times New Roman"/>
                <w:color w:val="17365D"/>
                <w:sz w:val="18"/>
                <w:szCs w:val="18"/>
                <w:lang w:eastAsia="lv-LV"/>
              </w:rPr>
            </w:pPr>
          </w:p>
        </w:tc>
        <w:tc>
          <w:tcPr>
            <w:tcW w:w="671" w:type="pct"/>
            <w:tcBorders>
              <w:top w:val="single" w:sz="4" w:space="0" w:color="auto"/>
            </w:tcBorders>
            <w:shd w:val="clear" w:color="auto" w:fill="B9CDE5"/>
            <w:noWrap/>
            <w:vAlign w:val="center"/>
          </w:tcPr>
          <w:p w14:paraId="6516691C" w14:textId="77777777" w:rsidR="00C7109A" w:rsidRPr="00A27896" w:rsidRDefault="00C7109A" w:rsidP="00C7109A">
            <w:pPr>
              <w:spacing w:after="0"/>
              <w:jc w:val="right"/>
              <w:rPr>
                <w:rFonts w:eastAsia="Times New Roman" w:cs="Times New Roman"/>
                <w:color w:val="17365D"/>
                <w:sz w:val="18"/>
                <w:szCs w:val="18"/>
                <w:lang w:eastAsia="lv-LV"/>
              </w:rPr>
            </w:pPr>
          </w:p>
        </w:tc>
        <w:tc>
          <w:tcPr>
            <w:tcW w:w="672" w:type="pct"/>
            <w:tcBorders>
              <w:top w:val="single" w:sz="4" w:space="0" w:color="auto"/>
            </w:tcBorders>
            <w:shd w:val="clear" w:color="auto" w:fill="B9CDE5"/>
            <w:noWrap/>
            <w:vAlign w:val="center"/>
          </w:tcPr>
          <w:p w14:paraId="27CB4E16" w14:textId="77777777" w:rsidR="00C7109A" w:rsidRPr="00A27896" w:rsidRDefault="00C7109A" w:rsidP="00C7109A">
            <w:pPr>
              <w:spacing w:after="0"/>
              <w:jc w:val="right"/>
              <w:rPr>
                <w:rFonts w:eastAsia="Times New Roman" w:cs="Times New Roman"/>
                <w:color w:val="17365D"/>
                <w:sz w:val="18"/>
                <w:szCs w:val="18"/>
                <w:lang w:eastAsia="lv-LV"/>
              </w:rPr>
            </w:pPr>
          </w:p>
        </w:tc>
        <w:tc>
          <w:tcPr>
            <w:tcW w:w="669" w:type="pct"/>
            <w:tcBorders>
              <w:top w:val="single" w:sz="4" w:space="0" w:color="auto"/>
            </w:tcBorders>
            <w:shd w:val="clear" w:color="auto" w:fill="B9CDE5"/>
            <w:noWrap/>
            <w:vAlign w:val="center"/>
          </w:tcPr>
          <w:p w14:paraId="3D7F5F95" w14:textId="77777777" w:rsidR="00C7109A" w:rsidRPr="00A27896" w:rsidRDefault="00C7109A" w:rsidP="00C7109A">
            <w:pPr>
              <w:spacing w:after="0"/>
              <w:jc w:val="right"/>
              <w:rPr>
                <w:rFonts w:eastAsia="Times New Roman" w:cs="Times New Roman"/>
                <w:color w:val="17365D"/>
                <w:sz w:val="18"/>
                <w:szCs w:val="18"/>
                <w:lang w:eastAsia="lv-LV"/>
              </w:rPr>
            </w:pPr>
          </w:p>
        </w:tc>
      </w:tr>
    </w:tbl>
    <w:p w14:paraId="172A3787" w14:textId="1F2FE487" w:rsidR="00FC1951" w:rsidRPr="00A27896" w:rsidRDefault="005F1199" w:rsidP="00B16A51">
      <w:pPr>
        <w:pStyle w:val="Heading5"/>
        <w:spacing w:before="240"/>
        <w:jc w:val="both"/>
        <w:rPr>
          <w:rFonts w:cs="Times New Roman"/>
        </w:rPr>
      </w:pPr>
      <w:r w:rsidRPr="00A27896">
        <w:rPr>
          <w:rFonts w:cs="Times New Roman"/>
        </w:rPr>
        <w:t>Piezīme Nr. KB.</w:t>
      </w:r>
      <w:r w:rsidR="00C7109A" w:rsidRPr="00A27896">
        <w:rPr>
          <w:rFonts w:cs="Times New Roman"/>
        </w:rPr>
        <w:t>9.5.1</w:t>
      </w:r>
      <w:r w:rsidR="00FC1951" w:rsidRPr="00A27896">
        <w:rPr>
          <w:rFonts w:cs="Times New Roman"/>
        </w:rPr>
        <w:t xml:space="preserve">. </w:t>
      </w:r>
      <w:r w:rsidR="00C7109A" w:rsidRPr="00A27896">
        <w:rPr>
          <w:rFonts w:eastAsia="Times New Roman" w:cs="Times New Roman"/>
          <w:szCs w:val="24"/>
          <w:lang w:eastAsia="lv-LV"/>
        </w:rPr>
        <w:t>Nākotnes maksājumi saskaņā ar līgumiem, kas noslēgti par ārvalstu finanšu palīdzības un Eiropas Savienības politikas instrumentu finansētajiem projektiem</w:t>
      </w:r>
    </w:p>
    <w:p w14:paraId="49A0FF53" w14:textId="532C9F6E" w:rsidR="00FC1951" w:rsidRPr="00A27896" w:rsidRDefault="00FC1951" w:rsidP="00B52F72">
      <w:pPr>
        <w:spacing w:after="120" w:line="240" w:lineRule="auto"/>
        <w:ind w:firstLine="284"/>
        <w:jc w:val="both"/>
        <w:rPr>
          <w:rFonts w:cs="Times New Roman"/>
          <w:color w:val="17365D"/>
        </w:rPr>
      </w:pPr>
      <w:r w:rsidRPr="00A27896">
        <w:rPr>
          <w:rFonts w:cs="Times New Roman"/>
          <w:color w:val="17365D"/>
        </w:rPr>
        <w:t xml:space="preserve">Saskaņā ar iestāžu sniegto informāciju </w:t>
      </w:r>
      <w:r w:rsidR="00B52F72" w:rsidRPr="00A27896">
        <w:rPr>
          <w:rFonts w:cs="Times New Roman"/>
          <w:color w:val="17365D"/>
        </w:rPr>
        <w:t xml:space="preserve">par </w:t>
      </w:r>
      <w:r w:rsidR="00FF22EE" w:rsidRPr="00A27896">
        <w:rPr>
          <w:rFonts w:cs="Times New Roman"/>
          <w:color w:val="17365D"/>
        </w:rPr>
        <w:t xml:space="preserve">šī </w:t>
      </w:r>
      <w:r w:rsidR="00BA4E40" w:rsidRPr="00A27896">
        <w:rPr>
          <w:rFonts w:cs="Times New Roman"/>
          <w:color w:val="17365D"/>
        </w:rPr>
        <w:t>zembilances posteņa</w:t>
      </w:r>
      <w:r w:rsidR="00B52F72" w:rsidRPr="00A27896">
        <w:rPr>
          <w:rFonts w:cs="Times New Roman"/>
          <w:color w:val="17365D"/>
        </w:rPr>
        <w:t xml:space="preserve"> izmaiņām</w:t>
      </w:r>
      <w:r w:rsidRPr="00A27896">
        <w:rPr>
          <w:rFonts w:cs="Times New Roman"/>
          <w:color w:val="17365D"/>
        </w:rPr>
        <w:t>:</w:t>
      </w:r>
    </w:p>
    <w:p w14:paraId="1A322CFF" w14:textId="2D7C625D" w:rsidR="00C7109A" w:rsidRPr="00FF332F" w:rsidRDefault="00FF332F" w:rsidP="004E5915">
      <w:pPr>
        <w:pStyle w:val="ListParagraph"/>
        <w:numPr>
          <w:ilvl w:val="0"/>
          <w:numId w:val="6"/>
        </w:numPr>
        <w:spacing w:before="120" w:after="120" w:line="240" w:lineRule="auto"/>
        <w:ind w:left="851"/>
        <w:contextualSpacing w:val="0"/>
        <w:jc w:val="both"/>
        <w:rPr>
          <w:rFonts w:cs="Times New Roman"/>
          <w:color w:val="17365D"/>
        </w:rPr>
      </w:pPr>
      <w:r w:rsidRPr="00FF332F">
        <w:rPr>
          <w:rFonts w:cs="Times New Roman"/>
          <w:color w:val="17365D"/>
        </w:rPr>
        <w:t>lielākais palielinājums veidojies Satiksmes ministrijai par noslēgto līgumu par Eiropas standarta platuma 1435 mm dzelzceļa līnijas izbūvi Rail Baltica koridorā caur Igauniju, Latviju un Lie</w:t>
      </w:r>
      <w:r>
        <w:rPr>
          <w:rFonts w:cs="Times New Roman"/>
          <w:color w:val="17365D"/>
        </w:rPr>
        <w:t xml:space="preserve">tuvu 1 112 285 187 </w:t>
      </w:r>
      <w:r w:rsidRPr="00FF332F">
        <w:rPr>
          <w:rFonts w:cs="Times New Roman"/>
          <w:i/>
          <w:color w:val="17365D"/>
        </w:rPr>
        <w:t>euro</w:t>
      </w:r>
      <w:r>
        <w:rPr>
          <w:rFonts w:cs="Times New Roman"/>
          <w:color w:val="17365D"/>
        </w:rPr>
        <w:t xml:space="preserve"> vērtībā</w:t>
      </w:r>
      <w:r w:rsidR="005A3AE2" w:rsidRPr="00FF332F">
        <w:rPr>
          <w:rFonts w:cs="Times New Roman"/>
          <w:color w:val="17365D"/>
        </w:rPr>
        <w:t>;</w:t>
      </w:r>
    </w:p>
    <w:p w14:paraId="141CEF41" w14:textId="77FCDB83" w:rsidR="00FF332F" w:rsidRPr="00D70D61" w:rsidRDefault="00FF332F" w:rsidP="004E5915">
      <w:pPr>
        <w:pStyle w:val="ListParagraph"/>
        <w:numPr>
          <w:ilvl w:val="0"/>
          <w:numId w:val="6"/>
        </w:numPr>
        <w:spacing w:before="120" w:after="120" w:line="240" w:lineRule="auto"/>
        <w:ind w:left="851" w:hanging="425"/>
        <w:contextualSpacing w:val="0"/>
        <w:jc w:val="both"/>
        <w:rPr>
          <w:rFonts w:cs="Times New Roman"/>
          <w:color w:val="17365D"/>
        </w:rPr>
      </w:pPr>
      <w:r w:rsidRPr="00FF332F">
        <w:rPr>
          <w:rFonts w:cs="Times New Roman"/>
          <w:color w:val="17365D"/>
        </w:rPr>
        <w:t xml:space="preserve">Finanšu </w:t>
      </w:r>
      <w:r w:rsidRPr="00D70D61">
        <w:rPr>
          <w:rFonts w:cs="Times New Roman"/>
          <w:color w:val="17365D"/>
        </w:rPr>
        <w:t xml:space="preserve">ministrijai </w:t>
      </w:r>
      <w:r w:rsidR="00DA25C4" w:rsidRPr="00D70D61">
        <w:rPr>
          <w:rFonts w:cs="Times New Roman"/>
          <w:color w:val="17365D"/>
        </w:rPr>
        <w:t xml:space="preserve">veidojies palielinājums 301 381 091 </w:t>
      </w:r>
      <w:r w:rsidR="00DA25C4" w:rsidRPr="00D70D61">
        <w:rPr>
          <w:rFonts w:cs="Times New Roman"/>
          <w:i/>
          <w:color w:val="17365D"/>
        </w:rPr>
        <w:t>euro</w:t>
      </w:r>
      <w:r w:rsidR="00DA25C4" w:rsidRPr="00D70D61">
        <w:rPr>
          <w:rFonts w:cs="Times New Roman"/>
          <w:color w:val="17365D"/>
        </w:rPr>
        <w:t xml:space="preserve"> vērtībā</w:t>
      </w:r>
      <w:r w:rsidR="00DA25C4" w:rsidRPr="00D70D61">
        <w:rPr>
          <w:rFonts w:cs="Times New Roman"/>
          <w:i/>
          <w:color w:val="17365D"/>
        </w:rPr>
        <w:t xml:space="preserve"> </w:t>
      </w:r>
      <w:r w:rsidRPr="00D70D61">
        <w:rPr>
          <w:rFonts w:cs="Times New Roman"/>
          <w:color w:val="17365D"/>
        </w:rPr>
        <w:t xml:space="preserve">par </w:t>
      </w:r>
      <w:r w:rsidR="00D70D61" w:rsidRPr="00D70D61">
        <w:rPr>
          <w:rFonts w:cs="Times New Roman"/>
          <w:color w:val="17365D"/>
        </w:rPr>
        <w:t xml:space="preserve">noslēgtajiem </w:t>
      </w:r>
      <w:r w:rsidRPr="00D70D61">
        <w:rPr>
          <w:rFonts w:cs="Times New Roman"/>
          <w:color w:val="17365D"/>
        </w:rPr>
        <w:t xml:space="preserve">līgumiem ES Atveseļošanas un noturības mehānisma </w:t>
      </w:r>
      <w:r w:rsidR="00D70D61" w:rsidRPr="00D70D61">
        <w:rPr>
          <w:rFonts w:cs="Times New Roman"/>
          <w:color w:val="17365D"/>
        </w:rPr>
        <w:t xml:space="preserve">projektu īstenošanai </w:t>
      </w:r>
      <w:r w:rsidRPr="00D70D61">
        <w:rPr>
          <w:rFonts w:cs="Times New Roman"/>
          <w:color w:val="17365D"/>
        </w:rPr>
        <w:t>105 145</w:t>
      </w:r>
      <w:r w:rsidR="00D70D61" w:rsidRPr="00D70D61">
        <w:rPr>
          <w:rFonts w:cs="Times New Roman"/>
          <w:color w:val="17365D"/>
        </w:rPr>
        <w:t> </w:t>
      </w:r>
      <w:r w:rsidRPr="00D70D61">
        <w:rPr>
          <w:rFonts w:cs="Times New Roman"/>
          <w:color w:val="17365D"/>
        </w:rPr>
        <w:t>288</w:t>
      </w:r>
      <w:r w:rsidR="00D70D61" w:rsidRPr="00D70D61">
        <w:rPr>
          <w:rFonts w:cs="Times New Roman"/>
          <w:color w:val="17365D"/>
        </w:rPr>
        <w:t> </w:t>
      </w:r>
      <w:r w:rsidRPr="00D70D61">
        <w:rPr>
          <w:rFonts w:cs="Times New Roman"/>
          <w:i/>
          <w:color w:val="17365D"/>
        </w:rPr>
        <w:t>euro</w:t>
      </w:r>
      <w:r w:rsidRPr="00D70D61">
        <w:rPr>
          <w:rFonts w:cs="Times New Roman"/>
          <w:color w:val="17365D"/>
        </w:rPr>
        <w:t xml:space="preserve"> vērtībā un Eiropas Reģionālās attīstības fonda Plus 2021.</w:t>
      </w:r>
      <w:r w:rsidR="00B61F36" w:rsidRPr="00D70D61">
        <w:rPr>
          <w:rFonts w:cs="Times New Roman"/>
          <w:color w:val="17365D"/>
        </w:rPr>
        <w:t xml:space="preserve"> – </w:t>
      </w:r>
      <w:r w:rsidRPr="00D70D61">
        <w:rPr>
          <w:rFonts w:cs="Times New Roman"/>
          <w:color w:val="17365D"/>
        </w:rPr>
        <w:t>2027.gada plānošanas perio</w:t>
      </w:r>
      <w:r w:rsidR="00DA25C4" w:rsidRPr="00D70D61">
        <w:rPr>
          <w:rFonts w:cs="Times New Roman"/>
          <w:color w:val="17365D"/>
        </w:rPr>
        <w:t>d</w:t>
      </w:r>
      <w:r w:rsidRPr="00D70D61">
        <w:rPr>
          <w:rFonts w:cs="Times New Roman"/>
          <w:color w:val="17365D"/>
        </w:rPr>
        <w:t xml:space="preserve">a projektu īstenošanai 196 235 803 </w:t>
      </w:r>
      <w:r w:rsidRPr="00D70D61">
        <w:rPr>
          <w:rFonts w:cs="Times New Roman"/>
          <w:i/>
          <w:color w:val="17365D"/>
        </w:rPr>
        <w:t>euro</w:t>
      </w:r>
      <w:r w:rsidRPr="00D70D61">
        <w:rPr>
          <w:rFonts w:cs="Times New Roman"/>
          <w:color w:val="17365D"/>
        </w:rPr>
        <w:t xml:space="preserve"> vērtībā;</w:t>
      </w:r>
    </w:p>
    <w:p w14:paraId="3D3DDEAA" w14:textId="27FCC156" w:rsidR="00FF332F" w:rsidRDefault="00B61F36" w:rsidP="004E5915">
      <w:pPr>
        <w:pStyle w:val="ListParagraph"/>
        <w:numPr>
          <w:ilvl w:val="0"/>
          <w:numId w:val="6"/>
        </w:numPr>
        <w:spacing w:before="120" w:after="120" w:line="240" w:lineRule="auto"/>
        <w:ind w:left="851"/>
        <w:contextualSpacing w:val="0"/>
        <w:jc w:val="both"/>
        <w:rPr>
          <w:rFonts w:eastAsia="Times New Roman" w:cs="Times New Roman"/>
          <w:color w:val="17365D"/>
          <w:szCs w:val="24"/>
          <w:lang w:eastAsia="lv-LV"/>
        </w:rPr>
      </w:pPr>
      <w:r w:rsidRPr="00B61F36">
        <w:rPr>
          <w:rFonts w:eastAsia="Times New Roman" w:cs="Times New Roman"/>
          <w:color w:val="17365D"/>
          <w:szCs w:val="24"/>
          <w:lang w:eastAsia="lv-LV"/>
        </w:rPr>
        <w:t>Ekonomikas ministrijai izmaiņas saistītas ar Atveseļošanas fonda finansējumu investīcijām Elektroenerģijas pārvades un sadales tīklu modernizāci</w:t>
      </w:r>
      <w:r>
        <w:rPr>
          <w:rFonts w:eastAsia="Times New Roman" w:cs="Times New Roman"/>
          <w:color w:val="17365D"/>
          <w:szCs w:val="24"/>
          <w:lang w:eastAsia="lv-LV"/>
        </w:rPr>
        <w:t>jas projektu īstenošanai 56 000 </w:t>
      </w:r>
      <w:r w:rsidRPr="00B61F36">
        <w:rPr>
          <w:rFonts w:eastAsia="Times New Roman" w:cs="Times New Roman"/>
          <w:color w:val="17365D"/>
          <w:szCs w:val="24"/>
          <w:lang w:eastAsia="lv-LV"/>
        </w:rPr>
        <w:t xml:space="preserve">000 </w:t>
      </w:r>
      <w:r w:rsidRPr="00B61F36">
        <w:rPr>
          <w:rFonts w:eastAsia="Times New Roman" w:cs="Times New Roman"/>
          <w:i/>
          <w:color w:val="17365D"/>
          <w:szCs w:val="24"/>
          <w:lang w:eastAsia="lv-LV"/>
        </w:rPr>
        <w:t>euro</w:t>
      </w:r>
      <w:r>
        <w:rPr>
          <w:rFonts w:eastAsia="Times New Roman" w:cs="Times New Roman"/>
          <w:color w:val="17365D"/>
          <w:szCs w:val="24"/>
          <w:lang w:eastAsia="lv-LV"/>
        </w:rPr>
        <w:t xml:space="preserve"> vērtībā;</w:t>
      </w:r>
    </w:p>
    <w:p w14:paraId="10F79E12" w14:textId="08EB3A4F" w:rsidR="00B61F36" w:rsidRDefault="00B61F36" w:rsidP="004E5915">
      <w:pPr>
        <w:pStyle w:val="ListParagraph"/>
        <w:numPr>
          <w:ilvl w:val="0"/>
          <w:numId w:val="6"/>
        </w:numPr>
        <w:spacing w:before="120" w:after="120" w:line="240" w:lineRule="auto"/>
        <w:ind w:left="851"/>
        <w:contextualSpacing w:val="0"/>
        <w:jc w:val="both"/>
        <w:rPr>
          <w:rFonts w:cs="Times New Roman"/>
          <w:color w:val="17365D"/>
        </w:rPr>
      </w:pPr>
      <w:r w:rsidRPr="00345061">
        <w:rPr>
          <w:rFonts w:cs="Times New Roman"/>
          <w:color w:val="17365D"/>
        </w:rPr>
        <w:t xml:space="preserve">lielākais samazinājums (634 952 256) </w:t>
      </w:r>
      <w:r w:rsidRPr="00B61F36">
        <w:rPr>
          <w:rFonts w:cs="Times New Roman"/>
          <w:i/>
          <w:color w:val="17365D"/>
        </w:rPr>
        <w:t>euro</w:t>
      </w:r>
      <w:r w:rsidRPr="00345061">
        <w:rPr>
          <w:rFonts w:cs="Times New Roman"/>
          <w:color w:val="17365D"/>
        </w:rPr>
        <w:t xml:space="preserve"> </w:t>
      </w:r>
      <w:r>
        <w:rPr>
          <w:rFonts w:cs="Times New Roman"/>
          <w:color w:val="17365D"/>
        </w:rPr>
        <w:t xml:space="preserve">vērtībā </w:t>
      </w:r>
      <w:r w:rsidR="00233D42">
        <w:rPr>
          <w:rFonts w:cs="Times New Roman"/>
          <w:color w:val="17365D"/>
        </w:rPr>
        <w:t xml:space="preserve">bijis </w:t>
      </w:r>
      <w:r w:rsidRPr="00345061">
        <w:rPr>
          <w:rFonts w:cs="Times New Roman"/>
          <w:color w:val="17365D"/>
        </w:rPr>
        <w:t xml:space="preserve">Finanšu ministrijai </w:t>
      </w:r>
      <w:r w:rsidR="00233D42">
        <w:rPr>
          <w:rFonts w:cs="Times New Roman"/>
          <w:color w:val="17365D"/>
        </w:rPr>
        <w:t xml:space="preserve">īstenojot </w:t>
      </w:r>
      <w:r w:rsidRPr="00345061">
        <w:rPr>
          <w:rFonts w:cs="Times New Roman"/>
          <w:color w:val="17365D"/>
        </w:rPr>
        <w:t xml:space="preserve">Eiropas Reģionālās attīstības fonda, Kohēzijas fonda un Eiropas Sociālā fonda </w:t>
      </w:r>
      <w:r w:rsidRPr="00CB7B48">
        <w:rPr>
          <w:rFonts w:cs="Times New Roman"/>
          <w:color w:val="17365D"/>
        </w:rPr>
        <w:t>2014</w:t>
      </w:r>
      <w:r>
        <w:rPr>
          <w:rFonts w:cs="Times New Roman"/>
          <w:color w:val="17365D"/>
        </w:rPr>
        <w:t>.</w:t>
      </w:r>
      <w:r w:rsidRPr="00CB7B48">
        <w:rPr>
          <w:rFonts w:cs="Times New Roman"/>
          <w:color w:val="17365D"/>
        </w:rPr>
        <w:t xml:space="preserve"> – 2020</w:t>
      </w:r>
      <w:r w:rsidRPr="00345061">
        <w:rPr>
          <w:rFonts w:cs="Times New Roman"/>
          <w:color w:val="17365D"/>
        </w:rPr>
        <w:t xml:space="preserve">. </w:t>
      </w:r>
      <w:r>
        <w:rPr>
          <w:rFonts w:cs="Times New Roman"/>
          <w:color w:val="17365D"/>
        </w:rPr>
        <w:t xml:space="preserve">gada </w:t>
      </w:r>
      <w:r w:rsidRPr="001C3A6E">
        <w:rPr>
          <w:rFonts w:cs="Times New Roman"/>
          <w:color w:val="17365D"/>
        </w:rPr>
        <w:t>plānošanas perioda finansēt</w:t>
      </w:r>
      <w:r w:rsidR="00233D42">
        <w:rPr>
          <w:rFonts w:cs="Times New Roman"/>
          <w:color w:val="17365D"/>
        </w:rPr>
        <w:t>us</w:t>
      </w:r>
      <w:r w:rsidRPr="001C3A6E">
        <w:rPr>
          <w:rFonts w:cs="Times New Roman"/>
          <w:color w:val="17365D"/>
        </w:rPr>
        <w:t xml:space="preserve"> projekt</w:t>
      </w:r>
      <w:r w:rsidR="00233D42">
        <w:rPr>
          <w:rFonts w:cs="Times New Roman"/>
          <w:color w:val="17365D"/>
        </w:rPr>
        <w:t>us.</w:t>
      </w:r>
    </w:p>
    <w:p w14:paraId="735B4AAE" w14:textId="4328ACA9" w:rsidR="00B61F36" w:rsidRPr="00B61F36" w:rsidRDefault="00B61F36" w:rsidP="004E5915">
      <w:pPr>
        <w:pStyle w:val="ListParagraph"/>
        <w:numPr>
          <w:ilvl w:val="0"/>
          <w:numId w:val="6"/>
        </w:numPr>
        <w:spacing w:before="120" w:after="120" w:line="240" w:lineRule="auto"/>
        <w:ind w:left="851"/>
        <w:contextualSpacing w:val="0"/>
        <w:jc w:val="both"/>
        <w:rPr>
          <w:rFonts w:eastAsia="Times New Roman" w:cs="Times New Roman"/>
          <w:color w:val="17365D"/>
          <w:szCs w:val="24"/>
          <w:lang w:eastAsia="lv-LV"/>
        </w:rPr>
      </w:pPr>
      <w:r w:rsidRPr="00B61F36">
        <w:rPr>
          <w:rFonts w:eastAsia="Times New Roman" w:cs="Times New Roman"/>
          <w:color w:val="17365D"/>
          <w:szCs w:val="24"/>
          <w:lang w:eastAsia="lv-LV"/>
        </w:rPr>
        <w:t xml:space="preserve">Rīgas valstspilsētai samazinājumu veido maksājumi </w:t>
      </w:r>
      <w:r w:rsidR="00233D42">
        <w:rPr>
          <w:rFonts w:eastAsia="Times New Roman" w:cs="Times New Roman"/>
          <w:color w:val="17365D"/>
          <w:szCs w:val="24"/>
          <w:lang w:eastAsia="lv-LV"/>
        </w:rPr>
        <w:t>ES</w:t>
      </w:r>
      <w:r w:rsidRPr="00B61F36">
        <w:rPr>
          <w:rFonts w:eastAsia="Times New Roman" w:cs="Times New Roman"/>
          <w:color w:val="17365D"/>
          <w:szCs w:val="24"/>
          <w:lang w:eastAsia="lv-LV"/>
        </w:rPr>
        <w:t xml:space="preserve"> fondu 2014. – 2020. gada plānošanas pe</w:t>
      </w:r>
      <w:r>
        <w:rPr>
          <w:rFonts w:eastAsia="Times New Roman" w:cs="Times New Roman"/>
          <w:color w:val="17365D"/>
          <w:szCs w:val="24"/>
          <w:lang w:eastAsia="lv-LV"/>
        </w:rPr>
        <w:t>rioda projektu ietvaros (51 281 </w:t>
      </w:r>
      <w:r w:rsidRPr="00B61F36">
        <w:rPr>
          <w:rFonts w:eastAsia="Times New Roman" w:cs="Times New Roman"/>
          <w:color w:val="17365D"/>
          <w:szCs w:val="24"/>
          <w:lang w:eastAsia="lv-LV"/>
        </w:rPr>
        <w:t xml:space="preserve">154) </w:t>
      </w:r>
      <w:r w:rsidRPr="00B61F36">
        <w:rPr>
          <w:rFonts w:eastAsia="Times New Roman" w:cs="Times New Roman"/>
          <w:i/>
          <w:color w:val="17365D"/>
          <w:szCs w:val="24"/>
          <w:lang w:eastAsia="lv-LV"/>
        </w:rPr>
        <w:t>euro</w:t>
      </w:r>
      <w:r w:rsidRPr="00B61F36">
        <w:rPr>
          <w:rFonts w:eastAsia="Times New Roman" w:cs="Times New Roman"/>
          <w:color w:val="17365D"/>
          <w:szCs w:val="24"/>
          <w:lang w:eastAsia="lv-LV"/>
        </w:rPr>
        <w:t xml:space="preserve"> vērtībā. </w:t>
      </w:r>
    </w:p>
    <w:p w14:paraId="71FDFA67" w14:textId="5076FD5B" w:rsidR="004726F6" w:rsidRPr="00A27896" w:rsidRDefault="00C67DC5" w:rsidP="00B16A51">
      <w:pPr>
        <w:pStyle w:val="Heading5"/>
        <w:jc w:val="both"/>
        <w:rPr>
          <w:rFonts w:cs="Times New Roman"/>
        </w:rPr>
      </w:pPr>
      <w:r w:rsidRPr="00A27896">
        <w:rPr>
          <w:rFonts w:cs="Times New Roman"/>
        </w:rPr>
        <w:t xml:space="preserve">Piezīme Nr. </w:t>
      </w:r>
      <w:r w:rsidR="004726F6" w:rsidRPr="00A27896">
        <w:rPr>
          <w:rFonts w:cs="Times New Roman"/>
        </w:rPr>
        <w:t>KB.</w:t>
      </w:r>
      <w:r w:rsidR="00A36FE8" w:rsidRPr="00A27896">
        <w:rPr>
          <w:rFonts w:cs="Times New Roman"/>
        </w:rPr>
        <w:t>9.5.</w:t>
      </w:r>
      <w:r w:rsidR="005A3AE2" w:rsidRPr="00A27896">
        <w:rPr>
          <w:rFonts w:cs="Times New Roman"/>
        </w:rPr>
        <w:t>2</w:t>
      </w:r>
      <w:r w:rsidR="004726F6" w:rsidRPr="00A27896">
        <w:rPr>
          <w:rFonts w:cs="Times New Roman"/>
        </w:rPr>
        <w:t xml:space="preserve">. </w:t>
      </w:r>
      <w:r w:rsidR="00B61F36" w:rsidRPr="00B61F36">
        <w:rPr>
          <w:rFonts w:cs="Times New Roman"/>
        </w:rPr>
        <w:t>Nākotnes saistības saskaņā ar līgumiem un vadības lēmumiem par ilgtermiņa ieguldījumu iegādi un izveidošanu, izņemot tos, kas noslēgti par ārvalstu finanšu palīdzības un Eiropas Savienības politiku instrumentu finansētajiem projektiem</w:t>
      </w:r>
    </w:p>
    <w:p w14:paraId="2E390D2F" w14:textId="77777777" w:rsidR="005D171A" w:rsidRDefault="00B61F36" w:rsidP="008F314E">
      <w:pPr>
        <w:spacing w:after="120" w:line="240" w:lineRule="auto"/>
        <w:ind w:firstLine="284"/>
        <w:contextualSpacing/>
        <w:jc w:val="both"/>
        <w:rPr>
          <w:rFonts w:cs="Times New Roman"/>
          <w:color w:val="17365D"/>
        </w:rPr>
      </w:pPr>
      <w:r w:rsidRPr="00B61F36">
        <w:rPr>
          <w:rFonts w:cs="Times New Roman"/>
          <w:color w:val="17365D"/>
        </w:rPr>
        <w:t>Saskaņā ar iestāžu sniegto informāciju šī zembilances posteņa izmaiņas veido</w:t>
      </w:r>
      <w:r w:rsidR="005D171A">
        <w:rPr>
          <w:rFonts w:cs="Times New Roman"/>
          <w:color w:val="17365D"/>
        </w:rPr>
        <w:t>:</w:t>
      </w:r>
    </w:p>
    <w:p w14:paraId="2E3982A5" w14:textId="77777777" w:rsidR="005D171A" w:rsidRPr="005D171A" w:rsidRDefault="00B61F36" w:rsidP="00146A16">
      <w:pPr>
        <w:pStyle w:val="ListParagraph"/>
        <w:numPr>
          <w:ilvl w:val="0"/>
          <w:numId w:val="41"/>
        </w:numPr>
        <w:spacing w:after="120" w:line="240" w:lineRule="auto"/>
        <w:ind w:left="1003" w:hanging="357"/>
        <w:contextualSpacing w:val="0"/>
        <w:jc w:val="both"/>
        <w:rPr>
          <w:rFonts w:cs="Times New Roman"/>
          <w:color w:val="17365D"/>
        </w:rPr>
      </w:pPr>
      <w:r w:rsidRPr="005D171A">
        <w:rPr>
          <w:rFonts w:cs="Times New Roman"/>
          <w:color w:val="17365D"/>
        </w:rPr>
        <w:t>Aizsardzības ministrijas noslēgt</w:t>
      </w:r>
      <w:r w:rsidR="00F71A7A" w:rsidRPr="005D171A">
        <w:rPr>
          <w:rFonts w:cs="Times New Roman"/>
          <w:color w:val="17365D"/>
        </w:rPr>
        <w:t>o</w:t>
      </w:r>
      <w:r w:rsidRPr="005D171A">
        <w:rPr>
          <w:rFonts w:cs="Times New Roman"/>
          <w:color w:val="17365D"/>
        </w:rPr>
        <w:t xml:space="preserve"> ilgtermiņa līgum</w:t>
      </w:r>
      <w:r w:rsidR="00F71A7A" w:rsidRPr="005D171A">
        <w:rPr>
          <w:rFonts w:cs="Times New Roman"/>
          <w:color w:val="17365D"/>
        </w:rPr>
        <w:t>u</w:t>
      </w:r>
      <w:r w:rsidRPr="005D171A">
        <w:rPr>
          <w:rFonts w:cs="Times New Roman"/>
          <w:color w:val="17365D"/>
        </w:rPr>
        <w:t xml:space="preserve"> </w:t>
      </w:r>
      <w:r w:rsidR="00F71A7A" w:rsidRPr="005D171A">
        <w:rPr>
          <w:rFonts w:cs="Times New Roman"/>
          <w:color w:val="17365D"/>
        </w:rPr>
        <w:t xml:space="preserve">palielinājums par militāro aktīvu un pretgaisa aizsardzības sistēmu iegādi </w:t>
      </w:r>
      <w:r w:rsidRPr="005D171A">
        <w:rPr>
          <w:rFonts w:cs="Times New Roman"/>
          <w:color w:val="17365D"/>
        </w:rPr>
        <w:t xml:space="preserve">659 871 894 </w:t>
      </w:r>
      <w:r w:rsidRPr="005D171A">
        <w:rPr>
          <w:rFonts w:cs="Times New Roman"/>
          <w:i/>
          <w:color w:val="17365D"/>
        </w:rPr>
        <w:t>euro</w:t>
      </w:r>
      <w:r w:rsidR="005D171A" w:rsidRPr="005D171A">
        <w:rPr>
          <w:rFonts w:cs="Times New Roman"/>
          <w:color w:val="17365D"/>
        </w:rPr>
        <w:t xml:space="preserve"> vērtībā;</w:t>
      </w:r>
    </w:p>
    <w:p w14:paraId="02E34FB9" w14:textId="77777777" w:rsidR="005D171A" w:rsidRPr="005D171A" w:rsidRDefault="00B61F36" w:rsidP="00146A16">
      <w:pPr>
        <w:pStyle w:val="ListParagraph"/>
        <w:numPr>
          <w:ilvl w:val="0"/>
          <w:numId w:val="41"/>
        </w:numPr>
        <w:spacing w:after="120" w:line="240" w:lineRule="auto"/>
        <w:ind w:left="1003" w:hanging="357"/>
        <w:contextualSpacing w:val="0"/>
        <w:jc w:val="both"/>
        <w:rPr>
          <w:rFonts w:cs="Times New Roman"/>
          <w:color w:val="17365D"/>
        </w:rPr>
      </w:pPr>
      <w:r w:rsidRPr="005D171A">
        <w:rPr>
          <w:rFonts w:cs="Times New Roman"/>
          <w:color w:val="17365D"/>
        </w:rPr>
        <w:t xml:space="preserve">Finanšu ministrijai palielinājums par 2026. gadā plānoto maksājumu Eiropas Stabilitātes mehānismā 103 900 852 </w:t>
      </w:r>
      <w:r w:rsidRPr="005D171A">
        <w:rPr>
          <w:rFonts w:cs="Times New Roman"/>
          <w:i/>
          <w:color w:val="17365D"/>
        </w:rPr>
        <w:t>euro</w:t>
      </w:r>
      <w:r w:rsidRPr="005D171A">
        <w:rPr>
          <w:rFonts w:cs="Times New Roman"/>
          <w:color w:val="17365D"/>
        </w:rPr>
        <w:t xml:space="preserve"> vērtībā</w:t>
      </w:r>
      <w:r w:rsidR="005D171A" w:rsidRPr="005D171A">
        <w:rPr>
          <w:rFonts w:cs="Times New Roman"/>
          <w:color w:val="17365D"/>
        </w:rPr>
        <w:t>;</w:t>
      </w:r>
    </w:p>
    <w:p w14:paraId="57849752" w14:textId="77777777" w:rsidR="005D171A" w:rsidRPr="005D171A" w:rsidRDefault="00B61F36" w:rsidP="00146A16">
      <w:pPr>
        <w:pStyle w:val="ListParagraph"/>
        <w:numPr>
          <w:ilvl w:val="0"/>
          <w:numId w:val="41"/>
        </w:numPr>
        <w:spacing w:after="120" w:line="240" w:lineRule="auto"/>
        <w:ind w:left="1003" w:hanging="357"/>
        <w:contextualSpacing w:val="0"/>
        <w:jc w:val="both"/>
        <w:rPr>
          <w:rFonts w:cs="Times New Roman"/>
          <w:color w:val="17365D"/>
        </w:rPr>
      </w:pPr>
      <w:r w:rsidRPr="005D171A">
        <w:rPr>
          <w:rFonts w:cs="Times New Roman"/>
          <w:color w:val="17365D"/>
        </w:rPr>
        <w:t xml:space="preserve">Iekšlietu ministrijai </w:t>
      </w:r>
      <w:r w:rsidR="00E9211B" w:rsidRPr="005D171A">
        <w:rPr>
          <w:rFonts w:cs="Times New Roman"/>
          <w:color w:val="17365D"/>
        </w:rPr>
        <w:softHyphen/>
        <w:t xml:space="preserve"> </w:t>
      </w:r>
      <w:r w:rsidRPr="005D171A">
        <w:rPr>
          <w:rFonts w:cs="Times New Roman"/>
          <w:color w:val="17365D"/>
        </w:rPr>
        <w:t xml:space="preserve">saistībā ar ilgtermiņa ieguldījumu iegādi 26 816 760 </w:t>
      </w:r>
      <w:r w:rsidRPr="005D171A">
        <w:rPr>
          <w:rFonts w:cs="Times New Roman"/>
          <w:i/>
          <w:color w:val="17365D"/>
        </w:rPr>
        <w:t>euro</w:t>
      </w:r>
      <w:r w:rsidRPr="005D171A">
        <w:rPr>
          <w:rFonts w:cs="Times New Roman"/>
          <w:color w:val="17365D"/>
        </w:rPr>
        <w:t xml:space="preserve"> vērtībā, valsts ārējās sauszemes robežas izbūvi 45 037 847 </w:t>
      </w:r>
      <w:r w:rsidRPr="005D171A">
        <w:rPr>
          <w:rFonts w:cs="Times New Roman"/>
          <w:i/>
          <w:color w:val="17365D"/>
        </w:rPr>
        <w:t>euro</w:t>
      </w:r>
      <w:r w:rsidRPr="005D171A">
        <w:rPr>
          <w:rFonts w:cs="Times New Roman"/>
          <w:color w:val="17365D"/>
        </w:rPr>
        <w:t xml:space="preserve"> vērtībā un Katastrofu pārvaldības centru jaunbūvju būvniecību 42 610 357 </w:t>
      </w:r>
      <w:r w:rsidRPr="005D171A">
        <w:rPr>
          <w:rFonts w:cs="Times New Roman"/>
          <w:i/>
          <w:color w:val="17365D"/>
        </w:rPr>
        <w:t xml:space="preserve">euro </w:t>
      </w:r>
      <w:r w:rsidRPr="005D171A">
        <w:rPr>
          <w:rFonts w:cs="Times New Roman"/>
          <w:color w:val="17365D"/>
        </w:rPr>
        <w:t>vērtībā</w:t>
      </w:r>
      <w:r w:rsidR="005D171A" w:rsidRPr="005D171A">
        <w:rPr>
          <w:rFonts w:cs="Times New Roman"/>
          <w:color w:val="17365D"/>
        </w:rPr>
        <w:t>;</w:t>
      </w:r>
    </w:p>
    <w:p w14:paraId="493B0B2E" w14:textId="77777777" w:rsidR="005D171A" w:rsidRPr="005D171A" w:rsidRDefault="00B61F36" w:rsidP="00146A16">
      <w:pPr>
        <w:pStyle w:val="ListParagraph"/>
        <w:numPr>
          <w:ilvl w:val="0"/>
          <w:numId w:val="41"/>
        </w:numPr>
        <w:spacing w:after="120" w:line="240" w:lineRule="auto"/>
        <w:ind w:left="1003" w:hanging="357"/>
        <w:contextualSpacing w:val="0"/>
        <w:jc w:val="both"/>
        <w:rPr>
          <w:rFonts w:cs="Times New Roman"/>
          <w:color w:val="17365D"/>
        </w:rPr>
      </w:pPr>
      <w:r w:rsidRPr="005D171A">
        <w:rPr>
          <w:rFonts w:cs="Times New Roman"/>
          <w:color w:val="17365D"/>
        </w:rPr>
        <w:t xml:space="preserve">Satiksmes ministrijai samazinājums saistībā ar ekspluatācijā nodoto publiskās un privātās partnerības aktīvu (63 028 788) </w:t>
      </w:r>
      <w:r w:rsidRPr="005D171A">
        <w:rPr>
          <w:rFonts w:cs="Times New Roman"/>
          <w:i/>
          <w:color w:val="17365D"/>
        </w:rPr>
        <w:t xml:space="preserve">euro </w:t>
      </w:r>
      <w:r w:rsidR="005D171A" w:rsidRPr="005D171A">
        <w:rPr>
          <w:rFonts w:cs="Times New Roman"/>
          <w:color w:val="17365D"/>
        </w:rPr>
        <w:t>vērtībā;</w:t>
      </w:r>
    </w:p>
    <w:p w14:paraId="100C699D" w14:textId="5219F78F" w:rsidR="00E361CC" w:rsidRPr="005D171A" w:rsidRDefault="00B61F36" w:rsidP="00146A16">
      <w:pPr>
        <w:pStyle w:val="ListParagraph"/>
        <w:numPr>
          <w:ilvl w:val="0"/>
          <w:numId w:val="41"/>
        </w:numPr>
        <w:spacing w:after="120" w:line="240" w:lineRule="auto"/>
        <w:ind w:left="1003" w:hanging="357"/>
        <w:contextualSpacing w:val="0"/>
        <w:jc w:val="both"/>
        <w:rPr>
          <w:rFonts w:cs="Times New Roman"/>
          <w:color w:val="17365D"/>
        </w:rPr>
      </w:pPr>
      <w:r w:rsidRPr="005D171A">
        <w:rPr>
          <w:rFonts w:cs="Times New Roman"/>
          <w:color w:val="17365D"/>
        </w:rPr>
        <w:lastRenderedPageBreak/>
        <w:t xml:space="preserve">Rīgas valstspilsētai samazinājums nākotnes saistībām par Austrumu maģistrāles posma </w:t>
      </w:r>
      <w:r w:rsidR="00E9211B" w:rsidRPr="005D171A">
        <w:rPr>
          <w:rFonts w:cs="Times New Roman"/>
          <w:color w:val="17365D"/>
        </w:rPr>
        <w:t>“</w:t>
      </w:r>
      <w:r w:rsidRPr="005D171A">
        <w:rPr>
          <w:rFonts w:cs="Times New Roman"/>
          <w:color w:val="17365D"/>
        </w:rPr>
        <w:t>Ieriķu -Vietalvas iela</w:t>
      </w:r>
      <w:r w:rsidR="00E9211B" w:rsidRPr="005D171A">
        <w:rPr>
          <w:rFonts w:cs="Times New Roman"/>
          <w:color w:val="17365D"/>
        </w:rPr>
        <w:t>”</w:t>
      </w:r>
      <w:r w:rsidRPr="005D171A">
        <w:rPr>
          <w:rFonts w:cs="Times New Roman"/>
          <w:color w:val="17365D"/>
        </w:rPr>
        <w:t xml:space="preserve"> 2. kārtas izbūvi (12 228 023) </w:t>
      </w:r>
      <w:r w:rsidRPr="005D171A">
        <w:rPr>
          <w:rFonts w:cs="Times New Roman"/>
          <w:i/>
          <w:color w:val="17365D"/>
        </w:rPr>
        <w:t>euro</w:t>
      </w:r>
      <w:r w:rsidRPr="005D171A">
        <w:rPr>
          <w:rFonts w:cs="Times New Roman"/>
          <w:color w:val="17365D"/>
        </w:rPr>
        <w:t xml:space="preserve"> vērtībā.</w:t>
      </w:r>
    </w:p>
    <w:p w14:paraId="562F4DAC" w14:textId="5EE655D1" w:rsidR="005C75BB" w:rsidRPr="00A27896" w:rsidRDefault="000229AE" w:rsidP="00251099">
      <w:pPr>
        <w:pStyle w:val="Heading5"/>
        <w:jc w:val="both"/>
        <w:rPr>
          <w:rFonts w:cs="Times New Roman"/>
          <w:highlight w:val="yellow"/>
        </w:rPr>
      </w:pPr>
      <w:r w:rsidRPr="00A27896">
        <w:rPr>
          <w:rFonts w:cs="Times New Roman"/>
        </w:rPr>
        <w:t>Piezīme Nr. KB.9.5.3.</w:t>
      </w:r>
      <w:r w:rsidRPr="00A27896">
        <w:rPr>
          <w:rFonts w:eastAsia="Times New Roman" w:cs="Times New Roman"/>
          <w:i w:val="0"/>
          <w:sz w:val="18"/>
          <w:szCs w:val="18"/>
          <w:lang w:eastAsia="lv-LV"/>
        </w:rPr>
        <w:t xml:space="preserve"> </w:t>
      </w:r>
      <w:r w:rsidR="00251099" w:rsidRPr="00B42D03">
        <w:rPr>
          <w:rFonts w:cs="Times New Roman"/>
        </w:rPr>
        <w:t>Nākotnes saistības saskaņā ar līgumiem un vadības lēmumiem par preču un pakalpojumu iegādi, izņemot tos, kas noslēgti par ārvalstu finanšu palīdzības un Eiropas Savienības politiku instrumentu finansētajiem projektiem un nomu</w:t>
      </w:r>
    </w:p>
    <w:p w14:paraId="0E9D18DA" w14:textId="77777777" w:rsidR="005D171A" w:rsidRDefault="005D171A" w:rsidP="005D171A">
      <w:pPr>
        <w:spacing w:after="120" w:line="240" w:lineRule="auto"/>
        <w:ind w:firstLine="284"/>
        <w:contextualSpacing/>
        <w:jc w:val="both"/>
        <w:rPr>
          <w:rFonts w:cs="Times New Roman"/>
          <w:color w:val="17365D"/>
        </w:rPr>
      </w:pPr>
      <w:r w:rsidRPr="00B61F36">
        <w:rPr>
          <w:rFonts w:cs="Times New Roman"/>
          <w:color w:val="17365D"/>
        </w:rPr>
        <w:t>Saskaņā ar iestāžu sniegto informāciju šī zembilances posteņa izmaiņas veido</w:t>
      </w:r>
      <w:r>
        <w:rPr>
          <w:rFonts w:cs="Times New Roman"/>
          <w:color w:val="17365D"/>
        </w:rPr>
        <w:t>:</w:t>
      </w:r>
    </w:p>
    <w:p w14:paraId="1C6FC7DC" w14:textId="6B5C10F1" w:rsidR="00251099" w:rsidRDefault="00251099" w:rsidP="00146A16">
      <w:pPr>
        <w:pStyle w:val="Pamatteksts1"/>
        <w:numPr>
          <w:ilvl w:val="0"/>
          <w:numId w:val="42"/>
        </w:numPr>
        <w:rPr>
          <w:rFonts w:eastAsiaTheme="minorHAnsi"/>
          <w:noProof w:val="0"/>
          <w:color w:val="17365D"/>
          <w:szCs w:val="22"/>
          <w:lang w:eastAsia="en-US"/>
        </w:rPr>
      </w:pPr>
      <w:r w:rsidRPr="00816F72">
        <w:rPr>
          <w:rFonts w:eastAsiaTheme="minorHAnsi"/>
          <w:noProof w:val="0"/>
          <w:color w:val="17365D"/>
          <w:szCs w:val="22"/>
          <w:lang w:eastAsia="en-US"/>
        </w:rPr>
        <w:t>Aizsardzības</w:t>
      </w:r>
      <w:r>
        <w:rPr>
          <w:rFonts w:eastAsiaTheme="minorHAnsi"/>
          <w:noProof w:val="0"/>
          <w:color w:val="17365D"/>
          <w:szCs w:val="22"/>
          <w:lang w:eastAsia="en-US"/>
        </w:rPr>
        <w:t xml:space="preserve"> ministrija</w:t>
      </w:r>
      <w:r w:rsidR="005D171A">
        <w:rPr>
          <w:rFonts w:eastAsiaTheme="minorHAnsi"/>
          <w:noProof w:val="0"/>
          <w:color w:val="17365D"/>
          <w:szCs w:val="22"/>
          <w:lang w:eastAsia="en-US"/>
        </w:rPr>
        <w:t>i</w:t>
      </w:r>
      <w:r>
        <w:rPr>
          <w:rFonts w:eastAsiaTheme="minorHAnsi"/>
          <w:noProof w:val="0"/>
          <w:color w:val="17365D"/>
          <w:szCs w:val="22"/>
          <w:lang w:eastAsia="en-US"/>
        </w:rPr>
        <w:t xml:space="preserve"> </w:t>
      </w:r>
      <w:r w:rsidR="005D171A">
        <w:rPr>
          <w:rFonts w:eastAsiaTheme="minorHAnsi"/>
          <w:noProof w:val="0"/>
          <w:color w:val="17365D"/>
          <w:szCs w:val="22"/>
          <w:lang w:eastAsia="en-US"/>
        </w:rPr>
        <w:t>samazinājums (</w:t>
      </w:r>
      <w:r w:rsidR="005D171A" w:rsidRPr="00F00933">
        <w:rPr>
          <w:rFonts w:eastAsiaTheme="minorHAnsi"/>
          <w:noProof w:val="0"/>
          <w:color w:val="17365D"/>
          <w:szCs w:val="22"/>
          <w:lang w:eastAsia="en-US"/>
        </w:rPr>
        <w:t>261</w:t>
      </w:r>
      <w:r w:rsidR="005D171A">
        <w:rPr>
          <w:rFonts w:eastAsiaTheme="minorHAnsi"/>
          <w:noProof w:val="0"/>
          <w:color w:val="17365D"/>
          <w:szCs w:val="22"/>
          <w:lang w:eastAsia="en-US"/>
        </w:rPr>
        <w:t> </w:t>
      </w:r>
      <w:r w:rsidR="005D171A" w:rsidRPr="00F00933">
        <w:rPr>
          <w:rFonts w:eastAsiaTheme="minorHAnsi"/>
          <w:noProof w:val="0"/>
          <w:color w:val="17365D"/>
          <w:szCs w:val="22"/>
          <w:lang w:eastAsia="en-US"/>
        </w:rPr>
        <w:t>400</w:t>
      </w:r>
      <w:r w:rsidR="005D171A">
        <w:rPr>
          <w:rFonts w:eastAsiaTheme="minorHAnsi"/>
          <w:noProof w:val="0"/>
          <w:color w:val="17365D"/>
          <w:szCs w:val="22"/>
          <w:lang w:eastAsia="en-US"/>
        </w:rPr>
        <w:t> </w:t>
      </w:r>
      <w:r w:rsidR="005D171A" w:rsidRPr="00F00933">
        <w:rPr>
          <w:rFonts w:eastAsiaTheme="minorHAnsi"/>
          <w:noProof w:val="0"/>
          <w:color w:val="17365D"/>
          <w:szCs w:val="22"/>
          <w:lang w:eastAsia="en-US"/>
        </w:rPr>
        <w:t>280</w:t>
      </w:r>
      <w:r w:rsidR="005D171A">
        <w:rPr>
          <w:rFonts w:eastAsiaTheme="minorHAnsi"/>
          <w:noProof w:val="0"/>
          <w:color w:val="17365D"/>
          <w:szCs w:val="22"/>
          <w:lang w:eastAsia="en-US"/>
        </w:rPr>
        <w:t xml:space="preserve">) </w:t>
      </w:r>
      <w:r w:rsidR="005D171A" w:rsidRPr="00251099">
        <w:rPr>
          <w:rFonts w:eastAsiaTheme="minorHAnsi"/>
          <w:i/>
          <w:noProof w:val="0"/>
          <w:color w:val="17365D"/>
          <w:szCs w:val="22"/>
          <w:lang w:eastAsia="en-US"/>
        </w:rPr>
        <w:t>euro</w:t>
      </w:r>
      <w:r w:rsidR="005D171A">
        <w:rPr>
          <w:rFonts w:eastAsiaTheme="minorHAnsi"/>
          <w:noProof w:val="0"/>
          <w:color w:val="17365D"/>
          <w:szCs w:val="22"/>
          <w:lang w:eastAsia="en-US"/>
        </w:rPr>
        <w:t xml:space="preserve"> vērtībā</w:t>
      </w:r>
      <w:r w:rsidR="005D171A" w:rsidRPr="00F00933">
        <w:rPr>
          <w:rFonts w:eastAsiaTheme="minorHAnsi"/>
          <w:noProof w:val="0"/>
          <w:color w:val="17365D"/>
          <w:szCs w:val="22"/>
          <w:lang w:eastAsia="en-US"/>
        </w:rPr>
        <w:t xml:space="preserve"> </w:t>
      </w:r>
      <w:r w:rsidR="005D171A">
        <w:rPr>
          <w:rFonts w:eastAsiaTheme="minorHAnsi"/>
          <w:noProof w:val="0"/>
          <w:color w:val="17365D"/>
          <w:szCs w:val="22"/>
          <w:lang w:eastAsia="en-US"/>
        </w:rPr>
        <w:t xml:space="preserve">par </w:t>
      </w:r>
      <w:r w:rsidRPr="00F00933">
        <w:rPr>
          <w:rFonts w:eastAsiaTheme="minorHAnsi"/>
          <w:noProof w:val="0"/>
          <w:color w:val="17365D"/>
          <w:szCs w:val="22"/>
          <w:lang w:eastAsia="en-US"/>
        </w:rPr>
        <w:t>noslēgto ilgtermiņa līgumu par programmnodrošinājuma iegādēm un uzturēšanu, licenču, rezerves daļu un degvielas iegādēm un Jūras spēku kuģu modernizācijas pabeigšanu</w:t>
      </w:r>
      <w:r>
        <w:rPr>
          <w:rFonts w:eastAsiaTheme="minorHAnsi"/>
          <w:noProof w:val="0"/>
          <w:color w:val="17365D"/>
          <w:szCs w:val="22"/>
          <w:lang w:eastAsia="en-US"/>
        </w:rPr>
        <w:t>.</w:t>
      </w:r>
    </w:p>
    <w:p w14:paraId="0752F773" w14:textId="41315781" w:rsidR="00251099" w:rsidRDefault="00251099" w:rsidP="00146A16">
      <w:pPr>
        <w:pStyle w:val="Pamatteksts1"/>
        <w:numPr>
          <w:ilvl w:val="0"/>
          <w:numId w:val="42"/>
        </w:numPr>
        <w:rPr>
          <w:rFonts w:eastAsiaTheme="minorHAnsi"/>
          <w:noProof w:val="0"/>
          <w:color w:val="17365D"/>
          <w:szCs w:val="22"/>
          <w:lang w:eastAsia="en-US"/>
        </w:rPr>
      </w:pPr>
      <w:r w:rsidRPr="00D33828">
        <w:rPr>
          <w:rFonts w:eastAsiaTheme="minorHAnsi"/>
          <w:noProof w:val="0"/>
          <w:color w:val="17365D"/>
          <w:szCs w:val="22"/>
          <w:lang w:eastAsia="en-US"/>
        </w:rPr>
        <w:t xml:space="preserve">Ekonomikas ministrijai </w:t>
      </w:r>
      <w:r w:rsidR="005D171A">
        <w:rPr>
          <w:rFonts w:eastAsiaTheme="minorHAnsi"/>
          <w:noProof w:val="0"/>
          <w:color w:val="17365D"/>
          <w:szCs w:val="22"/>
          <w:lang w:eastAsia="en-US"/>
        </w:rPr>
        <w:t>p</w:t>
      </w:r>
      <w:r w:rsidR="005D171A" w:rsidRPr="00497933">
        <w:rPr>
          <w:rFonts w:eastAsiaTheme="minorHAnsi"/>
          <w:noProof w:val="0"/>
          <w:color w:val="17365D"/>
          <w:szCs w:val="22"/>
          <w:lang w:eastAsia="en-US"/>
        </w:rPr>
        <w:t xml:space="preserve">alielinājums </w:t>
      </w:r>
      <w:r w:rsidRPr="00D33828">
        <w:rPr>
          <w:rFonts w:eastAsiaTheme="minorHAnsi"/>
          <w:noProof w:val="0"/>
          <w:color w:val="17365D"/>
          <w:szCs w:val="22"/>
          <w:lang w:eastAsia="en-US"/>
        </w:rPr>
        <w:t>saistī</w:t>
      </w:r>
      <w:r w:rsidR="00E9211B">
        <w:rPr>
          <w:rFonts w:eastAsiaTheme="minorHAnsi"/>
          <w:noProof w:val="0"/>
          <w:color w:val="17365D"/>
          <w:szCs w:val="22"/>
          <w:lang w:eastAsia="en-US"/>
        </w:rPr>
        <w:t>ts</w:t>
      </w:r>
      <w:r w:rsidRPr="00D33828">
        <w:rPr>
          <w:rFonts w:eastAsiaTheme="minorHAnsi"/>
          <w:noProof w:val="0"/>
          <w:color w:val="17365D"/>
          <w:szCs w:val="22"/>
          <w:lang w:eastAsia="en-US"/>
        </w:rPr>
        <w:t xml:space="preserve"> ar lī</w:t>
      </w:r>
      <w:r w:rsidRPr="00AA4E77">
        <w:rPr>
          <w:rFonts w:eastAsiaTheme="minorHAnsi"/>
          <w:noProof w:val="0"/>
          <w:color w:val="17365D"/>
          <w:szCs w:val="22"/>
          <w:lang w:eastAsia="en-US"/>
        </w:rPr>
        <w:t xml:space="preserve">gumiem par pakalpojumiem 1 530 350 </w:t>
      </w:r>
      <w:r w:rsidRPr="00251099">
        <w:rPr>
          <w:rFonts w:eastAsiaTheme="minorHAnsi"/>
          <w:i/>
          <w:noProof w:val="0"/>
          <w:color w:val="17365D"/>
          <w:szCs w:val="22"/>
          <w:lang w:eastAsia="en-US"/>
        </w:rPr>
        <w:t>euro</w:t>
      </w:r>
      <w:r w:rsidRPr="00AA4E77">
        <w:rPr>
          <w:rFonts w:eastAsiaTheme="minorHAnsi"/>
          <w:noProof w:val="0"/>
          <w:color w:val="17365D"/>
          <w:szCs w:val="22"/>
          <w:lang w:eastAsia="en-US"/>
        </w:rPr>
        <w:t xml:space="preserve"> </w:t>
      </w:r>
      <w:r w:rsidRPr="00EB0875">
        <w:rPr>
          <w:rFonts w:eastAsiaTheme="minorHAnsi"/>
          <w:noProof w:val="0"/>
          <w:color w:val="17365D"/>
          <w:szCs w:val="22"/>
          <w:lang w:eastAsia="en-US"/>
        </w:rPr>
        <w:t xml:space="preserve">vērtībā </w:t>
      </w:r>
      <w:r w:rsidRPr="00AC2847">
        <w:rPr>
          <w:rFonts w:eastAsiaTheme="minorHAnsi"/>
          <w:noProof w:val="0"/>
          <w:color w:val="17365D"/>
          <w:szCs w:val="22"/>
          <w:lang w:eastAsia="en-US"/>
        </w:rPr>
        <w:t xml:space="preserve">un </w:t>
      </w:r>
      <w:r w:rsidRPr="00807109">
        <w:rPr>
          <w:rFonts w:eastAsiaTheme="minorHAnsi"/>
          <w:noProof w:val="0"/>
          <w:color w:val="17365D"/>
          <w:szCs w:val="22"/>
          <w:lang w:eastAsia="en-US"/>
        </w:rPr>
        <w:t>citiem nākotnes līgumiem, par ko</w:t>
      </w:r>
      <w:r w:rsidRPr="001C3A6E">
        <w:rPr>
          <w:rFonts w:eastAsiaTheme="minorHAnsi"/>
          <w:noProof w:val="0"/>
          <w:color w:val="17365D"/>
          <w:szCs w:val="22"/>
          <w:lang w:eastAsia="en-US"/>
        </w:rPr>
        <w:t xml:space="preserve"> atzītas iespējamās saistības </w:t>
      </w:r>
      <w:r w:rsidRPr="00700128">
        <w:rPr>
          <w:rFonts w:eastAsiaTheme="minorHAnsi"/>
          <w:noProof w:val="0"/>
          <w:color w:val="17365D"/>
          <w:szCs w:val="22"/>
          <w:lang w:eastAsia="en-US"/>
        </w:rPr>
        <w:t xml:space="preserve">798 851 </w:t>
      </w:r>
      <w:r w:rsidRPr="00F71A7A">
        <w:rPr>
          <w:rFonts w:eastAsiaTheme="minorHAnsi"/>
          <w:i/>
          <w:noProof w:val="0"/>
          <w:color w:val="17365D"/>
          <w:szCs w:val="22"/>
          <w:lang w:eastAsia="en-US"/>
        </w:rPr>
        <w:t>euro</w:t>
      </w:r>
      <w:r>
        <w:rPr>
          <w:rFonts w:eastAsiaTheme="minorHAnsi"/>
          <w:noProof w:val="0"/>
          <w:color w:val="17365D"/>
          <w:szCs w:val="22"/>
          <w:lang w:eastAsia="en-US"/>
        </w:rPr>
        <w:t xml:space="preserve"> vērtībā</w:t>
      </w:r>
      <w:r w:rsidR="00E9211B">
        <w:rPr>
          <w:rFonts w:eastAsiaTheme="minorHAnsi"/>
          <w:noProof w:val="0"/>
          <w:color w:val="17365D"/>
          <w:szCs w:val="22"/>
          <w:lang w:eastAsia="en-US"/>
        </w:rPr>
        <w:t>,</w:t>
      </w:r>
      <w:r>
        <w:rPr>
          <w:rFonts w:eastAsiaTheme="minorHAnsi"/>
          <w:noProof w:val="0"/>
          <w:color w:val="17365D"/>
          <w:szCs w:val="22"/>
          <w:lang w:eastAsia="en-US"/>
        </w:rPr>
        <w:t xml:space="preserve"> un</w:t>
      </w:r>
      <w:r w:rsidRPr="00700128">
        <w:rPr>
          <w:rFonts w:eastAsiaTheme="minorHAnsi"/>
          <w:noProof w:val="0"/>
          <w:color w:val="17365D"/>
          <w:szCs w:val="22"/>
          <w:lang w:eastAsia="en-US"/>
        </w:rPr>
        <w:t xml:space="preserve"> </w:t>
      </w:r>
      <w:r w:rsidRPr="00F00933">
        <w:rPr>
          <w:rFonts w:eastAsiaTheme="minorHAnsi"/>
          <w:noProof w:val="0"/>
          <w:color w:val="17365D"/>
          <w:szCs w:val="22"/>
          <w:lang w:eastAsia="en-US"/>
        </w:rPr>
        <w:t>Iekšlietu ministrijai</w:t>
      </w:r>
      <w:r>
        <w:rPr>
          <w:rFonts w:eastAsiaTheme="minorHAnsi"/>
          <w:noProof w:val="0"/>
          <w:color w:val="17365D"/>
          <w:szCs w:val="22"/>
          <w:lang w:eastAsia="en-US"/>
        </w:rPr>
        <w:t xml:space="preserve"> saistībā</w:t>
      </w:r>
      <w:r w:rsidRPr="00F00933">
        <w:rPr>
          <w:rFonts w:eastAsiaTheme="minorHAnsi"/>
          <w:noProof w:val="0"/>
          <w:color w:val="17365D"/>
          <w:szCs w:val="22"/>
          <w:lang w:eastAsia="en-US"/>
        </w:rPr>
        <w:t xml:space="preserve"> ar deleģēšanas līgumu par uzticamības (t.sk. sertifikācijas) pakalpojumu sniegšanu</w:t>
      </w:r>
      <w:r>
        <w:rPr>
          <w:rFonts w:eastAsiaTheme="minorHAnsi"/>
          <w:noProof w:val="0"/>
          <w:color w:val="17365D"/>
          <w:szCs w:val="22"/>
          <w:lang w:eastAsia="en-US"/>
        </w:rPr>
        <w:t xml:space="preserve"> </w:t>
      </w:r>
      <w:r w:rsidRPr="00F00933">
        <w:rPr>
          <w:rFonts w:eastAsiaTheme="minorHAnsi"/>
          <w:noProof w:val="0"/>
          <w:color w:val="17365D"/>
          <w:szCs w:val="22"/>
          <w:lang w:eastAsia="en-US"/>
        </w:rPr>
        <w:t>8</w:t>
      </w:r>
      <w:r>
        <w:rPr>
          <w:rFonts w:eastAsiaTheme="minorHAnsi"/>
          <w:noProof w:val="0"/>
          <w:color w:val="17365D"/>
          <w:szCs w:val="22"/>
          <w:lang w:eastAsia="en-US"/>
        </w:rPr>
        <w:t> </w:t>
      </w:r>
      <w:r w:rsidRPr="00F00933">
        <w:rPr>
          <w:rFonts w:eastAsiaTheme="minorHAnsi"/>
          <w:noProof w:val="0"/>
          <w:color w:val="17365D"/>
          <w:szCs w:val="22"/>
          <w:lang w:eastAsia="en-US"/>
        </w:rPr>
        <w:t>556</w:t>
      </w:r>
      <w:r>
        <w:rPr>
          <w:rFonts w:eastAsiaTheme="minorHAnsi"/>
          <w:noProof w:val="0"/>
          <w:color w:val="17365D"/>
          <w:szCs w:val="22"/>
          <w:lang w:eastAsia="en-US"/>
        </w:rPr>
        <w:t> </w:t>
      </w:r>
      <w:r w:rsidRPr="00F00933">
        <w:rPr>
          <w:rFonts w:eastAsiaTheme="minorHAnsi"/>
          <w:noProof w:val="0"/>
          <w:color w:val="17365D"/>
          <w:szCs w:val="22"/>
          <w:lang w:eastAsia="en-US"/>
        </w:rPr>
        <w:t>152</w:t>
      </w:r>
      <w:r>
        <w:rPr>
          <w:rFonts w:eastAsiaTheme="minorHAnsi"/>
          <w:noProof w:val="0"/>
          <w:color w:val="17365D"/>
          <w:szCs w:val="22"/>
          <w:lang w:eastAsia="en-US"/>
        </w:rPr>
        <w:t xml:space="preserve"> </w:t>
      </w:r>
      <w:r w:rsidRPr="00F71A7A">
        <w:rPr>
          <w:rFonts w:eastAsiaTheme="minorHAnsi"/>
          <w:i/>
          <w:noProof w:val="0"/>
          <w:color w:val="17365D"/>
          <w:szCs w:val="22"/>
          <w:lang w:eastAsia="en-US"/>
        </w:rPr>
        <w:t>euro</w:t>
      </w:r>
      <w:r>
        <w:rPr>
          <w:rFonts w:eastAsiaTheme="minorHAnsi"/>
          <w:noProof w:val="0"/>
          <w:color w:val="17365D"/>
          <w:szCs w:val="22"/>
          <w:lang w:eastAsia="en-US"/>
        </w:rPr>
        <w:t xml:space="preserve"> vērtībā. </w:t>
      </w:r>
    </w:p>
    <w:p w14:paraId="4EF4C5C2" w14:textId="7AA80FB7" w:rsidR="000C13EB" w:rsidRPr="00A27896" w:rsidRDefault="000C13EB" w:rsidP="000229AE">
      <w:pPr>
        <w:pStyle w:val="Pamatteksts1"/>
        <w:ind w:firstLine="284"/>
        <w:rPr>
          <w:color w:val="17365D"/>
        </w:rPr>
      </w:pPr>
      <w:r w:rsidRPr="00A27896">
        <w:rPr>
          <w:color w:val="17365D"/>
        </w:rPr>
        <w:br w:type="page"/>
      </w:r>
    </w:p>
    <w:p w14:paraId="695369F6" w14:textId="66EFD76E" w:rsidR="00A63515" w:rsidRPr="00A27896" w:rsidRDefault="00B47329" w:rsidP="00FD10CC">
      <w:pPr>
        <w:pStyle w:val="Heading3"/>
      </w:pPr>
      <w:r w:rsidRPr="00A27896">
        <w:lastRenderedPageBreak/>
        <w:t>Vispārīgās piezīmes</w:t>
      </w:r>
    </w:p>
    <w:p w14:paraId="6880E4D1" w14:textId="6AA66487" w:rsidR="00FA6D17" w:rsidRPr="00A27896" w:rsidRDefault="00FA6D17" w:rsidP="000229AE">
      <w:pPr>
        <w:pStyle w:val="Heading4"/>
        <w:rPr>
          <w:rFonts w:cs="Times New Roman"/>
        </w:rPr>
      </w:pPr>
      <w:r w:rsidRPr="00A27896">
        <w:rPr>
          <w:rFonts w:cs="Times New Roman"/>
        </w:rPr>
        <w:t>Piezīme Nr. V1. Aktīvi, kas saņemti kā ziedojumi un dāvinājumi</w:t>
      </w:r>
    </w:p>
    <w:p w14:paraId="0C6B82E3" w14:textId="33F06556" w:rsidR="009C283C" w:rsidRPr="00E72168" w:rsidRDefault="009C283C" w:rsidP="009C283C">
      <w:pPr>
        <w:spacing w:after="120" w:line="240" w:lineRule="auto"/>
        <w:ind w:firstLine="284"/>
        <w:jc w:val="both"/>
        <w:rPr>
          <w:rFonts w:cs="Times New Roman"/>
          <w:color w:val="17365D"/>
        </w:rPr>
      </w:pPr>
      <w:r w:rsidRPr="00E72168">
        <w:rPr>
          <w:rFonts w:cs="Times New Roman"/>
          <w:color w:val="17365D"/>
        </w:rPr>
        <w:t xml:space="preserve">Saskaņā ar ministriju, centrālo valsts iestāžu un pašvaldību sniegto informāciju pārskata periodā aktīvu, kas saņemti kā ziedojumi un dāvinājumi, sākotnēji noteiktā patiesā </w:t>
      </w:r>
      <w:r w:rsidR="0019458D" w:rsidRPr="00E72168">
        <w:rPr>
          <w:rFonts w:cs="Times New Roman"/>
          <w:color w:val="17365D"/>
          <w:szCs w:val="24"/>
        </w:rPr>
        <w:t xml:space="preserve">vērtība ir </w:t>
      </w:r>
      <w:r w:rsidR="00DA70AC" w:rsidRPr="00E72168">
        <w:rPr>
          <w:rFonts w:cs="Times New Roman"/>
          <w:color w:val="17365D"/>
          <w:szCs w:val="24"/>
        </w:rPr>
        <w:t>41 353 </w:t>
      </w:r>
      <w:r w:rsidR="00522B47" w:rsidRPr="00E72168">
        <w:rPr>
          <w:rFonts w:cs="Times New Roman"/>
          <w:color w:val="17365D"/>
          <w:szCs w:val="24"/>
        </w:rPr>
        <w:t>412</w:t>
      </w:r>
      <w:r w:rsidR="000E5114" w:rsidRPr="00E72168">
        <w:rPr>
          <w:rFonts w:cs="Times New Roman"/>
          <w:color w:val="17365D"/>
          <w:szCs w:val="24"/>
        </w:rPr>
        <w:t> </w:t>
      </w:r>
      <w:r w:rsidR="0019458D" w:rsidRPr="00E72168">
        <w:rPr>
          <w:rFonts w:cs="Times New Roman"/>
          <w:i/>
          <w:color w:val="17365D"/>
          <w:szCs w:val="24"/>
        </w:rPr>
        <w:t>euro</w:t>
      </w:r>
      <w:r w:rsidR="0019458D" w:rsidRPr="00E72168">
        <w:rPr>
          <w:rFonts w:cs="Times New Roman"/>
          <w:color w:val="17365D"/>
          <w:szCs w:val="24"/>
        </w:rPr>
        <w:t xml:space="preserve"> </w:t>
      </w:r>
      <w:r w:rsidRPr="00E72168">
        <w:rPr>
          <w:rFonts w:cs="Times New Roman"/>
          <w:color w:val="17365D"/>
        </w:rPr>
        <w:t xml:space="preserve">un tā norādīta </w:t>
      </w:r>
      <w:r w:rsidR="001231AF">
        <w:rPr>
          <w:rFonts w:cs="Times New Roman"/>
          <w:color w:val="17365D"/>
        </w:rPr>
        <w:t>1.</w:t>
      </w:r>
      <w:r w:rsidRPr="00E72168">
        <w:rPr>
          <w:rFonts w:cs="Times New Roman"/>
          <w:color w:val="17365D"/>
        </w:rPr>
        <w:t>2</w:t>
      </w:r>
      <w:r w:rsidR="00934C2E" w:rsidRPr="00E72168">
        <w:rPr>
          <w:rFonts w:cs="Times New Roman"/>
          <w:color w:val="17365D"/>
        </w:rPr>
        <w:t>4</w:t>
      </w:r>
      <w:r w:rsidRPr="00E72168">
        <w:rPr>
          <w:rFonts w:cs="Times New Roman"/>
          <w:color w:val="17365D"/>
        </w:rPr>
        <w:t>.tabulā sadalījumā pa aktīvu bilances posteņiem:</w:t>
      </w:r>
    </w:p>
    <w:p w14:paraId="65D67855" w14:textId="639559F5" w:rsidR="007B7D77" w:rsidRPr="00E72168" w:rsidRDefault="001231AF" w:rsidP="007B7D77">
      <w:pPr>
        <w:pStyle w:val="Tabulasnosaukums1"/>
        <w:spacing w:before="160"/>
        <w:rPr>
          <w:rFonts w:cs="Times New Roman"/>
          <w:i/>
          <w:color w:val="17365D"/>
        </w:rPr>
      </w:pPr>
      <w:r>
        <w:rPr>
          <w:rFonts w:cs="Times New Roman"/>
          <w:i/>
          <w:color w:val="17365D"/>
        </w:rPr>
        <w:t>1.</w:t>
      </w:r>
      <w:r w:rsidR="00743E0E" w:rsidRPr="00E72168">
        <w:rPr>
          <w:rFonts w:cs="Times New Roman"/>
          <w:i/>
          <w:color w:val="17365D"/>
        </w:rPr>
        <w:t>2</w:t>
      </w:r>
      <w:r w:rsidR="000229AE" w:rsidRPr="00E72168">
        <w:rPr>
          <w:rFonts w:cs="Times New Roman"/>
          <w:i/>
          <w:color w:val="17365D"/>
        </w:rPr>
        <w:t>4</w:t>
      </w:r>
      <w:r w:rsidR="00743E0E" w:rsidRPr="00E72168">
        <w:rPr>
          <w:rFonts w:cs="Times New Roman"/>
          <w:i/>
          <w:color w:val="17365D"/>
        </w:rPr>
        <w:t>. </w:t>
      </w:r>
      <w:r w:rsidR="007B7D77" w:rsidRPr="00E72168">
        <w:rPr>
          <w:rFonts w:cs="Times New Roman"/>
          <w:i/>
          <w:color w:val="17365D"/>
        </w:rPr>
        <w:t>tabula.</w:t>
      </w:r>
      <w:r w:rsidR="007B7D77" w:rsidRPr="00E72168">
        <w:rPr>
          <w:rFonts w:cs="Times New Roman"/>
          <w:color w:val="17365D"/>
        </w:rPr>
        <w:t xml:space="preserve"> </w:t>
      </w:r>
      <w:r w:rsidR="00FA6D17" w:rsidRPr="00E72168">
        <w:rPr>
          <w:rFonts w:cs="Times New Roman"/>
          <w:i/>
          <w:color w:val="17365D"/>
        </w:rPr>
        <w:t>Aktīvi, kas saņemti kā ziedojumi un dāvinājumi</w:t>
      </w:r>
      <w:r w:rsidR="007B7D77" w:rsidRPr="00E72168">
        <w:rPr>
          <w:rFonts w:cs="Times New Roman"/>
          <w:i/>
          <w:color w:val="17365D"/>
        </w:rPr>
        <w:t xml:space="preserve"> (euro) </w:t>
      </w:r>
    </w:p>
    <w:tbl>
      <w:tblPr>
        <w:tblW w:w="9356" w:type="dxa"/>
        <w:tblBorders>
          <w:insideH w:val="single" w:sz="4" w:space="0" w:color="17365D"/>
        </w:tblBorders>
        <w:tblLook w:val="04A0" w:firstRow="1" w:lastRow="0" w:firstColumn="1" w:lastColumn="0" w:noHBand="0" w:noVBand="1"/>
      </w:tblPr>
      <w:tblGrid>
        <w:gridCol w:w="6946"/>
        <w:gridCol w:w="2410"/>
      </w:tblGrid>
      <w:tr w:rsidR="000C1009" w:rsidRPr="00E72168" w14:paraId="1FEA6E5E" w14:textId="77777777" w:rsidTr="00481BCD">
        <w:trPr>
          <w:trHeight w:val="344"/>
          <w:tblHeader/>
        </w:trPr>
        <w:tc>
          <w:tcPr>
            <w:tcW w:w="6946" w:type="dxa"/>
            <w:tcBorders>
              <w:bottom w:val="single" w:sz="4" w:space="0" w:color="17365D"/>
            </w:tcBorders>
            <w:shd w:val="clear" w:color="000000" w:fill="B9CDE5"/>
            <w:vAlign w:val="center"/>
            <w:hideMark/>
          </w:tcPr>
          <w:p w14:paraId="433DA5AD" w14:textId="77777777" w:rsidR="00651A01" w:rsidRPr="00E72168" w:rsidRDefault="00651A01" w:rsidP="009C283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Aktīva apraksts</w:t>
            </w:r>
          </w:p>
        </w:tc>
        <w:tc>
          <w:tcPr>
            <w:tcW w:w="2410" w:type="dxa"/>
            <w:tcBorders>
              <w:bottom w:val="single" w:sz="4" w:space="0" w:color="17365D"/>
            </w:tcBorders>
            <w:shd w:val="clear" w:color="000000" w:fill="B9CDE5"/>
            <w:vAlign w:val="center"/>
            <w:hideMark/>
          </w:tcPr>
          <w:p w14:paraId="2F09A422" w14:textId="77777777" w:rsidR="00651A01" w:rsidRPr="00E72168" w:rsidRDefault="00651A01" w:rsidP="009C283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Sākotnēji noteiktā patiesā vērtība</w:t>
            </w:r>
          </w:p>
        </w:tc>
      </w:tr>
      <w:tr w:rsidR="000C1009" w:rsidRPr="00E72168" w14:paraId="45A0EC3B" w14:textId="77777777" w:rsidTr="00481BCD">
        <w:trPr>
          <w:trHeight w:val="266"/>
          <w:tblHeader/>
        </w:trPr>
        <w:tc>
          <w:tcPr>
            <w:tcW w:w="6946" w:type="dxa"/>
            <w:tcBorders>
              <w:top w:val="single" w:sz="4" w:space="0" w:color="17365D"/>
              <w:bottom w:val="single" w:sz="4" w:space="0" w:color="17365D"/>
            </w:tcBorders>
            <w:shd w:val="clear" w:color="auto" w:fill="auto"/>
            <w:vAlign w:val="center"/>
            <w:hideMark/>
          </w:tcPr>
          <w:p w14:paraId="22218D1E" w14:textId="3D546012" w:rsidR="00651A01" w:rsidRPr="00E72168" w:rsidRDefault="009C283C" w:rsidP="009C283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A</w:t>
            </w:r>
          </w:p>
        </w:tc>
        <w:tc>
          <w:tcPr>
            <w:tcW w:w="2410" w:type="dxa"/>
            <w:tcBorders>
              <w:top w:val="single" w:sz="4" w:space="0" w:color="17365D"/>
              <w:bottom w:val="single" w:sz="4" w:space="0" w:color="17365D"/>
            </w:tcBorders>
            <w:shd w:val="clear" w:color="auto" w:fill="auto"/>
            <w:vAlign w:val="center"/>
            <w:hideMark/>
          </w:tcPr>
          <w:p w14:paraId="7C2F8226" w14:textId="77777777" w:rsidR="00651A01" w:rsidRPr="00E72168" w:rsidRDefault="00651A01" w:rsidP="009C283C">
            <w:pPr>
              <w:spacing w:after="0" w:line="240" w:lineRule="auto"/>
              <w:jc w:val="center"/>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1</w:t>
            </w:r>
          </w:p>
        </w:tc>
      </w:tr>
      <w:tr w:rsidR="000C1009" w:rsidRPr="00E72168" w14:paraId="0364F0D9"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39C251DC" w14:textId="77777777" w:rsidR="001F552E" w:rsidRPr="00E72168" w:rsidRDefault="001F552E" w:rsidP="001F552E">
            <w:pPr>
              <w:spacing w:after="0" w:line="240" w:lineRule="auto"/>
              <w:rPr>
                <w:rFonts w:eastAsia="Times New Roman" w:cs="Times New Roman"/>
                <w:b/>
                <w:bCs/>
                <w:color w:val="17365D"/>
                <w:sz w:val="18"/>
                <w:szCs w:val="18"/>
                <w:lang w:eastAsia="lv-LV"/>
              </w:rPr>
            </w:pPr>
            <w:r w:rsidRPr="00E72168">
              <w:rPr>
                <w:rFonts w:eastAsia="Times New Roman" w:cs="Times New Roman"/>
                <w:b/>
                <w:bCs/>
                <w:color w:val="17365D"/>
                <w:sz w:val="18"/>
                <w:szCs w:val="18"/>
                <w:lang w:eastAsia="lv-LV"/>
              </w:rPr>
              <w:t>Ilgtermiņa ieguldījumi</w:t>
            </w:r>
          </w:p>
        </w:tc>
        <w:tc>
          <w:tcPr>
            <w:tcW w:w="2410" w:type="dxa"/>
            <w:tcBorders>
              <w:top w:val="single" w:sz="4" w:space="0" w:color="17365D"/>
              <w:bottom w:val="single" w:sz="4" w:space="0" w:color="17365D"/>
            </w:tcBorders>
            <w:shd w:val="clear" w:color="auto" w:fill="auto"/>
            <w:noWrap/>
            <w:vAlign w:val="center"/>
            <w:hideMark/>
          </w:tcPr>
          <w:p w14:paraId="6ECB2C07" w14:textId="6C8A64F1" w:rsidR="001F552E" w:rsidRPr="00E72168" w:rsidRDefault="00EB796F" w:rsidP="00A27544">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41 353 412</w:t>
            </w:r>
          </w:p>
        </w:tc>
      </w:tr>
      <w:tr w:rsidR="000C1009" w:rsidRPr="00E72168" w14:paraId="2948ED00"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6F607AB7" w14:textId="77777777" w:rsidR="001F552E" w:rsidRPr="00E72168" w:rsidRDefault="001F552E" w:rsidP="001F552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 xml:space="preserve">Nemateriālie ieguldījumi </w:t>
            </w:r>
          </w:p>
        </w:tc>
        <w:tc>
          <w:tcPr>
            <w:tcW w:w="2410" w:type="dxa"/>
            <w:tcBorders>
              <w:top w:val="single" w:sz="4" w:space="0" w:color="17365D"/>
              <w:bottom w:val="single" w:sz="4" w:space="0" w:color="17365D"/>
            </w:tcBorders>
            <w:shd w:val="clear" w:color="auto" w:fill="auto"/>
            <w:noWrap/>
            <w:vAlign w:val="center"/>
            <w:hideMark/>
          </w:tcPr>
          <w:p w14:paraId="6350AEA5" w14:textId="588057F2" w:rsidR="001F552E" w:rsidRPr="00E72168" w:rsidRDefault="00EB796F" w:rsidP="00A27544">
            <w:pPr>
              <w:spacing w:after="0" w:line="240" w:lineRule="auto"/>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11 459</w:t>
            </w:r>
          </w:p>
        </w:tc>
      </w:tr>
      <w:tr w:rsidR="000C1009" w:rsidRPr="00E72168" w14:paraId="5AF936A3"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6D21BB6B" w14:textId="77777777" w:rsidR="001F552E" w:rsidRPr="00E72168" w:rsidRDefault="001F552E" w:rsidP="001F552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 xml:space="preserve">Pamatlīdzekļi </w:t>
            </w:r>
          </w:p>
        </w:tc>
        <w:tc>
          <w:tcPr>
            <w:tcW w:w="2410" w:type="dxa"/>
            <w:tcBorders>
              <w:top w:val="single" w:sz="4" w:space="0" w:color="17365D"/>
              <w:bottom w:val="single" w:sz="4" w:space="0" w:color="17365D"/>
            </w:tcBorders>
            <w:shd w:val="clear" w:color="auto" w:fill="auto"/>
            <w:noWrap/>
            <w:vAlign w:val="center"/>
            <w:hideMark/>
          </w:tcPr>
          <w:p w14:paraId="421FD9F4" w14:textId="7D11DE18" w:rsidR="001F552E" w:rsidRPr="00E72168" w:rsidRDefault="00EB796F" w:rsidP="00A27544">
            <w:pPr>
              <w:spacing w:after="0" w:line="240" w:lineRule="auto"/>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41 332 543</w:t>
            </w:r>
          </w:p>
        </w:tc>
      </w:tr>
      <w:tr w:rsidR="00A741A3" w:rsidRPr="00E72168" w14:paraId="05F816AF" w14:textId="77777777" w:rsidTr="00481BCD">
        <w:trPr>
          <w:trHeight w:val="266"/>
        </w:trPr>
        <w:tc>
          <w:tcPr>
            <w:tcW w:w="6946" w:type="dxa"/>
            <w:tcBorders>
              <w:top w:val="single" w:sz="4" w:space="0" w:color="17365D"/>
              <w:bottom w:val="single" w:sz="4" w:space="0" w:color="17365D"/>
            </w:tcBorders>
            <w:shd w:val="clear" w:color="auto" w:fill="auto"/>
            <w:vAlign w:val="center"/>
          </w:tcPr>
          <w:p w14:paraId="0D5E1D1A" w14:textId="573624B5" w:rsidR="00A741A3" w:rsidRPr="00E72168" w:rsidRDefault="00A741A3" w:rsidP="001F552E">
            <w:pPr>
              <w:spacing w:after="0" w:line="240" w:lineRule="auto"/>
              <w:rPr>
                <w:rFonts w:eastAsia="Times New Roman" w:cs="Times New Roman"/>
                <w:b/>
                <w:color w:val="17365D"/>
                <w:sz w:val="18"/>
                <w:szCs w:val="18"/>
                <w:lang w:eastAsia="lv-LV"/>
              </w:rPr>
            </w:pPr>
            <w:r w:rsidRPr="00E72168">
              <w:rPr>
                <w:rFonts w:eastAsia="Times New Roman" w:cs="Times New Roman"/>
                <w:color w:val="17365D"/>
                <w:sz w:val="18"/>
                <w:szCs w:val="18"/>
                <w:lang w:eastAsia="lv-LV"/>
              </w:rPr>
              <w:t>Ieguldījuma īpašumi</w:t>
            </w:r>
          </w:p>
        </w:tc>
        <w:tc>
          <w:tcPr>
            <w:tcW w:w="2410" w:type="dxa"/>
            <w:tcBorders>
              <w:top w:val="single" w:sz="4" w:space="0" w:color="17365D"/>
              <w:bottom w:val="single" w:sz="4" w:space="0" w:color="17365D"/>
            </w:tcBorders>
            <w:shd w:val="clear" w:color="auto" w:fill="auto"/>
            <w:noWrap/>
            <w:vAlign w:val="center"/>
          </w:tcPr>
          <w:p w14:paraId="6E8F2E82" w14:textId="7C40EAB8" w:rsidR="00A741A3" w:rsidRPr="00E72168" w:rsidRDefault="00A741A3" w:rsidP="00A27544">
            <w:pPr>
              <w:spacing w:after="0" w:line="240" w:lineRule="auto"/>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9 410</w:t>
            </w:r>
          </w:p>
        </w:tc>
      </w:tr>
      <w:tr w:rsidR="000C1009" w:rsidRPr="00E72168" w14:paraId="03BBC814"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7B467C24" w14:textId="77777777" w:rsidR="001F552E" w:rsidRPr="00E72168" w:rsidRDefault="001F552E" w:rsidP="001F552E">
            <w:pPr>
              <w:spacing w:after="0" w:line="240" w:lineRule="auto"/>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Apgrozāmie līdzekļi</w:t>
            </w:r>
          </w:p>
        </w:tc>
        <w:tc>
          <w:tcPr>
            <w:tcW w:w="2410" w:type="dxa"/>
            <w:tcBorders>
              <w:top w:val="single" w:sz="4" w:space="0" w:color="17365D"/>
              <w:bottom w:val="single" w:sz="4" w:space="0" w:color="17365D"/>
            </w:tcBorders>
            <w:shd w:val="clear" w:color="auto" w:fill="auto"/>
            <w:noWrap/>
            <w:vAlign w:val="center"/>
            <w:hideMark/>
          </w:tcPr>
          <w:p w14:paraId="5A1571CE" w14:textId="11E811E8" w:rsidR="001F552E" w:rsidRPr="00E72168" w:rsidRDefault="00EB796F" w:rsidP="00A27544">
            <w:pPr>
              <w:spacing w:after="0" w:line="240" w:lineRule="auto"/>
              <w:jc w:val="right"/>
              <w:rPr>
                <w:rFonts w:eastAsia="Times New Roman" w:cs="Times New Roman"/>
                <w:b/>
                <w:color w:val="17365D"/>
                <w:sz w:val="18"/>
                <w:szCs w:val="18"/>
                <w:lang w:eastAsia="lv-LV"/>
              </w:rPr>
            </w:pPr>
            <w:r w:rsidRPr="00E72168">
              <w:rPr>
                <w:rFonts w:eastAsia="Times New Roman" w:cs="Times New Roman"/>
                <w:b/>
                <w:color w:val="17365D"/>
                <w:sz w:val="18"/>
                <w:szCs w:val="18"/>
                <w:lang w:eastAsia="lv-LV"/>
              </w:rPr>
              <w:t>12 506 546</w:t>
            </w:r>
          </w:p>
        </w:tc>
      </w:tr>
      <w:tr w:rsidR="000C1009" w:rsidRPr="00E72168" w14:paraId="516437BE"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0B13B736" w14:textId="77777777" w:rsidR="001F552E" w:rsidRPr="00E72168" w:rsidRDefault="001F552E" w:rsidP="001F552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Krājumi</w:t>
            </w:r>
          </w:p>
        </w:tc>
        <w:tc>
          <w:tcPr>
            <w:tcW w:w="2410" w:type="dxa"/>
            <w:tcBorders>
              <w:top w:val="single" w:sz="4" w:space="0" w:color="17365D"/>
              <w:bottom w:val="single" w:sz="4" w:space="0" w:color="17365D"/>
            </w:tcBorders>
            <w:shd w:val="clear" w:color="auto" w:fill="auto"/>
            <w:noWrap/>
            <w:vAlign w:val="center"/>
            <w:hideMark/>
          </w:tcPr>
          <w:p w14:paraId="0E684679" w14:textId="5490C7D5" w:rsidR="001F552E" w:rsidRPr="00E72168" w:rsidRDefault="00EB796F" w:rsidP="00A27544">
            <w:pPr>
              <w:spacing w:after="0" w:line="240" w:lineRule="auto"/>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10 665 848</w:t>
            </w:r>
          </w:p>
        </w:tc>
      </w:tr>
      <w:tr w:rsidR="000C1009" w:rsidRPr="00A27896" w14:paraId="00A02584" w14:textId="77777777" w:rsidTr="00481BCD">
        <w:trPr>
          <w:trHeight w:val="266"/>
        </w:trPr>
        <w:tc>
          <w:tcPr>
            <w:tcW w:w="6946" w:type="dxa"/>
            <w:tcBorders>
              <w:top w:val="single" w:sz="4" w:space="0" w:color="17365D"/>
              <w:bottom w:val="single" w:sz="4" w:space="0" w:color="17365D"/>
            </w:tcBorders>
            <w:shd w:val="clear" w:color="auto" w:fill="auto"/>
            <w:vAlign w:val="center"/>
            <w:hideMark/>
          </w:tcPr>
          <w:p w14:paraId="71E36985" w14:textId="77777777" w:rsidR="001F552E" w:rsidRPr="00E72168" w:rsidRDefault="001F552E" w:rsidP="001F552E">
            <w:pPr>
              <w:spacing w:after="0" w:line="240" w:lineRule="auto"/>
              <w:rPr>
                <w:rFonts w:eastAsia="Times New Roman" w:cs="Times New Roman"/>
                <w:color w:val="17365D"/>
                <w:sz w:val="18"/>
                <w:szCs w:val="18"/>
                <w:lang w:eastAsia="lv-LV"/>
              </w:rPr>
            </w:pPr>
            <w:r w:rsidRPr="00E72168">
              <w:rPr>
                <w:rFonts w:eastAsia="Times New Roman" w:cs="Times New Roman"/>
                <w:color w:val="17365D"/>
                <w:sz w:val="18"/>
                <w:szCs w:val="18"/>
                <w:lang w:eastAsia="lv-LV"/>
              </w:rPr>
              <w:t>Naudas līdzekļi</w:t>
            </w:r>
          </w:p>
        </w:tc>
        <w:tc>
          <w:tcPr>
            <w:tcW w:w="2410" w:type="dxa"/>
            <w:tcBorders>
              <w:top w:val="single" w:sz="4" w:space="0" w:color="17365D"/>
              <w:bottom w:val="single" w:sz="4" w:space="0" w:color="17365D"/>
            </w:tcBorders>
            <w:shd w:val="clear" w:color="auto" w:fill="auto"/>
            <w:noWrap/>
            <w:vAlign w:val="center"/>
            <w:hideMark/>
          </w:tcPr>
          <w:p w14:paraId="3C54146B" w14:textId="54AFCDCC" w:rsidR="001F552E" w:rsidRPr="00A27896" w:rsidRDefault="00EB796F" w:rsidP="00A27544">
            <w:pPr>
              <w:spacing w:after="0" w:line="240" w:lineRule="auto"/>
              <w:jc w:val="right"/>
              <w:rPr>
                <w:rFonts w:eastAsia="Times New Roman" w:cs="Times New Roman"/>
                <w:color w:val="17365D"/>
                <w:sz w:val="18"/>
                <w:szCs w:val="18"/>
                <w:lang w:eastAsia="lv-LV"/>
              </w:rPr>
            </w:pPr>
            <w:r w:rsidRPr="00E72168">
              <w:rPr>
                <w:rFonts w:eastAsia="Times New Roman" w:cs="Times New Roman"/>
                <w:color w:val="17365D"/>
                <w:sz w:val="18"/>
                <w:szCs w:val="18"/>
                <w:lang w:eastAsia="lv-LV"/>
              </w:rPr>
              <w:t>1 840 698</w:t>
            </w:r>
          </w:p>
        </w:tc>
      </w:tr>
      <w:tr w:rsidR="000C1009" w:rsidRPr="00A27896" w14:paraId="583F23F3" w14:textId="77777777" w:rsidTr="00481BCD">
        <w:trPr>
          <w:trHeight w:val="50"/>
        </w:trPr>
        <w:tc>
          <w:tcPr>
            <w:tcW w:w="6946" w:type="dxa"/>
            <w:tcBorders>
              <w:top w:val="single" w:sz="4" w:space="0" w:color="17365D"/>
            </w:tcBorders>
            <w:shd w:val="clear" w:color="000000" w:fill="B9CDE5"/>
            <w:noWrap/>
            <w:vAlign w:val="center"/>
            <w:hideMark/>
          </w:tcPr>
          <w:p w14:paraId="0B22F8C5" w14:textId="77777777" w:rsidR="00651A01" w:rsidRPr="00A27896" w:rsidRDefault="00651A01" w:rsidP="009C283C">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410" w:type="dxa"/>
            <w:tcBorders>
              <w:top w:val="single" w:sz="4" w:space="0" w:color="17365D"/>
            </w:tcBorders>
            <w:shd w:val="clear" w:color="000000" w:fill="B9CDE5"/>
            <w:noWrap/>
            <w:vAlign w:val="center"/>
            <w:hideMark/>
          </w:tcPr>
          <w:p w14:paraId="57AE63FF" w14:textId="77777777" w:rsidR="00651A01" w:rsidRPr="00A27896" w:rsidRDefault="00651A01" w:rsidP="009C283C">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11B5C954" w14:textId="407176BD" w:rsidR="00B47329" w:rsidRPr="00A27896" w:rsidRDefault="007B7D77" w:rsidP="000229AE">
      <w:pPr>
        <w:pStyle w:val="Heading4"/>
        <w:rPr>
          <w:rFonts w:cs="Times New Roman"/>
        </w:rPr>
      </w:pPr>
      <w:r w:rsidRPr="00A27896">
        <w:rPr>
          <w:rFonts w:cs="Times New Roman"/>
        </w:rPr>
        <w:t>Piezīme</w:t>
      </w:r>
      <w:r w:rsidR="00AC754B" w:rsidRPr="00A27896">
        <w:rPr>
          <w:rFonts w:cs="Times New Roman"/>
        </w:rPr>
        <w:t xml:space="preserve"> Nr.</w:t>
      </w:r>
      <w:r w:rsidRPr="00A27896">
        <w:rPr>
          <w:rFonts w:cs="Times New Roman"/>
        </w:rPr>
        <w:t xml:space="preserve"> V1. Informācija par brī</w:t>
      </w:r>
      <w:r w:rsidR="00F53656" w:rsidRPr="00A27896">
        <w:rPr>
          <w:rFonts w:cs="Times New Roman"/>
        </w:rPr>
        <w:t>v</w:t>
      </w:r>
      <w:r w:rsidRPr="00A27896">
        <w:rPr>
          <w:rFonts w:cs="Times New Roman"/>
        </w:rPr>
        <w:t>prātīgo darbību</w:t>
      </w:r>
    </w:p>
    <w:p w14:paraId="7509950E" w14:textId="69FC9797" w:rsidR="00E70B9F" w:rsidRPr="00A27896" w:rsidRDefault="006C55DF" w:rsidP="00B47329">
      <w:pPr>
        <w:spacing w:after="120" w:line="240" w:lineRule="auto"/>
        <w:ind w:firstLine="284"/>
        <w:jc w:val="both"/>
        <w:rPr>
          <w:rFonts w:cs="Times New Roman"/>
          <w:color w:val="17365D"/>
          <w:szCs w:val="24"/>
        </w:rPr>
      </w:pPr>
      <w:r w:rsidRPr="00A27896">
        <w:rPr>
          <w:rFonts w:cs="Times New Roman"/>
          <w:color w:val="17365D"/>
          <w:szCs w:val="24"/>
        </w:rPr>
        <w:t>Saskaņā ar ministriju un pašval</w:t>
      </w:r>
      <w:r w:rsidR="00F53656" w:rsidRPr="00A27896">
        <w:rPr>
          <w:rFonts w:cs="Times New Roman"/>
          <w:color w:val="17365D"/>
          <w:szCs w:val="24"/>
        </w:rPr>
        <w:t>d</w:t>
      </w:r>
      <w:r w:rsidRPr="00A27896">
        <w:rPr>
          <w:rFonts w:cs="Times New Roman"/>
          <w:color w:val="17365D"/>
          <w:szCs w:val="24"/>
        </w:rPr>
        <w:t>ību s</w:t>
      </w:r>
      <w:r w:rsidR="00EF13D9" w:rsidRPr="00A27896">
        <w:rPr>
          <w:rFonts w:cs="Times New Roman"/>
          <w:color w:val="17365D"/>
          <w:szCs w:val="24"/>
        </w:rPr>
        <w:t>niegto informāciju pārskata gadā</w:t>
      </w:r>
      <w:r w:rsidRPr="00A27896">
        <w:rPr>
          <w:rFonts w:cs="Times New Roman"/>
          <w:color w:val="17365D"/>
          <w:szCs w:val="24"/>
        </w:rPr>
        <w:t xml:space="preserve"> funkciju nodrošināšanā</w:t>
      </w:r>
      <w:r w:rsidR="00F3770F" w:rsidRPr="00A27896">
        <w:rPr>
          <w:rFonts w:cs="Times New Roman"/>
          <w:color w:val="17365D"/>
          <w:szCs w:val="24"/>
        </w:rPr>
        <w:t xml:space="preserve"> un dažādu projektu ievaros </w:t>
      </w:r>
      <w:r w:rsidR="00F5285C" w:rsidRPr="00A27896">
        <w:rPr>
          <w:rFonts w:cs="Times New Roman"/>
          <w:color w:val="17365D"/>
          <w:szCs w:val="24"/>
        </w:rPr>
        <w:t xml:space="preserve">izmantots arī brīvprātīgais darbs, </w:t>
      </w:r>
      <w:r w:rsidR="00F3770F" w:rsidRPr="00A27896">
        <w:rPr>
          <w:rFonts w:cs="Times New Roman"/>
          <w:color w:val="17365D"/>
          <w:szCs w:val="24"/>
        </w:rPr>
        <w:t>piemēram,</w:t>
      </w:r>
      <w:r w:rsidR="00F5285C" w:rsidRPr="00A27896">
        <w:rPr>
          <w:rFonts w:cs="Times New Roman"/>
          <w:color w:val="17365D"/>
          <w:szCs w:val="24"/>
        </w:rPr>
        <w:t xml:space="preserve"> </w:t>
      </w:r>
      <w:r w:rsidR="00FD62D9">
        <w:rPr>
          <w:rFonts w:cs="Times New Roman"/>
          <w:color w:val="17365D"/>
          <w:szCs w:val="24"/>
        </w:rPr>
        <w:t>XXVII Vispārējo</w:t>
      </w:r>
      <w:r w:rsidR="00FD62D9" w:rsidRPr="00FD62D9">
        <w:rPr>
          <w:rFonts w:cs="Times New Roman"/>
          <w:color w:val="17365D"/>
          <w:szCs w:val="24"/>
        </w:rPr>
        <w:t xml:space="preserve"> latviešu Dziesmu un XVII Deju svētku nodrošināšanai</w:t>
      </w:r>
      <w:r w:rsidR="00FD62D9">
        <w:rPr>
          <w:rFonts w:cs="Times New Roman"/>
          <w:color w:val="17365D"/>
          <w:szCs w:val="24"/>
        </w:rPr>
        <w:t xml:space="preserve">. </w:t>
      </w:r>
    </w:p>
    <w:p w14:paraId="7E2EF277" w14:textId="77777777" w:rsidR="0019458D" w:rsidRPr="00A27896" w:rsidRDefault="0019458D" w:rsidP="005A3758">
      <w:pPr>
        <w:pStyle w:val="Heading4"/>
        <w:rPr>
          <w:rFonts w:cs="Times New Roman"/>
        </w:rPr>
      </w:pPr>
      <w:r w:rsidRPr="00A27896">
        <w:rPr>
          <w:rFonts w:cs="Times New Roman"/>
        </w:rPr>
        <w:t>Piezīme Nr. V3. Informācija par finanšu nomu</w:t>
      </w:r>
    </w:p>
    <w:p w14:paraId="73BF0DDF" w14:textId="2F697B39" w:rsidR="00B47329" w:rsidRPr="00A27896" w:rsidRDefault="007B7D77" w:rsidP="00B16A51">
      <w:pPr>
        <w:pStyle w:val="Heading5"/>
        <w:jc w:val="both"/>
        <w:rPr>
          <w:rFonts w:cs="Times New Roman"/>
        </w:rPr>
      </w:pPr>
      <w:r w:rsidRPr="00A27896">
        <w:rPr>
          <w:rFonts w:cs="Times New Roman"/>
        </w:rPr>
        <w:t>Piezīme</w:t>
      </w:r>
      <w:r w:rsidR="00AC754B" w:rsidRPr="00A27896">
        <w:rPr>
          <w:rFonts w:cs="Times New Roman"/>
        </w:rPr>
        <w:t xml:space="preserve"> Nr.</w:t>
      </w:r>
      <w:r w:rsidRPr="00A27896">
        <w:rPr>
          <w:rFonts w:cs="Times New Roman"/>
        </w:rPr>
        <w:t xml:space="preserve"> V3. Informācija par finanšu nomā nodotajiem aktīviem un saņemamajiem maksājumiem</w:t>
      </w:r>
    </w:p>
    <w:p w14:paraId="7CA8F8DE" w14:textId="6550445F" w:rsidR="00F26B96" w:rsidRPr="00A27896" w:rsidRDefault="00F26B96" w:rsidP="0019458D">
      <w:pPr>
        <w:spacing w:after="0" w:line="240" w:lineRule="auto"/>
        <w:ind w:firstLine="284"/>
        <w:jc w:val="both"/>
        <w:rPr>
          <w:rFonts w:cs="Times New Roman"/>
          <w:color w:val="17365D"/>
          <w:szCs w:val="24"/>
        </w:rPr>
      </w:pPr>
      <w:r w:rsidRPr="00A27896">
        <w:rPr>
          <w:rFonts w:cs="Times New Roman"/>
          <w:color w:val="17365D"/>
          <w:szCs w:val="24"/>
        </w:rPr>
        <w:t>Saskaņā ar ministriju, centrālo valsts iestāžu un pašvaldību sniegto informāciju prasības par finanšu nomā nodotajiem aktīviem diskontētajā vērtībā pārskata period</w:t>
      </w:r>
      <w:r w:rsidR="00E1594D" w:rsidRPr="00A27896">
        <w:rPr>
          <w:rFonts w:cs="Times New Roman"/>
          <w:color w:val="17365D"/>
          <w:szCs w:val="24"/>
        </w:rPr>
        <w:t>a beigās</w:t>
      </w:r>
      <w:r w:rsidRPr="00A27896">
        <w:rPr>
          <w:rFonts w:cs="Times New Roman"/>
          <w:color w:val="17365D"/>
          <w:szCs w:val="24"/>
        </w:rPr>
        <w:t xml:space="preserve"> atzītas </w:t>
      </w:r>
      <w:r w:rsidR="002A17A3" w:rsidRPr="002A17A3">
        <w:rPr>
          <w:rFonts w:cs="Times New Roman"/>
          <w:color w:val="17365D"/>
          <w:szCs w:val="24"/>
        </w:rPr>
        <w:t>5</w:t>
      </w:r>
      <w:r w:rsidR="00473981">
        <w:rPr>
          <w:rFonts w:cs="Times New Roman"/>
          <w:color w:val="17365D"/>
          <w:szCs w:val="24"/>
        </w:rPr>
        <w:t> </w:t>
      </w:r>
      <w:r w:rsidR="002A17A3" w:rsidRPr="002A17A3">
        <w:rPr>
          <w:rFonts w:cs="Times New Roman"/>
          <w:color w:val="17365D"/>
          <w:szCs w:val="24"/>
        </w:rPr>
        <w:t>572</w:t>
      </w:r>
      <w:r w:rsidR="00473981">
        <w:t> </w:t>
      </w:r>
      <w:r w:rsidR="002A17A3" w:rsidRPr="002A17A3">
        <w:rPr>
          <w:rFonts w:cs="Times New Roman"/>
          <w:color w:val="17365D"/>
          <w:szCs w:val="24"/>
        </w:rPr>
        <w:t>002</w:t>
      </w:r>
      <w:r w:rsidR="00473981">
        <w:rPr>
          <w:rFonts w:cs="Times New Roman"/>
          <w:color w:val="17365D"/>
          <w:szCs w:val="24"/>
        </w:rPr>
        <w:t> </w:t>
      </w:r>
      <w:r w:rsidRPr="00A27896">
        <w:rPr>
          <w:rFonts w:cs="Times New Roman"/>
          <w:i/>
          <w:color w:val="17365D"/>
          <w:szCs w:val="24"/>
        </w:rPr>
        <w:t>euro</w:t>
      </w:r>
      <w:r w:rsidRPr="00A27896">
        <w:rPr>
          <w:rFonts w:cs="Times New Roman"/>
          <w:color w:val="17365D"/>
          <w:szCs w:val="24"/>
        </w:rPr>
        <w:t xml:space="preserve"> vērtībā un tās sadalījumā pa aktīvu bilances posteņiem un saņemamajiem maksājumiem norādītas 2</w:t>
      </w:r>
      <w:r w:rsidR="000229AE" w:rsidRPr="00A27896">
        <w:rPr>
          <w:rFonts w:cs="Times New Roman"/>
          <w:color w:val="17365D"/>
          <w:szCs w:val="24"/>
        </w:rPr>
        <w:t>5</w:t>
      </w:r>
      <w:r w:rsidRPr="00A27896">
        <w:rPr>
          <w:rFonts w:cs="Times New Roman"/>
          <w:color w:val="17365D"/>
          <w:szCs w:val="24"/>
        </w:rPr>
        <w:t>.tabulā:</w:t>
      </w:r>
    </w:p>
    <w:p w14:paraId="23A64CA9" w14:textId="053B6294" w:rsidR="00E70B9F" w:rsidRPr="00A27896" w:rsidRDefault="002B5703" w:rsidP="0019458D">
      <w:pPr>
        <w:pStyle w:val="Tabulasnosaukums1"/>
        <w:spacing w:before="120" w:line="240" w:lineRule="auto"/>
        <w:rPr>
          <w:rFonts w:cs="Times New Roman"/>
          <w:i/>
          <w:color w:val="17365D"/>
        </w:rPr>
      </w:pPr>
      <w:r>
        <w:rPr>
          <w:rFonts w:cs="Times New Roman"/>
          <w:i/>
          <w:color w:val="17365D"/>
        </w:rPr>
        <w:t>1.</w:t>
      </w:r>
      <w:r w:rsidR="00743E0E" w:rsidRPr="0022433A">
        <w:rPr>
          <w:rFonts w:cs="Times New Roman"/>
          <w:i/>
          <w:color w:val="17365D"/>
        </w:rPr>
        <w:t>2</w:t>
      </w:r>
      <w:r w:rsidR="000229AE" w:rsidRPr="0022433A">
        <w:rPr>
          <w:rFonts w:cs="Times New Roman"/>
          <w:i/>
          <w:color w:val="17365D"/>
        </w:rPr>
        <w:t>5</w:t>
      </w:r>
      <w:r w:rsidR="00743E0E" w:rsidRPr="0022433A">
        <w:rPr>
          <w:rFonts w:cs="Times New Roman"/>
          <w:i/>
          <w:color w:val="17365D"/>
        </w:rPr>
        <w:t>. </w:t>
      </w:r>
      <w:r w:rsidR="00CC5E9D" w:rsidRPr="0022433A">
        <w:rPr>
          <w:rFonts w:cs="Times New Roman"/>
          <w:i/>
          <w:color w:val="17365D"/>
        </w:rPr>
        <w:t>tabula</w:t>
      </w:r>
      <w:r w:rsidR="00CC5E9D" w:rsidRPr="00A27896">
        <w:rPr>
          <w:rFonts w:cs="Times New Roman"/>
          <w:i/>
          <w:color w:val="17365D"/>
        </w:rPr>
        <w:t>. Informācija par finanšu nomā nodotajiem aktīviem un saņemamajiem maksājumiem (euro)</w:t>
      </w:r>
    </w:p>
    <w:tbl>
      <w:tblPr>
        <w:tblW w:w="9447" w:type="dxa"/>
        <w:tblBorders>
          <w:insideH w:val="single" w:sz="4" w:space="0" w:color="17365D"/>
        </w:tblBorders>
        <w:tblLook w:val="04A0" w:firstRow="1" w:lastRow="0" w:firstColumn="1" w:lastColumn="0" w:noHBand="0" w:noVBand="1"/>
      </w:tblPr>
      <w:tblGrid>
        <w:gridCol w:w="2977"/>
        <w:gridCol w:w="1469"/>
        <w:gridCol w:w="1083"/>
        <w:gridCol w:w="1134"/>
        <w:gridCol w:w="1276"/>
        <w:gridCol w:w="1508"/>
      </w:tblGrid>
      <w:tr w:rsidR="000C1009" w:rsidRPr="00A27896" w14:paraId="479759B8" w14:textId="77777777" w:rsidTr="00962C06">
        <w:trPr>
          <w:trHeight w:val="405"/>
          <w:tblHeader/>
        </w:trPr>
        <w:tc>
          <w:tcPr>
            <w:tcW w:w="2977" w:type="dxa"/>
            <w:vMerge w:val="restart"/>
            <w:shd w:val="clear" w:color="000000" w:fill="B9CDE5"/>
            <w:vAlign w:val="center"/>
            <w:hideMark/>
          </w:tcPr>
          <w:p w14:paraId="02EA21B7"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4962" w:type="dxa"/>
            <w:gridSpan w:val="4"/>
            <w:shd w:val="clear" w:color="000000" w:fill="B9CDE5"/>
            <w:vAlign w:val="center"/>
            <w:hideMark/>
          </w:tcPr>
          <w:p w14:paraId="6B1C104B"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Saņemamie maksājumi</w:t>
            </w:r>
          </w:p>
        </w:tc>
        <w:tc>
          <w:tcPr>
            <w:tcW w:w="1508" w:type="dxa"/>
            <w:vMerge w:val="restart"/>
            <w:shd w:val="clear" w:color="000000" w:fill="B9CDE5"/>
            <w:vAlign w:val="center"/>
            <w:hideMark/>
          </w:tcPr>
          <w:p w14:paraId="2EA9EA89"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Prasība (diskontētie ieņēmumi) pārskata perioda beigās</w:t>
            </w:r>
          </w:p>
        </w:tc>
      </w:tr>
      <w:tr w:rsidR="000C1009" w:rsidRPr="00A27896" w14:paraId="07091319" w14:textId="77777777" w:rsidTr="00962C06">
        <w:trPr>
          <w:trHeight w:val="649"/>
        </w:trPr>
        <w:tc>
          <w:tcPr>
            <w:tcW w:w="2977" w:type="dxa"/>
            <w:vMerge/>
            <w:vAlign w:val="center"/>
            <w:hideMark/>
          </w:tcPr>
          <w:p w14:paraId="1459BA6B" w14:textId="77777777" w:rsidR="0017259F" w:rsidRPr="00A27896" w:rsidRDefault="0017259F" w:rsidP="0017259F">
            <w:pPr>
              <w:spacing w:after="0" w:line="240" w:lineRule="auto"/>
              <w:rPr>
                <w:rFonts w:eastAsia="Times New Roman" w:cs="Times New Roman"/>
                <w:b/>
                <w:bCs/>
                <w:color w:val="17365D"/>
                <w:sz w:val="18"/>
                <w:szCs w:val="18"/>
                <w:lang w:eastAsia="lv-LV"/>
              </w:rPr>
            </w:pPr>
          </w:p>
        </w:tc>
        <w:tc>
          <w:tcPr>
            <w:tcW w:w="1469" w:type="dxa"/>
            <w:shd w:val="clear" w:color="000000" w:fill="B9CDE5"/>
            <w:vAlign w:val="center"/>
            <w:hideMark/>
          </w:tcPr>
          <w:p w14:paraId="515154CA"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1083" w:type="dxa"/>
            <w:shd w:val="clear" w:color="000000" w:fill="B9CDE5"/>
            <w:vAlign w:val="center"/>
            <w:hideMark/>
          </w:tcPr>
          <w:p w14:paraId="382EB2E2" w14:textId="6DE00523" w:rsidR="0017259F" w:rsidRPr="00A27896" w:rsidRDefault="002A17A3" w:rsidP="0017259F">
            <w:pPr>
              <w:spacing w:after="0" w:line="240" w:lineRule="auto"/>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2024</w:t>
            </w:r>
          </w:p>
        </w:tc>
        <w:tc>
          <w:tcPr>
            <w:tcW w:w="1134" w:type="dxa"/>
            <w:shd w:val="clear" w:color="000000" w:fill="B9CDE5"/>
            <w:vAlign w:val="center"/>
            <w:hideMark/>
          </w:tcPr>
          <w:p w14:paraId="72915859" w14:textId="33629D79" w:rsidR="0017259F" w:rsidRPr="00A27896" w:rsidRDefault="0017259F"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2A17A3">
              <w:rPr>
                <w:rFonts w:eastAsia="Times New Roman" w:cs="Times New Roman"/>
                <w:b/>
                <w:bCs/>
                <w:color w:val="17365D"/>
                <w:sz w:val="18"/>
                <w:szCs w:val="18"/>
                <w:lang w:eastAsia="lv-LV"/>
              </w:rPr>
              <w:t>5</w:t>
            </w:r>
          </w:p>
        </w:tc>
        <w:tc>
          <w:tcPr>
            <w:tcW w:w="1276" w:type="dxa"/>
            <w:shd w:val="clear" w:color="000000" w:fill="B9CDE5"/>
            <w:vAlign w:val="center"/>
            <w:hideMark/>
          </w:tcPr>
          <w:p w14:paraId="4CF73CC7" w14:textId="0C22AC8A" w:rsidR="0017259F" w:rsidRPr="00A27896" w:rsidRDefault="0017259F"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2A17A3">
              <w:rPr>
                <w:rFonts w:eastAsia="Times New Roman" w:cs="Times New Roman"/>
                <w:b/>
                <w:bCs/>
                <w:color w:val="17365D"/>
                <w:sz w:val="18"/>
                <w:szCs w:val="18"/>
                <w:lang w:eastAsia="lv-LV"/>
              </w:rPr>
              <w:t>6</w:t>
            </w:r>
          </w:p>
        </w:tc>
        <w:tc>
          <w:tcPr>
            <w:tcW w:w="1508" w:type="dxa"/>
            <w:vMerge/>
            <w:vAlign w:val="center"/>
            <w:hideMark/>
          </w:tcPr>
          <w:p w14:paraId="43E36E3E" w14:textId="77777777" w:rsidR="0017259F" w:rsidRPr="00A27896" w:rsidRDefault="0017259F" w:rsidP="0017259F">
            <w:pPr>
              <w:spacing w:after="0" w:line="240" w:lineRule="auto"/>
              <w:rPr>
                <w:rFonts w:eastAsia="Times New Roman" w:cs="Times New Roman"/>
                <w:b/>
                <w:bCs/>
                <w:color w:val="17365D"/>
                <w:sz w:val="18"/>
                <w:szCs w:val="18"/>
                <w:lang w:eastAsia="lv-LV"/>
              </w:rPr>
            </w:pPr>
          </w:p>
        </w:tc>
      </w:tr>
      <w:tr w:rsidR="000C1009" w:rsidRPr="00A27896" w14:paraId="422C1CA2" w14:textId="77777777" w:rsidTr="007B6525">
        <w:trPr>
          <w:trHeight w:val="223"/>
        </w:trPr>
        <w:tc>
          <w:tcPr>
            <w:tcW w:w="2977" w:type="dxa"/>
            <w:tcBorders>
              <w:bottom w:val="single" w:sz="4" w:space="0" w:color="17365D"/>
            </w:tcBorders>
            <w:shd w:val="clear" w:color="auto" w:fill="auto"/>
            <w:vAlign w:val="center"/>
            <w:hideMark/>
          </w:tcPr>
          <w:p w14:paraId="022E6001"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469" w:type="dxa"/>
            <w:tcBorders>
              <w:bottom w:val="single" w:sz="4" w:space="0" w:color="17365D"/>
            </w:tcBorders>
            <w:shd w:val="clear" w:color="auto" w:fill="auto"/>
            <w:vAlign w:val="center"/>
            <w:hideMark/>
          </w:tcPr>
          <w:p w14:paraId="4825C980"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083" w:type="dxa"/>
            <w:tcBorders>
              <w:bottom w:val="single" w:sz="4" w:space="0" w:color="17365D"/>
            </w:tcBorders>
            <w:shd w:val="clear" w:color="auto" w:fill="auto"/>
            <w:vAlign w:val="center"/>
            <w:hideMark/>
          </w:tcPr>
          <w:p w14:paraId="6CB003C0"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134" w:type="dxa"/>
            <w:tcBorders>
              <w:bottom w:val="single" w:sz="4" w:space="0" w:color="17365D"/>
            </w:tcBorders>
            <w:shd w:val="clear" w:color="auto" w:fill="auto"/>
            <w:vAlign w:val="center"/>
            <w:hideMark/>
          </w:tcPr>
          <w:p w14:paraId="378CBBD6"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276" w:type="dxa"/>
            <w:tcBorders>
              <w:bottom w:val="single" w:sz="4" w:space="0" w:color="17365D"/>
            </w:tcBorders>
            <w:shd w:val="clear" w:color="auto" w:fill="auto"/>
            <w:vAlign w:val="center"/>
            <w:hideMark/>
          </w:tcPr>
          <w:p w14:paraId="2D0EC78D"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508" w:type="dxa"/>
            <w:tcBorders>
              <w:bottom w:val="single" w:sz="4" w:space="0" w:color="17365D"/>
            </w:tcBorders>
            <w:shd w:val="clear" w:color="auto" w:fill="auto"/>
            <w:vAlign w:val="center"/>
            <w:hideMark/>
          </w:tcPr>
          <w:p w14:paraId="2B0A38A7" w14:textId="77777777" w:rsidR="0017259F" w:rsidRPr="00A27896" w:rsidRDefault="0017259F" w:rsidP="0017259F">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r>
      <w:tr w:rsidR="002A17A3" w:rsidRPr="00A27896" w14:paraId="6D39A6AC" w14:textId="77777777" w:rsidTr="007B6525">
        <w:trPr>
          <w:trHeight w:val="114"/>
        </w:trPr>
        <w:tc>
          <w:tcPr>
            <w:tcW w:w="2977" w:type="dxa"/>
            <w:tcBorders>
              <w:top w:val="single" w:sz="4" w:space="0" w:color="17365D"/>
              <w:bottom w:val="single" w:sz="4" w:space="0" w:color="17365D"/>
            </w:tcBorders>
            <w:shd w:val="clear" w:color="auto" w:fill="auto"/>
            <w:vAlign w:val="center"/>
          </w:tcPr>
          <w:p w14:paraId="31535502" w14:textId="77777777" w:rsidR="002A17A3" w:rsidRPr="00A27896" w:rsidRDefault="002A17A3" w:rsidP="002A17A3">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Ilgtermiņa ieguldījumi</w:t>
            </w:r>
          </w:p>
        </w:tc>
        <w:tc>
          <w:tcPr>
            <w:tcW w:w="1469" w:type="dxa"/>
            <w:tcBorders>
              <w:top w:val="single" w:sz="4" w:space="0" w:color="17365D"/>
              <w:left w:val="nil"/>
              <w:bottom w:val="single" w:sz="4" w:space="0" w:color="17365D"/>
              <w:right w:val="nil"/>
            </w:tcBorders>
            <w:shd w:val="clear" w:color="auto" w:fill="auto"/>
            <w:vAlign w:val="center"/>
          </w:tcPr>
          <w:p w14:paraId="64F1059E" w14:textId="56D5C862" w:rsidR="002A17A3" w:rsidRPr="00A27896" w:rsidRDefault="002A17A3" w:rsidP="002A17A3">
            <w:pPr>
              <w:spacing w:after="0" w:line="240" w:lineRule="auto"/>
              <w:jc w:val="right"/>
              <w:rPr>
                <w:rFonts w:eastAsia="Times New Roman" w:cs="Times New Roman"/>
                <w:b/>
                <w:color w:val="17365D"/>
                <w:sz w:val="18"/>
                <w:szCs w:val="18"/>
                <w:lang w:eastAsia="lv-LV"/>
              </w:rPr>
            </w:pPr>
            <w:r>
              <w:rPr>
                <w:b/>
                <w:bCs/>
                <w:color w:val="17365D"/>
                <w:sz w:val="18"/>
                <w:szCs w:val="18"/>
              </w:rPr>
              <w:t>6 525 538</w:t>
            </w:r>
          </w:p>
        </w:tc>
        <w:tc>
          <w:tcPr>
            <w:tcW w:w="1083" w:type="dxa"/>
            <w:tcBorders>
              <w:top w:val="single" w:sz="4" w:space="0" w:color="17365D"/>
              <w:left w:val="nil"/>
              <w:bottom w:val="single" w:sz="4" w:space="0" w:color="17365D"/>
              <w:right w:val="nil"/>
            </w:tcBorders>
            <w:shd w:val="clear" w:color="auto" w:fill="auto"/>
            <w:noWrap/>
            <w:vAlign w:val="center"/>
          </w:tcPr>
          <w:p w14:paraId="0D715AB7" w14:textId="44FF2D56" w:rsidR="002A17A3" w:rsidRPr="00A27896" w:rsidRDefault="002A17A3" w:rsidP="002A17A3">
            <w:pPr>
              <w:spacing w:after="0" w:line="240" w:lineRule="auto"/>
              <w:jc w:val="right"/>
              <w:rPr>
                <w:rFonts w:eastAsia="Times New Roman" w:cs="Times New Roman"/>
                <w:b/>
                <w:color w:val="17365D"/>
                <w:sz w:val="18"/>
                <w:szCs w:val="18"/>
                <w:lang w:eastAsia="lv-LV"/>
              </w:rPr>
            </w:pPr>
            <w:r>
              <w:rPr>
                <w:b/>
                <w:bCs/>
                <w:color w:val="17365D"/>
                <w:sz w:val="18"/>
                <w:szCs w:val="18"/>
              </w:rPr>
              <w:t>2 221 958</w:t>
            </w:r>
          </w:p>
        </w:tc>
        <w:tc>
          <w:tcPr>
            <w:tcW w:w="1134" w:type="dxa"/>
            <w:tcBorders>
              <w:top w:val="single" w:sz="4" w:space="0" w:color="17365D"/>
              <w:left w:val="nil"/>
              <w:bottom w:val="single" w:sz="4" w:space="0" w:color="17365D"/>
              <w:right w:val="nil"/>
            </w:tcBorders>
            <w:shd w:val="clear" w:color="auto" w:fill="auto"/>
            <w:noWrap/>
            <w:vAlign w:val="center"/>
          </w:tcPr>
          <w:p w14:paraId="50B1C990" w14:textId="671F6B6A" w:rsidR="002A17A3" w:rsidRPr="00A27896" w:rsidRDefault="002A17A3" w:rsidP="002A17A3">
            <w:pPr>
              <w:spacing w:after="0" w:line="240" w:lineRule="auto"/>
              <w:jc w:val="right"/>
              <w:rPr>
                <w:rFonts w:eastAsia="Times New Roman" w:cs="Times New Roman"/>
                <w:b/>
                <w:color w:val="17365D"/>
                <w:sz w:val="18"/>
                <w:szCs w:val="18"/>
                <w:lang w:eastAsia="lv-LV"/>
              </w:rPr>
            </w:pPr>
            <w:r>
              <w:rPr>
                <w:b/>
                <w:bCs/>
                <w:color w:val="17365D"/>
                <w:sz w:val="18"/>
                <w:szCs w:val="18"/>
              </w:rPr>
              <w:t>1 188 379</w:t>
            </w:r>
          </w:p>
        </w:tc>
        <w:tc>
          <w:tcPr>
            <w:tcW w:w="1276" w:type="dxa"/>
            <w:tcBorders>
              <w:top w:val="single" w:sz="4" w:space="0" w:color="17365D"/>
              <w:left w:val="nil"/>
              <w:bottom w:val="single" w:sz="4" w:space="0" w:color="17365D"/>
              <w:right w:val="nil"/>
            </w:tcBorders>
            <w:shd w:val="clear" w:color="auto" w:fill="auto"/>
            <w:noWrap/>
            <w:vAlign w:val="center"/>
          </w:tcPr>
          <w:p w14:paraId="4F8E8429" w14:textId="392A7F57" w:rsidR="002A17A3" w:rsidRPr="00A27896" w:rsidRDefault="002A17A3" w:rsidP="002A17A3">
            <w:pPr>
              <w:spacing w:after="0" w:line="240" w:lineRule="auto"/>
              <w:jc w:val="right"/>
              <w:rPr>
                <w:rFonts w:eastAsia="Times New Roman" w:cs="Times New Roman"/>
                <w:b/>
                <w:color w:val="17365D"/>
                <w:sz w:val="18"/>
                <w:szCs w:val="18"/>
                <w:lang w:eastAsia="lv-LV"/>
              </w:rPr>
            </w:pPr>
            <w:r>
              <w:rPr>
                <w:b/>
                <w:bCs/>
                <w:color w:val="17365D"/>
                <w:sz w:val="18"/>
                <w:szCs w:val="18"/>
              </w:rPr>
              <w:t>888 961</w:t>
            </w:r>
          </w:p>
        </w:tc>
        <w:tc>
          <w:tcPr>
            <w:tcW w:w="1508" w:type="dxa"/>
            <w:tcBorders>
              <w:top w:val="single" w:sz="4" w:space="0" w:color="17365D"/>
              <w:left w:val="nil"/>
              <w:bottom w:val="single" w:sz="4" w:space="0" w:color="17365D"/>
              <w:right w:val="nil"/>
            </w:tcBorders>
            <w:shd w:val="clear" w:color="auto" w:fill="auto"/>
            <w:noWrap/>
            <w:vAlign w:val="center"/>
          </w:tcPr>
          <w:p w14:paraId="2970F37C" w14:textId="4A7E2172" w:rsidR="002A17A3" w:rsidRPr="00A27896" w:rsidRDefault="002A17A3" w:rsidP="002A17A3">
            <w:pPr>
              <w:spacing w:after="0" w:line="240" w:lineRule="auto"/>
              <w:jc w:val="right"/>
              <w:rPr>
                <w:rFonts w:eastAsia="Times New Roman" w:cs="Times New Roman"/>
                <w:b/>
                <w:color w:val="17365D"/>
                <w:sz w:val="18"/>
                <w:szCs w:val="18"/>
                <w:lang w:eastAsia="lv-LV"/>
              </w:rPr>
            </w:pPr>
            <w:r>
              <w:rPr>
                <w:b/>
                <w:bCs/>
                <w:color w:val="17365D"/>
                <w:sz w:val="18"/>
                <w:szCs w:val="18"/>
              </w:rPr>
              <w:t>4 812 913</w:t>
            </w:r>
          </w:p>
        </w:tc>
      </w:tr>
      <w:tr w:rsidR="002A17A3" w:rsidRPr="00A27896" w14:paraId="3EB7F3F3" w14:textId="77777777" w:rsidTr="007B6525">
        <w:trPr>
          <w:trHeight w:val="68"/>
        </w:trPr>
        <w:tc>
          <w:tcPr>
            <w:tcW w:w="2977" w:type="dxa"/>
            <w:tcBorders>
              <w:top w:val="single" w:sz="4" w:space="0" w:color="17365D"/>
              <w:bottom w:val="single" w:sz="4" w:space="0" w:color="17365D"/>
            </w:tcBorders>
            <w:shd w:val="clear" w:color="auto" w:fill="auto"/>
            <w:vAlign w:val="center"/>
            <w:hideMark/>
          </w:tcPr>
          <w:p w14:paraId="59791084" w14:textId="77777777" w:rsidR="002A17A3" w:rsidRPr="00A27896" w:rsidRDefault="002A17A3" w:rsidP="002A17A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Zeme un būves</w:t>
            </w:r>
          </w:p>
        </w:tc>
        <w:tc>
          <w:tcPr>
            <w:tcW w:w="1469" w:type="dxa"/>
            <w:tcBorders>
              <w:top w:val="single" w:sz="4" w:space="0" w:color="17365D"/>
              <w:left w:val="nil"/>
              <w:bottom w:val="single" w:sz="4" w:space="0" w:color="17365D"/>
              <w:right w:val="nil"/>
            </w:tcBorders>
            <w:shd w:val="clear" w:color="auto" w:fill="auto"/>
            <w:noWrap/>
            <w:vAlign w:val="center"/>
            <w:hideMark/>
          </w:tcPr>
          <w:p w14:paraId="147B7F49" w14:textId="1FE0F648"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3 655 893</w:t>
            </w:r>
          </w:p>
        </w:tc>
        <w:tc>
          <w:tcPr>
            <w:tcW w:w="1083" w:type="dxa"/>
            <w:tcBorders>
              <w:top w:val="single" w:sz="4" w:space="0" w:color="17365D"/>
              <w:left w:val="nil"/>
              <w:bottom w:val="single" w:sz="4" w:space="0" w:color="17365D"/>
              <w:right w:val="nil"/>
            </w:tcBorders>
            <w:shd w:val="clear" w:color="auto" w:fill="auto"/>
            <w:noWrap/>
            <w:vAlign w:val="center"/>
            <w:hideMark/>
          </w:tcPr>
          <w:p w14:paraId="60CEC186" w14:textId="1729FFA3"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1 315 552</w:t>
            </w:r>
          </w:p>
        </w:tc>
        <w:tc>
          <w:tcPr>
            <w:tcW w:w="1134" w:type="dxa"/>
            <w:tcBorders>
              <w:top w:val="single" w:sz="4" w:space="0" w:color="17365D"/>
              <w:left w:val="nil"/>
              <w:bottom w:val="single" w:sz="4" w:space="0" w:color="17365D"/>
              <w:right w:val="nil"/>
            </w:tcBorders>
            <w:shd w:val="clear" w:color="auto" w:fill="auto"/>
            <w:noWrap/>
            <w:vAlign w:val="center"/>
            <w:hideMark/>
          </w:tcPr>
          <w:p w14:paraId="76E31FBF" w14:textId="6F213221"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580 046</w:t>
            </w:r>
          </w:p>
        </w:tc>
        <w:tc>
          <w:tcPr>
            <w:tcW w:w="1276" w:type="dxa"/>
            <w:tcBorders>
              <w:top w:val="single" w:sz="4" w:space="0" w:color="17365D"/>
              <w:left w:val="nil"/>
              <w:bottom w:val="single" w:sz="4" w:space="0" w:color="17365D"/>
              <w:right w:val="nil"/>
            </w:tcBorders>
            <w:shd w:val="clear" w:color="auto" w:fill="auto"/>
            <w:noWrap/>
            <w:vAlign w:val="center"/>
            <w:hideMark/>
          </w:tcPr>
          <w:p w14:paraId="0245DC13" w14:textId="2BB03347"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458 914</w:t>
            </w:r>
          </w:p>
        </w:tc>
        <w:tc>
          <w:tcPr>
            <w:tcW w:w="1508" w:type="dxa"/>
            <w:tcBorders>
              <w:top w:val="single" w:sz="4" w:space="0" w:color="17365D"/>
              <w:left w:val="nil"/>
              <w:bottom w:val="single" w:sz="4" w:space="0" w:color="17365D"/>
              <w:right w:val="nil"/>
            </w:tcBorders>
            <w:shd w:val="clear" w:color="auto" w:fill="auto"/>
            <w:noWrap/>
            <w:vAlign w:val="center"/>
            <w:hideMark/>
          </w:tcPr>
          <w:p w14:paraId="4D1877C7" w14:textId="5A696401"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2 707 073</w:t>
            </w:r>
          </w:p>
        </w:tc>
      </w:tr>
      <w:tr w:rsidR="002A17A3" w:rsidRPr="00A27896" w14:paraId="7FB49276" w14:textId="77777777" w:rsidTr="007B6525">
        <w:trPr>
          <w:trHeight w:val="339"/>
        </w:trPr>
        <w:tc>
          <w:tcPr>
            <w:tcW w:w="2977" w:type="dxa"/>
            <w:tcBorders>
              <w:top w:val="single" w:sz="4" w:space="0" w:color="17365D"/>
              <w:bottom w:val="single" w:sz="4" w:space="0" w:color="17365D"/>
            </w:tcBorders>
            <w:shd w:val="clear" w:color="auto" w:fill="auto"/>
            <w:vAlign w:val="center"/>
            <w:hideMark/>
          </w:tcPr>
          <w:p w14:paraId="321675EA" w14:textId="77777777" w:rsidR="002A17A3" w:rsidRPr="00A27896" w:rsidRDefault="002A17A3" w:rsidP="002A17A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1469" w:type="dxa"/>
            <w:tcBorders>
              <w:top w:val="single" w:sz="4" w:space="0" w:color="17365D"/>
              <w:left w:val="nil"/>
              <w:bottom w:val="single" w:sz="4" w:space="0" w:color="17365D"/>
              <w:right w:val="nil"/>
            </w:tcBorders>
            <w:shd w:val="clear" w:color="auto" w:fill="auto"/>
            <w:noWrap/>
            <w:vAlign w:val="center"/>
            <w:hideMark/>
          </w:tcPr>
          <w:p w14:paraId="22B6542C" w14:textId="44CB7BC7"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319 207</w:t>
            </w:r>
          </w:p>
        </w:tc>
        <w:tc>
          <w:tcPr>
            <w:tcW w:w="1083" w:type="dxa"/>
            <w:tcBorders>
              <w:top w:val="single" w:sz="4" w:space="0" w:color="17365D"/>
              <w:left w:val="nil"/>
              <w:bottom w:val="single" w:sz="4" w:space="0" w:color="17365D"/>
              <w:right w:val="nil"/>
            </w:tcBorders>
            <w:shd w:val="clear" w:color="auto" w:fill="auto"/>
            <w:noWrap/>
            <w:vAlign w:val="center"/>
            <w:hideMark/>
          </w:tcPr>
          <w:p w14:paraId="47C7DE5F" w14:textId="51C1181E"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112 048</w:t>
            </w:r>
          </w:p>
        </w:tc>
        <w:tc>
          <w:tcPr>
            <w:tcW w:w="1134" w:type="dxa"/>
            <w:tcBorders>
              <w:top w:val="single" w:sz="4" w:space="0" w:color="17365D"/>
              <w:left w:val="nil"/>
              <w:bottom w:val="single" w:sz="4" w:space="0" w:color="17365D"/>
              <w:right w:val="nil"/>
            </w:tcBorders>
            <w:shd w:val="clear" w:color="auto" w:fill="auto"/>
            <w:noWrap/>
            <w:vAlign w:val="center"/>
            <w:hideMark/>
          </w:tcPr>
          <w:p w14:paraId="59AAB9CD" w14:textId="2C35C4AF"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74 481</w:t>
            </w:r>
          </w:p>
        </w:tc>
        <w:tc>
          <w:tcPr>
            <w:tcW w:w="1276" w:type="dxa"/>
            <w:tcBorders>
              <w:top w:val="single" w:sz="4" w:space="0" w:color="17365D"/>
              <w:left w:val="nil"/>
              <w:bottom w:val="single" w:sz="4" w:space="0" w:color="17365D"/>
              <w:right w:val="nil"/>
            </w:tcBorders>
            <w:shd w:val="clear" w:color="auto" w:fill="auto"/>
            <w:noWrap/>
            <w:vAlign w:val="center"/>
            <w:hideMark/>
          </w:tcPr>
          <w:p w14:paraId="05A6DEC5" w14:textId="68FFFFB2"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41 829</w:t>
            </w:r>
          </w:p>
        </w:tc>
        <w:tc>
          <w:tcPr>
            <w:tcW w:w="1508" w:type="dxa"/>
            <w:tcBorders>
              <w:top w:val="single" w:sz="4" w:space="0" w:color="17365D"/>
              <w:left w:val="nil"/>
              <w:bottom w:val="single" w:sz="4" w:space="0" w:color="17365D"/>
              <w:right w:val="nil"/>
            </w:tcBorders>
            <w:shd w:val="clear" w:color="auto" w:fill="auto"/>
            <w:noWrap/>
            <w:vAlign w:val="center"/>
            <w:hideMark/>
          </w:tcPr>
          <w:p w14:paraId="6DBCD141" w14:textId="0A092FDD"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232 552</w:t>
            </w:r>
          </w:p>
        </w:tc>
      </w:tr>
      <w:tr w:rsidR="002A17A3" w:rsidRPr="00A27896" w14:paraId="11349042" w14:textId="77777777" w:rsidTr="007B6525">
        <w:trPr>
          <w:trHeight w:val="250"/>
        </w:trPr>
        <w:tc>
          <w:tcPr>
            <w:tcW w:w="2977" w:type="dxa"/>
            <w:tcBorders>
              <w:top w:val="single" w:sz="4" w:space="0" w:color="17365D"/>
              <w:bottom w:val="single" w:sz="4" w:space="0" w:color="17365D"/>
            </w:tcBorders>
            <w:shd w:val="clear" w:color="auto" w:fill="auto"/>
            <w:vAlign w:val="center"/>
            <w:hideMark/>
          </w:tcPr>
          <w:p w14:paraId="03B7E793" w14:textId="77777777" w:rsidR="002A17A3" w:rsidRPr="00A27896" w:rsidRDefault="002A17A3" w:rsidP="002A17A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Ieguldījuma īpašumi</w:t>
            </w:r>
          </w:p>
        </w:tc>
        <w:tc>
          <w:tcPr>
            <w:tcW w:w="1469" w:type="dxa"/>
            <w:tcBorders>
              <w:top w:val="single" w:sz="4" w:space="0" w:color="17365D"/>
              <w:left w:val="nil"/>
              <w:bottom w:val="single" w:sz="4" w:space="0" w:color="17365D"/>
              <w:right w:val="nil"/>
            </w:tcBorders>
            <w:shd w:val="clear" w:color="auto" w:fill="auto"/>
            <w:noWrap/>
            <w:vAlign w:val="center"/>
            <w:hideMark/>
          </w:tcPr>
          <w:p w14:paraId="413BB6BD" w14:textId="01BDDE84"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1 496 424</w:t>
            </w:r>
          </w:p>
        </w:tc>
        <w:tc>
          <w:tcPr>
            <w:tcW w:w="1083" w:type="dxa"/>
            <w:tcBorders>
              <w:top w:val="single" w:sz="4" w:space="0" w:color="17365D"/>
              <w:left w:val="nil"/>
              <w:bottom w:val="single" w:sz="4" w:space="0" w:color="17365D"/>
              <w:right w:val="nil"/>
            </w:tcBorders>
            <w:shd w:val="clear" w:color="auto" w:fill="auto"/>
            <w:noWrap/>
            <w:vAlign w:val="center"/>
            <w:hideMark/>
          </w:tcPr>
          <w:p w14:paraId="2ADE3D50" w14:textId="75140B68"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552 693</w:t>
            </w:r>
          </w:p>
        </w:tc>
        <w:tc>
          <w:tcPr>
            <w:tcW w:w="1134" w:type="dxa"/>
            <w:tcBorders>
              <w:top w:val="single" w:sz="4" w:space="0" w:color="17365D"/>
              <w:left w:val="nil"/>
              <w:bottom w:val="single" w:sz="4" w:space="0" w:color="17365D"/>
              <w:right w:val="nil"/>
            </w:tcBorders>
            <w:shd w:val="clear" w:color="auto" w:fill="auto"/>
            <w:noWrap/>
            <w:vAlign w:val="center"/>
            <w:hideMark/>
          </w:tcPr>
          <w:p w14:paraId="2AE2F8EF" w14:textId="21E749C7"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335 213</w:t>
            </w:r>
          </w:p>
        </w:tc>
        <w:tc>
          <w:tcPr>
            <w:tcW w:w="1276" w:type="dxa"/>
            <w:tcBorders>
              <w:top w:val="single" w:sz="4" w:space="0" w:color="17365D"/>
              <w:left w:val="nil"/>
              <w:bottom w:val="single" w:sz="4" w:space="0" w:color="17365D"/>
              <w:right w:val="nil"/>
            </w:tcBorders>
            <w:shd w:val="clear" w:color="auto" w:fill="auto"/>
            <w:noWrap/>
            <w:vAlign w:val="center"/>
            <w:hideMark/>
          </w:tcPr>
          <w:p w14:paraId="6074BE9E" w14:textId="217306BF"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228 942</w:t>
            </w:r>
          </w:p>
        </w:tc>
        <w:tc>
          <w:tcPr>
            <w:tcW w:w="1508" w:type="dxa"/>
            <w:tcBorders>
              <w:top w:val="single" w:sz="4" w:space="0" w:color="17365D"/>
              <w:left w:val="nil"/>
              <w:bottom w:val="single" w:sz="4" w:space="0" w:color="17365D"/>
              <w:right w:val="nil"/>
            </w:tcBorders>
            <w:shd w:val="clear" w:color="auto" w:fill="auto"/>
            <w:noWrap/>
            <w:vAlign w:val="center"/>
            <w:hideMark/>
          </w:tcPr>
          <w:p w14:paraId="79C18C69" w14:textId="47B52671"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1 191 844</w:t>
            </w:r>
          </w:p>
        </w:tc>
      </w:tr>
      <w:tr w:rsidR="002A17A3" w:rsidRPr="00A27896" w14:paraId="3C3BF02B" w14:textId="77777777" w:rsidTr="007B6525">
        <w:trPr>
          <w:trHeight w:val="331"/>
        </w:trPr>
        <w:tc>
          <w:tcPr>
            <w:tcW w:w="2977" w:type="dxa"/>
            <w:tcBorders>
              <w:top w:val="single" w:sz="4" w:space="0" w:color="17365D"/>
              <w:bottom w:val="single" w:sz="4" w:space="0" w:color="17365D"/>
            </w:tcBorders>
            <w:shd w:val="clear" w:color="auto" w:fill="auto"/>
            <w:vAlign w:val="center"/>
            <w:hideMark/>
          </w:tcPr>
          <w:p w14:paraId="288EEE0C" w14:textId="77777777" w:rsidR="002A17A3" w:rsidRPr="00A27896" w:rsidRDefault="002A17A3" w:rsidP="002A17A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ieguldījuma īpašumi</w:t>
            </w:r>
          </w:p>
        </w:tc>
        <w:tc>
          <w:tcPr>
            <w:tcW w:w="1469" w:type="dxa"/>
            <w:tcBorders>
              <w:top w:val="single" w:sz="4" w:space="0" w:color="17365D"/>
              <w:left w:val="nil"/>
              <w:bottom w:val="single" w:sz="4" w:space="0" w:color="17365D"/>
              <w:right w:val="nil"/>
            </w:tcBorders>
            <w:shd w:val="clear" w:color="auto" w:fill="auto"/>
            <w:noWrap/>
            <w:vAlign w:val="center"/>
            <w:hideMark/>
          </w:tcPr>
          <w:p w14:paraId="0E4F136F" w14:textId="47E1F901"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1 054 014</w:t>
            </w:r>
          </w:p>
        </w:tc>
        <w:tc>
          <w:tcPr>
            <w:tcW w:w="1083" w:type="dxa"/>
            <w:tcBorders>
              <w:top w:val="single" w:sz="4" w:space="0" w:color="17365D"/>
              <w:left w:val="nil"/>
              <w:bottom w:val="single" w:sz="4" w:space="0" w:color="17365D"/>
              <w:right w:val="nil"/>
            </w:tcBorders>
            <w:shd w:val="clear" w:color="auto" w:fill="auto"/>
            <w:noWrap/>
            <w:vAlign w:val="center"/>
            <w:hideMark/>
          </w:tcPr>
          <w:p w14:paraId="0AA95155" w14:textId="6A037291"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241 665</w:t>
            </w:r>
          </w:p>
        </w:tc>
        <w:tc>
          <w:tcPr>
            <w:tcW w:w="1134" w:type="dxa"/>
            <w:tcBorders>
              <w:top w:val="single" w:sz="4" w:space="0" w:color="17365D"/>
              <w:left w:val="nil"/>
              <w:bottom w:val="single" w:sz="4" w:space="0" w:color="17365D"/>
              <w:right w:val="nil"/>
            </w:tcBorders>
            <w:shd w:val="clear" w:color="auto" w:fill="auto"/>
            <w:noWrap/>
            <w:vAlign w:val="center"/>
            <w:hideMark/>
          </w:tcPr>
          <w:p w14:paraId="1CA1F2B6" w14:textId="7374C6D9"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198 639</w:t>
            </w:r>
          </w:p>
        </w:tc>
        <w:tc>
          <w:tcPr>
            <w:tcW w:w="1276" w:type="dxa"/>
            <w:tcBorders>
              <w:top w:val="single" w:sz="4" w:space="0" w:color="17365D"/>
              <w:left w:val="nil"/>
              <w:bottom w:val="single" w:sz="4" w:space="0" w:color="17365D"/>
              <w:right w:val="nil"/>
            </w:tcBorders>
            <w:shd w:val="clear" w:color="auto" w:fill="auto"/>
            <w:noWrap/>
            <w:vAlign w:val="center"/>
            <w:hideMark/>
          </w:tcPr>
          <w:p w14:paraId="0BE8F8E0" w14:textId="5238DD31"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159 276</w:t>
            </w:r>
          </w:p>
        </w:tc>
        <w:tc>
          <w:tcPr>
            <w:tcW w:w="1508" w:type="dxa"/>
            <w:tcBorders>
              <w:top w:val="single" w:sz="4" w:space="0" w:color="17365D"/>
              <w:left w:val="nil"/>
              <w:bottom w:val="single" w:sz="4" w:space="0" w:color="17365D"/>
              <w:right w:val="nil"/>
            </w:tcBorders>
            <w:shd w:val="clear" w:color="auto" w:fill="auto"/>
            <w:noWrap/>
            <w:vAlign w:val="center"/>
            <w:hideMark/>
          </w:tcPr>
          <w:p w14:paraId="03A06B2B" w14:textId="5F7B4122"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681 444</w:t>
            </w:r>
          </w:p>
        </w:tc>
      </w:tr>
      <w:tr w:rsidR="002A17A3" w:rsidRPr="00A27896" w14:paraId="5F568CE9" w14:textId="77777777" w:rsidTr="007B6525">
        <w:trPr>
          <w:trHeight w:val="218"/>
        </w:trPr>
        <w:tc>
          <w:tcPr>
            <w:tcW w:w="2977" w:type="dxa"/>
            <w:tcBorders>
              <w:top w:val="single" w:sz="4" w:space="0" w:color="17365D"/>
              <w:bottom w:val="single" w:sz="4" w:space="0" w:color="17365D"/>
            </w:tcBorders>
            <w:shd w:val="clear" w:color="auto" w:fill="auto"/>
            <w:vAlign w:val="center"/>
          </w:tcPr>
          <w:p w14:paraId="62796727" w14:textId="77777777" w:rsidR="002A17A3" w:rsidRPr="00A27896" w:rsidRDefault="002A17A3" w:rsidP="002A17A3">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Apgrozāmie līdzekļi</w:t>
            </w:r>
          </w:p>
        </w:tc>
        <w:tc>
          <w:tcPr>
            <w:tcW w:w="1469" w:type="dxa"/>
            <w:tcBorders>
              <w:top w:val="single" w:sz="4" w:space="0" w:color="17365D"/>
              <w:left w:val="nil"/>
              <w:bottom w:val="single" w:sz="4" w:space="0" w:color="17365D"/>
              <w:right w:val="nil"/>
            </w:tcBorders>
            <w:shd w:val="clear" w:color="auto" w:fill="auto"/>
            <w:noWrap/>
            <w:vAlign w:val="center"/>
          </w:tcPr>
          <w:p w14:paraId="66773296" w14:textId="5A06B6F5" w:rsidR="002A17A3" w:rsidRPr="00A27896" w:rsidRDefault="002A17A3" w:rsidP="002A17A3">
            <w:pPr>
              <w:spacing w:after="0" w:line="240" w:lineRule="auto"/>
              <w:jc w:val="right"/>
              <w:rPr>
                <w:rFonts w:eastAsia="Times New Roman" w:cs="Times New Roman"/>
                <w:b/>
                <w:color w:val="17365D"/>
                <w:sz w:val="18"/>
                <w:szCs w:val="18"/>
                <w:lang w:eastAsia="lv-LV"/>
              </w:rPr>
            </w:pPr>
            <w:r>
              <w:rPr>
                <w:b/>
                <w:bCs/>
                <w:color w:val="17365D"/>
                <w:sz w:val="18"/>
                <w:szCs w:val="18"/>
              </w:rPr>
              <w:t>712 573</w:t>
            </w:r>
          </w:p>
        </w:tc>
        <w:tc>
          <w:tcPr>
            <w:tcW w:w="1083" w:type="dxa"/>
            <w:tcBorders>
              <w:top w:val="single" w:sz="4" w:space="0" w:color="17365D"/>
              <w:left w:val="nil"/>
              <w:bottom w:val="single" w:sz="4" w:space="0" w:color="17365D"/>
              <w:right w:val="nil"/>
            </w:tcBorders>
            <w:shd w:val="clear" w:color="auto" w:fill="auto"/>
            <w:noWrap/>
            <w:vAlign w:val="center"/>
          </w:tcPr>
          <w:p w14:paraId="05DC8228" w14:textId="493397F9" w:rsidR="002A17A3" w:rsidRPr="00A27896" w:rsidRDefault="002A17A3" w:rsidP="002A17A3">
            <w:pPr>
              <w:spacing w:after="0" w:line="240" w:lineRule="auto"/>
              <w:jc w:val="right"/>
              <w:rPr>
                <w:rFonts w:eastAsia="Times New Roman" w:cs="Times New Roman"/>
                <w:b/>
                <w:color w:val="17365D"/>
                <w:sz w:val="18"/>
                <w:szCs w:val="18"/>
                <w:lang w:eastAsia="lv-LV"/>
              </w:rPr>
            </w:pPr>
            <w:r>
              <w:rPr>
                <w:b/>
                <w:bCs/>
                <w:color w:val="17365D"/>
                <w:sz w:val="18"/>
                <w:szCs w:val="18"/>
              </w:rPr>
              <w:t>332 429</w:t>
            </w:r>
          </w:p>
        </w:tc>
        <w:tc>
          <w:tcPr>
            <w:tcW w:w="1134" w:type="dxa"/>
            <w:tcBorders>
              <w:top w:val="single" w:sz="4" w:space="0" w:color="17365D"/>
              <w:left w:val="nil"/>
              <w:bottom w:val="single" w:sz="4" w:space="0" w:color="17365D"/>
              <w:right w:val="nil"/>
            </w:tcBorders>
            <w:shd w:val="clear" w:color="auto" w:fill="auto"/>
            <w:noWrap/>
            <w:vAlign w:val="center"/>
          </w:tcPr>
          <w:p w14:paraId="7779EDF4" w14:textId="25763E35" w:rsidR="002A17A3" w:rsidRPr="00A27896" w:rsidRDefault="002A17A3" w:rsidP="002A17A3">
            <w:pPr>
              <w:spacing w:after="0" w:line="240" w:lineRule="auto"/>
              <w:jc w:val="right"/>
              <w:rPr>
                <w:rFonts w:eastAsia="Times New Roman" w:cs="Times New Roman"/>
                <w:b/>
                <w:color w:val="17365D"/>
                <w:sz w:val="18"/>
                <w:szCs w:val="18"/>
                <w:lang w:eastAsia="lv-LV"/>
              </w:rPr>
            </w:pPr>
            <w:r>
              <w:rPr>
                <w:b/>
                <w:bCs/>
                <w:color w:val="17365D"/>
                <w:sz w:val="18"/>
                <w:szCs w:val="18"/>
              </w:rPr>
              <w:t>200 660</w:t>
            </w:r>
          </w:p>
        </w:tc>
        <w:tc>
          <w:tcPr>
            <w:tcW w:w="1276" w:type="dxa"/>
            <w:tcBorders>
              <w:top w:val="single" w:sz="4" w:space="0" w:color="17365D"/>
              <w:left w:val="nil"/>
              <w:bottom w:val="single" w:sz="4" w:space="0" w:color="17365D"/>
              <w:right w:val="nil"/>
            </w:tcBorders>
            <w:shd w:val="clear" w:color="auto" w:fill="auto"/>
            <w:noWrap/>
            <w:vAlign w:val="center"/>
          </w:tcPr>
          <w:p w14:paraId="1BAA970A" w14:textId="7E90C092" w:rsidR="002A17A3" w:rsidRPr="00A27896" w:rsidRDefault="002A17A3" w:rsidP="002A17A3">
            <w:pPr>
              <w:spacing w:after="0" w:line="240" w:lineRule="auto"/>
              <w:jc w:val="right"/>
              <w:rPr>
                <w:rFonts w:eastAsia="Times New Roman" w:cs="Times New Roman"/>
                <w:b/>
                <w:color w:val="17365D"/>
                <w:sz w:val="18"/>
                <w:szCs w:val="18"/>
                <w:lang w:eastAsia="lv-LV"/>
              </w:rPr>
            </w:pPr>
            <w:r>
              <w:rPr>
                <w:b/>
                <w:bCs/>
                <w:color w:val="17365D"/>
                <w:sz w:val="18"/>
                <w:szCs w:val="18"/>
              </w:rPr>
              <w:t>120 157</w:t>
            </w:r>
          </w:p>
        </w:tc>
        <w:tc>
          <w:tcPr>
            <w:tcW w:w="1508" w:type="dxa"/>
            <w:tcBorders>
              <w:top w:val="single" w:sz="4" w:space="0" w:color="17365D"/>
              <w:left w:val="nil"/>
              <w:bottom w:val="single" w:sz="4" w:space="0" w:color="17365D"/>
              <w:right w:val="nil"/>
            </w:tcBorders>
            <w:shd w:val="clear" w:color="auto" w:fill="auto"/>
            <w:noWrap/>
            <w:vAlign w:val="center"/>
          </w:tcPr>
          <w:p w14:paraId="7A711599" w14:textId="1F5852D3" w:rsidR="002A17A3" w:rsidRPr="00A27896" w:rsidRDefault="002A17A3" w:rsidP="002A17A3">
            <w:pPr>
              <w:spacing w:after="0" w:line="240" w:lineRule="auto"/>
              <w:jc w:val="right"/>
              <w:rPr>
                <w:rFonts w:eastAsia="Times New Roman" w:cs="Times New Roman"/>
                <w:b/>
                <w:color w:val="17365D"/>
                <w:sz w:val="18"/>
                <w:szCs w:val="18"/>
                <w:lang w:eastAsia="lv-LV"/>
              </w:rPr>
            </w:pPr>
            <w:r>
              <w:rPr>
                <w:b/>
                <w:bCs/>
                <w:color w:val="17365D"/>
                <w:sz w:val="18"/>
                <w:szCs w:val="18"/>
              </w:rPr>
              <w:t>759 089</w:t>
            </w:r>
          </w:p>
        </w:tc>
      </w:tr>
      <w:tr w:rsidR="002A17A3" w:rsidRPr="00A27896" w14:paraId="193B8821" w14:textId="77777777" w:rsidTr="007B6525">
        <w:trPr>
          <w:trHeight w:val="334"/>
        </w:trPr>
        <w:tc>
          <w:tcPr>
            <w:tcW w:w="2977" w:type="dxa"/>
            <w:tcBorders>
              <w:top w:val="single" w:sz="4" w:space="0" w:color="17365D"/>
              <w:bottom w:val="single" w:sz="4" w:space="0" w:color="17365D"/>
            </w:tcBorders>
            <w:shd w:val="clear" w:color="auto" w:fill="auto"/>
            <w:vAlign w:val="center"/>
            <w:hideMark/>
          </w:tcPr>
          <w:p w14:paraId="1668AA14" w14:textId="77777777" w:rsidR="002A17A3" w:rsidRPr="00A27896" w:rsidRDefault="002A17A3" w:rsidP="002A17A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Gatavie ražojumi, pasūtījumi un krājumi atsavināšanai</w:t>
            </w:r>
          </w:p>
        </w:tc>
        <w:tc>
          <w:tcPr>
            <w:tcW w:w="1469" w:type="dxa"/>
            <w:tcBorders>
              <w:top w:val="single" w:sz="4" w:space="0" w:color="17365D"/>
              <w:left w:val="nil"/>
              <w:bottom w:val="single" w:sz="4" w:space="0" w:color="17365D"/>
              <w:right w:val="nil"/>
            </w:tcBorders>
            <w:shd w:val="clear" w:color="auto" w:fill="auto"/>
            <w:noWrap/>
            <w:vAlign w:val="center"/>
            <w:hideMark/>
          </w:tcPr>
          <w:p w14:paraId="4851762A" w14:textId="102DEDA7"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712 573</w:t>
            </w:r>
          </w:p>
        </w:tc>
        <w:tc>
          <w:tcPr>
            <w:tcW w:w="1083" w:type="dxa"/>
            <w:tcBorders>
              <w:top w:val="single" w:sz="4" w:space="0" w:color="17365D"/>
              <w:left w:val="nil"/>
              <w:bottom w:val="single" w:sz="4" w:space="0" w:color="17365D"/>
              <w:right w:val="nil"/>
            </w:tcBorders>
            <w:shd w:val="clear" w:color="auto" w:fill="auto"/>
            <w:noWrap/>
            <w:vAlign w:val="center"/>
            <w:hideMark/>
          </w:tcPr>
          <w:p w14:paraId="782F0C3C" w14:textId="7EE6F592"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332 429</w:t>
            </w:r>
          </w:p>
        </w:tc>
        <w:tc>
          <w:tcPr>
            <w:tcW w:w="1134" w:type="dxa"/>
            <w:tcBorders>
              <w:top w:val="single" w:sz="4" w:space="0" w:color="17365D"/>
              <w:left w:val="nil"/>
              <w:bottom w:val="single" w:sz="4" w:space="0" w:color="17365D"/>
              <w:right w:val="nil"/>
            </w:tcBorders>
            <w:shd w:val="clear" w:color="auto" w:fill="auto"/>
            <w:noWrap/>
            <w:vAlign w:val="center"/>
            <w:hideMark/>
          </w:tcPr>
          <w:p w14:paraId="3FF557FA" w14:textId="1270F81A"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200 660</w:t>
            </w:r>
          </w:p>
        </w:tc>
        <w:tc>
          <w:tcPr>
            <w:tcW w:w="1276" w:type="dxa"/>
            <w:tcBorders>
              <w:top w:val="single" w:sz="4" w:space="0" w:color="17365D"/>
              <w:left w:val="nil"/>
              <w:bottom w:val="single" w:sz="4" w:space="0" w:color="17365D"/>
              <w:right w:val="nil"/>
            </w:tcBorders>
            <w:shd w:val="clear" w:color="auto" w:fill="auto"/>
            <w:noWrap/>
            <w:vAlign w:val="center"/>
            <w:hideMark/>
          </w:tcPr>
          <w:p w14:paraId="423CE72A" w14:textId="52D1058A"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120 157</w:t>
            </w:r>
          </w:p>
        </w:tc>
        <w:tc>
          <w:tcPr>
            <w:tcW w:w="1508" w:type="dxa"/>
            <w:tcBorders>
              <w:top w:val="single" w:sz="4" w:space="0" w:color="17365D"/>
              <w:left w:val="nil"/>
              <w:bottom w:val="single" w:sz="4" w:space="0" w:color="17365D"/>
              <w:right w:val="nil"/>
            </w:tcBorders>
            <w:shd w:val="clear" w:color="auto" w:fill="auto"/>
            <w:noWrap/>
            <w:vAlign w:val="center"/>
            <w:hideMark/>
          </w:tcPr>
          <w:p w14:paraId="357D0BD4" w14:textId="051DB8C4" w:rsidR="002A17A3" w:rsidRPr="00A27896" w:rsidRDefault="002A17A3" w:rsidP="002A17A3">
            <w:pPr>
              <w:spacing w:after="0" w:line="240" w:lineRule="auto"/>
              <w:jc w:val="right"/>
              <w:rPr>
                <w:rFonts w:eastAsia="Times New Roman" w:cs="Times New Roman"/>
                <w:color w:val="17365D"/>
                <w:sz w:val="18"/>
                <w:szCs w:val="18"/>
                <w:lang w:eastAsia="lv-LV"/>
              </w:rPr>
            </w:pPr>
            <w:r>
              <w:rPr>
                <w:color w:val="17365D"/>
                <w:sz w:val="18"/>
                <w:szCs w:val="18"/>
              </w:rPr>
              <w:t>759 089</w:t>
            </w:r>
          </w:p>
        </w:tc>
      </w:tr>
      <w:tr w:rsidR="000C1009" w:rsidRPr="00A27896" w14:paraId="29F7AD91" w14:textId="77777777" w:rsidTr="007B6525">
        <w:trPr>
          <w:trHeight w:val="188"/>
        </w:trPr>
        <w:tc>
          <w:tcPr>
            <w:tcW w:w="2977" w:type="dxa"/>
            <w:tcBorders>
              <w:top w:val="single" w:sz="4" w:space="0" w:color="17365D"/>
            </w:tcBorders>
            <w:shd w:val="clear" w:color="000000" w:fill="B9CDE5"/>
            <w:vAlign w:val="center"/>
            <w:hideMark/>
          </w:tcPr>
          <w:p w14:paraId="66A081C8" w14:textId="77777777" w:rsidR="0017259F" w:rsidRPr="00A27896" w:rsidRDefault="0017259F" w:rsidP="0017259F">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469" w:type="dxa"/>
            <w:tcBorders>
              <w:top w:val="single" w:sz="4" w:space="0" w:color="17365D"/>
            </w:tcBorders>
            <w:shd w:val="clear" w:color="000000" w:fill="B9CDE5"/>
            <w:noWrap/>
            <w:vAlign w:val="center"/>
            <w:hideMark/>
          </w:tcPr>
          <w:p w14:paraId="369FCEBE"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83" w:type="dxa"/>
            <w:tcBorders>
              <w:top w:val="single" w:sz="4" w:space="0" w:color="17365D"/>
            </w:tcBorders>
            <w:shd w:val="clear" w:color="000000" w:fill="B9CDE5"/>
            <w:noWrap/>
            <w:vAlign w:val="center"/>
            <w:hideMark/>
          </w:tcPr>
          <w:p w14:paraId="2BCB16E2"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tcBorders>
            <w:shd w:val="clear" w:color="000000" w:fill="B9CDE5"/>
            <w:noWrap/>
            <w:vAlign w:val="center"/>
            <w:hideMark/>
          </w:tcPr>
          <w:p w14:paraId="293996FF"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76" w:type="dxa"/>
            <w:tcBorders>
              <w:top w:val="single" w:sz="4" w:space="0" w:color="17365D"/>
            </w:tcBorders>
            <w:shd w:val="clear" w:color="000000" w:fill="B9CDE5"/>
            <w:noWrap/>
            <w:vAlign w:val="center"/>
            <w:hideMark/>
          </w:tcPr>
          <w:p w14:paraId="216285A3"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508" w:type="dxa"/>
            <w:tcBorders>
              <w:top w:val="single" w:sz="4" w:space="0" w:color="17365D"/>
            </w:tcBorders>
            <w:shd w:val="clear" w:color="000000" w:fill="B9CDE5"/>
            <w:noWrap/>
            <w:vAlign w:val="center"/>
            <w:hideMark/>
          </w:tcPr>
          <w:p w14:paraId="5BAD7F40" w14:textId="77777777" w:rsidR="0017259F" w:rsidRPr="00A27896" w:rsidRDefault="0017259F" w:rsidP="0017259F">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7D047D7E" w14:textId="68106737" w:rsidR="007B7D77" w:rsidRPr="00A27896" w:rsidRDefault="007B7D77" w:rsidP="004368D0">
      <w:pPr>
        <w:pStyle w:val="Heading5"/>
        <w:spacing w:before="240"/>
        <w:rPr>
          <w:rFonts w:cs="Times New Roman"/>
        </w:rPr>
      </w:pPr>
      <w:r w:rsidRPr="00A27896">
        <w:rPr>
          <w:rFonts w:cs="Times New Roman"/>
        </w:rPr>
        <w:lastRenderedPageBreak/>
        <w:t>Piezīme</w:t>
      </w:r>
      <w:r w:rsidR="00AC754B" w:rsidRPr="00A27896">
        <w:rPr>
          <w:rFonts w:cs="Times New Roman"/>
        </w:rPr>
        <w:t xml:space="preserve"> Nr.</w:t>
      </w:r>
      <w:r w:rsidRPr="00A27896">
        <w:rPr>
          <w:rFonts w:cs="Times New Roman"/>
        </w:rPr>
        <w:t xml:space="preserve"> V3. Informācija par finanšu nomā saņemtiem aktīviem un veicamiem maksājumiem</w:t>
      </w:r>
    </w:p>
    <w:p w14:paraId="5D553E39" w14:textId="33B66B42" w:rsidR="00BA2717" w:rsidRPr="00A27896" w:rsidRDefault="00BA2717" w:rsidP="00BA2717">
      <w:pPr>
        <w:spacing w:after="120" w:line="240" w:lineRule="auto"/>
        <w:ind w:firstLine="284"/>
        <w:jc w:val="both"/>
        <w:rPr>
          <w:rFonts w:cs="Times New Roman"/>
          <w:color w:val="17365D"/>
          <w:szCs w:val="24"/>
        </w:rPr>
      </w:pPr>
      <w:r w:rsidRPr="00A27896">
        <w:rPr>
          <w:rFonts w:cs="Times New Roman"/>
          <w:color w:val="17365D"/>
          <w:szCs w:val="24"/>
        </w:rPr>
        <w:t xml:space="preserve">Saskaņā ar ministriju, centrālo valsts iestāžu un pašvaldību sniegto informāciju saistības par finanšu nomā saņemtajiem aktīviem diskontētajā vērtībā pārskata periodā atzītas </w:t>
      </w:r>
      <w:r w:rsidR="002A17A3">
        <w:rPr>
          <w:rFonts w:cs="Times New Roman"/>
          <w:color w:val="17365D"/>
          <w:szCs w:val="24"/>
        </w:rPr>
        <w:t>13 721 462</w:t>
      </w:r>
      <w:r w:rsidR="002A17A3" w:rsidRPr="00A27896">
        <w:rPr>
          <w:rFonts w:cs="Times New Roman"/>
          <w:color w:val="17365D"/>
          <w:szCs w:val="24"/>
        </w:rPr>
        <w:t xml:space="preserve"> </w:t>
      </w:r>
      <w:r w:rsidRPr="00A27896">
        <w:rPr>
          <w:rFonts w:cs="Times New Roman"/>
          <w:i/>
          <w:color w:val="17365D"/>
          <w:szCs w:val="24"/>
        </w:rPr>
        <w:t>euro</w:t>
      </w:r>
      <w:r w:rsidRPr="00A27896">
        <w:rPr>
          <w:rFonts w:cs="Times New Roman"/>
          <w:color w:val="17365D"/>
          <w:szCs w:val="24"/>
        </w:rPr>
        <w:t xml:space="preserve"> vērtībā un tās sadalījumā pa aktīvu bilances posteņiem un saņemamajiem maksājumiem norādītas </w:t>
      </w:r>
      <w:r w:rsidR="001231AF">
        <w:rPr>
          <w:rFonts w:cs="Times New Roman"/>
          <w:color w:val="17365D"/>
          <w:szCs w:val="24"/>
        </w:rPr>
        <w:t>1.</w:t>
      </w:r>
      <w:r w:rsidR="005301E2" w:rsidRPr="00A27896">
        <w:rPr>
          <w:rFonts w:cs="Times New Roman"/>
          <w:color w:val="17365D"/>
          <w:szCs w:val="24"/>
        </w:rPr>
        <w:t>2</w:t>
      </w:r>
      <w:r w:rsidR="000229AE" w:rsidRPr="00A27896">
        <w:rPr>
          <w:rFonts w:cs="Times New Roman"/>
          <w:color w:val="17365D"/>
          <w:szCs w:val="24"/>
        </w:rPr>
        <w:t>6</w:t>
      </w:r>
      <w:r w:rsidRPr="00A27896">
        <w:rPr>
          <w:rFonts w:cs="Times New Roman"/>
          <w:color w:val="17365D"/>
          <w:szCs w:val="24"/>
        </w:rPr>
        <w:t>.</w:t>
      </w:r>
      <w:r w:rsidR="00FF34A4" w:rsidRPr="00A27896">
        <w:rPr>
          <w:rFonts w:cs="Times New Roman"/>
          <w:color w:val="17365D"/>
          <w:szCs w:val="24"/>
        </w:rPr>
        <w:t> </w:t>
      </w:r>
      <w:r w:rsidRPr="00A27896">
        <w:rPr>
          <w:rFonts w:cs="Times New Roman"/>
          <w:color w:val="17365D"/>
          <w:szCs w:val="24"/>
        </w:rPr>
        <w:t>tabulā:</w:t>
      </w:r>
    </w:p>
    <w:p w14:paraId="579A7569" w14:textId="6E4E5440" w:rsidR="00E70B9F" w:rsidRPr="00A27896" w:rsidRDefault="001231AF" w:rsidP="005311E7">
      <w:pPr>
        <w:spacing w:after="0" w:line="240" w:lineRule="auto"/>
        <w:jc w:val="right"/>
        <w:rPr>
          <w:rFonts w:cs="Times New Roman"/>
          <w:i/>
          <w:color w:val="17365D"/>
          <w:sz w:val="20"/>
        </w:rPr>
      </w:pPr>
      <w:r>
        <w:rPr>
          <w:rFonts w:cs="Times New Roman"/>
          <w:i/>
          <w:color w:val="17365D"/>
          <w:sz w:val="20"/>
        </w:rPr>
        <w:t>1.</w:t>
      </w:r>
      <w:r w:rsidR="005301E2" w:rsidRPr="0022433A">
        <w:rPr>
          <w:rFonts w:cs="Times New Roman"/>
          <w:i/>
          <w:color w:val="17365D"/>
          <w:sz w:val="20"/>
        </w:rPr>
        <w:t>2</w:t>
      </w:r>
      <w:r w:rsidR="000229AE" w:rsidRPr="0022433A">
        <w:rPr>
          <w:rFonts w:cs="Times New Roman"/>
          <w:i/>
          <w:color w:val="17365D"/>
          <w:sz w:val="20"/>
        </w:rPr>
        <w:t>6</w:t>
      </w:r>
      <w:r w:rsidR="00743E0E" w:rsidRPr="0022433A">
        <w:rPr>
          <w:rFonts w:cs="Times New Roman"/>
          <w:i/>
          <w:color w:val="17365D"/>
          <w:sz w:val="20"/>
        </w:rPr>
        <w:t>. </w:t>
      </w:r>
      <w:r w:rsidR="0075331A" w:rsidRPr="0022433A">
        <w:rPr>
          <w:rFonts w:cs="Times New Roman"/>
          <w:i/>
          <w:color w:val="17365D"/>
          <w:sz w:val="20"/>
        </w:rPr>
        <w:t>tabula</w:t>
      </w:r>
      <w:r w:rsidR="005013EF" w:rsidRPr="0022433A">
        <w:rPr>
          <w:rFonts w:cs="Times New Roman"/>
          <w:i/>
          <w:color w:val="17365D"/>
          <w:sz w:val="20"/>
        </w:rPr>
        <w:t>.</w:t>
      </w:r>
      <w:r w:rsidR="005311E7" w:rsidRPr="00A27896">
        <w:rPr>
          <w:rFonts w:cs="Times New Roman"/>
          <w:i/>
          <w:color w:val="17365D"/>
          <w:sz w:val="20"/>
        </w:rPr>
        <w:t xml:space="preserve"> Informācija par finanšu nomā saņemtajiem aktīviem un veicamiem maksājumiem (euro)</w:t>
      </w:r>
    </w:p>
    <w:tbl>
      <w:tblPr>
        <w:tblW w:w="9356" w:type="dxa"/>
        <w:tblBorders>
          <w:insideH w:val="single" w:sz="4" w:space="0" w:color="17365D"/>
        </w:tblBorders>
        <w:tblLook w:val="04A0" w:firstRow="1" w:lastRow="0" w:firstColumn="1" w:lastColumn="0" w:noHBand="0" w:noVBand="1"/>
      </w:tblPr>
      <w:tblGrid>
        <w:gridCol w:w="2198"/>
        <w:gridCol w:w="1223"/>
        <w:gridCol w:w="1417"/>
        <w:gridCol w:w="1134"/>
        <w:gridCol w:w="1134"/>
        <w:gridCol w:w="1134"/>
        <w:gridCol w:w="1116"/>
      </w:tblGrid>
      <w:tr w:rsidR="000C1009" w:rsidRPr="00A27896" w14:paraId="4A6E0405" w14:textId="77777777" w:rsidTr="00C715E2">
        <w:trPr>
          <w:trHeight w:val="651"/>
        </w:trPr>
        <w:tc>
          <w:tcPr>
            <w:tcW w:w="2198" w:type="dxa"/>
            <w:vMerge w:val="restart"/>
            <w:shd w:val="clear" w:color="000000" w:fill="B9CDE5"/>
            <w:vAlign w:val="center"/>
            <w:hideMark/>
          </w:tcPr>
          <w:p w14:paraId="3AB116E6"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1223" w:type="dxa"/>
            <w:vMerge w:val="restart"/>
            <w:shd w:val="clear" w:color="000000" w:fill="B9CDE5"/>
            <w:vAlign w:val="center"/>
            <w:hideMark/>
          </w:tcPr>
          <w:p w14:paraId="36C850AB"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Atlikusī vērtība (bilances vērtība) pārskata perioda beigās</w:t>
            </w:r>
          </w:p>
        </w:tc>
        <w:tc>
          <w:tcPr>
            <w:tcW w:w="4819" w:type="dxa"/>
            <w:gridSpan w:val="4"/>
            <w:shd w:val="clear" w:color="000000" w:fill="B9CDE5"/>
            <w:vAlign w:val="center"/>
            <w:hideMark/>
          </w:tcPr>
          <w:p w14:paraId="3DCB852A"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Nākotnes minimālie nomas maksājumi</w:t>
            </w:r>
          </w:p>
        </w:tc>
        <w:tc>
          <w:tcPr>
            <w:tcW w:w="1116" w:type="dxa"/>
            <w:vMerge w:val="restart"/>
            <w:shd w:val="clear" w:color="000000" w:fill="B9CDE5"/>
            <w:vAlign w:val="center"/>
            <w:hideMark/>
          </w:tcPr>
          <w:p w14:paraId="43C07C51"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Saistības (diskontētie izdevumi) pārskata perioda beigās</w:t>
            </w:r>
          </w:p>
        </w:tc>
      </w:tr>
      <w:tr w:rsidR="000C1009" w:rsidRPr="00A27896" w14:paraId="28B36540" w14:textId="77777777" w:rsidTr="00C715E2">
        <w:trPr>
          <w:trHeight w:val="735"/>
        </w:trPr>
        <w:tc>
          <w:tcPr>
            <w:tcW w:w="2198" w:type="dxa"/>
            <w:vMerge/>
            <w:tcBorders>
              <w:bottom w:val="single" w:sz="4" w:space="0" w:color="17365D"/>
            </w:tcBorders>
            <w:vAlign w:val="center"/>
            <w:hideMark/>
          </w:tcPr>
          <w:p w14:paraId="799D106D" w14:textId="77777777" w:rsidR="00C52348" w:rsidRPr="00A27896" w:rsidRDefault="00C52348" w:rsidP="00F20D24">
            <w:pPr>
              <w:spacing w:after="0" w:line="240" w:lineRule="auto"/>
              <w:rPr>
                <w:rFonts w:eastAsia="Times New Roman" w:cs="Times New Roman"/>
                <w:b/>
                <w:bCs/>
                <w:color w:val="17365D"/>
                <w:sz w:val="18"/>
                <w:szCs w:val="18"/>
                <w:lang w:eastAsia="lv-LV"/>
              </w:rPr>
            </w:pPr>
          </w:p>
        </w:tc>
        <w:tc>
          <w:tcPr>
            <w:tcW w:w="1223" w:type="dxa"/>
            <w:vMerge/>
            <w:tcBorders>
              <w:bottom w:val="single" w:sz="4" w:space="0" w:color="17365D"/>
            </w:tcBorders>
            <w:vAlign w:val="center"/>
            <w:hideMark/>
          </w:tcPr>
          <w:p w14:paraId="198C12EC" w14:textId="77777777" w:rsidR="00C52348" w:rsidRPr="00A27896" w:rsidRDefault="00C52348" w:rsidP="00F20D24">
            <w:pPr>
              <w:spacing w:after="0" w:line="240" w:lineRule="auto"/>
              <w:rPr>
                <w:rFonts w:eastAsia="Times New Roman" w:cs="Times New Roman"/>
                <w:b/>
                <w:bCs/>
                <w:color w:val="17365D"/>
                <w:sz w:val="18"/>
                <w:szCs w:val="18"/>
                <w:lang w:eastAsia="lv-LV"/>
              </w:rPr>
            </w:pPr>
          </w:p>
        </w:tc>
        <w:tc>
          <w:tcPr>
            <w:tcW w:w="1417" w:type="dxa"/>
            <w:tcBorders>
              <w:bottom w:val="single" w:sz="4" w:space="0" w:color="17365D"/>
            </w:tcBorders>
            <w:shd w:val="clear" w:color="000000" w:fill="B9CDE5"/>
            <w:vAlign w:val="center"/>
            <w:hideMark/>
          </w:tcPr>
          <w:p w14:paraId="2DBE9BD0"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1134" w:type="dxa"/>
            <w:tcBorders>
              <w:bottom w:val="single" w:sz="4" w:space="0" w:color="17365D"/>
            </w:tcBorders>
            <w:shd w:val="clear" w:color="000000" w:fill="B9CDE5"/>
            <w:vAlign w:val="center"/>
            <w:hideMark/>
          </w:tcPr>
          <w:p w14:paraId="046C3742" w14:textId="4CF86F27" w:rsidR="00C52348" w:rsidRPr="00A27896" w:rsidRDefault="00C52348"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2A17A3">
              <w:rPr>
                <w:rFonts w:eastAsia="Times New Roman" w:cs="Times New Roman"/>
                <w:b/>
                <w:bCs/>
                <w:color w:val="17365D"/>
                <w:sz w:val="18"/>
                <w:szCs w:val="18"/>
                <w:lang w:eastAsia="lv-LV"/>
              </w:rPr>
              <w:t>4</w:t>
            </w:r>
          </w:p>
        </w:tc>
        <w:tc>
          <w:tcPr>
            <w:tcW w:w="1134" w:type="dxa"/>
            <w:tcBorders>
              <w:bottom w:val="single" w:sz="4" w:space="0" w:color="17365D"/>
            </w:tcBorders>
            <w:shd w:val="clear" w:color="000000" w:fill="B9CDE5"/>
            <w:vAlign w:val="center"/>
          </w:tcPr>
          <w:p w14:paraId="46909766" w14:textId="58755EBE" w:rsidR="00C52348" w:rsidRPr="00A27896" w:rsidRDefault="00C52348"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2A17A3">
              <w:rPr>
                <w:rFonts w:eastAsia="Times New Roman" w:cs="Times New Roman"/>
                <w:b/>
                <w:bCs/>
                <w:color w:val="17365D"/>
                <w:sz w:val="18"/>
                <w:szCs w:val="18"/>
                <w:lang w:eastAsia="lv-LV"/>
              </w:rPr>
              <w:t>5</w:t>
            </w:r>
          </w:p>
        </w:tc>
        <w:tc>
          <w:tcPr>
            <w:tcW w:w="1134" w:type="dxa"/>
            <w:tcBorders>
              <w:bottom w:val="single" w:sz="4" w:space="0" w:color="17365D"/>
            </w:tcBorders>
            <w:shd w:val="clear" w:color="000000" w:fill="B9CDE5"/>
            <w:vAlign w:val="center"/>
            <w:hideMark/>
          </w:tcPr>
          <w:p w14:paraId="340CF547" w14:textId="5BA46008" w:rsidR="00C52348" w:rsidRPr="00A27896" w:rsidRDefault="00C52348"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2A17A3">
              <w:rPr>
                <w:rFonts w:eastAsia="Times New Roman" w:cs="Times New Roman"/>
                <w:b/>
                <w:bCs/>
                <w:color w:val="17365D"/>
                <w:sz w:val="18"/>
                <w:szCs w:val="18"/>
                <w:lang w:eastAsia="lv-LV"/>
              </w:rPr>
              <w:t>6</w:t>
            </w:r>
          </w:p>
        </w:tc>
        <w:tc>
          <w:tcPr>
            <w:tcW w:w="1116" w:type="dxa"/>
            <w:vMerge/>
            <w:tcBorders>
              <w:bottom w:val="single" w:sz="4" w:space="0" w:color="17365D"/>
            </w:tcBorders>
            <w:vAlign w:val="center"/>
            <w:hideMark/>
          </w:tcPr>
          <w:p w14:paraId="702A7ABC" w14:textId="77777777" w:rsidR="00C52348" w:rsidRPr="00A27896" w:rsidRDefault="00C52348" w:rsidP="00F20D24">
            <w:pPr>
              <w:spacing w:after="0" w:line="240" w:lineRule="auto"/>
              <w:rPr>
                <w:rFonts w:eastAsia="Times New Roman" w:cs="Times New Roman"/>
                <w:b/>
                <w:bCs/>
                <w:color w:val="17365D"/>
                <w:sz w:val="18"/>
                <w:szCs w:val="18"/>
                <w:lang w:eastAsia="lv-LV"/>
              </w:rPr>
            </w:pPr>
          </w:p>
        </w:tc>
      </w:tr>
      <w:tr w:rsidR="000C1009" w:rsidRPr="00A27896" w14:paraId="664494CA" w14:textId="77777777" w:rsidTr="001231AF">
        <w:trPr>
          <w:trHeight w:val="96"/>
        </w:trPr>
        <w:tc>
          <w:tcPr>
            <w:tcW w:w="2198" w:type="dxa"/>
            <w:tcBorders>
              <w:top w:val="single" w:sz="4" w:space="0" w:color="17365D"/>
              <w:bottom w:val="single" w:sz="4" w:space="0" w:color="17365D"/>
            </w:tcBorders>
            <w:shd w:val="clear" w:color="auto" w:fill="auto"/>
            <w:vAlign w:val="center"/>
            <w:hideMark/>
          </w:tcPr>
          <w:p w14:paraId="054011E9"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23" w:type="dxa"/>
            <w:tcBorders>
              <w:top w:val="single" w:sz="4" w:space="0" w:color="17365D"/>
              <w:bottom w:val="single" w:sz="4" w:space="0" w:color="17365D"/>
            </w:tcBorders>
            <w:shd w:val="clear" w:color="auto" w:fill="auto"/>
            <w:vAlign w:val="center"/>
            <w:hideMark/>
          </w:tcPr>
          <w:p w14:paraId="05FBB9F7"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417" w:type="dxa"/>
            <w:tcBorders>
              <w:top w:val="single" w:sz="4" w:space="0" w:color="17365D"/>
              <w:bottom w:val="single" w:sz="4" w:space="0" w:color="17365D"/>
            </w:tcBorders>
            <w:shd w:val="clear" w:color="auto" w:fill="auto"/>
            <w:vAlign w:val="center"/>
            <w:hideMark/>
          </w:tcPr>
          <w:p w14:paraId="2519F38D"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134" w:type="dxa"/>
            <w:tcBorders>
              <w:top w:val="single" w:sz="4" w:space="0" w:color="17365D"/>
              <w:bottom w:val="single" w:sz="4" w:space="0" w:color="17365D"/>
            </w:tcBorders>
            <w:shd w:val="clear" w:color="auto" w:fill="auto"/>
            <w:vAlign w:val="center"/>
            <w:hideMark/>
          </w:tcPr>
          <w:p w14:paraId="6FA13240"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134" w:type="dxa"/>
            <w:tcBorders>
              <w:top w:val="single" w:sz="4" w:space="0" w:color="17365D"/>
              <w:bottom w:val="single" w:sz="4" w:space="0" w:color="17365D"/>
            </w:tcBorders>
            <w:shd w:val="clear" w:color="auto" w:fill="auto"/>
            <w:vAlign w:val="center"/>
            <w:hideMark/>
          </w:tcPr>
          <w:p w14:paraId="1611ACC6"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134" w:type="dxa"/>
            <w:tcBorders>
              <w:top w:val="single" w:sz="4" w:space="0" w:color="17365D"/>
              <w:bottom w:val="single" w:sz="4" w:space="0" w:color="17365D"/>
            </w:tcBorders>
            <w:shd w:val="clear" w:color="auto" w:fill="auto"/>
            <w:vAlign w:val="center"/>
            <w:hideMark/>
          </w:tcPr>
          <w:p w14:paraId="3F1DF495"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16" w:type="dxa"/>
            <w:tcBorders>
              <w:top w:val="single" w:sz="4" w:space="0" w:color="17365D"/>
              <w:bottom w:val="single" w:sz="4" w:space="0" w:color="17365D"/>
            </w:tcBorders>
            <w:shd w:val="clear" w:color="auto" w:fill="auto"/>
            <w:vAlign w:val="center"/>
            <w:hideMark/>
          </w:tcPr>
          <w:p w14:paraId="7B3CCAFF" w14:textId="77777777" w:rsidR="00C52348" w:rsidRPr="00A27896" w:rsidRDefault="00C52348" w:rsidP="00F20D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2A17A3" w:rsidRPr="00A27896" w14:paraId="735A7F8D" w14:textId="77777777" w:rsidTr="001231AF">
        <w:trPr>
          <w:trHeight w:val="122"/>
        </w:trPr>
        <w:tc>
          <w:tcPr>
            <w:tcW w:w="2198" w:type="dxa"/>
            <w:tcBorders>
              <w:top w:val="single" w:sz="4" w:space="0" w:color="17365D"/>
              <w:left w:val="nil"/>
              <w:bottom w:val="single" w:sz="4" w:space="0" w:color="17365D"/>
              <w:right w:val="nil"/>
            </w:tcBorders>
            <w:shd w:val="clear" w:color="auto" w:fill="auto"/>
            <w:vAlign w:val="center"/>
          </w:tcPr>
          <w:p w14:paraId="700D08D5" w14:textId="3E561EFE" w:rsidR="002A17A3" w:rsidRPr="00A27896" w:rsidRDefault="002A17A3" w:rsidP="002A17A3">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 xml:space="preserve">Ilgtermiņa ieguldījumi </w:t>
            </w:r>
          </w:p>
        </w:tc>
        <w:tc>
          <w:tcPr>
            <w:tcW w:w="1223" w:type="dxa"/>
            <w:tcBorders>
              <w:top w:val="single" w:sz="4" w:space="0" w:color="17365D"/>
              <w:left w:val="nil"/>
              <w:bottom w:val="single" w:sz="4" w:space="0" w:color="auto"/>
              <w:right w:val="nil"/>
            </w:tcBorders>
            <w:shd w:val="clear" w:color="auto" w:fill="auto"/>
            <w:vAlign w:val="center"/>
          </w:tcPr>
          <w:p w14:paraId="3F18D275" w14:textId="7D89B202" w:rsidR="002A17A3" w:rsidRPr="00A27896" w:rsidRDefault="002A17A3" w:rsidP="002A17A3">
            <w:pPr>
              <w:spacing w:after="0" w:line="240" w:lineRule="auto"/>
              <w:jc w:val="right"/>
              <w:rPr>
                <w:rFonts w:cs="Times New Roman"/>
                <w:b/>
                <w:bCs/>
                <w:color w:val="17365D"/>
                <w:sz w:val="18"/>
                <w:szCs w:val="18"/>
              </w:rPr>
            </w:pPr>
            <w:r>
              <w:rPr>
                <w:b/>
                <w:bCs/>
                <w:color w:val="17365D"/>
                <w:sz w:val="18"/>
                <w:szCs w:val="18"/>
              </w:rPr>
              <w:t>33 023 944</w:t>
            </w:r>
          </w:p>
        </w:tc>
        <w:tc>
          <w:tcPr>
            <w:tcW w:w="1417" w:type="dxa"/>
            <w:tcBorders>
              <w:top w:val="single" w:sz="4" w:space="0" w:color="17365D"/>
              <w:left w:val="nil"/>
              <w:bottom w:val="single" w:sz="4" w:space="0" w:color="auto"/>
              <w:right w:val="nil"/>
            </w:tcBorders>
            <w:shd w:val="clear" w:color="auto" w:fill="auto"/>
            <w:vAlign w:val="center"/>
          </w:tcPr>
          <w:p w14:paraId="364EAEBE" w14:textId="267EFBBA" w:rsidR="002A17A3" w:rsidRPr="00A27896" w:rsidRDefault="002A17A3" w:rsidP="002A17A3">
            <w:pPr>
              <w:spacing w:after="0" w:line="240" w:lineRule="auto"/>
              <w:jc w:val="right"/>
              <w:rPr>
                <w:rFonts w:cs="Times New Roman"/>
                <w:b/>
                <w:bCs/>
                <w:color w:val="17365D"/>
                <w:sz w:val="18"/>
                <w:szCs w:val="18"/>
              </w:rPr>
            </w:pPr>
            <w:r>
              <w:rPr>
                <w:b/>
                <w:bCs/>
                <w:color w:val="17365D"/>
                <w:sz w:val="18"/>
                <w:szCs w:val="18"/>
              </w:rPr>
              <w:t>13 943 753</w:t>
            </w:r>
          </w:p>
        </w:tc>
        <w:tc>
          <w:tcPr>
            <w:tcW w:w="1134" w:type="dxa"/>
            <w:tcBorders>
              <w:top w:val="single" w:sz="4" w:space="0" w:color="17365D"/>
              <w:left w:val="nil"/>
              <w:bottom w:val="single" w:sz="4" w:space="0" w:color="auto"/>
              <w:right w:val="nil"/>
            </w:tcBorders>
            <w:shd w:val="clear" w:color="auto" w:fill="auto"/>
            <w:vAlign w:val="center"/>
          </w:tcPr>
          <w:p w14:paraId="03927982" w14:textId="708BD1EE" w:rsidR="002A17A3" w:rsidRPr="00A27896" w:rsidRDefault="002A17A3" w:rsidP="002A17A3">
            <w:pPr>
              <w:spacing w:after="0" w:line="240" w:lineRule="auto"/>
              <w:jc w:val="right"/>
              <w:rPr>
                <w:rFonts w:cs="Times New Roman"/>
                <w:b/>
                <w:bCs/>
                <w:color w:val="17365D"/>
                <w:sz w:val="18"/>
                <w:szCs w:val="18"/>
              </w:rPr>
            </w:pPr>
            <w:r>
              <w:rPr>
                <w:b/>
                <w:bCs/>
                <w:color w:val="17365D"/>
                <w:sz w:val="18"/>
                <w:szCs w:val="18"/>
              </w:rPr>
              <w:t>2 724 636</w:t>
            </w:r>
          </w:p>
        </w:tc>
        <w:tc>
          <w:tcPr>
            <w:tcW w:w="1134" w:type="dxa"/>
            <w:tcBorders>
              <w:top w:val="single" w:sz="4" w:space="0" w:color="17365D"/>
              <w:left w:val="nil"/>
              <w:bottom w:val="single" w:sz="4" w:space="0" w:color="auto"/>
              <w:right w:val="nil"/>
            </w:tcBorders>
            <w:shd w:val="clear" w:color="auto" w:fill="auto"/>
            <w:vAlign w:val="center"/>
          </w:tcPr>
          <w:p w14:paraId="254C1279" w14:textId="3F017C9D" w:rsidR="002A17A3" w:rsidRPr="00A27896" w:rsidRDefault="002A17A3" w:rsidP="002A17A3">
            <w:pPr>
              <w:spacing w:after="0" w:line="240" w:lineRule="auto"/>
              <w:jc w:val="right"/>
              <w:rPr>
                <w:rFonts w:cs="Times New Roman"/>
                <w:b/>
                <w:bCs/>
                <w:color w:val="17365D"/>
                <w:sz w:val="18"/>
                <w:szCs w:val="18"/>
              </w:rPr>
            </w:pPr>
            <w:r>
              <w:rPr>
                <w:b/>
                <w:bCs/>
                <w:color w:val="17365D"/>
                <w:sz w:val="18"/>
                <w:szCs w:val="18"/>
              </w:rPr>
              <w:t>2 480 131</w:t>
            </w:r>
          </w:p>
        </w:tc>
        <w:tc>
          <w:tcPr>
            <w:tcW w:w="1134" w:type="dxa"/>
            <w:tcBorders>
              <w:top w:val="single" w:sz="4" w:space="0" w:color="17365D"/>
              <w:left w:val="nil"/>
              <w:bottom w:val="single" w:sz="4" w:space="0" w:color="auto"/>
              <w:right w:val="nil"/>
            </w:tcBorders>
            <w:shd w:val="clear" w:color="auto" w:fill="auto"/>
            <w:vAlign w:val="center"/>
          </w:tcPr>
          <w:p w14:paraId="726D5FCE" w14:textId="37167544" w:rsidR="002A17A3" w:rsidRPr="00A27896" w:rsidRDefault="002A17A3" w:rsidP="002A17A3">
            <w:pPr>
              <w:spacing w:after="0" w:line="240" w:lineRule="auto"/>
              <w:jc w:val="right"/>
              <w:rPr>
                <w:rFonts w:cs="Times New Roman"/>
                <w:b/>
                <w:bCs/>
                <w:color w:val="17365D"/>
                <w:sz w:val="18"/>
                <w:szCs w:val="18"/>
              </w:rPr>
            </w:pPr>
            <w:r>
              <w:rPr>
                <w:b/>
                <w:bCs/>
                <w:color w:val="17365D"/>
                <w:sz w:val="18"/>
                <w:szCs w:val="18"/>
              </w:rPr>
              <w:t>2 534 571</w:t>
            </w:r>
          </w:p>
        </w:tc>
        <w:tc>
          <w:tcPr>
            <w:tcW w:w="1116" w:type="dxa"/>
            <w:tcBorders>
              <w:top w:val="single" w:sz="4" w:space="0" w:color="17365D"/>
              <w:left w:val="nil"/>
              <w:bottom w:val="single" w:sz="4" w:space="0" w:color="auto"/>
              <w:right w:val="nil"/>
            </w:tcBorders>
            <w:shd w:val="clear" w:color="auto" w:fill="auto"/>
            <w:vAlign w:val="center"/>
          </w:tcPr>
          <w:p w14:paraId="69015659" w14:textId="739D908F" w:rsidR="002A17A3" w:rsidRPr="00A27896" w:rsidRDefault="002A17A3" w:rsidP="002A17A3">
            <w:pPr>
              <w:spacing w:after="0" w:line="240" w:lineRule="auto"/>
              <w:jc w:val="right"/>
              <w:rPr>
                <w:rFonts w:cs="Times New Roman"/>
                <w:b/>
                <w:bCs/>
                <w:color w:val="17365D"/>
                <w:sz w:val="18"/>
                <w:szCs w:val="18"/>
              </w:rPr>
            </w:pPr>
            <w:r>
              <w:rPr>
                <w:b/>
                <w:bCs/>
                <w:color w:val="17365D"/>
                <w:sz w:val="18"/>
                <w:szCs w:val="18"/>
              </w:rPr>
              <w:t>13 699 388</w:t>
            </w:r>
          </w:p>
        </w:tc>
      </w:tr>
      <w:tr w:rsidR="002A17A3" w:rsidRPr="00A27896" w14:paraId="3AEB3269" w14:textId="77777777" w:rsidTr="001231AF">
        <w:trPr>
          <w:trHeight w:val="122"/>
        </w:trPr>
        <w:tc>
          <w:tcPr>
            <w:tcW w:w="2198" w:type="dxa"/>
            <w:tcBorders>
              <w:top w:val="single" w:sz="4" w:space="0" w:color="17365D"/>
              <w:left w:val="nil"/>
              <w:bottom w:val="single" w:sz="4" w:space="0" w:color="17365D"/>
              <w:right w:val="nil"/>
            </w:tcBorders>
            <w:shd w:val="clear" w:color="auto" w:fill="auto"/>
            <w:vAlign w:val="center"/>
          </w:tcPr>
          <w:p w14:paraId="71DC41A6" w14:textId="3738BAC1" w:rsidR="002A17A3" w:rsidRPr="00A27896" w:rsidRDefault="002A17A3" w:rsidP="002A17A3">
            <w:pPr>
              <w:spacing w:after="0" w:line="240" w:lineRule="auto"/>
              <w:rPr>
                <w:rFonts w:eastAsia="Times New Roman" w:cs="Times New Roman"/>
                <w:color w:val="17365D"/>
                <w:sz w:val="18"/>
                <w:szCs w:val="18"/>
                <w:lang w:eastAsia="lv-LV"/>
              </w:rPr>
            </w:pPr>
            <w:r w:rsidRPr="00A27896">
              <w:rPr>
                <w:rFonts w:cs="Times New Roman"/>
                <w:color w:val="17365D"/>
                <w:sz w:val="18"/>
                <w:szCs w:val="18"/>
              </w:rPr>
              <w:t>Licences, koncesijas un patenti, preču zīmes un tamlīdzīgas tiesības</w:t>
            </w:r>
          </w:p>
        </w:tc>
        <w:tc>
          <w:tcPr>
            <w:tcW w:w="1223" w:type="dxa"/>
            <w:tcBorders>
              <w:top w:val="single" w:sz="4" w:space="0" w:color="auto"/>
              <w:left w:val="nil"/>
              <w:bottom w:val="single" w:sz="4" w:space="0" w:color="auto"/>
              <w:right w:val="nil"/>
            </w:tcBorders>
            <w:shd w:val="clear" w:color="auto" w:fill="auto"/>
            <w:vAlign w:val="center"/>
          </w:tcPr>
          <w:p w14:paraId="29CF8035" w14:textId="7EBFBC80" w:rsidR="002A17A3" w:rsidRPr="00A27896" w:rsidRDefault="002A17A3" w:rsidP="002A17A3">
            <w:pPr>
              <w:spacing w:after="0" w:line="240" w:lineRule="auto"/>
              <w:jc w:val="right"/>
              <w:rPr>
                <w:rFonts w:cs="Times New Roman"/>
                <w:color w:val="17365D"/>
                <w:sz w:val="18"/>
                <w:szCs w:val="18"/>
              </w:rPr>
            </w:pPr>
            <w:r>
              <w:rPr>
                <w:color w:val="17365D"/>
                <w:sz w:val="18"/>
                <w:szCs w:val="18"/>
              </w:rPr>
              <w:t>11 742</w:t>
            </w:r>
          </w:p>
        </w:tc>
        <w:tc>
          <w:tcPr>
            <w:tcW w:w="1417" w:type="dxa"/>
            <w:tcBorders>
              <w:top w:val="single" w:sz="4" w:space="0" w:color="auto"/>
              <w:left w:val="nil"/>
              <w:bottom w:val="single" w:sz="4" w:space="0" w:color="auto"/>
              <w:right w:val="nil"/>
            </w:tcBorders>
            <w:shd w:val="clear" w:color="auto" w:fill="auto"/>
            <w:vAlign w:val="center"/>
          </w:tcPr>
          <w:p w14:paraId="18763152" w14:textId="1CAF72C3" w:rsidR="002A17A3" w:rsidRPr="00A27896" w:rsidRDefault="002A17A3" w:rsidP="002A17A3">
            <w:pPr>
              <w:spacing w:after="0" w:line="240" w:lineRule="auto"/>
              <w:jc w:val="right"/>
              <w:rPr>
                <w:rFonts w:cs="Times New Roman"/>
                <w:color w:val="17365D"/>
                <w:sz w:val="18"/>
                <w:szCs w:val="18"/>
              </w:rPr>
            </w:pPr>
            <w:r>
              <w:rPr>
                <w:color w:val="17365D"/>
                <w:sz w:val="18"/>
                <w:szCs w:val="18"/>
              </w:rPr>
              <w:t>7 717</w:t>
            </w:r>
          </w:p>
        </w:tc>
        <w:tc>
          <w:tcPr>
            <w:tcW w:w="1134" w:type="dxa"/>
            <w:tcBorders>
              <w:top w:val="single" w:sz="4" w:space="0" w:color="auto"/>
              <w:left w:val="nil"/>
              <w:bottom w:val="single" w:sz="4" w:space="0" w:color="auto"/>
              <w:right w:val="nil"/>
            </w:tcBorders>
            <w:shd w:val="clear" w:color="auto" w:fill="auto"/>
            <w:vAlign w:val="center"/>
          </w:tcPr>
          <w:p w14:paraId="094ED5E2" w14:textId="11D26AD9" w:rsidR="002A17A3" w:rsidRPr="00A27896" w:rsidRDefault="002A17A3" w:rsidP="002A17A3">
            <w:pPr>
              <w:spacing w:after="0" w:line="240" w:lineRule="auto"/>
              <w:jc w:val="right"/>
              <w:rPr>
                <w:rFonts w:cs="Times New Roman"/>
                <w:color w:val="17365D"/>
                <w:sz w:val="18"/>
                <w:szCs w:val="18"/>
              </w:rPr>
            </w:pPr>
            <w:r>
              <w:rPr>
                <w:color w:val="17365D"/>
                <w:sz w:val="18"/>
                <w:szCs w:val="18"/>
              </w:rPr>
              <w:t>2 504</w:t>
            </w:r>
          </w:p>
        </w:tc>
        <w:tc>
          <w:tcPr>
            <w:tcW w:w="1134" w:type="dxa"/>
            <w:tcBorders>
              <w:top w:val="single" w:sz="4" w:space="0" w:color="auto"/>
              <w:left w:val="nil"/>
              <w:bottom w:val="single" w:sz="4" w:space="0" w:color="auto"/>
              <w:right w:val="nil"/>
            </w:tcBorders>
            <w:shd w:val="clear" w:color="auto" w:fill="auto"/>
            <w:vAlign w:val="center"/>
          </w:tcPr>
          <w:p w14:paraId="306FF055" w14:textId="5059CFA9" w:rsidR="002A17A3" w:rsidRPr="00A27896" w:rsidRDefault="002A17A3" w:rsidP="002A17A3">
            <w:pPr>
              <w:spacing w:after="0" w:line="240" w:lineRule="auto"/>
              <w:jc w:val="right"/>
              <w:rPr>
                <w:rFonts w:cs="Times New Roman"/>
                <w:color w:val="17365D"/>
                <w:sz w:val="18"/>
                <w:szCs w:val="18"/>
              </w:rPr>
            </w:pPr>
            <w:r>
              <w:rPr>
                <w:color w:val="17365D"/>
                <w:sz w:val="18"/>
                <w:szCs w:val="18"/>
              </w:rPr>
              <w:t>2 483</w:t>
            </w:r>
          </w:p>
        </w:tc>
        <w:tc>
          <w:tcPr>
            <w:tcW w:w="1134" w:type="dxa"/>
            <w:tcBorders>
              <w:top w:val="single" w:sz="4" w:space="0" w:color="auto"/>
              <w:left w:val="nil"/>
              <w:bottom w:val="single" w:sz="4" w:space="0" w:color="auto"/>
              <w:right w:val="nil"/>
            </w:tcBorders>
            <w:shd w:val="clear" w:color="auto" w:fill="auto"/>
            <w:vAlign w:val="center"/>
          </w:tcPr>
          <w:p w14:paraId="5163AD51" w14:textId="20807584" w:rsidR="002A17A3" w:rsidRPr="00A27896" w:rsidRDefault="002A17A3" w:rsidP="002A17A3">
            <w:pPr>
              <w:spacing w:after="0" w:line="240" w:lineRule="auto"/>
              <w:jc w:val="right"/>
              <w:rPr>
                <w:rFonts w:cs="Times New Roman"/>
                <w:color w:val="17365D"/>
                <w:sz w:val="18"/>
                <w:szCs w:val="18"/>
              </w:rPr>
            </w:pPr>
            <w:r>
              <w:rPr>
                <w:color w:val="17365D"/>
                <w:sz w:val="18"/>
                <w:szCs w:val="18"/>
              </w:rPr>
              <w:t>2 283</w:t>
            </w:r>
          </w:p>
        </w:tc>
        <w:tc>
          <w:tcPr>
            <w:tcW w:w="1116" w:type="dxa"/>
            <w:tcBorders>
              <w:top w:val="single" w:sz="4" w:space="0" w:color="auto"/>
              <w:left w:val="nil"/>
              <w:bottom w:val="single" w:sz="4" w:space="0" w:color="auto"/>
              <w:right w:val="nil"/>
            </w:tcBorders>
            <w:shd w:val="clear" w:color="auto" w:fill="auto"/>
            <w:vAlign w:val="center"/>
          </w:tcPr>
          <w:p w14:paraId="77FCDE5B" w14:textId="7B290ABD" w:rsidR="002A17A3" w:rsidRPr="00A27896" w:rsidRDefault="002A17A3" w:rsidP="002A17A3">
            <w:pPr>
              <w:spacing w:after="0" w:line="240" w:lineRule="auto"/>
              <w:jc w:val="right"/>
              <w:rPr>
                <w:rFonts w:cs="Times New Roman"/>
                <w:color w:val="17365D"/>
                <w:sz w:val="18"/>
                <w:szCs w:val="18"/>
              </w:rPr>
            </w:pPr>
            <w:r>
              <w:rPr>
                <w:color w:val="17365D"/>
                <w:sz w:val="18"/>
                <w:szCs w:val="18"/>
              </w:rPr>
              <w:t>7 346</w:t>
            </w:r>
          </w:p>
        </w:tc>
      </w:tr>
      <w:tr w:rsidR="002A17A3" w:rsidRPr="00A27896" w14:paraId="375D76F5" w14:textId="77777777" w:rsidTr="001231AF">
        <w:trPr>
          <w:trHeight w:val="218"/>
        </w:trPr>
        <w:tc>
          <w:tcPr>
            <w:tcW w:w="2198" w:type="dxa"/>
            <w:tcBorders>
              <w:top w:val="single" w:sz="4" w:space="0" w:color="17365D"/>
              <w:left w:val="nil"/>
              <w:bottom w:val="single" w:sz="4" w:space="0" w:color="17365D"/>
              <w:right w:val="nil"/>
            </w:tcBorders>
            <w:shd w:val="clear" w:color="auto" w:fill="auto"/>
            <w:vAlign w:val="center"/>
            <w:hideMark/>
          </w:tcPr>
          <w:p w14:paraId="6BF9A89B" w14:textId="49B2F93B" w:rsidR="002A17A3" w:rsidRPr="00A27896" w:rsidRDefault="002A17A3" w:rsidP="002A17A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pamatlīdzekļi</w:t>
            </w:r>
          </w:p>
        </w:tc>
        <w:tc>
          <w:tcPr>
            <w:tcW w:w="1223" w:type="dxa"/>
            <w:tcBorders>
              <w:top w:val="single" w:sz="4" w:space="0" w:color="auto"/>
              <w:left w:val="nil"/>
              <w:bottom w:val="single" w:sz="4" w:space="0" w:color="auto"/>
              <w:right w:val="nil"/>
            </w:tcBorders>
            <w:shd w:val="clear" w:color="auto" w:fill="auto"/>
            <w:vAlign w:val="center"/>
          </w:tcPr>
          <w:p w14:paraId="63C62091" w14:textId="751DE7EC" w:rsidR="002A17A3" w:rsidRPr="00A27896" w:rsidRDefault="002A17A3" w:rsidP="002A17A3">
            <w:pPr>
              <w:spacing w:after="0" w:line="240" w:lineRule="auto"/>
              <w:jc w:val="right"/>
              <w:rPr>
                <w:rFonts w:cs="Times New Roman"/>
                <w:color w:val="17365D"/>
                <w:sz w:val="18"/>
                <w:szCs w:val="18"/>
              </w:rPr>
            </w:pPr>
            <w:r>
              <w:rPr>
                <w:color w:val="17365D"/>
                <w:sz w:val="18"/>
                <w:szCs w:val="18"/>
              </w:rPr>
              <w:t>532 578</w:t>
            </w:r>
          </w:p>
        </w:tc>
        <w:tc>
          <w:tcPr>
            <w:tcW w:w="1417" w:type="dxa"/>
            <w:tcBorders>
              <w:top w:val="single" w:sz="4" w:space="0" w:color="auto"/>
              <w:left w:val="nil"/>
              <w:bottom w:val="single" w:sz="4" w:space="0" w:color="auto"/>
              <w:right w:val="nil"/>
            </w:tcBorders>
            <w:shd w:val="clear" w:color="auto" w:fill="auto"/>
            <w:vAlign w:val="center"/>
          </w:tcPr>
          <w:p w14:paraId="42DC47FF" w14:textId="0DFAF670" w:rsidR="002A17A3" w:rsidRPr="00A27896" w:rsidRDefault="002A17A3" w:rsidP="002A17A3">
            <w:pPr>
              <w:spacing w:after="0" w:line="240" w:lineRule="auto"/>
              <w:jc w:val="right"/>
              <w:rPr>
                <w:rFonts w:cs="Times New Roman"/>
                <w:color w:val="17365D"/>
                <w:sz w:val="18"/>
                <w:szCs w:val="18"/>
              </w:rPr>
            </w:pPr>
            <w:r>
              <w:rPr>
                <w:color w:val="17365D"/>
                <w:sz w:val="18"/>
                <w:szCs w:val="18"/>
              </w:rPr>
              <w:t>526 071</w:t>
            </w:r>
          </w:p>
        </w:tc>
        <w:tc>
          <w:tcPr>
            <w:tcW w:w="1134" w:type="dxa"/>
            <w:tcBorders>
              <w:top w:val="single" w:sz="4" w:space="0" w:color="auto"/>
              <w:left w:val="nil"/>
              <w:bottom w:val="single" w:sz="4" w:space="0" w:color="auto"/>
              <w:right w:val="nil"/>
            </w:tcBorders>
            <w:shd w:val="clear" w:color="auto" w:fill="auto"/>
            <w:vAlign w:val="center"/>
          </w:tcPr>
          <w:p w14:paraId="17C2DC01" w14:textId="6FCCD06C" w:rsidR="002A17A3" w:rsidRPr="00A27896" w:rsidRDefault="002A17A3" w:rsidP="002A17A3">
            <w:pPr>
              <w:spacing w:after="0" w:line="240" w:lineRule="auto"/>
              <w:jc w:val="right"/>
              <w:rPr>
                <w:rFonts w:cs="Times New Roman"/>
                <w:color w:val="17365D"/>
                <w:sz w:val="18"/>
                <w:szCs w:val="18"/>
              </w:rPr>
            </w:pPr>
            <w:r>
              <w:rPr>
                <w:color w:val="17365D"/>
                <w:sz w:val="18"/>
                <w:szCs w:val="18"/>
              </w:rPr>
              <w:t>148 819</w:t>
            </w:r>
          </w:p>
        </w:tc>
        <w:tc>
          <w:tcPr>
            <w:tcW w:w="1134" w:type="dxa"/>
            <w:tcBorders>
              <w:top w:val="single" w:sz="4" w:space="0" w:color="auto"/>
              <w:left w:val="nil"/>
              <w:bottom w:val="single" w:sz="4" w:space="0" w:color="auto"/>
              <w:right w:val="nil"/>
            </w:tcBorders>
            <w:shd w:val="clear" w:color="auto" w:fill="auto"/>
            <w:vAlign w:val="center"/>
          </w:tcPr>
          <w:p w14:paraId="297EC817" w14:textId="1F649FBF" w:rsidR="002A17A3" w:rsidRPr="00A27896" w:rsidRDefault="002A17A3" w:rsidP="002A17A3">
            <w:pPr>
              <w:spacing w:after="0" w:line="240" w:lineRule="auto"/>
              <w:jc w:val="right"/>
              <w:rPr>
                <w:rFonts w:cs="Times New Roman"/>
                <w:color w:val="17365D"/>
                <w:sz w:val="18"/>
                <w:szCs w:val="18"/>
              </w:rPr>
            </w:pPr>
            <w:r>
              <w:rPr>
                <w:color w:val="17365D"/>
                <w:sz w:val="18"/>
                <w:szCs w:val="18"/>
              </w:rPr>
              <w:t>146 422</w:t>
            </w:r>
          </w:p>
        </w:tc>
        <w:tc>
          <w:tcPr>
            <w:tcW w:w="1134" w:type="dxa"/>
            <w:tcBorders>
              <w:top w:val="single" w:sz="4" w:space="0" w:color="auto"/>
              <w:left w:val="nil"/>
              <w:bottom w:val="single" w:sz="4" w:space="0" w:color="auto"/>
              <w:right w:val="nil"/>
            </w:tcBorders>
            <w:shd w:val="clear" w:color="auto" w:fill="auto"/>
            <w:vAlign w:val="center"/>
          </w:tcPr>
          <w:p w14:paraId="7FCED6E5" w14:textId="72511410" w:rsidR="002A17A3" w:rsidRPr="00A27896" w:rsidRDefault="002A17A3" w:rsidP="002A17A3">
            <w:pPr>
              <w:spacing w:after="0" w:line="240" w:lineRule="auto"/>
              <w:jc w:val="right"/>
              <w:rPr>
                <w:rFonts w:cs="Times New Roman"/>
                <w:color w:val="17365D"/>
                <w:sz w:val="18"/>
                <w:szCs w:val="18"/>
              </w:rPr>
            </w:pPr>
            <w:r>
              <w:rPr>
                <w:color w:val="17365D"/>
                <w:sz w:val="18"/>
                <w:szCs w:val="18"/>
              </w:rPr>
              <w:t>201 062</w:t>
            </w:r>
          </w:p>
        </w:tc>
        <w:tc>
          <w:tcPr>
            <w:tcW w:w="1116" w:type="dxa"/>
            <w:tcBorders>
              <w:top w:val="single" w:sz="4" w:space="0" w:color="auto"/>
              <w:left w:val="nil"/>
              <w:bottom w:val="single" w:sz="4" w:space="0" w:color="auto"/>
              <w:right w:val="nil"/>
            </w:tcBorders>
            <w:shd w:val="clear" w:color="auto" w:fill="auto"/>
            <w:vAlign w:val="center"/>
          </w:tcPr>
          <w:p w14:paraId="3D170667" w14:textId="2B7B9410" w:rsidR="002A17A3" w:rsidRPr="00A27896" w:rsidRDefault="002A17A3" w:rsidP="002A17A3">
            <w:pPr>
              <w:spacing w:after="0" w:line="240" w:lineRule="auto"/>
              <w:jc w:val="right"/>
              <w:rPr>
                <w:rFonts w:cs="Times New Roman"/>
                <w:color w:val="17365D"/>
                <w:sz w:val="18"/>
                <w:szCs w:val="18"/>
              </w:rPr>
            </w:pPr>
            <w:r>
              <w:rPr>
                <w:color w:val="17365D"/>
                <w:sz w:val="18"/>
                <w:szCs w:val="18"/>
              </w:rPr>
              <w:t>524 164</w:t>
            </w:r>
          </w:p>
        </w:tc>
      </w:tr>
      <w:tr w:rsidR="002A17A3" w:rsidRPr="00A27896" w14:paraId="2EF3BD9D" w14:textId="77777777" w:rsidTr="001231AF">
        <w:trPr>
          <w:trHeight w:val="263"/>
        </w:trPr>
        <w:tc>
          <w:tcPr>
            <w:tcW w:w="2198" w:type="dxa"/>
            <w:tcBorders>
              <w:top w:val="single" w:sz="4" w:space="0" w:color="17365D"/>
              <w:left w:val="nil"/>
              <w:bottom w:val="single" w:sz="4" w:space="0" w:color="17365D"/>
              <w:right w:val="nil"/>
            </w:tcBorders>
            <w:shd w:val="clear" w:color="auto" w:fill="auto"/>
            <w:vAlign w:val="center"/>
            <w:hideMark/>
          </w:tcPr>
          <w:p w14:paraId="17A9712B" w14:textId="1663BCBD" w:rsidR="002A17A3" w:rsidRPr="00A27896" w:rsidRDefault="002A17A3" w:rsidP="002A17A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1223" w:type="dxa"/>
            <w:tcBorders>
              <w:top w:val="single" w:sz="4" w:space="0" w:color="auto"/>
              <w:left w:val="nil"/>
              <w:bottom w:val="single" w:sz="4" w:space="0" w:color="auto"/>
              <w:right w:val="nil"/>
            </w:tcBorders>
            <w:shd w:val="clear" w:color="auto" w:fill="auto"/>
            <w:vAlign w:val="center"/>
          </w:tcPr>
          <w:p w14:paraId="5A674221" w14:textId="3EEBF32B" w:rsidR="002A17A3" w:rsidRPr="00A27896" w:rsidRDefault="002A17A3" w:rsidP="002A17A3">
            <w:pPr>
              <w:spacing w:after="0" w:line="240" w:lineRule="auto"/>
              <w:jc w:val="right"/>
              <w:rPr>
                <w:rFonts w:cs="Times New Roman"/>
                <w:color w:val="17365D"/>
                <w:sz w:val="18"/>
                <w:szCs w:val="18"/>
              </w:rPr>
            </w:pPr>
            <w:r>
              <w:rPr>
                <w:color w:val="17365D"/>
                <w:sz w:val="18"/>
                <w:szCs w:val="18"/>
              </w:rPr>
              <w:t>32 479 624</w:t>
            </w:r>
          </w:p>
        </w:tc>
        <w:tc>
          <w:tcPr>
            <w:tcW w:w="1417" w:type="dxa"/>
            <w:tcBorders>
              <w:top w:val="single" w:sz="4" w:space="0" w:color="auto"/>
              <w:left w:val="nil"/>
              <w:bottom w:val="single" w:sz="4" w:space="0" w:color="auto"/>
              <w:right w:val="nil"/>
            </w:tcBorders>
            <w:shd w:val="clear" w:color="auto" w:fill="auto"/>
            <w:vAlign w:val="center"/>
          </w:tcPr>
          <w:p w14:paraId="4660DF14" w14:textId="7CDC8BCA" w:rsidR="002A17A3" w:rsidRPr="00A27896" w:rsidRDefault="002A17A3" w:rsidP="002A17A3">
            <w:pPr>
              <w:spacing w:after="0" w:line="240" w:lineRule="auto"/>
              <w:jc w:val="right"/>
              <w:rPr>
                <w:rFonts w:cs="Times New Roman"/>
                <w:color w:val="17365D"/>
                <w:sz w:val="18"/>
                <w:szCs w:val="18"/>
              </w:rPr>
            </w:pPr>
            <w:r>
              <w:rPr>
                <w:color w:val="17365D"/>
                <w:sz w:val="18"/>
                <w:szCs w:val="18"/>
              </w:rPr>
              <w:t>13 409 965</w:t>
            </w:r>
          </w:p>
        </w:tc>
        <w:tc>
          <w:tcPr>
            <w:tcW w:w="1134" w:type="dxa"/>
            <w:tcBorders>
              <w:top w:val="single" w:sz="4" w:space="0" w:color="auto"/>
              <w:left w:val="nil"/>
              <w:bottom w:val="single" w:sz="4" w:space="0" w:color="auto"/>
              <w:right w:val="nil"/>
            </w:tcBorders>
            <w:shd w:val="clear" w:color="auto" w:fill="auto"/>
            <w:vAlign w:val="center"/>
          </w:tcPr>
          <w:p w14:paraId="0D5ADC1C" w14:textId="33EBB60D" w:rsidR="002A17A3" w:rsidRPr="00A27896" w:rsidRDefault="002A17A3" w:rsidP="002A17A3">
            <w:pPr>
              <w:spacing w:after="0" w:line="240" w:lineRule="auto"/>
              <w:jc w:val="right"/>
              <w:rPr>
                <w:rFonts w:cs="Times New Roman"/>
                <w:color w:val="17365D"/>
                <w:sz w:val="18"/>
                <w:szCs w:val="18"/>
              </w:rPr>
            </w:pPr>
            <w:r>
              <w:rPr>
                <w:color w:val="17365D"/>
                <w:sz w:val="18"/>
                <w:szCs w:val="18"/>
              </w:rPr>
              <w:t>2 573 313</w:t>
            </w:r>
          </w:p>
        </w:tc>
        <w:tc>
          <w:tcPr>
            <w:tcW w:w="1134" w:type="dxa"/>
            <w:tcBorders>
              <w:top w:val="single" w:sz="4" w:space="0" w:color="auto"/>
              <w:left w:val="nil"/>
              <w:bottom w:val="single" w:sz="4" w:space="0" w:color="auto"/>
              <w:right w:val="nil"/>
            </w:tcBorders>
            <w:shd w:val="clear" w:color="auto" w:fill="auto"/>
            <w:vAlign w:val="center"/>
          </w:tcPr>
          <w:p w14:paraId="71BAC97A" w14:textId="74B3D953" w:rsidR="002A17A3" w:rsidRPr="00A27896" w:rsidRDefault="002A17A3" w:rsidP="002A17A3">
            <w:pPr>
              <w:spacing w:after="0" w:line="240" w:lineRule="auto"/>
              <w:jc w:val="right"/>
              <w:rPr>
                <w:rFonts w:cs="Times New Roman"/>
                <w:color w:val="17365D"/>
                <w:sz w:val="18"/>
                <w:szCs w:val="18"/>
              </w:rPr>
            </w:pPr>
            <w:r>
              <w:rPr>
                <w:color w:val="17365D"/>
                <w:sz w:val="18"/>
                <w:szCs w:val="18"/>
              </w:rPr>
              <w:t>2 331 226</w:t>
            </w:r>
          </w:p>
        </w:tc>
        <w:tc>
          <w:tcPr>
            <w:tcW w:w="1134" w:type="dxa"/>
            <w:tcBorders>
              <w:top w:val="single" w:sz="4" w:space="0" w:color="auto"/>
              <w:left w:val="nil"/>
              <w:bottom w:val="single" w:sz="4" w:space="0" w:color="auto"/>
              <w:right w:val="nil"/>
            </w:tcBorders>
            <w:shd w:val="clear" w:color="auto" w:fill="auto"/>
            <w:vAlign w:val="center"/>
          </w:tcPr>
          <w:p w14:paraId="25D04D13" w14:textId="32A545BB" w:rsidR="002A17A3" w:rsidRPr="00A27896" w:rsidRDefault="002A17A3" w:rsidP="002A17A3">
            <w:pPr>
              <w:spacing w:after="0" w:line="240" w:lineRule="auto"/>
              <w:jc w:val="right"/>
              <w:rPr>
                <w:rFonts w:cs="Times New Roman"/>
                <w:color w:val="17365D"/>
                <w:sz w:val="18"/>
                <w:szCs w:val="18"/>
              </w:rPr>
            </w:pPr>
            <w:r>
              <w:rPr>
                <w:color w:val="17365D"/>
                <w:sz w:val="18"/>
                <w:szCs w:val="18"/>
              </w:rPr>
              <w:t>2 331 226</w:t>
            </w:r>
          </w:p>
        </w:tc>
        <w:tc>
          <w:tcPr>
            <w:tcW w:w="1116" w:type="dxa"/>
            <w:tcBorders>
              <w:top w:val="single" w:sz="4" w:space="0" w:color="auto"/>
              <w:left w:val="nil"/>
              <w:bottom w:val="single" w:sz="4" w:space="0" w:color="auto"/>
              <w:right w:val="nil"/>
            </w:tcBorders>
            <w:shd w:val="clear" w:color="auto" w:fill="auto"/>
            <w:vAlign w:val="center"/>
          </w:tcPr>
          <w:p w14:paraId="4329A034" w14:textId="0970E516" w:rsidR="002A17A3" w:rsidRPr="00A27896" w:rsidRDefault="002A17A3" w:rsidP="002A17A3">
            <w:pPr>
              <w:spacing w:after="0" w:line="240" w:lineRule="auto"/>
              <w:jc w:val="right"/>
              <w:rPr>
                <w:rFonts w:cs="Times New Roman"/>
                <w:color w:val="17365D"/>
                <w:sz w:val="18"/>
                <w:szCs w:val="18"/>
              </w:rPr>
            </w:pPr>
            <w:r>
              <w:rPr>
                <w:color w:val="17365D"/>
                <w:sz w:val="18"/>
                <w:szCs w:val="18"/>
              </w:rPr>
              <w:t>13 167 878</w:t>
            </w:r>
          </w:p>
        </w:tc>
      </w:tr>
      <w:tr w:rsidR="002A17A3" w:rsidRPr="00A27896" w14:paraId="22E0FF3D" w14:textId="77777777" w:rsidTr="001231AF">
        <w:trPr>
          <w:trHeight w:val="263"/>
        </w:trPr>
        <w:tc>
          <w:tcPr>
            <w:tcW w:w="2198" w:type="dxa"/>
            <w:tcBorders>
              <w:top w:val="single" w:sz="4" w:space="0" w:color="17365D"/>
              <w:left w:val="nil"/>
              <w:bottom w:val="single" w:sz="4" w:space="0" w:color="17365D"/>
              <w:right w:val="nil"/>
            </w:tcBorders>
            <w:shd w:val="clear" w:color="auto" w:fill="auto"/>
            <w:vAlign w:val="center"/>
          </w:tcPr>
          <w:p w14:paraId="57BDF7E4" w14:textId="4FE5920D" w:rsidR="002A17A3" w:rsidRPr="00A27896" w:rsidRDefault="002A17A3" w:rsidP="002A17A3">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Apgrozāmie līdzekļi</w:t>
            </w:r>
          </w:p>
        </w:tc>
        <w:tc>
          <w:tcPr>
            <w:tcW w:w="1223" w:type="dxa"/>
            <w:tcBorders>
              <w:top w:val="single" w:sz="4" w:space="0" w:color="auto"/>
              <w:left w:val="nil"/>
              <w:bottom w:val="single" w:sz="4" w:space="0" w:color="auto"/>
              <w:right w:val="nil"/>
            </w:tcBorders>
            <w:shd w:val="clear" w:color="auto" w:fill="auto"/>
            <w:vAlign w:val="center"/>
          </w:tcPr>
          <w:p w14:paraId="2DDBC716" w14:textId="70153F64" w:rsidR="002A17A3" w:rsidRPr="00A27896" w:rsidRDefault="002A17A3" w:rsidP="002A17A3">
            <w:pPr>
              <w:spacing w:after="0" w:line="240" w:lineRule="auto"/>
              <w:jc w:val="right"/>
              <w:rPr>
                <w:rFonts w:cs="Times New Roman"/>
                <w:b/>
                <w:bCs/>
                <w:color w:val="17365D"/>
                <w:sz w:val="18"/>
                <w:szCs w:val="18"/>
              </w:rPr>
            </w:pPr>
            <w:r>
              <w:rPr>
                <w:b/>
                <w:bCs/>
                <w:color w:val="17365D"/>
                <w:sz w:val="18"/>
                <w:szCs w:val="18"/>
              </w:rPr>
              <w:t>6 990</w:t>
            </w:r>
          </w:p>
        </w:tc>
        <w:tc>
          <w:tcPr>
            <w:tcW w:w="1417" w:type="dxa"/>
            <w:tcBorders>
              <w:top w:val="single" w:sz="4" w:space="0" w:color="auto"/>
              <w:left w:val="nil"/>
              <w:bottom w:val="single" w:sz="4" w:space="0" w:color="auto"/>
              <w:right w:val="nil"/>
            </w:tcBorders>
            <w:shd w:val="clear" w:color="auto" w:fill="auto"/>
            <w:vAlign w:val="center"/>
          </w:tcPr>
          <w:p w14:paraId="637167FD" w14:textId="48254CC8" w:rsidR="002A17A3" w:rsidRPr="00A27896" w:rsidRDefault="002A17A3" w:rsidP="002A17A3">
            <w:pPr>
              <w:spacing w:after="0" w:line="240" w:lineRule="auto"/>
              <w:jc w:val="right"/>
              <w:rPr>
                <w:rFonts w:cs="Times New Roman"/>
                <w:b/>
                <w:bCs/>
                <w:color w:val="17365D"/>
                <w:sz w:val="18"/>
                <w:szCs w:val="18"/>
              </w:rPr>
            </w:pPr>
            <w:r>
              <w:rPr>
                <w:b/>
                <w:bCs/>
                <w:color w:val="17365D"/>
                <w:sz w:val="18"/>
                <w:szCs w:val="18"/>
              </w:rPr>
              <w:t>22 249</w:t>
            </w:r>
          </w:p>
        </w:tc>
        <w:tc>
          <w:tcPr>
            <w:tcW w:w="1134" w:type="dxa"/>
            <w:tcBorders>
              <w:top w:val="single" w:sz="4" w:space="0" w:color="auto"/>
              <w:left w:val="nil"/>
              <w:bottom w:val="single" w:sz="4" w:space="0" w:color="auto"/>
              <w:right w:val="nil"/>
            </w:tcBorders>
            <w:shd w:val="clear" w:color="auto" w:fill="auto"/>
            <w:vAlign w:val="center"/>
          </w:tcPr>
          <w:p w14:paraId="10AF3C50" w14:textId="39B7335C" w:rsidR="002A17A3" w:rsidRPr="00A27896" w:rsidRDefault="002A17A3" w:rsidP="002A17A3">
            <w:pPr>
              <w:spacing w:after="0" w:line="240" w:lineRule="auto"/>
              <w:jc w:val="right"/>
              <w:rPr>
                <w:rFonts w:cs="Times New Roman"/>
                <w:b/>
                <w:bCs/>
                <w:color w:val="17365D"/>
                <w:sz w:val="18"/>
                <w:szCs w:val="18"/>
              </w:rPr>
            </w:pPr>
            <w:r>
              <w:rPr>
                <w:b/>
                <w:bCs/>
                <w:color w:val="17365D"/>
                <w:sz w:val="18"/>
                <w:szCs w:val="18"/>
              </w:rPr>
              <w:t>6 725</w:t>
            </w:r>
          </w:p>
        </w:tc>
        <w:tc>
          <w:tcPr>
            <w:tcW w:w="1134" w:type="dxa"/>
            <w:tcBorders>
              <w:top w:val="single" w:sz="4" w:space="0" w:color="auto"/>
              <w:left w:val="nil"/>
              <w:bottom w:val="single" w:sz="4" w:space="0" w:color="auto"/>
              <w:right w:val="nil"/>
            </w:tcBorders>
            <w:shd w:val="clear" w:color="auto" w:fill="auto"/>
            <w:vAlign w:val="center"/>
          </w:tcPr>
          <w:p w14:paraId="2DA99604" w14:textId="02BF88B1" w:rsidR="002A17A3" w:rsidRPr="00A27896" w:rsidRDefault="002A17A3" w:rsidP="002A17A3">
            <w:pPr>
              <w:spacing w:after="0" w:line="240" w:lineRule="auto"/>
              <w:jc w:val="right"/>
              <w:rPr>
                <w:rFonts w:cs="Times New Roman"/>
                <w:b/>
                <w:bCs/>
                <w:color w:val="17365D"/>
                <w:sz w:val="18"/>
                <w:szCs w:val="18"/>
              </w:rPr>
            </w:pPr>
            <w:r>
              <w:rPr>
                <w:b/>
                <w:bCs/>
                <w:color w:val="17365D"/>
                <w:sz w:val="18"/>
                <w:szCs w:val="18"/>
              </w:rPr>
              <w:t>6 714</w:t>
            </w:r>
          </w:p>
        </w:tc>
        <w:tc>
          <w:tcPr>
            <w:tcW w:w="1134" w:type="dxa"/>
            <w:tcBorders>
              <w:top w:val="single" w:sz="4" w:space="0" w:color="auto"/>
              <w:left w:val="nil"/>
              <w:bottom w:val="single" w:sz="4" w:space="0" w:color="auto"/>
              <w:right w:val="nil"/>
            </w:tcBorders>
            <w:shd w:val="clear" w:color="auto" w:fill="auto"/>
            <w:vAlign w:val="center"/>
          </w:tcPr>
          <w:p w14:paraId="5DECDFD5" w14:textId="552E03FF" w:rsidR="002A17A3" w:rsidRPr="00A27896" w:rsidRDefault="002A17A3" w:rsidP="002A17A3">
            <w:pPr>
              <w:spacing w:after="0" w:line="240" w:lineRule="auto"/>
              <w:jc w:val="right"/>
              <w:rPr>
                <w:rFonts w:cs="Times New Roman"/>
                <w:b/>
                <w:bCs/>
                <w:color w:val="17365D"/>
                <w:sz w:val="18"/>
                <w:szCs w:val="18"/>
              </w:rPr>
            </w:pPr>
            <w:r>
              <w:rPr>
                <w:b/>
                <w:bCs/>
                <w:color w:val="17365D"/>
                <w:sz w:val="18"/>
                <w:szCs w:val="18"/>
              </w:rPr>
              <w:t>4 021</w:t>
            </w:r>
          </w:p>
        </w:tc>
        <w:tc>
          <w:tcPr>
            <w:tcW w:w="1116" w:type="dxa"/>
            <w:tcBorders>
              <w:top w:val="single" w:sz="4" w:space="0" w:color="auto"/>
              <w:left w:val="nil"/>
              <w:bottom w:val="single" w:sz="4" w:space="0" w:color="auto"/>
              <w:right w:val="nil"/>
            </w:tcBorders>
            <w:shd w:val="clear" w:color="auto" w:fill="auto"/>
            <w:vAlign w:val="center"/>
          </w:tcPr>
          <w:p w14:paraId="6353DA0D" w14:textId="2A682631" w:rsidR="002A17A3" w:rsidRPr="00A27896" w:rsidRDefault="002A17A3" w:rsidP="002A17A3">
            <w:pPr>
              <w:spacing w:after="0" w:line="240" w:lineRule="auto"/>
              <w:jc w:val="right"/>
              <w:rPr>
                <w:rFonts w:cs="Times New Roman"/>
                <w:b/>
                <w:bCs/>
                <w:color w:val="17365D"/>
                <w:sz w:val="18"/>
                <w:szCs w:val="18"/>
              </w:rPr>
            </w:pPr>
            <w:r>
              <w:rPr>
                <w:b/>
                <w:bCs/>
                <w:color w:val="17365D"/>
                <w:sz w:val="18"/>
                <w:szCs w:val="18"/>
              </w:rPr>
              <w:t>22 074</w:t>
            </w:r>
          </w:p>
        </w:tc>
      </w:tr>
      <w:tr w:rsidR="002A17A3" w:rsidRPr="00A27896" w14:paraId="77DC02A0" w14:textId="77777777" w:rsidTr="001231AF">
        <w:trPr>
          <w:trHeight w:val="263"/>
        </w:trPr>
        <w:tc>
          <w:tcPr>
            <w:tcW w:w="2198" w:type="dxa"/>
            <w:tcBorders>
              <w:top w:val="single" w:sz="4" w:space="0" w:color="17365D"/>
              <w:left w:val="nil"/>
              <w:bottom w:val="single" w:sz="4" w:space="0" w:color="17365D"/>
              <w:right w:val="nil"/>
            </w:tcBorders>
            <w:shd w:val="clear" w:color="auto" w:fill="auto"/>
            <w:vAlign w:val="center"/>
          </w:tcPr>
          <w:p w14:paraId="2CAC8AD2" w14:textId="08B27231" w:rsidR="002A17A3" w:rsidRPr="00A27896" w:rsidRDefault="002A17A3" w:rsidP="002A17A3">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Inventārs</w:t>
            </w:r>
          </w:p>
        </w:tc>
        <w:tc>
          <w:tcPr>
            <w:tcW w:w="1223" w:type="dxa"/>
            <w:tcBorders>
              <w:top w:val="single" w:sz="4" w:space="0" w:color="auto"/>
              <w:left w:val="nil"/>
              <w:bottom w:val="single" w:sz="4" w:space="0" w:color="auto"/>
              <w:right w:val="nil"/>
            </w:tcBorders>
            <w:shd w:val="clear" w:color="auto" w:fill="auto"/>
            <w:vAlign w:val="center"/>
          </w:tcPr>
          <w:p w14:paraId="725674F3" w14:textId="7ACBA5CA" w:rsidR="002A17A3" w:rsidRPr="00A27896" w:rsidRDefault="002A17A3" w:rsidP="002A17A3">
            <w:pPr>
              <w:spacing w:after="0" w:line="240" w:lineRule="auto"/>
              <w:jc w:val="right"/>
              <w:rPr>
                <w:rFonts w:cs="Times New Roman"/>
                <w:color w:val="17365D"/>
                <w:sz w:val="18"/>
                <w:szCs w:val="18"/>
              </w:rPr>
            </w:pPr>
            <w:r>
              <w:rPr>
                <w:color w:val="17365D"/>
                <w:sz w:val="18"/>
                <w:szCs w:val="18"/>
              </w:rPr>
              <w:t>6 990</w:t>
            </w:r>
          </w:p>
        </w:tc>
        <w:tc>
          <w:tcPr>
            <w:tcW w:w="1417" w:type="dxa"/>
            <w:tcBorders>
              <w:top w:val="single" w:sz="4" w:space="0" w:color="auto"/>
              <w:left w:val="nil"/>
              <w:bottom w:val="single" w:sz="4" w:space="0" w:color="auto"/>
              <w:right w:val="nil"/>
            </w:tcBorders>
            <w:shd w:val="clear" w:color="000000" w:fill="FFFFFF"/>
            <w:vAlign w:val="center"/>
          </w:tcPr>
          <w:p w14:paraId="79D1863C" w14:textId="43842D9A" w:rsidR="002A17A3" w:rsidRPr="00A27896" w:rsidRDefault="002A17A3" w:rsidP="002A17A3">
            <w:pPr>
              <w:spacing w:after="0" w:line="240" w:lineRule="auto"/>
              <w:jc w:val="right"/>
              <w:rPr>
                <w:rFonts w:cs="Times New Roman"/>
                <w:color w:val="17365D"/>
                <w:sz w:val="18"/>
                <w:szCs w:val="18"/>
              </w:rPr>
            </w:pPr>
            <w:r>
              <w:rPr>
                <w:color w:val="17365D"/>
                <w:sz w:val="18"/>
                <w:szCs w:val="18"/>
              </w:rPr>
              <w:t>22 249</w:t>
            </w:r>
          </w:p>
        </w:tc>
        <w:tc>
          <w:tcPr>
            <w:tcW w:w="1134" w:type="dxa"/>
            <w:tcBorders>
              <w:top w:val="single" w:sz="4" w:space="0" w:color="auto"/>
              <w:left w:val="nil"/>
              <w:bottom w:val="single" w:sz="4" w:space="0" w:color="auto"/>
              <w:right w:val="nil"/>
            </w:tcBorders>
            <w:shd w:val="clear" w:color="000000" w:fill="FFFFFF"/>
            <w:vAlign w:val="center"/>
          </w:tcPr>
          <w:p w14:paraId="7617A4A7" w14:textId="7732A104" w:rsidR="002A17A3" w:rsidRPr="00A27896" w:rsidRDefault="002A17A3" w:rsidP="002A17A3">
            <w:pPr>
              <w:spacing w:after="0" w:line="240" w:lineRule="auto"/>
              <w:jc w:val="right"/>
              <w:rPr>
                <w:rFonts w:cs="Times New Roman"/>
                <w:color w:val="17365D"/>
                <w:sz w:val="18"/>
                <w:szCs w:val="18"/>
              </w:rPr>
            </w:pPr>
            <w:r>
              <w:rPr>
                <w:color w:val="17365D"/>
                <w:sz w:val="18"/>
                <w:szCs w:val="18"/>
              </w:rPr>
              <w:t>6 725</w:t>
            </w:r>
          </w:p>
        </w:tc>
        <w:tc>
          <w:tcPr>
            <w:tcW w:w="1134" w:type="dxa"/>
            <w:tcBorders>
              <w:top w:val="single" w:sz="4" w:space="0" w:color="auto"/>
              <w:left w:val="nil"/>
              <w:bottom w:val="single" w:sz="4" w:space="0" w:color="auto"/>
              <w:right w:val="nil"/>
            </w:tcBorders>
            <w:shd w:val="clear" w:color="000000" w:fill="FFFFFF"/>
            <w:vAlign w:val="center"/>
          </w:tcPr>
          <w:p w14:paraId="04149A6D" w14:textId="09F701F4" w:rsidR="002A17A3" w:rsidRPr="00A27896" w:rsidRDefault="002A17A3" w:rsidP="002A17A3">
            <w:pPr>
              <w:spacing w:after="0" w:line="240" w:lineRule="auto"/>
              <w:jc w:val="right"/>
              <w:rPr>
                <w:rFonts w:cs="Times New Roman"/>
                <w:color w:val="17365D"/>
                <w:sz w:val="18"/>
                <w:szCs w:val="18"/>
              </w:rPr>
            </w:pPr>
            <w:r>
              <w:rPr>
                <w:color w:val="17365D"/>
                <w:sz w:val="18"/>
                <w:szCs w:val="18"/>
              </w:rPr>
              <w:t>6 714</w:t>
            </w:r>
          </w:p>
        </w:tc>
        <w:tc>
          <w:tcPr>
            <w:tcW w:w="1134" w:type="dxa"/>
            <w:tcBorders>
              <w:top w:val="single" w:sz="4" w:space="0" w:color="auto"/>
              <w:left w:val="nil"/>
              <w:bottom w:val="single" w:sz="4" w:space="0" w:color="auto"/>
              <w:right w:val="nil"/>
            </w:tcBorders>
            <w:shd w:val="clear" w:color="000000" w:fill="FFFFFF"/>
            <w:vAlign w:val="center"/>
          </w:tcPr>
          <w:p w14:paraId="2574EF89" w14:textId="3C6DAE88" w:rsidR="002A17A3" w:rsidRPr="00A27896" w:rsidRDefault="002A17A3" w:rsidP="002A17A3">
            <w:pPr>
              <w:spacing w:after="0" w:line="240" w:lineRule="auto"/>
              <w:jc w:val="right"/>
              <w:rPr>
                <w:rFonts w:cs="Times New Roman"/>
                <w:color w:val="17365D"/>
                <w:sz w:val="18"/>
                <w:szCs w:val="18"/>
              </w:rPr>
            </w:pPr>
            <w:r>
              <w:rPr>
                <w:color w:val="17365D"/>
                <w:sz w:val="18"/>
                <w:szCs w:val="18"/>
              </w:rPr>
              <w:t>4 021</w:t>
            </w:r>
          </w:p>
        </w:tc>
        <w:tc>
          <w:tcPr>
            <w:tcW w:w="1116" w:type="dxa"/>
            <w:tcBorders>
              <w:top w:val="single" w:sz="4" w:space="0" w:color="auto"/>
              <w:left w:val="nil"/>
              <w:bottom w:val="single" w:sz="4" w:space="0" w:color="auto"/>
              <w:right w:val="nil"/>
            </w:tcBorders>
            <w:shd w:val="clear" w:color="000000" w:fill="FFFFFF"/>
            <w:vAlign w:val="center"/>
          </w:tcPr>
          <w:p w14:paraId="12162D7E" w14:textId="23AF01DA" w:rsidR="002A17A3" w:rsidRPr="00A27896" w:rsidRDefault="002A17A3" w:rsidP="002A17A3">
            <w:pPr>
              <w:spacing w:after="0" w:line="240" w:lineRule="auto"/>
              <w:jc w:val="right"/>
              <w:rPr>
                <w:rFonts w:cs="Times New Roman"/>
                <w:color w:val="17365D"/>
                <w:sz w:val="18"/>
                <w:szCs w:val="18"/>
              </w:rPr>
            </w:pPr>
            <w:r>
              <w:rPr>
                <w:color w:val="17365D"/>
                <w:sz w:val="18"/>
                <w:szCs w:val="18"/>
              </w:rPr>
              <w:t>22 074</w:t>
            </w:r>
          </w:p>
        </w:tc>
      </w:tr>
      <w:tr w:rsidR="000C1009" w:rsidRPr="00A27896" w14:paraId="5AC3D29A" w14:textId="77777777" w:rsidTr="001231AF">
        <w:trPr>
          <w:trHeight w:val="140"/>
        </w:trPr>
        <w:tc>
          <w:tcPr>
            <w:tcW w:w="2198" w:type="dxa"/>
            <w:tcBorders>
              <w:top w:val="single" w:sz="4" w:space="0" w:color="17365D"/>
            </w:tcBorders>
            <w:shd w:val="clear" w:color="000000" w:fill="B9CDE5"/>
            <w:vAlign w:val="center"/>
            <w:hideMark/>
          </w:tcPr>
          <w:p w14:paraId="4E5DBBBF" w14:textId="77777777" w:rsidR="00C52348" w:rsidRPr="00A27896" w:rsidRDefault="00C52348" w:rsidP="00F20D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23" w:type="dxa"/>
            <w:tcBorders>
              <w:top w:val="single" w:sz="4" w:space="0" w:color="auto"/>
            </w:tcBorders>
            <w:shd w:val="clear" w:color="000000" w:fill="B9CDE5"/>
            <w:vAlign w:val="center"/>
            <w:hideMark/>
          </w:tcPr>
          <w:p w14:paraId="7CF85F88" w14:textId="77777777" w:rsidR="00C52348" w:rsidRPr="00A27896" w:rsidRDefault="00C52348" w:rsidP="00F20D24">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417" w:type="dxa"/>
            <w:tcBorders>
              <w:top w:val="single" w:sz="4" w:space="0" w:color="auto"/>
            </w:tcBorders>
            <w:shd w:val="clear" w:color="000000" w:fill="B9CDE5"/>
            <w:noWrap/>
            <w:vAlign w:val="center"/>
            <w:hideMark/>
          </w:tcPr>
          <w:p w14:paraId="5F75D9BE" w14:textId="77777777" w:rsidR="00C52348" w:rsidRPr="00A27896" w:rsidRDefault="00C52348" w:rsidP="00F20D24">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auto"/>
            </w:tcBorders>
            <w:shd w:val="clear" w:color="000000" w:fill="B9CDE5"/>
            <w:noWrap/>
            <w:vAlign w:val="center"/>
            <w:hideMark/>
          </w:tcPr>
          <w:p w14:paraId="472F393F"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auto"/>
            </w:tcBorders>
            <w:shd w:val="clear" w:color="000000" w:fill="B9CDE5"/>
            <w:noWrap/>
            <w:vAlign w:val="center"/>
            <w:hideMark/>
          </w:tcPr>
          <w:p w14:paraId="79B3FCF3"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auto"/>
            </w:tcBorders>
            <w:shd w:val="clear" w:color="000000" w:fill="B9CDE5"/>
            <w:noWrap/>
            <w:vAlign w:val="center"/>
            <w:hideMark/>
          </w:tcPr>
          <w:p w14:paraId="08FBF908"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16" w:type="dxa"/>
            <w:tcBorders>
              <w:top w:val="single" w:sz="4" w:space="0" w:color="auto"/>
            </w:tcBorders>
            <w:shd w:val="clear" w:color="000000" w:fill="B9CDE5"/>
            <w:noWrap/>
            <w:vAlign w:val="center"/>
            <w:hideMark/>
          </w:tcPr>
          <w:p w14:paraId="458D5A09" w14:textId="77777777" w:rsidR="00C52348" w:rsidRPr="00A27896" w:rsidRDefault="00C52348" w:rsidP="00F20D24">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3CA4A72D" w14:textId="10E3764D" w:rsidR="00C52348" w:rsidRPr="00A27896" w:rsidRDefault="00C52348" w:rsidP="005311E7">
      <w:pPr>
        <w:spacing w:after="0" w:line="240" w:lineRule="auto"/>
        <w:jc w:val="right"/>
        <w:rPr>
          <w:rFonts w:cs="Times New Roman"/>
          <w:i/>
          <w:color w:val="17365D"/>
          <w:sz w:val="16"/>
          <w:szCs w:val="24"/>
        </w:rPr>
      </w:pPr>
    </w:p>
    <w:p w14:paraId="0E3696EB" w14:textId="77777777" w:rsidR="0019458D" w:rsidRPr="00A27896" w:rsidRDefault="0019458D" w:rsidP="004368D0">
      <w:pPr>
        <w:pStyle w:val="Heading4"/>
        <w:spacing w:line="240" w:lineRule="auto"/>
        <w:rPr>
          <w:rFonts w:cs="Times New Roman"/>
        </w:rPr>
      </w:pPr>
      <w:r w:rsidRPr="00A27896">
        <w:rPr>
          <w:rFonts w:cs="Times New Roman"/>
        </w:rPr>
        <w:t>Piezīme Nr. V4. Informācija par operatīvo nomu</w:t>
      </w:r>
    </w:p>
    <w:p w14:paraId="0CE255D1" w14:textId="399BB08E" w:rsidR="007B7D77" w:rsidRPr="00A27896" w:rsidRDefault="007B7D77" w:rsidP="00514C3E">
      <w:pPr>
        <w:pStyle w:val="Heading5"/>
        <w:rPr>
          <w:rFonts w:cs="Times New Roman"/>
        </w:rPr>
      </w:pPr>
      <w:r w:rsidRPr="00A27896">
        <w:rPr>
          <w:rFonts w:cs="Times New Roman"/>
        </w:rPr>
        <w:t>Piezīme</w:t>
      </w:r>
      <w:r w:rsidR="00AC754B" w:rsidRPr="00A27896">
        <w:rPr>
          <w:rFonts w:cs="Times New Roman"/>
        </w:rPr>
        <w:t xml:space="preserve"> Nr.</w:t>
      </w:r>
      <w:r w:rsidRPr="00A27896">
        <w:rPr>
          <w:rFonts w:cs="Times New Roman"/>
        </w:rPr>
        <w:t xml:space="preserve"> V4. Informācija par operatīvajā nomā nodotajiem aktīviem un saņemamajiem maksājumiem</w:t>
      </w:r>
    </w:p>
    <w:p w14:paraId="58CB7835" w14:textId="4B1E18E0" w:rsidR="004071BD" w:rsidRPr="00A27896" w:rsidRDefault="004071BD" w:rsidP="004071BD">
      <w:pPr>
        <w:spacing w:after="0" w:line="240" w:lineRule="auto"/>
        <w:ind w:firstLine="284"/>
        <w:jc w:val="both"/>
        <w:rPr>
          <w:rFonts w:cs="Times New Roman"/>
          <w:color w:val="17365D"/>
          <w:szCs w:val="24"/>
        </w:rPr>
      </w:pPr>
      <w:r w:rsidRPr="00A27896">
        <w:rPr>
          <w:rFonts w:cs="Times New Roman"/>
          <w:color w:val="17365D"/>
          <w:szCs w:val="24"/>
        </w:rPr>
        <w:t>Saskaņā ar ministriju, centrālo valsts iestāžu un pašvaldību sniegto informāciju par operatīvajā nomā nodotajiem aktīviem un saņemamajiem maksājumiem aktīv</w:t>
      </w:r>
      <w:r w:rsidR="007430C7" w:rsidRPr="00A27896">
        <w:rPr>
          <w:rFonts w:cs="Times New Roman"/>
          <w:color w:val="17365D"/>
          <w:szCs w:val="24"/>
        </w:rPr>
        <w:t>u</w:t>
      </w:r>
      <w:r w:rsidRPr="00A27896">
        <w:rPr>
          <w:rFonts w:cs="Times New Roman"/>
          <w:color w:val="17365D"/>
          <w:szCs w:val="24"/>
        </w:rPr>
        <w:t xml:space="preserve"> bilances vērtība pārskata perioda beigās ir </w:t>
      </w:r>
      <w:r w:rsidR="00A10ECB" w:rsidRPr="00CB6B88">
        <w:rPr>
          <w:rFonts w:cs="Times New Roman"/>
          <w:color w:val="17365D"/>
          <w:szCs w:val="24"/>
        </w:rPr>
        <w:t xml:space="preserve">333 064 002 </w:t>
      </w:r>
      <w:r w:rsidRPr="00CB6B88">
        <w:rPr>
          <w:rFonts w:cs="Times New Roman"/>
          <w:i/>
          <w:color w:val="17365D"/>
          <w:szCs w:val="24"/>
        </w:rPr>
        <w:t>euro</w:t>
      </w:r>
      <w:r w:rsidRPr="00A27896">
        <w:rPr>
          <w:rFonts w:cs="Times New Roman"/>
          <w:color w:val="17365D"/>
          <w:szCs w:val="24"/>
        </w:rPr>
        <w:t xml:space="preserve"> un tā sadalījumā pa aktīvu bilances posteņiem un saņ</w:t>
      </w:r>
      <w:r w:rsidR="007430C7" w:rsidRPr="00A27896">
        <w:rPr>
          <w:rFonts w:cs="Times New Roman"/>
          <w:color w:val="17365D"/>
          <w:szCs w:val="24"/>
        </w:rPr>
        <w:t xml:space="preserve">emamiem maksājumiem norādīta </w:t>
      </w:r>
      <w:r w:rsidR="00F9248E" w:rsidRPr="00A27896">
        <w:rPr>
          <w:rFonts w:cs="Times New Roman"/>
          <w:color w:val="17365D"/>
          <w:szCs w:val="24"/>
        </w:rPr>
        <w:t>2</w:t>
      </w:r>
      <w:r w:rsidR="000229AE" w:rsidRPr="00A27896">
        <w:rPr>
          <w:rFonts w:cs="Times New Roman"/>
          <w:color w:val="17365D"/>
          <w:szCs w:val="24"/>
        </w:rPr>
        <w:t>7</w:t>
      </w:r>
      <w:r w:rsidRPr="00A27896">
        <w:rPr>
          <w:rFonts w:cs="Times New Roman"/>
          <w:color w:val="17365D"/>
          <w:szCs w:val="24"/>
        </w:rPr>
        <w:t>.tabulā:</w:t>
      </w:r>
    </w:p>
    <w:p w14:paraId="6C42FC51" w14:textId="763F4FE8" w:rsidR="003877C0" w:rsidRPr="00A27896" w:rsidRDefault="002B5703" w:rsidP="003877C0">
      <w:pPr>
        <w:pStyle w:val="Tabulasnosaukums1"/>
        <w:spacing w:before="0" w:line="240" w:lineRule="auto"/>
        <w:rPr>
          <w:rFonts w:cs="Times New Roman"/>
          <w:i/>
          <w:color w:val="17365D"/>
          <w:szCs w:val="22"/>
        </w:rPr>
      </w:pPr>
      <w:r>
        <w:rPr>
          <w:rFonts w:cs="Times New Roman"/>
          <w:i/>
          <w:color w:val="17365D"/>
          <w:szCs w:val="22"/>
        </w:rPr>
        <w:t>1.</w:t>
      </w:r>
      <w:r w:rsidR="00F9248E" w:rsidRPr="0022433A">
        <w:rPr>
          <w:rFonts w:cs="Times New Roman"/>
          <w:i/>
          <w:color w:val="17365D"/>
          <w:szCs w:val="22"/>
        </w:rPr>
        <w:t>2</w:t>
      </w:r>
      <w:r w:rsidR="000229AE" w:rsidRPr="0022433A">
        <w:rPr>
          <w:rFonts w:cs="Times New Roman"/>
          <w:i/>
          <w:color w:val="17365D"/>
          <w:szCs w:val="22"/>
        </w:rPr>
        <w:t>7</w:t>
      </w:r>
      <w:r w:rsidR="00743E0E" w:rsidRPr="0022433A">
        <w:rPr>
          <w:rFonts w:cs="Times New Roman"/>
          <w:i/>
          <w:color w:val="17365D"/>
          <w:szCs w:val="22"/>
        </w:rPr>
        <w:t>. </w:t>
      </w:r>
      <w:r w:rsidR="006F7CBB" w:rsidRPr="0022433A">
        <w:rPr>
          <w:rFonts w:cs="Times New Roman"/>
          <w:i/>
          <w:color w:val="17365D"/>
          <w:szCs w:val="22"/>
        </w:rPr>
        <w:t>tabula</w:t>
      </w:r>
      <w:r w:rsidR="003877C0" w:rsidRPr="00D62E90">
        <w:rPr>
          <w:rFonts w:cs="Times New Roman"/>
          <w:i/>
          <w:color w:val="17365D"/>
          <w:szCs w:val="22"/>
        </w:rPr>
        <w:t>.</w:t>
      </w:r>
      <w:r w:rsidR="006F7CBB" w:rsidRPr="00A27896">
        <w:rPr>
          <w:rFonts w:cs="Times New Roman"/>
          <w:i/>
          <w:color w:val="17365D"/>
          <w:szCs w:val="22"/>
        </w:rPr>
        <w:t xml:space="preserve"> Informācija par operatīvajā nomā nodotajiem</w:t>
      </w:r>
    </w:p>
    <w:p w14:paraId="2DD22999" w14:textId="27D68898" w:rsidR="006F7CBB" w:rsidRPr="00A27896" w:rsidRDefault="006F7CBB" w:rsidP="003877C0">
      <w:pPr>
        <w:pStyle w:val="Tabulasnosaukums1"/>
        <w:spacing w:before="0" w:line="240" w:lineRule="auto"/>
        <w:rPr>
          <w:rFonts w:cs="Times New Roman"/>
          <w:i/>
          <w:color w:val="17365D"/>
          <w:szCs w:val="22"/>
        </w:rPr>
      </w:pPr>
      <w:r w:rsidRPr="00A27896">
        <w:rPr>
          <w:rFonts w:cs="Times New Roman"/>
          <w:i/>
          <w:color w:val="17365D"/>
          <w:szCs w:val="22"/>
        </w:rPr>
        <w:t xml:space="preserve"> aktīviem un saņemamajiem maksājumiem (euro)</w:t>
      </w:r>
    </w:p>
    <w:tbl>
      <w:tblPr>
        <w:tblW w:w="5000" w:type="pct"/>
        <w:tblBorders>
          <w:insideH w:val="single" w:sz="4" w:space="0" w:color="17365D"/>
        </w:tblBorders>
        <w:tblLook w:val="04A0" w:firstRow="1" w:lastRow="0" w:firstColumn="1" w:lastColumn="0" w:noHBand="0" w:noVBand="1"/>
      </w:tblPr>
      <w:tblGrid>
        <w:gridCol w:w="2401"/>
        <w:gridCol w:w="1276"/>
        <w:gridCol w:w="1274"/>
        <w:gridCol w:w="1209"/>
        <w:gridCol w:w="1061"/>
        <w:gridCol w:w="1070"/>
        <w:gridCol w:w="1063"/>
      </w:tblGrid>
      <w:tr w:rsidR="000C1009" w:rsidRPr="00A27896" w14:paraId="6C2BC7C0" w14:textId="77777777" w:rsidTr="008E472F">
        <w:trPr>
          <w:trHeight w:val="465"/>
          <w:tblHeader/>
        </w:trPr>
        <w:tc>
          <w:tcPr>
            <w:tcW w:w="2401" w:type="dxa"/>
            <w:vMerge w:val="restart"/>
            <w:shd w:val="clear" w:color="000000" w:fill="B9CDE5"/>
            <w:vAlign w:val="center"/>
            <w:hideMark/>
          </w:tcPr>
          <w:p w14:paraId="3EA4B4F9"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2550" w:type="dxa"/>
            <w:gridSpan w:val="2"/>
            <w:shd w:val="clear" w:color="000000" w:fill="B9CDE5"/>
            <w:vAlign w:val="center"/>
            <w:hideMark/>
          </w:tcPr>
          <w:p w14:paraId="5FC2C03A"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Aktīva atlikusī vērtība</w:t>
            </w:r>
          </w:p>
          <w:p w14:paraId="4FBF9710" w14:textId="46CD60D5"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(bilances vērtība)</w:t>
            </w:r>
          </w:p>
        </w:tc>
        <w:tc>
          <w:tcPr>
            <w:tcW w:w="4403" w:type="dxa"/>
            <w:gridSpan w:val="4"/>
            <w:shd w:val="clear" w:color="000000" w:fill="B9CDE5"/>
            <w:vAlign w:val="center"/>
            <w:hideMark/>
          </w:tcPr>
          <w:p w14:paraId="04131C27"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Saņemamie maksājumi</w:t>
            </w:r>
          </w:p>
        </w:tc>
      </w:tr>
      <w:tr w:rsidR="000C1009" w:rsidRPr="00A27896" w14:paraId="203F8A16" w14:textId="77777777" w:rsidTr="008E472F">
        <w:trPr>
          <w:trHeight w:val="735"/>
          <w:tblHeader/>
        </w:trPr>
        <w:tc>
          <w:tcPr>
            <w:tcW w:w="2401" w:type="dxa"/>
            <w:vMerge/>
            <w:vAlign w:val="center"/>
            <w:hideMark/>
          </w:tcPr>
          <w:p w14:paraId="669B0ACE" w14:textId="77777777" w:rsidR="00391B88" w:rsidRPr="00A27896" w:rsidRDefault="00391B88" w:rsidP="00391B88">
            <w:pPr>
              <w:spacing w:after="0" w:line="240" w:lineRule="auto"/>
              <w:rPr>
                <w:rFonts w:eastAsia="Times New Roman" w:cs="Times New Roman"/>
                <w:b/>
                <w:bCs/>
                <w:color w:val="17365D"/>
                <w:sz w:val="18"/>
                <w:szCs w:val="18"/>
                <w:lang w:eastAsia="lv-LV"/>
              </w:rPr>
            </w:pPr>
          </w:p>
        </w:tc>
        <w:tc>
          <w:tcPr>
            <w:tcW w:w="1276" w:type="dxa"/>
            <w:shd w:val="clear" w:color="000000" w:fill="B9CDE5"/>
            <w:vAlign w:val="center"/>
            <w:hideMark/>
          </w:tcPr>
          <w:p w14:paraId="64FA7CFD"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1274" w:type="dxa"/>
            <w:shd w:val="clear" w:color="000000" w:fill="B9CDE5"/>
            <w:vAlign w:val="center"/>
            <w:hideMark/>
          </w:tcPr>
          <w:p w14:paraId="7899F549"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209" w:type="dxa"/>
            <w:shd w:val="clear" w:color="000000" w:fill="B9CDE5"/>
            <w:vAlign w:val="center"/>
            <w:hideMark/>
          </w:tcPr>
          <w:p w14:paraId="4563E9A1"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1061" w:type="dxa"/>
            <w:shd w:val="clear" w:color="000000" w:fill="B9CDE5"/>
            <w:vAlign w:val="center"/>
            <w:hideMark/>
          </w:tcPr>
          <w:p w14:paraId="2506A5EC" w14:textId="67D8A00B" w:rsidR="00391B88" w:rsidRPr="00A27896" w:rsidRDefault="004071BD"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A10ECB">
              <w:rPr>
                <w:rFonts w:eastAsia="Times New Roman" w:cs="Times New Roman"/>
                <w:b/>
                <w:bCs/>
                <w:color w:val="17365D"/>
                <w:sz w:val="18"/>
                <w:szCs w:val="18"/>
                <w:lang w:eastAsia="lv-LV"/>
              </w:rPr>
              <w:t>4</w:t>
            </w:r>
          </w:p>
        </w:tc>
        <w:tc>
          <w:tcPr>
            <w:tcW w:w="1070" w:type="dxa"/>
            <w:shd w:val="clear" w:color="000000" w:fill="B9CDE5"/>
            <w:vAlign w:val="center"/>
            <w:hideMark/>
          </w:tcPr>
          <w:p w14:paraId="0B181FCF" w14:textId="319452C5" w:rsidR="00391B88" w:rsidRPr="00A27896" w:rsidRDefault="004071BD"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A10ECB">
              <w:rPr>
                <w:rFonts w:eastAsia="Times New Roman" w:cs="Times New Roman"/>
                <w:b/>
                <w:bCs/>
                <w:color w:val="17365D"/>
                <w:sz w:val="18"/>
                <w:szCs w:val="18"/>
                <w:lang w:eastAsia="lv-LV"/>
              </w:rPr>
              <w:t>5</w:t>
            </w:r>
          </w:p>
        </w:tc>
        <w:tc>
          <w:tcPr>
            <w:tcW w:w="1063" w:type="dxa"/>
            <w:shd w:val="clear" w:color="000000" w:fill="B9CDE5"/>
            <w:vAlign w:val="center"/>
            <w:hideMark/>
          </w:tcPr>
          <w:p w14:paraId="37891035" w14:textId="3BA08710" w:rsidR="00391B88" w:rsidRPr="00A27896" w:rsidRDefault="004071BD" w:rsidP="0067556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A10ECB">
              <w:rPr>
                <w:rFonts w:eastAsia="Times New Roman" w:cs="Times New Roman"/>
                <w:b/>
                <w:bCs/>
                <w:color w:val="17365D"/>
                <w:sz w:val="18"/>
                <w:szCs w:val="18"/>
                <w:lang w:eastAsia="lv-LV"/>
              </w:rPr>
              <w:t>6</w:t>
            </w:r>
          </w:p>
        </w:tc>
      </w:tr>
      <w:tr w:rsidR="000C1009" w:rsidRPr="00A27896" w14:paraId="19DFCA6A" w14:textId="77777777" w:rsidTr="007B6525">
        <w:trPr>
          <w:trHeight w:val="216"/>
          <w:tblHeader/>
        </w:trPr>
        <w:tc>
          <w:tcPr>
            <w:tcW w:w="2401" w:type="dxa"/>
            <w:tcBorders>
              <w:bottom w:val="single" w:sz="4" w:space="0" w:color="17365D"/>
            </w:tcBorders>
            <w:shd w:val="clear" w:color="auto" w:fill="auto"/>
            <w:vAlign w:val="center"/>
            <w:hideMark/>
          </w:tcPr>
          <w:p w14:paraId="40A136BF"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76" w:type="dxa"/>
            <w:tcBorders>
              <w:bottom w:val="single" w:sz="4" w:space="0" w:color="17365D"/>
            </w:tcBorders>
            <w:shd w:val="clear" w:color="auto" w:fill="auto"/>
            <w:vAlign w:val="center"/>
            <w:hideMark/>
          </w:tcPr>
          <w:p w14:paraId="03BE258B"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274" w:type="dxa"/>
            <w:tcBorders>
              <w:bottom w:val="single" w:sz="4" w:space="0" w:color="17365D"/>
            </w:tcBorders>
            <w:shd w:val="clear" w:color="auto" w:fill="auto"/>
            <w:vAlign w:val="center"/>
            <w:hideMark/>
          </w:tcPr>
          <w:p w14:paraId="30B2E50B"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209" w:type="dxa"/>
            <w:tcBorders>
              <w:bottom w:val="single" w:sz="4" w:space="0" w:color="17365D"/>
            </w:tcBorders>
            <w:shd w:val="clear" w:color="auto" w:fill="auto"/>
            <w:vAlign w:val="center"/>
            <w:hideMark/>
          </w:tcPr>
          <w:p w14:paraId="5A099C87"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061" w:type="dxa"/>
            <w:tcBorders>
              <w:bottom w:val="single" w:sz="4" w:space="0" w:color="17365D"/>
            </w:tcBorders>
            <w:shd w:val="clear" w:color="auto" w:fill="auto"/>
            <w:vAlign w:val="center"/>
            <w:hideMark/>
          </w:tcPr>
          <w:p w14:paraId="3DC6D676"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070" w:type="dxa"/>
            <w:tcBorders>
              <w:bottom w:val="single" w:sz="4" w:space="0" w:color="17365D"/>
            </w:tcBorders>
            <w:shd w:val="clear" w:color="auto" w:fill="auto"/>
            <w:vAlign w:val="center"/>
            <w:hideMark/>
          </w:tcPr>
          <w:p w14:paraId="101E4A88"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063" w:type="dxa"/>
            <w:tcBorders>
              <w:bottom w:val="single" w:sz="4" w:space="0" w:color="17365D"/>
            </w:tcBorders>
            <w:shd w:val="clear" w:color="auto" w:fill="auto"/>
            <w:vAlign w:val="center"/>
            <w:hideMark/>
          </w:tcPr>
          <w:p w14:paraId="751DF8D4" w14:textId="77777777" w:rsidR="00391B88" w:rsidRPr="00A27896" w:rsidRDefault="00391B88" w:rsidP="00391B8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A10ECB" w:rsidRPr="00A27896" w14:paraId="2339BD31" w14:textId="77777777" w:rsidTr="007B6525">
        <w:trPr>
          <w:trHeight w:val="119"/>
        </w:trPr>
        <w:tc>
          <w:tcPr>
            <w:tcW w:w="2401" w:type="dxa"/>
            <w:tcBorders>
              <w:top w:val="single" w:sz="4" w:space="0" w:color="17365D"/>
              <w:left w:val="nil"/>
              <w:bottom w:val="single" w:sz="4" w:space="0" w:color="17365D"/>
              <w:right w:val="nil"/>
            </w:tcBorders>
            <w:shd w:val="clear" w:color="auto" w:fill="auto"/>
            <w:vAlign w:val="center"/>
          </w:tcPr>
          <w:p w14:paraId="2D39287D" w14:textId="0472EA87" w:rsidR="00A10ECB" w:rsidRPr="00A27896" w:rsidRDefault="00A10ECB" w:rsidP="00A10ECB">
            <w:pPr>
              <w:spacing w:after="0" w:line="240" w:lineRule="auto"/>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Ilgtermiņa ieguldījumi</w:t>
            </w:r>
          </w:p>
        </w:tc>
        <w:tc>
          <w:tcPr>
            <w:tcW w:w="1276" w:type="dxa"/>
            <w:tcBorders>
              <w:top w:val="single" w:sz="4" w:space="0" w:color="17365D"/>
              <w:left w:val="nil"/>
              <w:bottom w:val="single" w:sz="4" w:space="0" w:color="17365D"/>
              <w:right w:val="nil"/>
            </w:tcBorders>
            <w:shd w:val="clear" w:color="auto" w:fill="auto"/>
            <w:vAlign w:val="center"/>
          </w:tcPr>
          <w:p w14:paraId="04D31A42" w14:textId="29AA1BCB" w:rsidR="00A10ECB" w:rsidRPr="00A27896" w:rsidRDefault="00A10ECB" w:rsidP="00A10ECB">
            <w:pPr>
              <w:spacing w:after="0" w:line="240" w:lineRule="auto"/>
              <w:jc w:val="right"/>
              <w:rPr>
                <w:rFonts w:cs="Times New Roman"/>
                <w:b/>
                <w:bCs/>
                <w:color w:val="17365D"/>
                <w:sz w:val="18"/>
                <w:szCs w:val="18"/>
              </w:rPr>
            </w:pPr>
            <w:r>
              <w:rPr>
                <w:b/>
                <w:bCs/>
                <w:color w:val="17365D"/>
                <w:sz w:val="18"/>
                <w:szCs w:val="18"/>
              </w:rPr>
              <w:t>391 220 182</w:t>
            </w:r>
          </w:p>
        </w:tc>
        <w:tc>
          <w:tcPr>
            <w:tcW w:w="1274" w:type="dxa"/>
            <w:tcBorders>
              <w:top w:val="single" w:sz="4" w:space="0" w:color="17365D"/>
              <w:left w:val="nil"/>
              <w:bottom w:val="single" w:sz="4" w:space="0" w:color="17365D"/>
              <w:right w:val="nil"/>
            </w:tcBorders>
            <w:shd w:val="clear" w:color="auto" w:fill="auto"/>
            <w:vAlign w:val="center"/>
          </w:tcPr>
          <w:p w14:paraId="31A2F719" w14:textId="7DF902FA" w:rsidR="00A10ECB" w:rsidRPr="00A27896" w:rsidRDefault="00A10ECB" w:rsidP="00A10ECB">
            <w:pPr>
              <w:spacing w:after="0" w:line="240" w:lineRule="auto"/>
              <w:jc w:val="right"/>
              <w:rPr>
                <w:rFonts w:cs="Times New Roman"/>
                <w:b/>
                <w:bCs/>
                <w:color w:val="17365D"/>
                <w:sz w:val="18"/>
                <w:szCs w:val="18"/>
              </w:rPr>
            </w:pPr>
            <w:r>
              <w:rPr>
                <w:b/>
                <w:bCs/>
                <w:color w:val="17365D"/>
                <w:sz w:val="18"/>
                <w:szCs w:val="18"/>
              </w:rPr>
              <w:t>333 057 633</w:t>
            </w:r>
          </w:p>
        </w:tc>
        <w:tc>
          <w:tcPr>
            <w:tcW w:w="1209" w:type="dxa"/>
            <w:tcBorders>
              <w:top w:val="single" w:sz="4" w:space="0" w:color="17365D"/>
              <w:left w:val="nil"/>
              <w:bottom w:val="single" w:sz="4" w:space="0" w:color="17365D"/>
              <w:right w:val="nil"/>
            </w:tcBorders>
            <w:shd w:val="clear" w:color="auto" w:fill="auto"/>
            <w:vAlign w:val="center"/>
          </w:tcPr>
          <w:p w14:paraId="53EE387F" w14:textId="54F4258F" w:rsidR="00A10ECB" w:rsidRPr="00A27896" w:rsidRDefault="00A10ECB" w:rsidP="00A10ECB">
            <w:pPr>
              <w:spacing w:after="0" w:line="240" w:lineRule="auto"/>
              <w:jc w:val="right"/>
              <w:rPr>
                <w:rFonts w:cs="Times New Roman"/>
                <w:b/>
                <w:bCs/>
                <w:color w:val="17365D"/>
                <w:sz w:val="18"/>
                <w:szCs w:val="18"/>
              </w:rPr>
            </w:pPr>
            <w:r>
              <w:rPr>
                <w:b/>
                <w:bCs/>
                <w:color w:val="17365D"/>
                <w:sz w:val="18"/>
                <w:szCs w:val="18"/>
              </w:rPr>
              <w:t>169 608 134</w:t>
            </w:r>
          </w:p>
        </w:tc>
        <w:tc>
          <w:tcPr>
            <w:tcW w:w="1061" w:type="dxa"/>
            <w:tcBorders>
              <w:top w:val="single" w:sz="4" w:space="0" w:color="17365D"/>
              <w:left w:val="nil"/>
              <w:bottom w:val="single" w:sz="4" w:space="0" w:color="17365D"/>
              <w:right w:val="nil"/>
            </w:tcBorders>
            <w:shd w:val="clear" w:color="auto" w:fill="auto"/>
            <w:noWrap/>
            <w:vAlign w:val="center"/>
          </w:tcPr>
          <w:p w14:paraId="74FA45BD" w14:textId="3551B8CA" w:rsidR="00A10ECB" w:rsidRPr="00A27896" w:rsidRDefault="00A10ECB" w:rsidP="00A10ECB">
            <w:pPr>
              <w:spacing w:after="0" w:line="240" w:lineRule="auto"/>
              <w:jc w:val="right"/>
              <w:rPr>
                <w:rFonts w:cs="Times New Roman"/>
                <w:b/>
                <w:bCs/>
                <w:color w:val="17365D"/>
                <w:sz w:val="18"/>
                <w:szCs w:val="18"/>
              </w:rPr>
            </w:pPr>
            <w:r>
              <w:rPr>
                <w:b/>
                <w:bCs/>
                <w:color w:val="17365D"/>
                <w:sz w:val="18"/>
                <w:szCs w:val="18"/>
              </w:rPr>
              <w:t>24 782 180</w:t>
            </w:r>
          </w:p>
        </w:tc>
        <w:tc>
          <w:tcPr>
            <w:tcW w:w="1070" w:type="dxa"/>
            <w:tcBorders>
              <w:top w:val="single" w:sz="4" w:space="0" w:color="17365D"/>
              <w:left w:val="nil"/>
              <w:bottom w:val="single" w:sz="4" w:space="0" w:color="17365D"/>
              <w:right w:val="nil"/>
            </w:tcBorders>
            <w:shd w:val="clear" w:color="auto" w:fill="auto"/>
            <w:noWrap/>
            <w:vAlign w:val="center"/>
          </w:tcPr>
          <w:p w14:paraId="40524930" w14:textId="1B2AEF0F" w:rsidR="00A10ECB" w:rsidRPr="00A27896" w:rsidRDefault="00A10ECB" w:rsidP="00A10ECB">
            <w:pPr>
              <w:spacing w:after="0" w:line="240" w:lineRule="auto"/>
              <w:jc w:val="right"/>
              <w:rPr>
                <w:rFonts w:cs="Times New Roman"/>
                <w:b/>
                <w:bCs/>
                <w:color w:val="17365D"/>
                <w:sz w:val="18"/>
                <w:szCs w:val="18"/>
              </w:rPr>
            </w:pPr>
            <w:r>
              <w:rPr>
                <w:b/>
                <w:bCs/>
                <w:color w:val="17365D"/>
                <w:sz w:val="18"/>
                <w:szCs w:val="18"/>
              </w:rPr>
              <w:t>20 695 935</w:t>
            </w:r>
          </w:p>
        </w:tc>
        <w:tc>
          <w:tcPr>
            <w:tcW w:w="1063" w:type="dxa"/>
            <w:tcBorders>
              <w:top w:val="single" w:sz="4" w:space="0" w:color="17365D"/>
              <w:left w:val="nil"/>
              <w:bottom w:val="single" w:sz="4" w:space="0" w:color="17365D"/>
              <w:right w:val="nil"/>
            </w:tcBorders>
            <w:shd w:val="clear" w:color="auto" w:fill="auto"/>
            <w:noWrap/>
            <w:vAlign w:val="center"/>
          </w:tcPr>
          <w:p w14:paraId="2FCE9513" w14:textId="5921C579" w:rsidR="00A10ECB" w:rsidRPr="00A27896" w:rsidRDefault="00A10ECB" w:rsidP="00A10ECB">
            <w:pPr>
              <w:spacing w:after="0" w:line="240" w:lineRule="auto"/>
              <w:jc w:val="right"/>
              <w:rPr>
                <w:rFonts w:cs="Times New Roman"/>
                <w:b/>
                <w:bCs/>
                <w:color w:val="17365D"/>
                <w:sz w:val="18"/>
                <w:szCs w:val="18"/>
              </w:rPr>
            </w:pPr>
            <w:r>
              <w:rPr>
                <w:b/>
                <w:bCs/>
                <w:color w:val="17365D"/>
                <w:sz w:val="18"/>
                <w:szCs w:val="18"/>
              </w:rPr>
              <w:t>17 601 165</w:t>
            </w:r>
          </w:p>
        </w:tc>
      </w:tr>
      <w:tr w:rsidR="000D258A" w:rsidRPr="00A27896" w14:paraId="4BA2E132" w14:textId="77777777" w:rsidTr="007B6525">
        <w:trPr>
          <w:trHeight w:val="443"/>
        </w:trPr>
        <w:tc>
          <w:tcPr>
            <w:tcW w:w="2401" w:type="dxa"/>
            <w:tcBorders>
              <w:top w:val="single" w:sz="4" w:space="0" w:color="17365D"/>
              <w:left w:val="nil"/>
              <w:bottom w:val="single" w:sz="4" w:space="0" w:color="17365D"/>
              <w:right w:val="nil"/>
            </w:tcBorders>
            <w:shd w:val="clear" w:color="auto" w:fill="auto"/>
            <w:vAlign w:val="center"/>
          </w:tcPr>
          <w:p w14:paraId="3C1372E2" w14:textId="42DEB5FC" w:rsidR="000D258A" w:rsidRPr="00A27896" w:rsidRDefault="000D258A" w:rsidP="000D258A">
            <w:pPr>
              <w:spacing w:after="0" w:line="240" w:lineRule="auto"/>
              <w:rPr>
                <w:rFonts w:eastAsia="Times New Roman" w:cs="Times New Roman"/>
                <w:color w:val="17365D"/>
                <w:sz w:val="18"/>
                <w:szCs w:val="18"/>
                <w:lang w:eastAsia="lv-LV"/>
              </w:rPr>
            </w:pPr>
            <w:r>
              <w:rPr>
                <w:color w:val="17365D"/>
                <w:sz w:val="18"/>
                <w:szCs w:val="18"/>
              </w:rPr>
              <w:t>Nemateriālie ieguldījumi</w:t>
            </w:r>
          </w:p>
        </w:tc>
        <w:tc>
          <w:tcPr>
            <w:tcW w:w="1276" w:type="dxa"/>
            <w:tcBorders>
              <w:top w:val="single" w:sz="4" w:space="0" w:color="17365D"/>
              <w:left w:val="nil"/>
              <w:bottom w:val="single" w:sz="4" w:space="0" w:color="17365D"/>
              <w:right w:val="nil"/>
            </w:tcBorders>
            <w:shd w:val="clear" w:color="auto" w:fill="auto"/>
            <w:vAlign w:val="center"/>
          </w:tcPr>
          <w:p w14:paraId="512B1667" w14:textId="74F84A3A" w:rsidR="000D258A" w:rsidRDefault="000D258A" w:rsidP="000D258A">
            <w:pPr>
              <w:spacing w:after="0" w:line="240" w:lineRule="auto"/>
              <w:jc w:val="right"/>
              <w:rPr>
                <w:color w:val="17365D"/>
                <w:sz w:val="18"/>
                <w:szCs w:val="18"/>
              </w:rPr>
            </w:pPr>
            <w:r>
              <w:rPr>
                <w:color w:val="17365D"/>
                <w:sz w:val="18"/>
                <w:szCs w:val="18"/>
              </w:rPr>
              <w:t>0</w:t>
            </w:r>
          </w:p>
        </w:tc>
        <w:tc>
          <w:tcPr>
            <w:tcW w:w="1274" w:type="dxa"/>
            <w:tcBorders>
              <w:top w:val="single" w:sz="4" w:space="0" w:color="17365D"/>
              <w:left w:val="nil"/>
              <w:bottom w:val="single" w:sz="4" w:space="0" w:color="17365D"/>
              <w:right w:val="nil"/>
            </w:tcBorders>
            <w:shd w:val="clear" w:color="auto" w:fill="auto"/>
            <w:vAlign w:val="center"/>
          </w:tcPr>
          <w:p w14:paraId="7D074023" w14:textId="7444906C" w:rsidR="000D258A" w:rsidRDefault="000D258A" w:rsidP="000D258A">
            <w:pPr>
              <w:spacing w:after="0" w:line="240" w:lineRule="auto"/>
              <w:jc w:val="right"/>
              <w:rPr>
                <w:color w:val="17365D"/>
                <w:sz w:val="18"/>
                <w:szCs w:val="18"/>
              </w:rPr>
            </w:pPr>
            <w:r>
              <w:rPr>
                <w:color w:val="17365D"/>
                <w:sz w:val="18"/>
                <w:szCs w:val="18"/>
              </w:rPr>
              <w:t>0</w:t>
            </w:r>
          </w:p>
        </w:tc>
        <w:tc>
          <w:tcPr>
            <w:tcW w:w="1209" w:type="dxa"/>
            <w:tcBorders>
              <w:top w:val="single" w:sz="4" w:space="0" w:color="17365D"/>
              <w:left w:val="nil"/>
              <w:bottom w:val="single" w:sz="4" w:space="0" w:color="17365D"/>
              <w:right w:val="nil"/>
            </w:tcBorders>
            <w:shd w:val="clear" w:color="auto" w:fill="auto"/>
            <w:vAlign w:val="center"/>
          </w:tcPr>
          <w:p w14:paraId="1A346CF0" w14:textId="05657B18" w:rsidR="000D258A" w:rsidRDefault="000D258A" w:rsidP="000D258A">
            <w:pPr>
              <w:spacing w:after="0" w:line="240" w:lineRule="auto"/>
              <w:jc w:val="right"/>
              <w:rPr>
                <w:color w:val="17365D"/>
                <w:sz w:val="18"/>
                <w:szCs w:val="18"/>
              </w:rPr>
            </w:pPr>
            <w:r>
              <w:rPr>
                <w:color w:val="17365D"/>
                <w:sz w:val="18"/>
                <w:szCs w:val="18"/>
              </w:rPr>
              <w:t>1 414 707</w:t>
            </w:r>
          </w:p>
        </w:tc>
        <w:tc>
          <w:tcPr>
            <w:tcW w:w="1061" w:type="dxa"/>
            <w:tcBorders>
              <w:top w:val="single" w:sz="4" w:space="0" w:color="17365D"/>
              <w:left w:val="nil"/>
              <w:bottom w:val="single" w:sz="4" w:space="0" w:color="17365D"/>
              <w:right w:val="nil"/>
            </w:tcBorders>
            <w:shd w:val="clear" w:color="auto" w:fill="auto"/>
            <w:noWrap/>
            <w:vAlign w:val="center"/>
          </w:tcPr>
          <w:p w14:paraId="6843EE27" w14:textId="213004F0" w:rsidR="000D258A" w:rsidRDefault="000D258A" w:rsidP="000D258A">
            <w:pPr>
              <w:spacing w:after="0" w:line="240" w:lineRule="auto"/>
              <w:jc w:val="right"/>
              <w:rPr>
                <w:color w:val="17365D"/>
                <w:sz w:val="18"/>
                <w:szCs w:val="18"/>
              </w:rPr>
            </w:pPr>
            <w:r>
              <w:rPr>
                <w:color w:val="17365D"/>
                <w:sz w:val="18"/>
                <w:szCs w:val="18"/>
              </w:rPr>
              <w:t>389 735</w:t>
            </w:r>
          </w:p>
        </w:tc>
        <w:tc>
          <w:tcPr>
            <w:tcW w:w="1070" w:type="dxa"/>
            <w:tcBorders>
              <w:top w:val="single" w:sz="4" w:space="0" w:color="17365D"/>
              <w:left w:val="nil"/>
              <w:bottom w:val="single" w:sz="4" w:space="0" w:color="17365D"/>
              <w:right w:val="nil"/>
            </w:tcBorders>
            <w:shd w:val="clear" w:color="auto" w:fill="auto"/>
            <w:noWrap/>
            <w:vAlign w:val="center"/>
          </w:tcPr>
          <w:p w14:paraId="11144C80" w14:textId="4A3A2E06" w:rsidR="000D258A" w:rsidRDefault="000D258A" w:rsidP="000D258A">
            <w:pPr>
              <w:spacing w:after="0" w:line="240" w:lineRule="auto"/>
              <w:jc w:val="right"/>
              <w:rPr>
                <w:color w:val="17365D"/>
                <w:sz w:val="18"/>
                <w:szCs w:val="18"/>
              </w:rPr>
            </w:pPr>
            <w:r>
              <w:rPr>
                <w:color w:val="17365D"/>
                <w:sz w:val="18"/>
                <w:szCs w:val="18"/>
              </w:rPr>
              <w:t>424 356</w:t>
            </w:r>
          </w:p>
        </w:tc>
        <w:tc>
          <w:tcPr>
            <w:tcW w:w="1063" w:type="dxa"/>
            <w:tcBorders>
              <w:top w:val="single" w:sz="4" w:space="0" w:color="17365D"/>
              <w:left w:val="nil"/>
              <w:bottom w:val="single" w:sz="4" w:space="0" w:color="17365D"/>
              <w:right w:val="nil"/>
            </w:tcBorders>
            <w:shd w:val="clear" w:color="auto" w:fill="auto"/>
            <w:noWrap/>
            <w:vAlign w:val="center"/>
          </w:tcPr>
          <w:p w14:paraId="52C7876A" w14:textId="350476EB" w:rsidR="000D258A" w:rsidRDefault="000D258A" w:rsidP="000D258A">
            <w:pPr>
              <w:spacing w:after="0" w:line="240" w:lineRule="auto"/>
              <w:jc w:val="right"/>
              <w:rPr>
                <w:color w:val="17365D"/>
                <w:sz w:val="18"/>
                <w:szCs w:val="18"/>
              </w:rPr>
            </w:pPr>
            <w:r>
              <w:rPr>
                <w:color w:val="17365D"/>
                <w:sz w:val="18"/>
                <w:szCs w:val="18"/>
              </w:rPr>
              <w:t>238 507</w:t>
            </w:r>
          </w:p>
        </w:tc>
      </w:tr>
      <w:tr w:rsidR="000D258A" w:rsidRPr="00A27896" w14:paraId="6DCBFCF5" w14:textId="77777777" w:rsidTr="007B6525">
        <w:trPr>
          <w:trHeight w:val="443"/>
        </w:trPr>
        <w:tc>
          <w:tcPr>
            <w:tcW w:w="2401" w:type="dxa"/>
            <w:tcBorders>
              <w:top w:val="single" w:sz="4" w:space="0" w:color="17365D"/>
              <w:left w:val="nil"/>
              <w:bottom w:val="single" w:sz="4" w:space="0" w:color="17365D"/>
              <w:right w:val="nil"/>
            </w:tcBorders>
            <w:shd w:val="clear" w:color="auto" w:fill="auto"/>
            <w:vAlign w:val="center"/>
            <w:hideMark/>
          </w:tcPr>
          <w:p w14:paraId="3964FF7A" w14:textId="5E2373CE" w:rsidR="000D258A" w:rsidRPr="00A27896" w:rsidRDefault="000D258A" w:rsidP="000D258A">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Licences, koncesijas un patenti, preču zīmes un tamlīdzīgas tiesības</w:t>
            </w:r>
          </w:p>
        </w:tc>
        <w:tc>
          <w:tcPr>
            <w:tcW w:w="1276" w:type="dxa"/>
            <w:tcBorders>
              <w:top w:val="single" w:sz="4" w:space="0" w:color="17365D"/>
              <w:left w:val="nil"/>
              <w:bottom w:val="single" w:sz="4" w:space="0" w:color="17365D"/>
              <w:right w:val="nil"/>
            </w:tcBorders>
            <w:shd w:val="clear" w:color="auto" w:fill="auto"/>
            <w:vAlign w:val="center"/>
          </w:tcPr>
          <w:p w14:paraId="72A9C349" w14:textId="7159F897" w:rsidR="000D258A" w:rsidRPr="00A27896" w:rsidRDefault="000D258A" w:rsidP="000D258A">
            <w:pPr>
              <w:spacing w:after="0" w:line="240" w:lineRule="auto"/>
              <w:jc w:val="right"/>
              <w:rPr>
                <w:rFonts w:cs="Times New Roman"/>
                <w:color w:val="17365D"/>
                <w:sz w:val="18"/>
                <w:szCs w:val="18"/>
              </w:rPr>
            </w:pPr>
            <w:r>
              <w:rPr>
                <w:color w:val="17365D"/>
                <w:sz w:val="18"/>
                <w:szCs w:val="18"/>
              </w:rPr>
              <w:t>7 648</w:t>
            </w:r>
          </w:p>
        </w:tc>
        <w:tc>
          <w:tcPr>
            <w:tcW w:w="1274" w:type="dxa"/>
            <w:tcBorders>
              <w:top w:val="single" w:sz="4" w:space="0" w:color="17365D"/>
              <w:left w:val="nil"/>
              <w:bottom w:val="single" w:sz="4" w:space="0" w:color="17365D"/>
              <w:right w:val="nil"/>
            </w:tcBorders>
            <w:shd w:val="clear" w:color="auto" w:fill="auto"/>
            <w:vAlign w:val="center"/>
          </w:tcPr>
          <w:p w14:paraId="75B5AACC" w14:textId="31694B3D" w:rsidR="000D258A" w:rsidRPr="00A27896" w:rsidRDefault="000D258A" w:rsidP="000D258A">
            <w:pPr>
              <w:spacing w:after="0" w:line="240" w:lineRule="auto"/>
              <w:jc w:val="right"/>
              <w:rPr>
                <w:rFonts w:cs="Times New Roman"/>
                <w:color w:val="17365D"/>
                <w:sz w:val="18"/>
                <w:szCs w:val="18"/>
              </w:rPr>
            </w:pPr>
            <w:r>
              <w:rPr>
                <w:color w:val="17365D"/>
                <w:sz w:val="18"/>
                <w:szCs w:val="18"/>
              </w:rPr>
              <w:t>4 415</w:t>
            </w:r>
          </w:p>
        </w:tc>
        <w:tc>
          <w:tcPr>
            <w:tcW w:w="1209" w:type="dxa"/>
            <w:tcBorders>
              <w:top w:val="single" w:sz="4" w:space="0" w:color="17365D"/>
              <w:left w:val="nil"/>
              <w:bottom w:val="single" w:sz="4" w:space="0" w:color="17365D"/>
              <w:right w:val="nil"/>
            </w:tcBorders>
            <w:shd w:val="clear" w:color="auto" w:fill="auto"/>
            <w:vAlign w:val="center"/>
          </w:tcPr>
          <w:p w14:paraId="556647DF" w14:textId="31BDA6B3" w:rsidR="000D258A" w:rsidRPr="00A27896" w:rsidRDefault="000D258A" w:rsidP="000D258A">
            <w:pPr>
              <w:spacing w:after="0" w:line="240" w:lineRule="auto"/>
              <w:jc w:val="right"/>
              <w:rPr>
                <w:rFonts w:cs="Times New Roman"/>
                <w:color w:val="17365D"/>
                <w:sz w:val="18"/>
                <w:szCs w:val="18"/>
              </w:rPr>
            </w:pPr>
            <w:r>
              <w:rPr>
                <w:color w:val="17365D"/>
                <w:sz w:val="18"/>
                <w:szCs w:val="18"/>
              </w:rPr>
              <w:t>845</w:t>
            </w:r>
          </w:p>
        </w:tc>
        <w:tc>
          <w:tcPr>
            <w:tcW w:w="1061" w:type="dxa"/>
            <w:tcBorders>
              <w:top w:val="single" w:sz="4" w:space="0" w:color="17365D"/>
              <w:left w:val="nil"/>
              <w:bottom w:val="single" w:sz="4" w:space="0" w:color="17365D"/>
              <w:right w:val="nil"/>
            </w:tcBorders>
            <w:shd w:val="clear" w:color="auto" w:fill="auto"/>
            <w:noWrap/>
            <w:vAlign w:val="center"/>
          </w:tcPr>
          <w:p w14:paraId="4FE02847" w14:textId="477549BE" w:rsidR="000D258A" w:rsidRPr="00A27896" w:rsidRDefault="000D258A" w:rsidP="000D258A">
            <w:pPr>
              <w:spacing w:after="0" w:line="240" w:lineRule="auto"/>
              <w:jc w:val="right"/>
              <w:rPr>
                <w:rFonts w:cs="Times New Roman"/>
                <w:color w:val="17365D"/>
                <w:sz w:val="18"/>
                <w:szCs w:val="18"/>
              </w:rPr>
            </w:pPr>
            <w:r>
              <w:rPr>
                <w:color w:val="17365D"/>
                <w:sz w:val="18"/>
                <w:szCs w:val="18"/>
              </w:rPr>
              <w:t>365</w:t>
            </w:r>
          </w:p>
        </w:tc>
        <w:tc>
          <w:tcPr>
            <w:tcW w:w="1070" w:type="dxa"/>
            <w:tcBorders>
              <w:top w:val="single" w:sz="4" w:space="0" w:color="17365D"/>
              <w:left w:val="nil"/>
              <w:bottom w:val="single" w:sz="4" w:space="0" w:color="17365D"/>
              <w:right w:val="nil"/>
            </w:tcBorders>
            <w:shd w:val="clear" w:color="auto" w:fill="auto"/>
            <w:noWrap/>
            <w:vAlign w:val="center"/>
          </w:tcPr>
          <w:p w14:paraId="657605B4" w14:textId="45521FB5" w:rsidR="000D258A" w:rsidRPr="00A27896" w:rsidRDefault="000D258A" w:rsidP="000D258A">
            <w:pPr>
              <w:spacing w:after="0" w:line="240" w:lineRule="auto"/>
              <w:jc w:val="right"/>
              <w:rPr>
                <w:rFonts w:cs="Times New Roman"/>
                <w:color w:val="17365D"/>
                <w:sz w:val="18"/>
                <w:szCs w:val="18"/>
              </w:rPr>
            </w:pPr>
            <w:r>
              <w:rPr>
                <w:color w:val="17365D"/>
                <w:sz w:val="18"/>
                <w:szCs w:val="18"/>
              </w:rPr>
              <w:t>240</w:t>
            </w:r>
          </w:p>
        </w:tc>
        <w:tc>
          <w:tcPr>
            <w:tcW w:w="1063" w:type="dxa"/>
            <w:tcBorders>
              <w:top w:val="single" w:sz="4" w:space="0" w:color="17365D"/>
              <w:left w:val="nil"/>
              <w:bottom w:val="single" w:sz="4" w:space="0" w:color="17365D"/>
              <w:right w:val="nil"/>
            </w:tcBorders>
            <w:shd w:val="clear" w:color="auto" w:fill="auto"/>
            <w:noWrap/>
            <w:vAlign w:val="center"/>
          </w:tcPr>
          <w:p w14:paraId="7BC5C964" w14:textId="14F13C6E" w:rsidR="000D258A" w:rsidRPr="00A27896" w:rsidRDefault="000D258A" w:rsidP="000D258A">
            <w:pPr>
              <w:spacing w:after="0" w:line="240" w:lineRule="auto"/>
              <w:jc w:val="right"/>
              <w:rPr>
                <w:rFonts w:cs="Times New Roman"/>
                <w:color w:val="17365D"/>
                <w:sz w:val="18"/>
                <w:szCs w:val="18"/>
              </w:rPr>
            </w:pPr>
            <w:r>
              <w:rPr>
                <w:color w:val="17365D"/>
                <w:sz w:val="18"/>
                <w:szCs w:val="18"/>
              </w:rPr>
              <w:t>240</w:t>
            </w:r>
          </w:p>
        </w:tc>
      </w:tr>
      <w:tr w:rsidR="000D258A" w:rsidRPr="00A27896" w14:paraId="5FFBD349" w14:textId="77777777" w:rsidTr="007B6525">
        <w:trPr>
          <w:trHeight w:val="141"/>
        </w:trPr>
        <w:tc>
          <w:tcPr>
            <w:tcW w:w="2401" w:type="dxa"/>
            <w:tcBorders>
              <w:top w:val="single" w:sz="4" w:space="0" w:color="17365D"/>
              <w:left w:val="nil"/>
              <w:bottom w:val="single" w:sz="4" w:space="0" w:color="17365D"/>
              <w:right w:val="nil"/>
            </w:tcBorders>
            <w:shd w:val="clear" w:color="auto" w:fill="auto"/>
            <w:vAlign w:val="center"/>
            <w:hideMark/>
          </w:tcPr>
          <w:p w14:paraId="45B4381E" w14:textId="3CD994C6" w:rsidR="000D258A" w:rsidRPr="00A27896" w:rsidRDefault="000D258A" w:rsidP="000D258A">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Zeme un būves</w:t>
            </w:r>
          </w:p>
        </w:tc>
        <w:tc>
          <w:tcPr>
            <w:tcW w:w="1276" w:type="dxa"/>
            <w:tcBorders>
              <w:top w:val="single" w:sz="4" w:space="0" w:color="17365D"/>
              <w:left w:val="nil"/>
              <w:bottom w:val="single" w:sz="4" w:space="0" w:color="17365D"/>
              <w:right w:val="nil"/>
            </w:tcBorders>
            <w:shd w:val="clear" w:color="auto" w:fill="auto"/>
            <w:vAlign w:val="center"/>
          </w:tcPr>
          <w:p w14:paraId="2DD9AD24" w14:textId="1675B670" w:rsidR="000D258A" w:rsidRPr="00A27896" w:rsidRDefault="000D258A" w:rsidP="000D258A">
            <w:pPr>
              <w:spacing w:after="0" w:line="240" w:lineRule="auto"/>
              <w:jc w:val="right"/>
              <w:rPr>
                <w:rFonts w:cs="Times New Roman"/>
                <w:color w:val="17365D"/>
                <w:sz w:val="18"/>
                <w:szCs w:val="18"/>
              </w:rPr>
            </w:pPr>
            <w:r>
              <w:rPr>
                <w:color w:val="17365D"/>
                <w:sz w:val="18"/>
                <w:szCs w:val="18"/>
              </w:rPr>
              <w:t>171 294 930</w:t>
            </w:r>
          </w:p>
        </w:tc>
        <w:tc>
          <w:tcPr>
            <w:tcW w:w="1274" w:type="dxa"/>
            <w:tcBorders>
              <w:top w:val="single" w:sz="4" w:space="0" w:color="17365D"/>
              <w:left w:val="nil"/>
              <w:bottom w:val="single" w:sz="4" w:space="0" w:color="17365D"/>
              <w:right w:val="nil"/>
            </w:tcBorders>
            <w:shd w:val="clear" w:color="auto" w:fill="auto"/>
            <w:vAlign w:val="center"/>
          </w:tcPr>
          <w:p w14:paraId="12D41A8B" w14:textId="28BEB1A6" w:rsidR="000D258A" w:rsidRPr="00A27896" w:rsidRDefault="000D258A" w:rsidP="000D258A">
            <w:pPr>
              <w:spacing w:after="0" w:line="240" w:lineRule="auto"/>
              <w:jc w:val="right"/>
              <w:rPr>
                <w:rFonts w:cs="Times New Roman"/>
                <w:color w:val="17365D"/>
                <w:sz w:val="18"/>
                <w:szCs w:val="18"/>
              </w:rPr>
            </w:pPr>
            <w:r>
              <w:rPr>
                <w:color w:val="17365D"/>
                <w:sz w:val="18"/>
                <w:szCs w:val="18"/>
              </w:rPr>
              <w:t>160 552 756</w:t>
            </w:r>
          </w:p>
        </w:tc>
        <w:tc>
          <w:tcPr>
            <w:tcW w:w="1209" w:type="dxa"/>
            <w:tcBorders>
              <w:top w:val="single" w:sz="4" w:space="0" w:color="17365D"/>
              <w:left w:val="nil"/>
              <w:bottom w:val="single" w:sz="4" w:space="0" w:color="17365D"/>
              <w:right w:val="nil"/>
            </w:tcBorders>
            <w:shd w:val="clear" w:color="auto" w:fill="auto"/>
            <w:noWrap/>
            <w:vAlign w:val="center"/>
          </w:tcPr>
          <w:p w14:paraId="6E0AFF84" w14:textId="62707A29" w:rsidR="000D258A" w:rsidRPr="00A27896" w:rsidRDefault="000D258A" w:rsidP="000D258A">
            <w:pPr>
              <w:spacing w:after="0" w:line="240" w:lineRule="auto"/>
              <w:jc w:val="right"/>
              <w:rPr>
                <w:rFonts w:cs="Times New Roman"/>
                <w:color w:val="17365D"/>
                <w:sz w:val="18"/>
                <w:szCs w:val="18"/>
              </w:rPr>
            </w:pPr>
            <w:r>
              <w:rPr>
                <w:color w:val="17365D"/>
                <w:sz w:val="18"/>
                <w:szCs w:val="18"/>
              </w:rPr>
              <w:t>103 289 968</w:t>
            </w:r>
          </w:p>
        </w:tc>
        <w:tc>
          <w:tcPr>
            <w:tcW w:w="1061" w:type="dxa"/>
            <w:tcBorders>
              <w:top w:val="single" w:sz="4" w:space="0" w:color="17365D"/>
              <w:left w:val="nil"/>
              <w:bottom w:val="single" w:sz="4" w:space="0" w:color="17365D"/>
              <w:right w:val="nil"/>
            </w:tcBorders>
            <w:shd w:val="clear" w:color="auto" w:fill="auto"/>
            <w:noWrap/>
            <w:vAlign w:val="center"/>
          </w:tcPr>
          <w:p w14:paraId="36F94D8F" w14:textId="205E08DB" w:rsidR="000D258A" w:rsidRPr="00A27896" w:rsidRDefault="000D258A" w:rsidP="000D258A">
            <w:pPr>
              <w:spacing w:after="0" w:line="240" w:lineRule="auto"/>
              <w:jc w:val="right"/>
              <w:rPr>
                <w:rFonts w:cs="Times New Roman"/>
                <w:color w:val="17365D"/>
                <w:sz w:val="18"/>
                <w:szCs w:val="18"/>
              </w:rPr>
            </w:pPr>
            <w:r>
              <w:rPr>
                <w:color w:val="17365D"/>
                <w:sz w:val="18"/>
                <w:szCs w:val="18"/>
              </w:rPr>
              <w:t>14 778 015</w:t>
            </w:r>
          </w:p>
        </w:tc>
        <w:tc>
          <w:tcPr>
            <w:tcW w:w="1070" w:type="dxa"/>
            <w:tcBorders>
              <w:top w:val="single" w:sz="4" w:space="0" w:color="17365D"/>
              <w:left w:val="nil"/>
              <w:bottom w:val="single" w:sz="4" w:space="0" w:color="17365D"/>
              <w:right w:val="nil"/>
            </w:tcBorders>
            <w:shd w:val="clear" w:color="auto" w:fill="auto"/>
            <w:noWrap/>
            <w:vAlign w:val="center"/>
          </w:tcPr>
          <w:p w14:paraId="1521424A" w14:textId="0AFA9978" w:rsidR="000D258A" w:rsidRPr="00A27896" w:rsidRDefault="000D258A" w:rsidP="000D258A">
            <w:pPr>
              <w:spacing w:after="0" w:line="240" w:lineRule="auto"/>
              <w:jc w:val="right"/>
              <w:rPr>
                <w:rFonts w:cs="Times New Roman"/>
                <w:color w:val="17365D"/>
                <w:sz w:val="18"/>
                <w:szCs w:val="18"/>
              </w:rPr>
            </w:pPr>
            <w:r>
              <w:rPr>
                <w:color w:val="17365D"/>
                <w:sz w:val="18"/>
                <w:szCs w:val="18"/>
              </w:rPr>
              <w:t>11 539 418</w:t>
            </w:r>
          </w:p>
        </w:tc>
        <w:tc>
          <w:tcPr>
            <w:tcW w:w="1063" w:type="dxa"/>
            <w:tcBorders>
              <w:top w:val="single" w:sz="4" w:space="0" w:color="17365D"/>
              <w:left w:val="nil"/>
              <w:bottom w:val="single" w:sz="4" w:space="0" w:color="17365D"/>
              <w:right w:val="nil"/>
            </w:tcBorders>
            <w:shd w:val="clear" w:color="auto" w:fill="auto"/>
            <w:noWrap/>
            <w:vAlign w:val="center"/>
          </w:tcPr>
          <w:p w14:paraId="37F8D478" w14:textId="4D8CC533" w:rsidR="000D258A" w:rsidRPr="00A27896" w:rsidRDefault="000D258A" w:rsidP="000D258A">
            <w:pPr>
              <w:spacing w:after="0" w:line="240" w:lineRule="auto"/>
              <w:jc w:val="right"/>
              <w:rPr>
                <w:rFonts w:cs="Times New Roman"/>
                <w:color w:val="17365D"/>
                <w:sz w:val="18"/>
                <w:szCs w:val="18"/>
              </w:rPr>
            </w:pPr>
            <w:r>
              <w:rPr>
                <w:color w:val="17365D"/>
                <w:sz w:val="18"/>
                <w:szCs w:val="18"/>
              </w:rPr>
              <w:t>9 837 687</w:t>
            </w:r>
          </w:p>
        </w:tc>
      </w:tr>
      <w:tr w:rsidR="000D258A" w:rsidRPr="00A27896" w14:paraId="05BC6FAF" w14:textId="77777777" w:rsidTr="007B6525">
        <w:trPr>
          <w:trHeight w:val="330"/>
        </w:trPr>
        <w:tc>
          <w:tcPr>
            <w:tcW w:w="2401" w:type="dxa"/>
            <w:tcBorders>
              <w:top w:val="single" w:sz="4" w:space="0" w:color="17365D"/>
              <w:left w:val="nil"/>
              <w:bottom w:val="single" w:sz="4" w:space="0" w:color="17365D"/>
              <w:right w:val="nil"/>
            </w:tcBorders>
            <w:shd w:val="clear" w:color="auto" w:fill="auto"/>
            <w:vAlign w:val="center"/>
            <w:hideMark/>
          </w:tcPr>
          <w:p w14:paraId="5AE59399" w14:textId="0ADBC1FF" w:rsidR="000D258A" w:rsidRPr="00A27896" w:rsidRDefault="000D258A" w:rsidP="000D258A">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Tehnoloģiskās iekārtas un mašīnas</w:t>
            </w:r>
          </w:p>
        </w:tc>
        <w:tc>
          <w:tcPr>
            <w:tcW w:w="1276" w:type="dxa"/>
            <w:tcBorders>
              <w:top w:val="single" w:sz="4" w:space="0" w:color="17365D"/>
              <w:left w:val="nil"/>
              <w:bottom w:val="single" w:sz="4" w:space="0" w:color="17365D"/>
              <w:right w:val="nil"/>
            </w:tcBorders>
            <w:shd w:val="clear" w:color="auto" w:fill="auto"/>
            <w:vAlign w:val="center"/>
          </w:tcPr>
          <w:p w14:paraId="345C4CFE" w14:textId="495AADC2" w:rsidR="000D258A" w:rsidRPr="00A27896" w:rsidRDefault="000D258A" w:rsidP="000D258A">
            <w:pPr>
              <w:spacing w:after="0" w:line="240" w:lineRule="auto"/>
              <w:jc w:val="right"/>
              <w:rPr>
                <w:rFonts w:cs="Times New Roman"/>
                <w:color w:val="17365D"/>
                <w:sz w:val="18"/>
                <w:szCs w:val="18"/>
              </w:rPr>
            </w:pPr>
            <w:r>
              <w:rPr>
                <w:color w:val="17365D"/>
                <w:sz w:val="18"/>
                <w:szCs w:val="18"/>
              </w:rPr>
              <w:t>65 855</w:t>
            </w:r>
          </w:p>
        </w:tc>
        <w:tc>
          <w:tcPr>
            <w:tcW w:w="1274" w:type="dxa"/>
            <w:tcBorders>
              <w:top w:val="single" w:sz="4" w:space="0" w:color="17365D"/>
              <w:left w:val="nil"/>
              <w:bottom w:val="single" w:sz="4" w:space="0" w:color="17365D"/>
              <w:right w:val="nil"/>
            </w:tcBorders>
            <w:shd w:val="clear" w:color="auto" w:fill="auto"/>
            <w:vAlign w:val="center"/>
          </w:tcPr>
          <w:p w14:paraId="54028224" w14:textId="50129CEA" w:rsidR="000D258A" w:rsidRPr="00A27896" w:rsidRDefault="000D258A" w:rsidP="000D258A">
            <w:pPr>
              <w:spacing w:after="0" w:line="240" w:lineRule="auto"/>
              <w:jc w:val="right"/>
              <w:rPr>
                <w:rFonts w:cs="Times New Roman"/>
                <w:color w:val="17365D"/>
                <w:sz w:val="18"/>
                <w:szCs w:val="18"/>
              </w:rPr>
            </w:pPr>
            <w:r>
              <w:rPr>
                <w:color w:val="17365D"/>
                <w:sz w:val="18"/>
                <w:szCs w:val="18"/>
              </w:rPr>
              <w:t>51 440</w:t>
            </w:r>
          </w:p>
        </w:tc>
        <w:tc>
          <w:tcPr>
            <w:tcW w:w="1209" w:type="dxa"/>
            <w:tcBorders>
              <w:top w:val="single" w:sz="4" w:space="0" w:color="17365D"/>
              <w:left w:val="nil"/>
              <w:bottom w:val="single" w:sz="4" w:space="0" w:color="17365D"/>
              <w:right w:val="nil"/>
            </w:tcBorders>
            <w:shd w:val="clear" w:color="auto" w:fill="auto"/>
            <w:noWrap/>
            <w:vAlign w:val="center"/>
          </w:tcPr>
          <w:p w14:paraId="7F477F0F" w14:textId="1A2D9C95" w:rsidR="000D258A" w:rsidRPr="00A27896" w:rsidRDefault="000D258A" w:rsidP="000D258A">
            <w:pPr>
              <w:spacing w:after="0" w:line="240" w:lineRule="auto"/>
              <w:jc w:val="right"/>
              <w:rPr>
                <w:rFonts w:cs="Times New Roman"/>
                <w:color w:val="17365D"/>
                <w:sz w:val="18"/>
                <w:szCs w:val="18"/>
              </w:rPr>
            </w:pPr>
            <w:r>
              <w:rPr>
                <w:color w:val="17365D"/>
                <w:sz w:val="18"/>
                <w:szCs w:val="18"/>
              </w:rPr>
              <w:t>30 203</w:t>
            </w:r>
          </w:p>
        </w:tc>
        <w:tc>
          <w:tcPr>
            <w:tcW w:w="1061" w:type="dxa"/>
            <w:tcBorders>
              <w:top w:val="single" w:sz="4" w:space="0" w:color="17365D"/>
              <w:left w:val="nil"/>
              <w:bottom w:val="single" w:sz="4" w:space="0" w:color="17365D"/>
              <w:right w:val="nil"/>
            </w:tcBorders>
            <w:shd w:val="clear" w:color="auto" w:fill="auto"/>
            <w:noWrap/>
            <w:vAlign w:val="center"/>
          </w:tcPr>
          <w:p w14:paraId="74E2566F" w14:textId="488F8B38" w:rsidR="000D258A" w:rsidRPr="00A27896" w:rsidRDefault="000D258A" w:rsidP="000D258A">
            <w:pPr>
              <w:spacing w:after="0" w:line="240" w:lineRule="auto"/>
              <w:jc w:val="right"/>
              <w:rPr>
                <w:rFonts w:cs="Times New Roman"/>
                <w:color w:val="17365D"/>
                <w:sz w:val="18"/>
                <w:szCs w:val="18"/>
              </w:rPr>
            </w:pPr>
            <w:r>
              <w:rPr>
                <w:color w:val="17365D"/>
                <w:sz w:val="18"/>
                <w:szCs w:val="18"/>
              </w:rPr>
              <w:t>26 141</w:t>
            </w:r>
          </w:p>
        </w:tc>
        <w:tc>
          <w:tcPr>
            <w:tcW w:w="1070" w:type="dxa"/>
            <w:tcBorders>
              <w:top w:val="single" w:sz="4" w:space="0" w:color="17365D"/>
              <w:left w:val="nil"/>
              <w:bottom w:val="single" w:sz="4" w:space="0" w:color="17365D"/>
              <w:right w:val="nil"/>
            </w:tcBorders>
            <w:shd w:val="clear" w:color="auto" w:fill="auto"/>
            <w:noWrap/>
            <w:vAlign w:val="center"/>
          </w:tcPr>
          <w:p w14:paraId="2A1AE76C" w14:textId="4371A1CB" w:rsidR="000D258A" w:rsidRPr="00A27896" w:rsidRDefault="000D258A" w:rsidP="000D258A">
            <w:pPr>
              <w:spacing w:after="0" w:line="240" w:lineRule="auto"/>
              <w:jc w:val="right"/>
              <w:rPr>
                <w:rFonts w:cs="Times New Roman"/>
                <w:color w:val="17365D"/>
                <w:sz w:val="18"/>
                <w:szCs w:val="18"/>
              </w:rPr>
            </w:pPr>
            <w:r>
              <w:rPr>
                <w:color w:val="17365D"/>
                <w:sz w:val="18"/>
                <w:szCs w:val="18"/>
              </w:rPr>
              <w:t>3 684</w:t>
            </w:r>
          </w:p>
        </w:tc>
        <w:tc>
          <w:tcPr>
            <w:tcW w:w="1063" w:type="dxa"/>
            <w:tcBorders>
              <w:top w:val="single" w:sz="4" w:space="0" w:color="17365D"/>
              <w:left w:val="nil"/>
              <w:bottom w:val="single" w:sz="4" w:space="0" w:color="17365D"/>
              <w:right w:val="nil"/>
            </w:tcBorders>
            <w:shd w:val="clear" w:color="auto" w:fill="auto"/>
            <w:noWrap/>
            <w:vAlign w:val="center"/>
          </w:tcPr>
          <w:p w14:paraId="652CE0E4" w14:textId="5DE5BDE3" w:rsidR="000D258A" w:rsidRPr="00A27896" w:rsidRDefault="000D258A" w:rsidP="000D258A">
            <w:pPr>
              <w:spacing w:after="0" w:line="240" w:lineRule="auto"/>
              <w:jc w:val="right"/>
              <w:rPr>
                <w:rFonts w:cs="Times New Roman"/>
                <w:color w:val="17365D"/>
                <w:sz w:val="18"/>
                <w:szCs w:val="18"/>
              </w:rPr>
            </w:pPr>
            <w:r>
              <w:rPr>
                <w:color w:val="17365D"/>
                <w:sz w:val="18"/>
                <w:szCs w:val="18"/>
              </w:rPr>
              <w:t>378</w:t>
            </w:r>
          </w:p>
        </w:tc>
      </w:tr>
      <w:tr w:rsidR="000D258A" w:rsidRPr="00A27896" w14:paraId="6EB52C8D" w14:textId="77777777" w:rsidTr="007B6525">
        <w:trPr>
          <w:trHeight w:val="179"/>
        </w:trPr>
        <w:tc>
          <w:tcPr>
            <w:tcW w:w="2401" w:type="dxa"/>
            <w:tcBorders>
              <w:top w:val="single" w:sz="4" w:space="0" w:color="17365D"/>
              <w:left w:val="nil"/>
              <w:bottom w:val="single" w:sz="4" w:space="0" w:color="17365D"/>
              <w:right w:val="nil"/>
            </w:tcBorders>
            <w:shd w:val="clear" w:color="auto" w:fill="auto"/>
            <w:vAlign w:val="center"/>
            <w:hideMark/>
          </w:tcPr>
          <w:p w14:paraId="291552C9" w14:textId="151F9293" w:rsidR="000D258A" w:rsidRPr="00A27896" w:rsidRDefault="000D258A" w:rsidP="000D258A">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Pārējie pamatlīdzekļi</w:t>
            </w:r>
          </w:p>
        </w:tc>
        <w:tc>
          <w:tcPr>
            <w:tcW w:w="1276" w:type="dxa"/>
            <w:tcBorders>
              <w:top w:val="single" w:sz="4" w:space="0" w:color="17365D"/>
              <w:left w:val="nil"/>
              <w:bottom w:val="single" w:sz="4" w:space="0" w:color="17365D"/>
              <w:right w:val="nil"/>
            </w:tcBorders>
            <w:shd w:val="clear" w:color="auto" w:fill="auto"/>
            <w:vAlign w:val="center"/>
          </w:tcPr>
          <w:p w14:paraId="3215A410" w14:textId="49AA053F" w:rsidR="000D258A" w:rsidRPr="00A27896" w:rsidRDefault="000D258A" w:rsidP="000D258A">
            <w:pPr>
              <w:spacing w:after="0" w:line="240" w:lineRule="auto"/>
              <w:jc w:val="right"/>
              <w:rPr>
                <w:rFonts w:cs="Times New Roman"/>
                <w:color w:val="17365D"/>
                <w:sz w:val="18"/>
                <w:szCs w:val="18"/>
              </w:rPr>
            </w:pPr>
            <w:r>
              <w:rPr>
                <w:color w:val="17365D"/>
                <w:sz w:val="18"/>
                <w:szCs w:val="18"/>
              </w:rPr>
              <w:t>1 555 109</w:t>
            </w:r>
          </w:p>
        </w:tc>
        <w:tc>
          <w:tcPr>
            <w:tcW w:w="1274" w:type="dxa"/>
            <w:tcBorders>
              <w:top w:val="single" w:sz="4" w:space="0" w:color="17365D"/>
              <w:left w:val="nil"/>
              <w:bottom w:val="single" w:sz="4" w:space="0" w:color="17365D"/>
              <w:right w:val="nil"/>
            </w:tcBorders>
            <w:shd w:val="clear" w:color="auto" w:fill="auto"/>
            <w:vAlign w:val="center"/>
          </w:tcPr>
          <w:p w14:paraId="0343D8C0" w14:textId="5B8B9C4A" w:rsidR="000D258A" w:rsidRPr="00A27896" w:rsidRDefault="000D258A" w:rsidP="000D258A">
            <w:pPr>
              <w:spacing w:after="0" w:line="240" w:lineRule="auto"/>
              <w:jc w:val="right"/>
              <w:rPr>
                <w:rFonts w:cs="Times New Roman"/>
                <w:color w:val="17365D"/>
                <w:sz w:val="18"/>
                <w:szCs w:val="18"/>
              </w:rPr>
            </w:pPr>
            <w:r>
              <w:rPr>
                <w:color w:val="17365D"/>
                <w:sz w:val="18"/>
                <w:szCs w:val="18"/>
              </w:rPr>
              <w:t>1 906 748</w:t>
            </w:r>
          </w:p>
        </w:tc>
        <w:tc>
          <w:tcPr>
            <w:tcW w:w="1209" w:type="dxa"/>
            <w:tcBorders>
              <w:top w:val="single" w:sz="4" w:space="0" w:color="17365D"/>
              <w:left w:val="nil"/>
              <w:bottom w:val="single" w:sz="4" w:space="0" w:color="17365D"/>
              <w:right w:val="nil"/>
            </w:tcBorders>
            <w:shd w:val="clear" w:color="auto" w:fill="auto"/>
            <w:noWrap/>
            <w:vAlign w:val="center"/>
          </w:tcPr>
          <w:p w14:paraId="5CDEF68B" w14:textId="57FC2E9A" w:rsidR="000D258A" w:rsidRPr="00A27896" w:rsidRDefault="000D258A" w:rsidP="000D258A">
            <w:pPr>
              <w:spacing w:after="0" w:line="240" w:lineRule="auto"/>
              <w:jc w:val="right"/>
              <w:rPr>
                <w:rFonts w:cs="Times New Roman"/>
                <w:color w:val="17365D"/>
                <w:sz w:val="18"/>
                <w:szCs w:val="18"/>
              </w:rPr>
            </w:pPr>
            <w:r>
              <w:rPr>
                <w:color w:val="17365D"/>
                <w:sz w:val="18"/>
                <w:szCs w:val="18"/>
              </w:rPr>
              <w:t>474 896</w:t>
            </w:r>
          </w:p>
        </w:tc>
        <w:tc>
          <w:tcPr>
            <w:tcW w:w="1061" w:type="dxa"/>
            <w:tcBorders>
              <w:top w:val="single" w:sz="4" w:space="0" w:color="17365D"/>
              <w:left w:val="nil"/>
              <w:bottom w:val="single" w:sz="4" w:space="0" w:color="17365D"/>
              <w:right w:val="nil"/>
            </w:tcBorders>
            <w:shd w:val="clear" w:color="auto" w:fill="auto"/>
            <w:noWrap/>
            <w:vAlign w:val="center"/>
          </w:tcPr>
          <w:p w14:paraId="70A5268F" w14:textId="6202E030" w:rsidR="000D258A" w:rsidRPr="00A27896" w:rsidRDefault="000D258A" w:rsidP="000D258A">
            <w:pPr>
              <w:spacing w:after="0" w:line="240" w:lineRule="auto"/>
              <w:jc w:val="right"/>
              <w:rPr>
                <w:rFonts w:cs="Times New Roman"/>
                <w:color w:val="17365D"/>
                <w:sz w:val="18"/>
                <w:szCs w:val="18"/>
              </w:rPr>
            </w:pPr>
            <w:r>
              <w:rPr>
                <w:color w:val="17365D"/>
                <w:sz w:val="18"/>
                <w:szCs w:val="18"/>
              </w:rPr>
              <w:t>122 149</w:t>
            </w:r>
          </w:p>
        </w:tc>
        <w:tc>
          <w:tcPr>
            <w:tcW w:w="1070" w:type="dxa"/>
            <w:tcBorders>
              <w:top w:val="single" w:sz="4" w:space="0" w:color="17365D"/>
              <w:left w:val="nil"/>
              <w:bottom w:val="single" w:sz="4" w:space="0" w:color="17365D"/>
              <w:right w:val="nil"/>
            </w:tcBorders>
            <w:shd w:val="clear" w:color="auto" w:fill="auto"/>
            <w:noWrap/>
            <w:vAlign w:val="center"/>
          </w:tcPr>
          <w:p w14:paraId="0AC53AA8" w14:textId="22FEADC1" w:rsidR="000D258A" w:rsidRPr="00A27896" w:rsidRDefault="000D258A" w:rsidP="000D258A">
            <w:pPr>
              <w:spacing w:after="0" w:line="240" w:lineRule="auto"/>
              <w:jc w:val="right"/>
              <w:rPr>
                <w:rFonts w:cs="Times New Roman"/>
                <w:color w:val="17365D"/>
                <w:sz w:val="18"/>
                <w:szCs w:val="18"/>
              </w:rPr>
            </w:pPr>
            <w:r>
              <w:rPr>
                <w:color w:val="17365D"/>
                <w:sz w:val="18"/>
                <w:szCs w:val="18"/>
              </w:rPr>
              <w:t>102 943</w:t>
            </w:r>
          </w:p>
        </w:tc>
        <w:tc>
          <w:tcPr>
            <w:tcW w:w="1063" w:type="dxa"/>
            <w:tcBorders>
              <w:top w:val="single" w:sz="4" w:space="0" w:color="17365D"/>
              <w:left w:val="nil"/>
              <w:bottom w:val="single" w:sz="4" w:space="0" w:color="17365D"/>
              <w:right w:val="nil"/>
            </w:tcBorders>
            <w:shd w:val="clear" w:color="auto" w:fill="auto"/>
            <w:noWrap/>
            <w:vAlign w:val="center"/>
          </w:tcPr>
          <w:p w14:paraId="4B67F880" w14:textId="3A1DA3EF" w:rsidR="000D258A" w:rsidRPr="00A27896" w:rsidRDefault="000D258A" w:rsidP="000D258A">
            <w:pPr>
              <w:spacing w:after="0" w:line="240" w:lineRule="auto"/>
              <w:jc w:val="right"/>
              <w:rPr>
                <w:rFonts w:cs="Times New Roman"/>
                <w:color w:val="17365D"/>
                <w:sz w:val="18"/>
                <w:szCs w:val="18"/>
              </w:rPr>
            </w:pPr>
            <w:r>
              <w:rPr>
                <w:color w:val="17365D"/>
                <w:sz w:val="18"/>
                <w:szCs w:val="18"/>
              </w:rPr>
              <w:t>95 712</w:t>
            </w:r>
          </w:p>
        </w:tc>
      </w:tr>
      <w:tr w:rsidR="000D258A" w:rsidRPr="00A27896" w14:paraId="26B79457" w14:textId="77777777" w:rsidTr="007B6525">
        <w:trPr>
          <w:trHeight w:val="240"/>
        </w:trPr>
        <w:tc>
          <w:tcPr>
            <w:tcW w:w="2401" w:type="dxa"/>
            <w:tcBorders>
              <w:top w:val="single" w:sz="4" w:space="0" w:color="17365D"/>
              <w:left w:val="nil"/>
              <w:bottom w:val="single" w:sz="4" w:space="0" w:color="17365D"/>
              <w:right w:val="nil"/>
            </w:tcBorders>
            <w:shd w:val="clear" w:color="auto" w:fill="auto"/>
            <w:vAlign w:val="center"/>
            <w:hideMark/>
          </w:tcPr>
          <w:p w14:paraId="377B0633" w14:textId="31C693BF" w:rsidR="000D258A" w:rsidRPr="00A27896" w:rsidRDefault="000D258A" w:rsidP="000D258A">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Turējumā nodotie valsts un pašvaldību īpašumi</w:t>
            </w:r>
          </w:p>
        </w:tc>
        <w:tc>
          <w:tcPr>
            <w:tcW w:w="1276" w:type="dxa"/>
            <w:tcBorders>
              <w:top w:val="single" w:sz="4" w:space="0" w:color="17365D"/>
              <w:left w:val="nil"/>
              <w:bottom w:val="single" w:sz="4" w:space="0" w:color="17365D"/>
              <w:right w:val="nil"/>
            </w:tcBorders>
            <w:shd w:val="clear" w:color="auto" w:fill="auto"/>
            <w:vAlign w:val="center"/>
          </w:tcPr>
          <w:p w14:paraId="05A99870" w14:textId="51DA88E4" w:rsidR="000D258A" w:rsidRPr="00A27896" w:rsidRDefault="000D258A" w:rsidP="000D258A">
            <w:pPr>
              <w:spacing w:after="0" w:line="240" w:lineRule="auto"/>
              <w:jc w:val="right"/>
              <w:rPr>
                <w:rFonts w:cs="Times New Roman"/>
                <w:color w:val="17365D"/>
                <w:sz w:val="18"/>
                <w:szCs w:val="18"/>
              </w:rPr>
            </w:pPr>
            <w:r>
              <w:rPr>
                <w:color w:val="17365D"/>
                <w:sz w:val="18"/>
                <w:szCs w:val="18"/>
              </w:rPr>
              <w:t>12 180 661</w:t>
            </w:r>
          </w:p>
        </w:tc>
        <w:tc>
          <w:tcPr>
            <w:tcW w:w="1274" w:type="dxa"/>
            <w:tcBorders>
              <w:top w:val="single" w:sz="4" w:space="0" w:color="17365D"/>
              <w:left w:val="nil"/>
              <w:bottom w:val="single" w:sz="4" w:space="0" w:color="17365D"/>
              <w:right w:val="nil"/>
            </w:tcBorders>
            <w:shd w:val="clear" w:color="auto" w:fill="auto"/>
            <w:vAlign w:val="center"/>
          </w:tcPr>
          <w:p w14:paraId="5649C638" w14:textId="0887D108" w:rsidR="000D258A" w:rsidRPr="00A27896" w:rsidRDefault="000D258A" w:rsidP="000D258A">
            <w:pPr>
              <w:spacing w:after="0" w:line="240" w:lineRule="auto"/>
              <w:jc w:val="right"/>
              <w:rPr>
                <w:rFonts w:cs="Times New Roman"/>
                <w:color w:val="17365D"/>
                <w:sz w:val="18"/>
                <w:szCs w:val="18"/>
              </w:rPr>
            </w:pPr>
            <w:r>
              <w:rPr>
                <w:color w:val="17365D"/>
                <w:sz w:val="18"/>
                <w:szCs w:val="18"/>
              </w:rPr>
              <w:t>356 415</w:t>
            </w:r>
          </w:p>
        </w:tc>
        <w:tc>
          <w:tcPr>
            <w:tcW w:w="1209" w:type="dxa"/>
            <w:tcBorders>
              <w:top w:val="single" w:sz="4" w:space="0" w:color="17365D"/>
              <w:left w:val="nil"/>
              <w:bottom w:val="single" w:sz="4" w:space="0" w:color="17365D"/>
              <w:right w:val="nil"/>
            </w:tcBorders>
            <w:shd w:val="clear" w:color="auto" w:fill="auto"/>
            <w:noWrap/>
            <w:vAlign w:val="center"/>
          </w:tcPr>
          <w:p w14:paraId="674641C3" w14:textId="645C1DDE" w:rsidR="000D258A" w:rsidRPr="00A27896" w:rsidRDefault="000D258A" w:rsidP="000D258A">
            <w:pPr>
              <w:spacing w:after="0" w:line="240" w:lineRule="auto"/>
              <w:jc w:val="right"/>
              <w:rPr>
                <w:rFonts w:cs="Times New Roman"/>
                <w:color w:val="17365D"/>
                <w:sz w:val="18"/>
                <w:szCs w:val="18"/>
              </w:rPr>
            </w:pPr>
            <w:r>
              <w:rPr>
                <w:color w:val="17365D"/>
                <w:sz w:val="18"/>
                <w:szCs w:val="18"/>
              </w:rPr>
              <w:t>3 043 918</w:t>
            </w:r>
          </w:p>
        </w:tc>
        <w:tc>
          <w:tcPr>
            <w:tcW w:w="1061" w:type="dxa"/>
            <w:tcBorders>
              <w:top w:val="single" w:sz="4" w:space="0" w:color="17365D"/>
              <w:left w:val="nil"/>
              <w:bottom w:val="single" w:sz="4" w:space="0" w:color="17365D"/>
              <w:right w:val="nil"/>
            </w:tcBorders>
            <w:shd w:val="clear" w:color="auto" w:fill="auto"/>
            <w:noWrap/>
            <w:vAlign w:val="center"/>
          </w:tcPr>
          <w:p w14:paraId="0D55B381" w14:textId="49659AA7" w:rsidR="000D258A" w:rsidRPr="00A27896" w:rsidRDefault="000D258A" w:rsidP="000D258A">
            <w:pPr>
              <w:spacing w:after="0" w:line="240" w:lineRule="auto"/>
              <w:jc w:val="right"/>
              <w:rPr>
                <w:rFonts w:cs="Times New Roman"/>
                <w:color w:val="17365D"/>
                <w:sz w:val="18"/>
                <w:szCs w:val="18"/>
              </w:rPr>
            </w:pPr>
            <w:r>
              <w:rPr>
                <w:color w:val="17365D"/>
                <w:sz w:val="18"/>
                <w:szCs w:val="18"/>
              </w:rPr>
              <w:t>393 330</w:t>
            </w:r>
          </w:p>
        </w:tc>
        <w:tc>
          <w:tcPr>
            <w:tcW w:w="1070" w:type="dxa"/>
            <w:tcBorders>
              <w:top w:val="single" w:sz="4" w:space="0" w:color="17365D"/>
              <w:left w:val="nil"/>
              <w:bottom w:val="single" w:sz="4" w:space="0" w:color="17365D"/>
              <w:right w:val="nil"/>
            </w:tcBorders>
            <w:shd w:val="clear" w:color="auto" w:fill="auto"/>
            <w:noWrap/>
            <w:vAlign w:val="center"/>
          </w:tcPr>
          <w:p w14:paraId="2BD4114A" w14:textId="2063F95C" w:rsidR="000D258A" w:rsidRPr="00A27896" w:rsidRDefault="000D258A" w:rsidP="000D258A">
            <w:pPr>
              <w:spacing w:after="0" w:line="240" w:lineRule="auto"/>
              <w:jc w:val="right"/>
              <w:rPr>
                <w:rFonts w:cs="Times New Roman"/>
                <w:color w:val="17365D"/>
                <w:sz w:val="18"/>
                <w:szCs w:val="18"/>
              </w:rPr>
            </w:pPr>
            <w:r>
              <w:rPr>
                <w:color w:val="17365D"/>
                <w:sz w:val="18"/>
                <w:szCs w:val="18"/>
              </w:rPr>
              <w:t>330 443</w:t>
            </w:r>
          </w:p>
        </w:tc>
        <w:tc>
          <w:tcPr>
            <w:tcW w:w="1063" w:type="dxa"/>
            <w:tcBorders>
              <w:top w:val="single" w:sz="4" w:space="0" w:color="17365D"/>
              <w:left w:val="nil"/>
              <w:bottom w:val="single" w:sz="4" w:space="0" w:color="17365D"/>
              <w:right w:val="nil"/>
            </w:tcBorders>
            <w:shd w:val="clear" w:color="auto" w:fill="auto"/>
            <w:noWrap/>
            <w:vAlign w:val="center"/>
          </w:tcPr>
          <w:p w14:paraId="01A80AEB" w14:textId="66B4F449" w:rsidR="000D258A" w:rsidRPr="00A27896" w:rsidRDefault="000D258A" w:rsidP="000D258A">
            <w:pPr>
              <w:spacing w:after="0" w:line="240" w:lineRule="auto"/>
              <w:jc w:val="right"/>
              <w:rPr>
                <w:rFonts w:cs="Times New Roman"/>
                <w:color w:val="17365D"/>
                <w:sz w:val="18"/>
                <w:szCs w:val="18"/>
              </w:rPr>
            </w:pPr>
            <w:r>
              <w:rPr>
                <w:color w:val="17365D"/>
                <w:sz w:val="18"/>
                <w:szCs w:val="18"/>
              </w:rPr>
              <w:t>257 707</w:t>
            </w:r>
          </w:p>
        </w:tc>
      </w:tr>
      <w:tr w:rsidR="000D258A" w:rsidRPr="00A27896" w14:paraId="229C907E" w14:textId="77777777" w:rsidTr="007B6525">
        <w:trPr>
          <w:trHeight w:val="232"/>
        </w:trPr>
        <w:tc>
          <w:tcPr>
            <w:tcW w:w="2401" w:type="dxa"/>
            <w:tcBorders>
              <w:top w:val="single" w:sz="4" w:space="0" w:color="17365D"/>
              <w:left w:val="nil"/>
              <w:bottom w:val="single" w:sz="4" w:space="0" w:color="17365D"/>
              <w:right w:val="nil"/>
            </w:tcBorders>
            <w:shd w:val="clear" w:color="auto" w:fill="auto"/>
            <w:vAlign w:val="center"/>
            <w:hideMark/>
          </w:tcPr>
          <w:p w14:paraId="6BC2A592" w14:textId="77F8A650" w:rsidR="000D258A" w:rsidRPr="00A27896" w:rsidRDefault="000D258A" w:rsidP="000D258A">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Bioloģiskie un pazemes aktīvi</w:t>
            </w:r>
          </w:p>
        </w:tc>
        <w:tc>
          <w:tcPr>
            <w:tcW w:w="1276" w:type="dxa"/>
            <w:tcBorders>
              <w:top w:val="single" w:sz="4" w:space="0" w:color="17365D"/>
              <w:left w:val="nil"/>
              <w:bottom w:val="single" w:sz="4" w:space="0" w:color="17365D"/>
              <w:right w:val="nil"/>
            </w:tcBorders>
            <w:shd w:val="clear" w:color="auto" w:fill="auto"/>
            <w:vAlign w:val="center"/>
          </w:tcPr>
          <w:p w14:paraId="2556C0D3" w14:textId="451D5822" w:rsidR="000D258A" w:rsidRPr="00A27896" w:rsidRDefault="000D258A" w:rsidP="000D258A">
            <w:pPr>
              <w:spacing w:after="0" w:line="240" w:lineRule="auto"/>
              <w:jc w:val="right"/>
              <w:rPr>
                <w:rFonts w:cs="Times New Roman"/>
                <w:color w:val="17365D"/>
                <w:sz w:val="18"/>
                <w:szCs w:val="18"/>
              </w:rPr>
            </w:pPr>
            <w:r>
              <w:rPr>
                <w:color w:val="17365D"/>
                <w:sz w:val="18"/>
                <w:szCs w:val="18"/>
              </w:rPr>
              <w:t>583 226</w:t>
            </w:r>
          </w:p>
        </w:tc>
        <w:tc>
          <w:tcPr>
            <w:tcW w:w="1274" w:type="dxa"/>
            <w:tcBorders>
              <w:top w:val="single" w:sz="4" w:space="0" w:color="17365D"/>
              <w:left w:val="nil"/>
              <w:bottom w:val="single" w:sz="4" w:space="0" w:color="17365D"/>
              <w:right w:val="nil"/>
            </w:tcBorders>
            <w:shd w:val="clear" w:color="auto" w:fill="auto"/>
            <w:vAlign w:val="center"/>
          </w:tcPr>
          <w:p w14:paraId="0C301461" w14:textId="31FFBA88" w:rsidR="000D258A" w:rsidRPr="00A27896" w:rsidRDefault="000D258A" w:rsidP="000D258A">
            <w:pPr>
              <w:spacing w:after="0" w:line="240" w:lineRule="auto"/>
              <w:jc w:val="right"/>
              <w:rPr>
                <w:rFonts w:cs="Times New Roman"/>
                <w:color w:val="17365D"/>
                <w:sz w:val="18"/>
                <w:szCs w:val="18"/>
              </w:rPr>
            </w:pPr>
            <w:r>
              <w:rPr>
                <w:color w:val="17365D"/>
                <w:sz w:val="18"/>
                <w:szCs w:val="18"/>
              </w:rPr>
              <w:t>570 160</w:t>
            </w:r>
          </w:p>
        </w:tc>
        <w:tc>
          <w:tcPr>
            <w:tcW w:w="1209" w:type="dxa"/>
            <w:tcBorders>
              <w:top w:val="single" w:sz="4" w:space="0" w:color="17365D"/>
              <w:left w:val="nil"/>
              <w:bottom w:val="single" w:sz="4" w:space="0" w:color="17365D"/>
              <w:right w:val="nil"/>
            </w:tcBorders>
            <w:shd w:val="clear" w:color="auto" w:fill="auto"/>
            <w:noWrap/>
            <w:vAlign w:val="center"/>
          </w:tcPr>
          <w:p w14:paraId="2B8A89C8" w14:textId="388A211F" w:rsidR="000D258A" w:rsidRPr="00A27896" w:rsidRDefault="000D258A" w:rsidP="000D258A">
            <w:pPr>
              <w:spacing w:after="0" w:line="240" w:lineRule="auto"/>
              <w:jc w:val="right"/>
              <w:rPr>
                <w:rFonts w:cs="Times New Roman"/>
                <w:color w:val="17365D"/>
                <w:sz w:val="18"/>
                <w:szCs w:val="18"/>
              </w:rPr>
            </w:pPr>
            <w:r>
              <w:rPr>
                <w:color w:val="17365D"/>
                <w:sz w:val="18"/>
                <w:szCs w:val="18"/>
              </w:rPr>
              <w:t>135 884</w:t>
            </w:r>
          </w:p>
        </w:tc>
        <w:tc>
          <w:tcPr>
            <w:tcW w:w="1061" w:type="dxa"/>
            <w:tcBorders>
              <w:top w:val="single" w:sz="4" w:space="0" w:color="17365D"/>
              <w:left w:val="nil"/>
              <w:bottom w:val="single" w:sz="4" w:space="0" w:color="17365D"/>
              <w:right w:val="nil"/>
            </w:tcBorders>
            <w:shd w:val="clear" w:color="auto" w:fill="auto"/>
            <w:noWrap/>
            <w:vAlign w:val="center"/>
          </w:tcPr>
          <w:p w14:paraId="7CD48E80" w14:textId="04D4FD1E" w:rsidR="000D258A" w:rsidRPr="00A27896" w:rsidRDefault="000D258A" w:rsidP="000D258A">
            <w:pPr>
              <w:spacing w:after="0" w:line="240" w:lineRule="auto"/>
              <w:jc w:val="right"/>
              <w:rPr>
                <w:rFonts w:cs="Times New Roman"/>
                <w:color w:val="17365D"/>
                <w:sz w:val="18"/>
                <w:szCs w:val="18"/>
              </w:rPr>
            </w:pPr>
            <w:r>
              <w:rPr>
                <w:color w:val="17365D"/>
                <w:sz w:val="18"/>
                <w:szCs w:val="18"/>
              </w:rPr>
              <w:t>24 381</w:t>
            </w:r>
          </w:p>
        </w:tc>
        <w:tc>
          <w:tcPr>
            <w:tcW w:w="1070" w:type="dxa"/>
            <w:tcBorders>
              <w:top w:val="single" w:sz="4" w:space="0" w:color="17365D"/>
              <w:left w:val="nil"/>
              <w:bottom w:val="single" w:sz="4" w:space="0" w:color="17365D"/>
              <w:right w:val="nil"/>
            </w:tcBorders>
            <w:shd w:val="clear" w:color="auto" w:fill="auto"/>
            <w:noWrap/>
            <w:vAlign w:val="center"/>
          </w:tcPr>
          <w:p w14:paraId="016BC455" w14:textId="485FFF5A" w:rsidR="000D258A" w:rsidRPr="00A27896" w:rsidRDefault="000D258A" w:rsidP="000D258A">
            <w:pPr>
              <w:spacing w:after="0" w:line="240" w:lineRule="auto"/>
              <w:jc w:val="right"/>
              <w:rPr>
                <w:rFonts w:cs="Times New Roman"/>
                <w:color w:val="17365D"/>
                <w:sz w:val="18"/>
                <w:szCs w:val="18"/>
              </w:rPr>
            </w:pPr>
            <w:r>
              <w:rPr>
                <w:color w:val="17365D"/>
                <w:sz w:val="18"/>
                <w:szCs w:val="18"/>
              </w:rPr>
              <w:t>21 755</w:t>
            </w:r>
          </w:p>
        </w:tc>
        <w:tc>
          <w:tcPr>
            <w:tcW w:w="1063" w:type="dxa"/>
            <w:tcBorders>
              <w:top w:val="single" w:sz="4" w:space="0" w:color="17365D"/>
              <w:left w:val="nil"/>
              <w:bottom w:val="single" w:sz="4" w:space="0" w:color="17365D"/>
              <w:right w:val="nil"/>
            </w:tcBorders>
            <w:shd w:val="clear" w:color="auto" w:fill="auto"/>
            <w:noWrap/>
            <w:vAlign w:val="center"/>
          </w:tcPr>
          <w:p w14:paraId="1E579FDD" w14:textId="509748C0" w:rsidR="000D258A" w:rsidRPr="00A27896" w:rsidRDefault="000D258A" w:rsidP="000D258A">
            <w:pPr>
              <w:spacing w:after="0" w:line="240" w:lineRule="auto"/>
              <w:jc w:val="right"/>
              <w:rPr>
                <w:rFonts w:cs="Times New Roman"/>
                <w:color w:val="17365D"/>
                <w:sz w:val="18"/>
                <w:szCs w:val="18"/>
              </w:rPr>
            </w:pPr>
            <w:r>
              <w:rPr>
                <w:color w:val="17365D"/>
                <w:sz w:val="18"/>
                <w:szCs w:val="18"/>
              </w:rPr>
              <w:t>17 804</w:t>
            </w:r>
          </w:p>
        </w:tc>
      </w:tr>
      <w:tr w:rsidR="000D258A" w:rsidRPr="00A27896" w14:paraId="05099DE1" w14:textId="77777777" w:rsidTr="007B6525">
        <w:trPr>
          <w:trHeight w:val="74"/>
        </w:trPr>
        <w:tc>
          <w:tcPr>
            <w:tcW w:w="2401" w:type="dxa"/>
            <w:tcBorders>
              <w:top w:val="single" w:sz="4" w:space="0" w:color="17365D"/>
              <w:left w:val="nil"/>
              <w:bottom w:val="single" w:sz="4" w:space="0" w:color="17365D"/>
              <w:right w:val="nil"/>
            </w:tcBorders>
            <w:shd w:val="clear" w:color="auto" w:fill="auto"/>
            <w:vAlign w:val="center"/>
          </w:tcPr>
          <w:p w14:paraId="19E611A9" w14:textId="011F4BBF" w:rsidR="000D258A" w:rsidRPr="00A27896" w:rsidRDefault="000D258A" w:rsidP="000D258A">
            <w:pPr>
              <w:spacing w:after="0" w:line="240" w:lineRule="auto"/>
              <w:rPr>
                <w:rFonts w:eastAsia="Times New Roman" w:cs="Times New Roman"/>
                <w:bCs/>
                <w:color w:val="17365D"/>
                <w:sz w:val="18"/>
                <w:szCs w:val="18"/>
                <w:lang w:eastAsia="lv-LV"/>
              </w:rPr>
            </w:pPr>
            <w:r w:rsidRPr="00A27896">
              <w:rPr>
                <w:rFonts w:eastAsia="Times New Roman" w:cs="Times New Roman"/>
                <w:color w:val="17365D"/>
                <w:sz w:val="18"/>
                <w:szCs w:val="18"/>
                <w:lang w:eastAsia="lv-LV"/>
              </w:rPr>
              <w:t>Ieguldījuma īpašumi</w:t>
            </w:r>
          </w:p>
        </w:tc>
        <w:tc>
          <w:tcPr>
            <w:tcW w:w="1276" w:type="dxa"/>
            <w:tcBorders>
              <w:top w:val="single" w:sz="4" w:space="0" w:color="17365D"/>
              <w:left w:val="nil"/>
              <w:bottom w:val="single" w:sz="4" w:space="0" w:color="17365D"/>
              <w:right w:val="nil"/>
            </w:tcBorders>
            <w:shd w:val="clear" w:color="auto" w:fill="auto"/>
            <w:vAlign w:val="center"/>
          </w:tcPr>
          <w:p w14:paraId="2A403DFD" w14:textId="574CEC32" w:rsidR="000D258A" w:rsidRPr="00A27896" w:rsidRDefault="000D258A" w:rsidP="000D258A">
            <w:pPr>
              <w:spacing w:after="0" w:line="240" w:lineRule="auto"/>
              <w:jc w:val="right"/>
              <w:rPr>
                <w:rFonts w:cs="Times New Roman"/>
                <w:color w:val="17365D"/>
                <w:sz w:val="18"/>
                <w:szCs w:val="18"/>
              </w:rPr>
            </w:pPr>
            <w:r>
              <w:rPr>
                <w:color w:val="17365D"/>
                <w:sz w:val="18"/>
                <w:szCs w:val="18"/>
              </w:rPr>
              <w:t>200 683 525</w:t>
            </w:r>
          </w:p>
        </w:tc>
        <w:tc>
          <w:tcPr>
            <w:tcW w:w="1274" w:type="dxa"/>
            <w:tcBorders>
              <w:top w:val="single" w:sz="4" w:space="0" w:color="17365D"/>
              <w:left w:val="nil"/>
              <w:bottom w:val="single" w:sz="4" w:space="0" w:color="17365D"/>
              <w:right w:val="nil"/>
            </w:tcBorders>
            <w:shd w:val="clear" w:color="auto" w:fill="auto"/>
            <w:vAlign w:val="center"/>
          </w:tcPr>
          <w:p w14:paraId="7D96D239" w14:textId="638C14B8" w:rsidR="000D258A" w:rsidRPr="00A27896" w:rsidRDefault="000D258A" w:rsidP="000D258A">
            <w:pPr>
              <w:spacing w:after="0" w:line="240" w:lineRule="auto"/>
              <w:jc w:val="right"/>
              <w:rPr>
                <w:rFonts w:cs="Times New Roman"/>
                <w:color w:val="17365D"/>
                <w:sz w:val="18"/>
                <w:szCs w:val="18"/>
              </w:rPr>
            </w:pPr>
            <w:r>
              <w:rPr>
                <w:color w:val="17365D"/>
                <w:sz w:val="18"/>
                <w:szCs w:val="18"/>
              </w:rPr>
              <w:t>167 909 419</w:t>
            </w:r>
          </w:p>
        </w:tc>
        <w:tc>
          <w:tcPr>
            <w:tcW w:w="1209" w:type="dxa"/>
            <w:tcBorders>
              <w:top w:val="single" w:sz="4" w:space="0" w:color="17365D"/>
              <w:left w:val="nil"/>
              <w:bottom w:val="single" w:sz="4" w:space="0" w:color="17365D"/>
              <w:right w:val="nil"/>
            </w:tcBorders>
            <w:shd w:val="clear" w:color="auto" w:fill="auto"/>
            <w:noWrap/>
            <w:vAlign w:val="center"/>
          </w:tcPr>
          <w:p w14:paraId="1E0BC135" w14:textId="7A86A542" w:rsidR="000D258A" w:rsidRPr="00A27896" w:rsidRDefault="000D258A" w:rsidP="000D258A">
            <w:pPr>
              <w:spacing w:after="0" w:line="240" w:lineRule="auto"/>
              <w:jc w:val="right"/>
              <w:rPr>
                <w:rFonts w:cs="Times New Roman"/>
                <w:color w:val="17365D"/>
                <w:sz w:val="18"/>
                <w:szCs w:val="18"/>
              </w:rPr>
            </w:pPr>
            <w:r>
              <w:rPr>
                <w:color w:val="17365D"/>
                <w:sz w:val="18"/>
                <w:szCs w:val="18"/>
              </w:rPr>
              <w:t>60 188 711</w:t>
            </w:r>
          </w:p>
        </w:tc>
        <w:tc>
          <w:tcPr>
            <w:tcW w:w="1061" w:type="dxa"/>
            <w:tcBorders>
              <w:top w:val="single" w:sz="4" w:space="0" w:color="17365D"/>
              <w:left w:val="nil"/>
              <w:bottom w:val="single" w:sz="4" w:space="0" w:color="17365D"/>
              <w:right w:val="nil"/>
            </w:tcBorders>
            <w:shd w:val="clear" w:color="auto" w:fill="auto"/>
            <w:noWrap/>
            <w:vAlign w:val="center"/>
          </w:tcPr>
          <w:p w14:paraId="43FFC254" w14:textId="0D32A991" w:rsidR="000D258A" w:rsidRPr="00A27896" w:rsidRDefault="000D258A" w:rsidP="000D258A">
            <w:pPr>
              <w:spacing w:after="0" w:line="240" w:lineRule="auto"/>
              <w:jc w:val="right"/>
              <w:rPr>
                <w:rFonts w:cs="Times New Roman"/>
                <w:color w:val="17365D"/>
                <w:sz w:val="18"/>
                <w:szCs w:val="18"/>
              </w:rPr>
            </w:pPr>
            <w:r>
              <w:rPr>
                <w:color w:val="17365D"/>
                <w:sz w:val="18"/>
                <w:szCs w:val="18"/>
              </w:rPr>
              <w:t>8 803 800</w:t>
            </w:r>
          </w:p>
        </w:tc>
        <w:tc>
          <w:tcPr>
            <w:tcW w:w="1070" w:type="dxa"/>
            <w:tcBorders>
              <w:top w:val="single" w:sz="4" w:space="0" w:color="17365D"/>
              <w:left w:val="nil"/>
              <w:bottom w:val="single" w:sz="4" w:space="0" w:color="17365D"/>
              <w:right w:val="nil"/>
            </w:tcBorders>
            <w:shd w:val="clear" w:color="auto" w:fill="auto"/>
            <w:noWrap/>
            <w:vAlign w:val="center"/>
          </w:tcPr>
          <w:p w14:paraId="45CEF392" w14:textId="6EA7E300" w:rsidR="000D258A" w:rsidRPr="00A27896" w:rsidRDefault="000D258A" w:rsidP="000D258A">
            <w:pPr>
              <w:spacing w:after="0" w:line="240" w:lineRule="auto"/>
              <w:jc w:val="right"/>
              <w:rPr>
                <w:rFonts w:cs="Times New Roman"/>
                <w:color w:val="17365D"/>
                <w:sz w:val="18"/>
                <w:szCs w:val="18"/>
              </w:rPr>
            </w:pPr>
            <w:r>
              <w:rPr>
                <w:color w:val="17365D"/>
                <w:sz w:val="18"/>
                <w:szCs w:val="18"/>
              </w:rPr>
              <w:t>8 065 032</w:t>
            </w:r>
          </w:p>
        </w:tc>
        <w:tc>
          <w:tcPr>
            <w:tcW w:w="1063" w:type="dxa"/>
            <w:tcBorders>
              <w:top w:val="single" w:sz="4" w:space="0" w:color="17365D"/>
              <w:left w:val="nil"/>
              <w:bottom w:val="single" w:sz="4" w:space="0" w:color="17365D"/>
              <w:right w:val="nil"/>
            </w:tcBorders>
            <w:shd w:val="clear" w:color="auto" w:fill="auto"/>
            <w:noWrap/>
            <w:vAlign w:val="center"/>
          </w:tcPr>
          <w:p w14:paraId="2F6306D3" w14:textId="0B503902" w:rsidR="000D258A" w:rsidRPr="00A27896" w:rsidRDefault="000D258A" w:rsidP="000D258A">
            <w:pPr>
              <w:spacing w:after="0" w:line="240" w:lineRule="auto"/>
              <w:jc w:val="right"/>
              <w:rPr>
                <w:rFonts w:cs="Times New Roman"/>
                <w:color w:val="17365D"/>
                <w:sz w:val="18"/>
                <w:szCs w:val="18"/>
              </w:rPr>
            </w:pPr>
            <w:r>
              <w:rPr>
                <w:color w:val="17365D"/>
                <w:sz w:val="18"/>
                <w:szCs w:val="18"/>
              </w:rPr>
              <w:t>6 973 128</w:t>
            </w:r>
          </w:p>
        </w:tc>
      </w:tr>
      <w:tr w:rsidR="000D258A" w:rsidRPr="00A27896" w14:paraId="6C4A6895" w14:textId="77777777" w:rsidTr="007B6525">
        <w:trPr>
          <w:trHeight w:val="74"/>
        </w:trPr>
        <w:tc>
          <w:tcPr>
            <w:tcW w:w="2401" w:type="dxa"/>
            <w:tcBorders>
              <w:top w:val="single" w:sz="4" w:space="0" w:color="17365D"/>
              <w:left w:val="nil"/>
              <w:bottom w:val="single" w:sz="4" w:space="0" w:color="17365D"/>
              <w:right w:val="nil"/>
            </w:tcBorders>
            <w:shd w:val="clear" w:color="auto" w:fill="auto"/>
            <w:vAlign w:val="center"/>
            <w:hideMark/>
          </w:tcPr>
          <w:p w14:paraId="4BD562D6" w14:textId="22AE49F9" w:rsidR="000D258A" w:rsidRPr="00A27896" w:rsidRDefault="000D258A" w:rsidP="000D258A">
            <w:pPr>
              <w:spacing w:after="0" w:line="240" w:lineRule="auto"/>
              <w:rPr>
                <w:rFonts w:eastAsia="Times New Roman" w:cs="Times New Roman"/>
                <w:bCs/>
                <w:color w:val="17365D"/>
                <w:sz w:val="18"/>
                <w:szCs w:val="18"/>
                <w:lang w:eastAsia="lv-LV"/>
              </w:rPr>
            </w:pPr>
            <w:r w:rsidRPr="00A27896">
              <w:rPr>
                <w:rFonts w:cs="Times New Roman"/>
                <w:color w:val="17365D"/>
                <w:sz w:val="18"/>
                <w:szCs w:val="18"/>
              </w:rPr>
              <w:t>Turējumā nodotie ieguldījuma īpašumi</w:t>
            </w:r>
          </w:p>
        </w:tc>
        <w:tc>
          <w:tcPr>
            <w:tcW w:w="1276" w:type="dxa"/>
            <w:tcBorders>
              <w:top w:val="single" w:sz="4" w:space="0" w:color="17365D"/>
              <w:left w:val="nil"/>
              <w:bottom w:val="single" w:sz="4" w:space="0" w:color="17365D"/>
              <w:right w:val="nil"/>
            </w:tcBorders>
            <w:shd w:val="clear" w:color="auto" w:fill="auto"/>
            <w:vAlign w:val="center"/>
          </w:tcPr>
          <w:p w14:paraId="543D87E7" w14:textId="7F35C530" w:rsidR="000D258A" w:rsidRPr="00A27896" w:rsidRDefault="000D258A" w:rsidP="000D258A">
            <w:pPr>
              <w:spacing w:after="0" w:line="240" w:lineRule="auto"/>
              <w:jc w:val="right"/>
              <w:rPr>
                <w:rFonts w:cs="Times New Roman"/>
                <w:color w:val="17365D"/>
                <w:sz w:val="18"/>
                <w:szCs w:val="18"/>
              </w:rPr>
            </w:pPr>
            <w:r>
              <w:rPr>
                <w:color w:val="17365D"/>
                <w:sz w:val="18"/>
                <w:szCs w:val="18"/>
              </w:rPr>
              <w:t>4 832 502</w:t>
            </w:r>
          </w:p>
        </w:tc>
        <w:tc>
          <w:tcPr>
            <w:tcW w:w="1274" w:type="dxa"/>
            <w:tcBorders>
              <w:top w:val="single" w:sz="4" w:space="0" w:color="17365D"/>
              <w:left w:val="nil"/>
              <w:bottom w:val="single" w:sz="4" w:space="0" w:color="17365D"/>
              <w:right w:val="nil"/>
            </w:tcBorders>
            <w:shd w:val="clear" w:color="auto" w:fill="auto"/>
            <w:vAlign w:val="center"/>
          </w:tcPr>
          <w:p w14:paraId="579392CA" w14:textId="0149E9CE" w:rsidR="000D258A" w:rsidRPr="00A27896" w:rsidRDefault="000D258A" w:rsidP="000D258A">
            <w:pPr>
              <w:spacing w:after="0" w:line="240" w:lineRule="auto"/>
              <w:jc w:val="right"/>
              <w:rPr>
                <w:rFonts w:cs="Times New Roman"/>
                <w:color w:val="17365D"/>
                <w:sz w:val="18"/>
                <w:szCs w:val="18"/>
              </w:rPr>
            </w:pPr>
            <w:r>
              <w:rPr>
                <w:color w:val="17365D"/>
                <w:sz w:val="18"/>
                <w:szCs w:val="18"/>
              </w:rPr>
              <w:t>1 700 061</w:t>
            </w:r>
          </w:p>
        </w:tc>
        <w:tc>
          <w:tcPr>
            <w:tcW w:w="1209" w:type="dxa"/>
            <w:tcBorders>
              <w:top w:val="single" w:sz="4" w:space="0" w:color="17365D"/>
              <w:left w:val="nil"/>
              <w:bottom w:val="single" w:sz="4" w:space="0" w:color="17365D"/>
              <w:right w:val="nil"/>
            </w:tcBorders>
            <w:shd w:val="clear" w:color="auto" w:fill="auto"/>
            <w:noWrap/>
            <w:vAlign w:val="center"/>
          </w:tcPr>
          <w:p w14:paraId="53734279" w14:textId="5F044E72" w:rsidR="000D258A" w:rsidRPr="00A27896" w:rsidRDefault="000D258A" w:rsidP="000D258A">
            <w:pPr>
              <w:spacing w:after="0" w:line="240" w:lineRule="auto"/>
              <w:jc w:val="right"/>
              <w:rPr>
                <w:rFonts w:cs="Times New Roman"/>
                <w:color w:val="17365D"/>
                <w:sz w:val="18"/>
                <w:szCs w:val="18"/>
              </w:rPr>
            </w:pPr>
            <w:r>
              <w:rPr>
                <w:color w:val="17365D"/>
                <w:sz w:val="18"/>
                <w:szCs w:val="18"/>
              </w:rPr>
              <w:t>1 025 889</w:t>
            </w:r>
          </w:p>
        </w:tc>
        <w:tc>
          <w:tcPr>
            <w:tcW w:w="1061" w:type="dxa"/>
            <w:tcBorders>
              <w:top w:val="single" w:sz="4" w:space="0" w:color="17365D"/>
              <w:left w:val="nil"/>
              <w:bottom w:val="single" w:sz="4" w:space="0" w:color="17365D"/>
              <w:right w:val="nil"/>
            </w:tcBorders>
            <w:shd w:val="clear" w:color="auto" w:fill="auto"/>
            <w:noWrap/>
            <w:vAlign w:val="center"/>
          </w:tcPr>
          <w:p w14:paraId="07C9F5CD" w14:textId="63FB270E" w:rsidR="000D258A" w:rsidRPr="00A27896" w:rsidRDefault="000D258A" w:rsidP="000D258A">
            <w:pPr>
              <w:spacing w:after="0" w:line="240" w:lineRule="auto"/>
              <w:jc w:val="right"/>
              <w:rPr>
                <w:rFonts w:cs="Times New Roman"/>
                <w:color w:val="17365D"/>
                <w:sz w:val="18"/>
                <w:szCs w:val="18"/>
              </w:rPr>
            </w:pPr>
            <w:r>
              <w:rPr>
                <w:color w:val="17365D"/>
                <w:sz w:val="18"/>
                <w:szCs w:val="18"/>
              </w:rPr>
              <w:t>244 222</w:t>
            </w:r>
          </w:p>
        </w:tc>
        <w:tc>
          <w:tcPr>
            <w:tcW w:w="1070" w:type="dxa"/>
            <w:tcBorders>
              <w:top w:val="single" w:sz="4" w:space="0" w:color="17365D"/>
              <w:left w:val="nil"/>
              <w:bottom w:val="single" w:sz="4" w:space="0" w:color="17365D"/>
              <w:right w:val="nil"/>
            </w:tcBorders>
            <w:shd w:val="clear" w:color="auto" w:fill="auto"/>
            <w:noWrap/>
            <w:vAlign w:val="center"/>
          </w:tcPr>
          <w:p w14:paraId="69E764C7" w14:textId="3074F182" w:rsidR="000D258A" w:rsidRPr="00A27896" w:rsidRDefault="000D258A" w:rsidP="000D258A">
            <w:pPr>
              <w:spacing w:after="0" w:line="240" w:lineRule="auto"/>
              <w:jc w:val="right"/>
              <w:rPr>
                <w:rFonts w:cs="Times New Roman"/>
                <w:color w:val="17365D"/>
                <w:sz w:val="18"/>
                <w:szCs w:val="18"/>
              </w:rPr>
            </w:pPr>
            <w:r>
              <w:rPr>
                <w:color w:val="17365D"/>
                <w:sz w:val="18"/>
                <w:szCs w:val="18"/>
              </w:rPr>
              <w:t>208 022</w:t>
            </w:r>
          </w:p>
        </w:tc>
        <w:tc>
          <w:tcPr>
            <w:tcW w:w="1063" w:type="dxa"/>
            <w:tcBorders>
              <w:top w:val="single" w:sz="4" w:space="0" w:color="17365D"/>
              <w:left w:val="nil"/>
              <w:bottom w:val="single" w:sz="4" w:space="0" w:color="17365D"/>
              <w:right w:val="nil"/>
            </w:tcBorders>
            <w:shd w:val="clear" w:color="auto" w:fill="auto"/>
            <w:noWrap/>
            <w:vAlign w:val="center"/>
          </w:tcPr>
          <w:p w14:paraId="6D12260B" w14:textId="6FA9A032" w:rsidR="000D258A" w:rsidRPr="00A27896" w:rsidRDefault="000D258A" w:rsidP="000D258A">
            <w:pPr>
              <w:spacing w:after="0" w:line="240" w:lineRule="auto"/>
              <w:jc w:val="right"/>
              <w:rPr>
                <w:rFonts w:cs="Times New Roman"/>
                <w:color w:val="17365D"/>
                <w:sz w:val="18"/>
                <w:szCs w:val="18"/>
              </w:rPr>
            </w:pPr>
            <w:r>
              <w:rPr>
                <w:color w:val="17365D"/>
                <w:sz w:val="18"/>
                <w:szCs w:val="18"/>
              </w:rPr>
              <w:t>179 960</w:t>
            </w:r>
          </w:p>
        </w:tc>
      </w:tr>
      <w:tr w:rsidR="000D258A" w:rsidRPr="00A27896" w14:paraId="70DFC0E5" w14:textId="77777777" w:rsidTr="007B6525">
        <w:trPr>
          <w:trHeight w:val="417"/>
        </w:trPr>
        <w:tc>
          <w:tcPr>
            <w:tcW w:w="2401" w:type="dxa"/>
            <w:tcBorders>
              <w:top w:val="single" w:sz="4" w:space="0" w:color="17365D"/>
              <w:left w:val="nil"/>
              <w:bottom w:val="single" w:sz="4" w:space="0" w:color="17365D"/>
              <w:right w:val="nil"/>
            </w:tcBorders>
            <w:shd w:val="clear" w:color="auto" w:fill="auto"/>
            <w:vAlign w:val="center"/>
            <w:hideMark/>
          </w:tcPr>
          <w:p w14:paraId="7D9B0E3E" w14:textId="3772C1A2" w:rsidR="000D258A" w:rsidRPr="00A27896" w:rsidRDefault="000D258A" w:rsidP="000D258A">
            <w:pPr>
              <w:spacing w:after="0" w:line="240" w:lineRule="auto"/>
              <w:rPr>
                <w:rFonts w:eastAsia="Times New Roman" w:cs="Times New Roman"/>
                <w:bCs/>
                <w:color w:val="17365D"/>
                <w:sz w:val="18"/>
                <w:szCs w:val="18"/>
                <w:lang w:eastAsia="lv-LV"/>
              </w:rPr>
            </w:pPr>
            <w:r w:rsidRPr="00A27896">
              <w:rPr>
                <w:rFonts w:cs="Times New Roman"/>
                <w:color w:val="17365D"/>
                <w:sz w:val="18"/>
                <w:szCs w:val="18"/>
              </w:rPr>
              <w:lastRenderedPageBreak/>
              <w:t>Bioloģiskie aktīvi lauksaimnieciskajai darbībai</w:t>
            </w:r>
          </w:p>
        </w:tc>
        <w:tc>
          <w:tcPr>
            <w:tcW w:w="1276" w:type="dxa"/>
            <w:tcBorders>
              <w:top w:val="single" w:sz="4" w:space="0" w:color="17365D"/>
              <w:left w:val="nil"/>
              <w:bottom w:val="single" w:sz="4" w:space="0" w:color="17365D"/>
              <w:right w:val="nil"/>
            </w:tcBorders>
            <w:shd w:val="clear" w:color="auto" w:fill="auto"/>
            <w:vAlign w:val="center"/>
          </w:tcPr>
          <w:p w14:paraId="407E52F0" w14:textId="40B52EBF" w:rsidR="000D258A" w:rsidRPr="00A27896" w:rsidRDefault="000D258A" w:rsidP="000D258A">
            <w:pPr>
              <w:spacing w:after="0" w:line="240" w:lineRule="auto"/>
              <w:jc w:val="right"/>
              <w:rPr>
                <w:rFonts w:cs="Times New Roman"/>
                <w:color w:val="17365D"/>
                <w:sz w:val="18"/>
                <w:szCs w:val="18"/>
              </w:rPr>
            </w:pPr>
            <w:r>
              <w:rPr>
                <w:color w:val="17365D"/>
                <w:sz w:val="18"/>
                <w:szCs w:val="18"/>
              </w:rPr>
              <w:t>16 726</w:t>
            </w:r>
          </w:p>
        </w:tc>
        <w:tc>
          <w:tcPr>
            <w:tcW w:w="1274" w:type="dxa"/>
            <w:tcBorders>
              <w:top w:val="single" w:sz="4" w:space="0" w:color="17365D"/>
              <w:left w:val="nil"/>
              <w:bottom w:val="single" w:sz="4" w:space="0" w:color="17365D"/>
              <w:right w:val="nil"/>
            </w:tcBorders>
            <w:shd w:val="clear" w:color="auto" w:fill="auto"/>
            <w:vAlign w:val="center"/>
          </w:tcPr>
          <w:p w14:paraId="4940A91D" w14:textId="013199D4" w:rsidR="000D258A" w:rsidRPr="00A27896" w:rsidRDefault="000D258A" w:rsidP="000D258A">
            <w:pPr>
              <w:spacing w:after="0" w:line="240" w:lineRule="auto"/>
              <w:jc w:val="right"/>
              <w:rPr>
                <w:rFonts w:cs="Times New Roman"/>
                <w:color w:val="17365D"/>
                <w:sz w:val="18"/>
                <w:szCs w:val="18"/>
              </w:rPr>
            </w:pPr>
            <w:r>
              <w:rPr>
                <w:color w:val="17365D"/>
                <w:sz w:val="18"/>
                <w:szCs w:val="18"/>
              </w:rPr>
              <w:t>6 219</w:t>
            </w:r>
          </w:p>
        </w:tc>
        <w:tc>
          <w:tcPr>
            <w:tcW w:w="1209" w:type="dxa"/>
            <w:tcBorders>
              <w:top w:val="single" w:sz="4" w:space="0" w:color="17365D"/>
              <w:left w:val="nil"/>
              <w:bottom w:val="single" w:sz="4" w:space="0" w:color="17365D"/>
              <w:right w:val="nil"/>
            </w:tcBorders>
            <w:shd w:val="clear" w:color="auto" w:fill="auto"/>
            <w:noWrap/>
            <w:vAlign w:val="center"/>
          </w:tcPr>
          <w:p w14:paraId="50A494E7" w14:textId="4CCAC276" w:rsidR="000D258A" w:rsidRPr="00A27896" w:rsidRDefault="000D258A" w:rsidP="000D258A">
            <w:pPr>
              <w:spacing w:after="0" w:line="240" w:lineRule="auto"/>
              <w:jc w:val="right"/>
              <w:rPr>
                <w:rFonts w:cs="Times New Roman"/>
                <w:color w:val="17365D"/>
                <w:sz w:val="18"/>
                <w:szCs w:val="18"/>
              </w:rPr>
            </w:pPr>
            <w:r>
              <w:rPr>
                <w:color w:val="17365D"/>
                <w:sz w:val="18"/>
                <w:szCs w:val="18"/>
              </w:rPr>
              <w:t>3</w:t>
            </w:r>
            <w:r w:rsidR="0006157D">
              <w:rPr>
                <w:color w:val="17365D"/>
                <w:sz w:val="18"/>
                <w:szCs w:val="18"/>
              </w:rPr>
              <w:t> </w:t>
            </w:r>
            <w:r>
              <w:rPr>
                <w:color w:val="17365D"/>
                <w:sz w:val="18"/>
                <w:szCs w:val="18"/>
              </w:rPr>
              <w:t>113</w:t>
            </w:r>
          </w:p>
        </w:tc>
        <w:tc>
          <w:tcPr>
            <w:tcW w:w="1061" w:type="dxa"/>
            <w:tcBorders>
              <w:top w:val="single" w:sz="4" w:space="0" w:color="17365D"/>
              <w:left w:val="nil"/>
              <w:bottom w:val="single" w:sz="4" w:space="0" w:color="17365D"/>
              <w:right w:val="nil"/>
            </w:tcBorders>
            <w:shd w:val="clear" w:color="auto" w:fill="auto"/>
            <w:noWrap/>
            <w:vAlign w:val="center"/>
          </w:tcPr>
          <w:p w14:paraId="54F133D0" w14:textId="52A69A6E" w:rsidR="000D258A" w:rsidRPr="00A27896" w:rsidRDefault="000D258A" w:rsidP="000D258A">
            <w:pPr>
              <w:spacing w:after="0" w:line="240" w:lineRule="auto"/>
              <w:jc w:val="right"/>
              <w:rPr>
                <w:rFonts w:cs="Times New Roman"/>
                <w:color w:val="17365D"/>
                <w:sz w:val="18"/>
                <w:szCs w:val="18"/>
              </w:rPr>
            </w:pPr>
            <w:r>
              <w:rPr>
                <w:color w:val="17365D"/>
                <w:sz w:val="18"/>
                <w:szCs w:val="18"/>
              </w:rPr>
              <w:t>42</w:t>
            </w:r>
          </w:p>
        </w:tc>
        <w:tc>
          <w:tcPr>
            <w:tcW w:w="1070" w:type="dxa"/>
            <w:tcBorders>
              <w:top w:val="single" w:sz="4" w:space="0" w:color="17365D"/>
              <w:left w:val="nil"/>
              <w:bottom w:val="single" w:sz="4" w:space="0" w:color="17365D"/>
              <w:right w:val="nil"/>
            </w:tcBorders>
            <w:shd w:val="clear" w:color="auto" w:fill="auto"/>
            <w:noWrap/>
            <w:vAlign w:val="center"/>
          </w:tcPr>
          <w:p w14:paraId="445DA0DB" w14:textId="19AA7861" w:rsidR="000D258A" w:rsidRPr="00A27896" w:rsidRDefault="000D258A" w:rsidP="000D258A">
            <w:pPr>
              <w:spacing w:after="0" w:line="240" w:lineRule="auto"/>
              <w:jc w:val="right"/>
              <w:rPr>
                <w:rFonts w:cs="Times New Roman"/>
                <w:color w:val="17365D"/>
                <w:sz w:val="18"/>
                <w:szCs w:val="18"/>
              </w:rPr>
            </w:pPr>
            <w:r>
              <w:rPr>
                <w:color w:val="17365D"/>
                <w:sz w:val="18"/>
                <w:szCs w:val="18"/>
              </w:rPr>
              <w:t>42</w:t>
            </w:r>
          </w:p>
        </w:tc>
        <w:tc>
          <w:tcPr>
            <w:tcW w:w="1063" w:type="dxa"/>
            <w:tcBorders>
              <w:top w:val="single" w:sz="4" w:space="0" w:color="17365D"/>
              <w:left w:val="nil"/>
              <w:bottom w:val="single" w:sz="4" w:space="0" w:color="17365D"/>
              <w:right w:val="nil"/>
            </w:tcBorders>
            <w:shd w:val="clear" w:color="auto" w:fill="auto"/>
            <w:noWrap/>
            <w:vAlign w:val="center"/>
          </w:tcPr>
          <w:p w14:paraId="56F0D9C8" w14:textId="0C44F58A" w:rsidR="000D258A" w:rsidRPr="00A27896" w:rsidRDefault="000D258A" w:rsidP="000D258A">
            <w:pPr>
              <w:spacing w:after="0" w:line="240" w:lineRule="auto"/>
              <w:jc w:val="right"/>
              <w:rPr>
                <w:rFonts w:cs="Times New Roman"/>
                <w:color w:val="17365D"/>
                <w:sz w:val="18"/>
                <w:szCs w:val="18"/>
              </w:rPr>
            </w:pPr>
            <w:r>
              <w:rPr>
                <w:color w:val="17365D"/>
                <w:sz w:val="18"/>
                <w:szCs w:val="18"/>
              </w:rPr>
              <w:t>42</w:t>
            </w:r>
          </w:p>
        </w:tc>
      </w:tr>
      <w:tr w:rsidR="00A10ECB" w:rsidRPr="00A27896" w14:paraId="7A4650E9" w14:textId="77777777" w:rsidTr="007B6525">
        <w:trPr>
          <w:trHeight w:val="342"/>
        </w:trPr>
        <w:tc>
          <w:tcPr>
            <w:tcW w:w="2401" w:type="dxa"/>
            <w:tcBorders>
              <w:top w:val="single" w:sz="4" w:space="0" w:color="17365D"/>
              <w:left w:val="nil"/>
              <w:bottom w:val="single" w:sz="4" w:space="0" w:color="17365D"/>
              <w:right w:val="nil"/>
            </w:tcBorders>
            <w:shd w:val="clear" w:color="auto" w:fill="auto"/>
            <w:vAlign w:val="center"/>
            <w:hideMark/>
          </w:tcPr>
          <w:p w14:paraId="52F7F8F7" w14:textId="216EBD52" w:rsidR="00A10ECB" w:rsidRPr="00A27896" w:rsidRDefault="00A10ECB" w:rsidP="00A10ECB">
            <w:pPr>
              <w:spacing w:after="0" w:line="240" w:lineRule="auto"/>
              <w:rPr>
                <w:rFonts w:eastAsia="Times New Roman" w:cs="Times New Roman"/>
                <w:bCs/>
                <w:color w:val="17365D"/>
                <w:sz w:val="18"/>
                <w:szCs w:val="18"/>
                <w:lang w:eastAsia="lv-LV"/>
              </w:rPr>
            </w:pPr>
            <w:r w:rsidRPr="00A27896">
              <w:rPr>
                <w:rFonts w:cs="Times New Roman"/>
                <w:b/>
                <w:bCs/>
                <w:color w:val="17365D"/>
                <w:sz w:val="18"/>
                <w:szCs w:val="18"/>
              </w:rPr>
              <w:t>Apgrozāmie līdzekļi</w:t>
            </w:r>
          </w:p>
        </w:tc>
        <w:tc>
          <w:tcPr>
            <w:tcW w:w="1276" w:type="dxa"/>
            <w:tcBorders>
              <w:top w:val="single" w:sz="4" w:space="0" w:color="17365D"/>
              <w:left w:val="nil"/>
              <w:bottom w:val="single" w:sz="4" w:space="0" w:color="17365D"/>
              <w:right w:val="nil"/>
            </w:tcBorders>
            <w:shd w:val="clear" w:color="auto" w:fill="auto"/>
            <w:vAlign w:val="center"/>
          </w:tcPr>
          <w:p w14:paraId="0E170B9A" w14:textId="55DF3B53" w:rsidR="00A10ECB" w:rsidRPr="00A27896" w:rsidRDefault="00A10ECB" w:rsidP="00A10ECB">
            <w:pPr>
              <w:spacing w:after="0" w:line="240" w:lineRule="auto"/>
              <w:jc w:val="right"/>
              <w:rPr>
                <w:rFonts w:cs="Times New Roman"/>
                <w:b/>
                <w:bCs/>
                <w:color w:val="17365D"/>
                <w:sz w:val="18"/>
                <w:szCs w:val="18"/>
              </w:rPr>
            </w:pPr>
            <w:r>
              <w:rPr>
                <w:b/>
                <w:bCs/>
                <w:color w:val="17365D"/>
                <w:sz w:val="18"/>
                <w:szCs w:val="18"/>
              </w:rPr>
              <w:t>6 457</w:t>
            </w:r>
          </w:p>
        </w:tc>
        <w:tc>
          <w:tcPr>
            <w:tcW w:w="1274" w:type="dxa"/>
            <w:tcBorders>
              <w:top w:val="single" w:sz="4" w:space="0" w:color="17365D"/>
              <w:left w:val="nil"/>
              <w:bottom w:val="single" w:sz="4" w:space="0" w:color="17365D"/>
              <w:right w:val="nil"/>
            </w:tcBorders>
            <w:shd w:val="clear" w:color="auto" w:fill="auto"/>
            <w:vAlign w:val="center"/>
          </w:tcPr>
          <w:p w14:paraId="2524CDB1" w14:textId="6FF3C3A1" w:rsidR="00A10ECB" w:rsidRPr="00A27896" w:rsidRDefault="00A10ECB" w:rsidP="00A10ECB">
            <w:pPr>
              <w:spacing w:after="0" w:line="240" w:lineRule="auto"/>
              <w:jc w:val="right"/>
              <w:rPr>
                <w:rFonts w:cs="Times New Roman"/>
                <w:b/>
                <w:bCs/>
                <w:color w:val="17365D"/>
                <w:sz w:val="18"/>
                <w:szCs w:val="18"/>
              </w:rPr>
            </w:pPr>
            <w:r>
              <w:rPr>
                <w:b/>
                <w:bCs/>
                <w:color w:val="17365D"/>
                <w:sz w:val="18"/>
                <w:szCs w:val="18"/>
              </w:rPr>
              <w:t>6 369</w:t>
            </w:r>
          </w:p>
        </w:tc>
        <w:tc>
          <w:tcPr>
            <w:tcW w:w="1209" w:type="dxa"/>
            <w:tcBorders>
              <w:top w:val="single" w:sz="4" w:space="0" w:color="17365D"/>
              <w:left w:val="nil"/>
              <w:bottom w:val="single" w:sz="4" w:space="0" w:color="17365D"/>
              <w:right w:val="nil"/>
            </w:tcBorders>
            <w:shd w:val="clear" w:color="auto" w:fill="auto"/>
            <w:noWrap/>
            <w:vAlign w:val="center"/>
          </w:tcPr>
          <w:p w14:paraId="0FF3C25D" w14:textId="75A4E794" w:rsidR="00A10ECB" w:rsidRPr="00A27896" w:rsidRDefault="00A10ECB" w:rsidP="00A10ECB">
            <w:pPr>
              <w:spacing w:after="0" w:line="240" w:lineRule="auto"/>
              <w:jc w:val="right"/>
              <w:rPr>
                <w:rFonts w:cs="Times New Roman"/>
                <w:b/>
                <w:bCs/>
                <w:color w:val="17365D"/>
                <w:sz w:val="18"/>
                <w:szCs w:val="18"/>
              </w:rPr>
            </w:pPr>
            <w:r>
              <w:rPr>
                <w:b/>
                <w:bCs/>
                <w:color w:val="17365D"/>
                <w:sz w:val="18"/>
                <w:szCs w:val="18"/>
              </w:rPr>
              <w:t>239 277</w:t>
            </w:r>
          </w:p>
        </w:tc>
        <w:tc>
          <w:tcPr>
            <w:tcW w:w="1061" w:type="dxa"/>
            <w:tcBorders>
              <w:top w:val="single" w:sz="4" w:space="0" w:color="17365D"/>
              <w:left w:val="nil"/>
              <w:bottom w:val="single" w:sz="4" w:space="0" w:color="17365D"/>
              <w:right w:val="nil"/>
            </w:tcBorders>
            <w:shd w:val="clear" w:color="auto" w:fill="auto"/>
            <w:noWrap/>
            <w:vAlign w:val="center"/>
          </w:tcPr>
          <w:p w14:paraId="15743311" w14:textId="52550EC7" w:rsidR="00A10ECB" w:rsidRPr="00A27896" w:rsidRDefault="00A10ECB" w:rsidP="00A10ECB">
            <w:pPr>
              <w:spacing w:after="0" w:line="240" w:lineRule="auto"/>
              <w:jc w:val="right"/>
              <w:rPr>
                <w:rFonts w:cs="Times New Roman"/>
                <w:b/>
                <w:bCs/>
                <w:color w:val="17365D"/>
                <w:sz w:val="18"/>
                <w:szCs w:val="18"/>
              </w:rPr>
            </w:pPr>
            <w:r>
              <w:rPr>
                <w:b/>
                <w:bCs/>
                <w:color w:val="17365D"/>
                <w:sz w:val="18"/>
                <w:szCs w:val="18"/>
              </w:rPr>
              <w:t>75 414</w:t>
            </w:r>
          </w:p>
        </w:tc>
        <w:tc>
          <w:tcPr>
            <w:tcW w:w="1070" w:type="dxa"/>
            <w:tcBorders>
              <w:top w:val="single" w:sz="4" w:space="0" w:color="17365D"/>
              <w:left w:val="nil"/>
              <w:bottom w:val="single" w:sz="4" w:space="0" w:color="17365D"/>
              <w:right w:val="nil"/>
            </w:tcBorders>
            <w:shd w:val="clear" w:color="auto" w:fill="auto"/>
            <w:noWrap/>
            <w:vAlign w:val="center"/>
          </w:tcPr>
          <w:p w14:paraId="25D7DF61" w14:textId="2424C56E" w:rsidR="00A10ECB" w:rsidRPr="00A27896" w:rsidRDefault="00A10ECB" w:rsidP="00A10ECB">
            <w:pPr>
              <w:spacing w:after="0" w:line="240" w:lineRule="auto"/>
              <w:jc w:val="right"/>
              <w:rPr>
                <w:rFonts w:cs="Times New Roman"/>
                <w:b/>
                <w:bCs/>
                <w:color w:val="17365D"/>
                <w:sz w:val="18"/>
                <w:szCs w:val="18"/>
              </w:rPr>
            </w:pPr>
            <w:r>
              <w:rPr>
                <w:b/>
                <w:bCs/>
                <w:color w:val="17365D"/>
                <w:sz w:val="18"/>
                <w:szCs w:val="18"/>
              </w:rPr>
              <w:t>53 339</w:t>
            </w:r>
          </w:p>
        </w:tc>
        <w:tc>
          <w:tcPr>
            <w:tcW w:w="1063" w:type="dxa"/>
            <w:tcBorders>
              <w:top w:val="single" w:sz="4" w:space="0" w:color="17365D"/>
              <w:left w:val="nil"/>
              <w:bottom w:val="single" w:sz="4" w:space="0" w:color="17365D"/>
              <w:right w:val="nil"/>
            </w:tcBorders>
            <w:shd w:val="clear" w:color="auto" w:fill="auto"/>
            <w:noWrap/>
            <w:vAlign w:val="center"/>
          </w:tcPr>
          <w:p w14:paraId="65A15BA9" w14:textId="31B6DE56" w:rsidR="00A10ECB" w:rsidRPr="00A27896" w:rsidRDefault="00A10ECB" w:rsidP="00A10ECB">
            <w:pPr>
              <w:spacing w:after="0" w:line="240" w:lineRule="auto"/>
              <w:jc w:val="right"/>
              <w:rPr>
                <w:rFonts w:cs="Times New Roman"/>
                <w:b/>
                <w:bCs/>
                <w:color w:val="17365D"/>
                <w:sz w:val="18"/>
                <w:szCs w:val="18"/>
              </w:rPr>
            </w:pPr>
            <w:r>
              <w:rPr>
                <w:b/>
                <w:bCs/>
                <w:color w:val="17365D"/>
                <w:sz w:val="18"/>
                <w:szCs w:val="18"/>
              </w:rPr>
              <w:t>47 001</w:t>
            </w:r>
          </w:p>
        </w:tc>
      </w:tr>
      <w:tr w:rsidR="00A10ECB" w:rsidRPr="00A27896" w14:paraId="3CE33377" w14:textId="77777777" w:rsidTr="007B6525">
        <w:trPr>
          <w:trHeight w:val="191"/>
        </w:trPr>
        <w:tc>
          <w:tcPr>
            <w:tcW w:w="2401" w:type="dxa"/>
            <w:tcBorders>
              <w:top w:val="single" w:sz="4" w:space="0" w:color="17365D"/>
              <w:left w:val="nil"/>
              <w:bottom w:val="single" w:sz="4" w:space="0" w:color="17365D"/>
              <w:right w:val="nil"/>
            </w:tcBorders>
            <w:shd w:val="clear" w:color="auto" w:fill="auto"/>
            <w:vAlign w:val="center"/>
            <w:hideMark/>
          </w:tcPr>
          <w:p w14:paraId="769AF7C6" w14:textId="35EFE1C5" w:rsidR="00A10ECB" w:rsidRPr="00A27896" w:rsidRDefault="00A10ECB" w:rsidP="00A10ECB">
            <w:pPr>
              <w:spacing w:after="0" w:line="240" w:lineRule="auto"/>
              <w:rPr>
                <w:rFonts w:eastAsia="Times New Roman" w:cs="Times New Roman"/>
                <w:b/>
                <w:bCs/>
                <w:color w:val="17365D"/>
                <w:sz w:val="18"/>
                <w:szCs w:val="18"/>
                <w:lang w:eastAsia="lv-LV"/>
              </w:rPr>
            </w:pPr>
            <w:r w:rsidRPr="00A27896">
              <w:rPr>
                <w:rFonts w:cs="Times New Roman"/>
                <w:color w:val="17365D"/>
                <w:sz w:val="18"/>
                <w:szCs w:val="18"/>
              </w:rPr>
              <w:t>Inventārs</w:t>
            </w:r>
          </w:p>
        </w:tc>
        <w:tc>
          <w:tcPr>
            <w:tcW w:w="1276" w:type="dxa"/>
            <w:tcBorders>
              <w:top w:val="single" w:sz="4" w:space="0" w:color="17365D"/>
              <w:left w:val="nil"/>
              <w:bottom w:val="single" w:sz="4" w:space="0" w:color="17365D"/>
              <w:right w:val="nil"/>
            </w:tcBorders>
            <w:shd w:val="clear" w:color="auto" w:fill="auto"/>
            <w:vAlign w:val="center"/>
          </w:tcPr>
          <w:p w14:paraId="32204DF5" w14:textId="4F7C46C2" w:rsidR="00A10ECB" w:rsidRPr="00A27896" w:rsidRDefault="00A10ECB" w:rsidP="00A10ECB">
            <w:pPr>
              <w:spacing w:after="0" w:line="240" w:lineRule="auto"/>
              <w:jc w:val="right"/>
              <w:rPr>
                <w:rFonts w:cs="Times New Roman"/>
                <w:color w:val="17365D"/>
                <w:sz w:val="18"/>
                <w:szCs w:val="18"/>
              </w:rPr>
            </w:pPr>
            <w:r>
              <w:rPr>
                <w:color w:val="17365D"/>
                <w:sz w:val="18"/>
                <w:szCs w:val="18"/>
              </w:rPr>
              <w:t>6 457</w:t>
            </w:r>
          </w:p>
        </w:tc>
        <w:tc>
          <w:tcPr>
            <w:tcW w:w="1274" w:type="dxa"/>
            <w:tcBorders>
              <w:top w:val="single" w:sz="4" w:space="0" w:color="17365D"/>
              <w:left w:val="nil"/>
              <w:bottom w:val="single" w:sz="4" w:space="0" w:color="17365D"/>
              <w:right w:val="nil"/>
            </w:tcBorders>
            <w:shd w:val="clear" w:color="auto" w:fill="auto"/>
            <w:vAlign w:val="center"/>
          </w:tcPr>
          <w:p w14:paraId="1C5B808E" w14:textId="6DB35F2F" w:rsidR="00A10ECB" w:rsidRPr="00A27896" w:rsidRDefault="00A10ECB" w:rsidP="00A10ECB">
            <w:pPr>
              <w:spacing w:after="0" w:line="240" w:lineRule="auto"/>
              <w:jc w:val="right"/>
              <w:rPr>
                <w:rFonts w:cs="Times New Roman"/>
                <w:color w:val="17365D"/>
                <w:sz w:val="18"/>
                <w:szCs w:val="18"/>
              </w:rPr>
            </w:pPr>
            <w:r>
              <w:rPr>
                <w:color w:val="17365D"/>
                <w:sz w:val="18"/>
                <w:szCs w:val="18"/>
              </w:rPr>
              <w:t>6 369</w:t>
            </w:r>
          </w:p>
        </w:tc>
        <w:tc>
          <w:tcPr>
            <w:tcW w:w="1209" w:type="dxa"/>
            <w:tcBorders>
              <w:top w:val="single" w:sz="4" w:space="0" w:color="17365D"/>
              <w:left w:val="nil"/>
              <w:bottom w:val="single" w:sz="4" w:space="0" w:color="17365D"/>
              <w:right w:val="nil"/>
            </w:tcBorders>
            <w:shd w:val="clear" w:color="auto" w:fill="auto"/>
            <w:noWrap/>
            <w:vAlign w:val="center"/>
          </w:tcPr>
          <w:p w14:paraId="7D5F852C" w14:textId="15577EB2" w:rsidR="00A10ECB" w:rsidRPr="00A27896" w:rsidRDefault="00A10ECB" w:rsidP="00A10ECB">
            <w:pPr>
              <w:spacing w:after="0" w:line="240" w:lineRule="auto"/>
              <w:jc w:val="right"/>
              <w:rPr>
                <w:rFonts w:cs="Times New Roman"/>
                <w:color w:val="17365D"/>
                <w:sz w:val="18"/>
                <w:szCs w:val="18"/>
              </w:rPr>
            </w:pPr>
            <w:r>
              <w:rPr>
                <w:color w:val="17365D"/>
                <w:sz w:val="18"/>
                <w:szCs w:val="18"/>
              </w:rPr>
              <w:t>239 277</w:t>
            </w:r>
          </w:p>
        </w:tc>
        <w:tc>
          <w:tcPr>
            <w:tcW w:w="1061" w:type="dxa"/>
            <w:tcBorders>
              <w:top w:val="single" w:sz="4" w:space="0" w:color="17365D"/>
              <w:left w:val="nil"/>
              <w:bottom w:val="single" w:sz="4" w:space="0" w:color="17365D"/>
              <w:right w:val="nil"/>
            </w:tcBorders>
            <w:shd w:val="clear" w:color="auto" w:fill="auto"/>
            <w:noWrap/>
            <w:vAlign w:val="center"/>
          </w:tcPr>
          <w:p w14:paraId="5484F506" w14:textId="58A42670" w:rsidR="00A10ECB" w:rsidRPr="00A27896" w:rsidRDefault="00A10ECB" w:rsidP="00A10ECB">
            <w:pPr>
              <w:spacing w:after="0" w:line="240" w:lineRule="auto"/>
              <w:jc w:val="right"/>
              <w:rPr>
                <w:rFonts w:cs="Times New Roman"/>
                <w:color w:val="17365D"/>
                <w:sz w:val="18"/>
                <w:szCs w:val="18"/>
              </w:rPr>
            </w:pPr>
            <w:r>
              <w:rPr>
                <w:color w:val="17365D"/>
                <w:sz w:val="18"/>
                <w:szCs w:val="18"/>
              </w:rPr>
              <w:t>75 414</w:t>
            </w:r>
          </w:p>
        </w:tc>
        <w:tc>
          <w:tcPr>
            <w:tcW w:w="1070" w:type="dxa"/>
            <w:tcBorders>
              <w:top w:val="single" w:sz="4" w:space="0" w:color="17365D"/>
              <w:left w:val="nil"/>
              <w:bottom w:val="single" w:sz="4" w:space="0" w:color="17365D"/>
              <w:right w:val="nil"/>
            </w:tcBorders>
            <w:shd w:val="clear" w:color="auto" w:fill="auto"/>
            <w:noWrap/>
            <w:vAlign w:val="center"/>
          </w:tcPr>
          <w:p w14:paraId="0BB8D3C1" w14:textId="2C63843C" w:rsidR="00A10ECB" w:rsidRPr="00A27896" w:rsidRDefault="00A10ECB" w:rsidP="00A10ECB">
            <w:pPr>
              <w:spacing w:after="0" w:line="240" w:lineRule="auto"/>
              <w:jc w:val="right"/>
              <w:rPr>
                <w:rFonts w:cs="Times New Roman"/>
                <w:color w:val="17365D"/>
                <w:sz w:val="18"/>
                <w:szCs w:val="18"/>
              </w:rPr>
            </w:pPr>
            <w:r>
              <w:rPr>
                <w:color w:val="17365D"/>
                <w:sz w:val="18"/>
                <w:szCs w:val="18"/>
              </w:rPr>
              <w:t>53 339</w:t>
            </w:r>
          </w:p>
        </w:tc>
        <w:tc>
          <w:tcPr>
            <w:tcW w:w="1063" w:type="dxa"/>
            <w:tcBorders>
              <w:top w:val="single" w:sz="4" w:space="0" w:color="17365D"/>
              <w:left w:val="nil"/>
              <w:bottom w:val="single" w:sz="4" w:space="0" w:color="17365D"/>
              <w:right w:val="nil"/>
            </w:tcBorders>
            <w:shd w:val="clear" w:color="auto" w:fill="auto"/>
            <w:noWrap/>
            <w:vAlign w:val="center"/>
          </w:tcPr>
          <w:p w14:paraId="4CA04E28" w14:textId="00D4BAB5" w:rsidR="00A10ECB" w:rsidRPr="00A27896" w:rsidRDefault="00A10ECB" w:rsidP="00A10ECB">
            <w:pPr>
              <w:spacing w:after="0" w:line="240" w:lineRule="auto"/>
              <w:jc w:val="right"/>
              <w:rPr>
                <w:rFonts w:cs="Times New Roman"/>
                <w:color w:val="17365D"/>
                <w:sz w:val="18"/>
                <w:szCs w:val="18"/>
              </w:rPr>
            </w:pPr>
            <w:r>
              <w:rPr>
                <w:color w:val="17365D"/>
                <w:sz w:val="18"/>
                <w:szCs w:val="18"/>
              </w:rPr>
              <w:t>47 001</w:t>
            </w:r>
          </w:p>
        </w:tc>
      </w:tr>
      <w:tr w:rsidR="000C1009" w:rsidRPr="00A27896" w14:paraId="72D8044D" w14:textId="77777777" w:rsidTr="007B6525">
        <w:trPr>
          <w:trHeight w:val="182"/>
        </w:trPr>
        <w:tc>
          <w:tcPr>
            <w:tcW w:w="2401" w:type="dxa"/>
            <w:tcBorders>
              <w:top w:val="single" w:sz="4" w:space="0" w:color="17365D"/>
            </w:tcBorders>
            <w:shd w:val="clear" w:color="000000" w:fill="B9CDE5"/>
            <w:vAlign w:val="center"/>
            <w:hideMark/>
          </w:tcPr>
          <w:p w14:paraId="3A60718C" w14:textId="77777777" w:rsidR="007276AD" w:rsidRPr="00A27896" w:rsidRDefault="007276AD" w:rsidP="007276AD">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76" w:type="dxa"/>
            <w:tcBorders>
              <w:top w:val="single" w:sz="4" w:space="0" w:color="17365D"/>
            </w:tcBorders>
            <w:shd w:val="clear" w:color="000000" w:fill="B9CDE5"/>
            <w:noWrap/>
            <w:vAlign w:val="center"/>
            <w:hideMark/>
          </w:tcPr>
          <w:p w14:paraId="20F0CE25" w14:textId="77777777" w:rsidR="007276AD" w:rsidRPr="00A27896" w:rsidRDefault="007276A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74" w:type="dxa"/>
            <w:tcBorders>
              <w:top w:val="single" w:sz="4" w:space="0" w:color="17365D"/>
            </w:tcBorders>
            <w:shd w:val="clear" w:color="000000" w:fill="B9CDE5"/>
            <w:noWrap/>
            <w:vAlign w:val="center"/>
            <w:hideMark/>
          </w:tcPr>
          <w:p w14:paraId="51212374" w14:textId="77777777" w:rsidR="007276AD" w:rsidRPr="00A27896" w:rsidRDefault="007276A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09" w:type="dxa"/>
            <w:tcBorders>
              <w:top w:val="single" w:sz="4" w:space="0" w:color="17365D"/>
            </w:tcBorders>
            <w:shd w:val="clear" w:color="000000" w:fill="B9CDE5"/>
            <w:noWrap/>
            <w:vAlign w:val="center"/>
            <w:hideMark/>
          </w:tcPr>
          <w:p w14:paraId="7F59F3F3" w14:textId="77777777" w:rsidR="007276AD" w:rsidRPr="00A27896" w:rsidRDefault="007276A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61" w:type="dxa"/>
            <w:tcBorders>
              <w:top w:val="single" w:sz="4" w:space="0" w:color="17365D"/>
            </w:tcBorders>
            <w:shd w:val="clear" w:color="000000" w:fill="B9CDE5"/>
            <w:noWrap/>
            <w:vAlign w:val="center"/>
            <w:hideMark/>
          </w:tcPr>
          <w:p w14:paraId="38F0B72D" w14:textId="77777777" w:rsidR="007276AD" w:rsidRPr="00A27896" w:rsidRDefault="007276A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70" w:type="dxa"/>
            <w:tcBorders>
              <w:top w:val="single" w:sz="4" w:space="0" w:color="17365D"/>
            </w:tcBorders>
            <w:shd w:val="clear" w:color="000000" w:fill="B9CDE5"/>
            <w:noWrap/>
            <w:vAlign w:val="center"/>
            <w:hideMark/>
          </w:tcPr>
          <w:p w14:paraId="05B0039B" w14:textId="77777777" w:rsidR="007276AD" w:rsidRPr="00A27896" w:rsidRDefault="007276A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63" w:type="dxa"/>
            <w:tcBorders>
              <w:top w:val="single" w:sz="4" w:space="0" w:color="17365D"/>
            </w:tcBorders>
            <w:shd w:val="clear" w:color="000000" w:fill="B9CDE5"/>
            <w:noWrap/>
            <w:vAlign w:val="center"/>
            <w:hideMark/>
          </w:tcPr>
          <w:p w14:paraId="4C870502" w14:textId="77777777" w:rsidR="007276AD" w:rsidRPr="00A27896" w:rsidRDefault="007276AD" w:rsidP="001D1A6D">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01F588DD" w14:textId="783681CB" w:rsidR="007B7D77" w:rsidRPr="00A27896" w:rsidRDefault="007B7D77" w:rsidP="001A60F1">
      <w:pPr>
        <w:pStyle w:val="Heading5"/>
        <w:rPr>
          <w:rFonts w:cs="Times New Roman"/>
        </w:rPr>
      </w:pPr>
      <w:r w:rsidRPr="00A27896">
        <w:rPr>
          <w:rFonts w:cs="Times New Roman"/>
        </w:rPr>
        <w:t>Piezīme</w:t>
      </w:r>
      <w:r w:rsidR="00AC754B" w:rsidRPr="00A27896">
        <w:rPr>
          <w:rFonts w:cs="Times New Roman"/>
        </w:rPr>
        <w:t xml:space="preserve"> Nr.</w:t>
      </w:r>
      <w:r w:rsidRPr="00A27896">
        <w:rPr>
          <w:rFonts w:cs="Times New Roman"/>
        </w:rPr>
        <w:t xml:space="preserve"> V4. Informācija par operatīvajā nomā saņemtajiem aktīviem un veicamajiem maksājumiem</w:t>
      </w:r>
    </w:p>
    <w:p w14:paraId="065290E4" w14:textId="67720C32" w:rsidR="004071BD" w:rsidRPr="00A27896" w:rsidRDefault="004071BD" w:rsidP="004071BD">
      <w:pPr>
        <w:tabs>
          <w:tab w:val="left" w:pos="284"/>
        </w:tabs>
        <w:spacing w:after="0" w:line="240" w:lineRule="auto"/>
        <w:jc w:val="both"/>
        <w:rPr>
          <w:rFonts w:cs="Times New Roman"/>
          <w:color w:val="17365D"/>
          <w:szCs w:val="24"/>
        </w:rPr>
      </w:pPr>
      <w:r w:rsidRPr="00A27896">
        <w:rPr>
          <w:rFonts w:cs="Times New Roman"/>
          <w:color w:val="17365D"/>
          <w:szCs w:val="24"/>
        </w:rPr>
        <w:tab/>
        <w:t xml:space="preserve">Saskaņā ar ministriju, centrālo valsts iestāžu un pašvaldību sniegto informāciju par operatīvajā nomā saņemtajiem aktīviem pārskata periodā atzītie izdevumi ir </w:t>
      </w:r>
      <w:r w:rsidR="00FD2772" w:rsidRPr="00FD2772">
        <w:rPr>
          <w:rFonts w:cs="Times New Roman"/>
          <w:color w:val="17365D"/>
          <w:szCs w:val="24"/>
        </w:rPr>
        <w:t>82 619 605 </w:t>
      </w:r>
      <w:r w:rsidRPr="00A27896">
        <w:rPr>
          <w:rFonts w:cs="Times New Roman"/>
          <w:i/>
          <w:color w:val="17365D"/>
          <w:szCs w:val="24"/>
        </w:rPr>
        <w:t>euro</w:t>
      </w:r>
      <w:r w:rsidRPr="00A27896">
        <w:rPr>
          <w:rFonts w:cs="Times New Roman"/>
          <w:color w:val="17365D"/>
          <w:szCs w:val="24"/>
        </w:rPr>
        <w:t xml:space="preserve"> vērtībā un pārskata perioda beigās neatceļamās nomas maksājumi</w:t>
      </w:r>
      <w:r w:rsidR="00C54D00" w:rsidRPr="00A27896">
        <w:rPr>
          <w:rFonts w:cs="Times New Roman"/>
          <w:color w:val="17365D"/>
          <w:szCs w:val="24"/>
        </w:rPr>
        <w:t xml:space="preserve"> ir</w:t>
      </w:r>
      <w:r w:rsidR="00D50D19" w:rsidRPr="00A27896">
        <w:rPr>
          <w:rFonts w:cs="Times New Roman"/>
          <w:color w:val="17365D"/>
          <w:szCs w:val="24"/>
        </w:rPr>
        <w:t xml:space="preserve"> </w:t>
      </w:r>
      <w:r w:rsidR="000D258A">
        <w:rPr>
          <w:rFonts w:cs="Times New Roman"/>
          <w:color w:val="17365D"/>
          <w:szCs w:val="24"/>
        </w:rPr>
        <w:t>9 541 </w:t>
      </w:r>
      <w:r w:rsidR="00FD2772" w:rsidRPr="00FD2772">
        <w:rPr>
          <w:rFonts w:cs="Times New Roman"/>
          <w:color w:val="17365D"/>
          <w:szCs w:val="24"/>
        </w:rPr>
        <w:t xml:space="preserve">697 </w:t>
      </w:r>
      <w:r w:rsidRPr="00A27896">
        <w:rPr>
          <w:rFonts w:cs="Times New Roman"/>
          <w:i/>
          <w:color w:val="17365D"/>
          <w:szCs w:val="24"/>
        </w:rPr>
        <w:t>euro</w:t>
      </w:r>
      <w:r w:rsidRPr="00A27896">
        <w:rPr>
          <w:rFonts w:cs="Times New Roman"/>
          <w:color w:val="17365D"/>
          <w:szCs w:val="24"/>
        </w:rPr>
        <w:t xml:space="preserve"> vērtībā, to sadalījums pa aktīvu bilances posteņiem un nākotnes maksājumiem norādīt</w:t>
      </w:r>
      <w:r w:rsidR="00D25B42" w:rsidRPr="00A27896">
        <w:rPr>
          <w:rFonts w:cs="Times New Roman"/>
          <w:color w:val="17365D"/>
          <w:szCs w:val="24"/>
        </w:rPr>
        <w:t>s</w:t>
      </w:r>
      <w:r w:rsidRPr="00A27896">
        <w:rPr>
          <w:rFonts w:cs="Times New Roman"/>
          <w:color w:val="17365D"/>
          <w:szCs w:val="24"/>
        </w:rPr>
        <w:t xml:space="preserve"> </w:t>
      </w:r>
      <w:r w:rsidR="001231AF">
        <w:rPr>
          <w:rFonts w:cs="Times New Roman"/>
          <w:color w:val="17365D"/>
          <w:szCs w:val="24"/>
        </w:rPr>
        <w:t>1.</w:t>
      </w:r>
      <w:r w:rsidR="000229AE" w:rsidRPr="00A27896">
        <w:rPr>
          <w:rFonts w:cs="Times New Roman"/>
          <w:color w:val="17365D"/>
          <w:szCs w:val="24"/>
        </w:rPr>
        <w:t>28</w:t>
      </w:r>
      <w:r w:rsidRPr="00A27896">
        <w:rPr>
          <w:rFonts w:cs="Times New Roman"/>
          <w:color w:val="17365D"/>
          <w:szCs w:val="24"/>
        </w:rPr>
        <w:t>.tabulā:</w:t>
      </w:r>
    </w:p>
    <w:p w14:paraId="5E2C9F60" w14:textId="5B1B4028" w:rsidR="003877C0" w:rsidRPr="00A27896" w:rsidRDefault="001231AF" w:rsidP="004071BD">
      <w:pPr>
        <w:pStyle w:val="Tabulasnosaukums1"/>
        <w:spacing w:before="120" w:line="240" w:lineRule="auto"/>
        <w:rPr>
          <w:rFonts w:cs="Times New Roman"/>
          <w:i/>
          <w:color w:val="17365D"/>
          <w:szCs w:val="22"/>
        </w:rPr>
      </w:pPr>
      <w:r>
        <w:rPr>
          <w:rFonts w:cs="Times New Roman"/>
          <w:i/>
          <w:color w:val="17365D"/>
          <w:szCs w:val="22"/>
        </w:rPr>
        <w:t>1.</w:t>
      </w:r>
      <w:r w:rsidR="000229AE" w:rsidRPr="000D258A">
        <w:rPr>
          <w:rFonts w:cs="Times New Roman"/>
          <w:i/>
          <w:color w:val="17365D"/>
          <w:szCs w:val="22"/>
        </w:rPr>
        <w:t>28</w:t>
      </w:r>
      <w:r w:rsidR="00743E0E" w:rsidRPr="000D258A">
        <w:rPr>
          <w:rFonts w:cs="Times New Roman"/>
          <w:i/>
          <w:color w:val="17365D"/>
          <w:szCs w:val="22"/>
        </w:rPr>
        <w:t>. t</w:t>
      </w:r>
      <w:r w:rsidR="006F7CBB" w:rsidRPr="000D258A">
        <w:rPr>
          <w:rFonts w:cs="Times New Roman"/>
          <w:i/>
          <w:color w:val="17365D"/>
          <w:szCs w:val="22"/>
        </w:rPr>
        <w:t>abula</w:t>
      </w:r>
      <w:r w:rsidR="003877C0" w:rsidRPr="000D258A">
        <w:rPr>
          <w:rFonts w:cs="Times New Roman"/>
          <w:i/>
          <w:color w:val="17365D"/>
          <w:szCs w:val="22"/>
        </w:rPr>
        <w:t>.</w:t>
      </w:r>
      <w:r w:rsidR="006F7CBB" w:rsidRPr="00D62E90">
        <w:rPr>
          <w:rFonts w:cs="Times New Roman"/>
          <w:i/>
          <w:color w:val="17365D"/>
          <w:szCs w:val="22"/>
        </w:rPr>
        <w:t xml:space="preserve"> Informācija</w:t>
      </w:r>
      <w:r w:rsidR="006F7CBB" w:rsidRPr="00A27896">
        <w:rPr>
          <w:rFonts w:cs="Times New Roman"/>
          <w:i/>
          <w:color w:val="17365D"/>
          <w:szCs w:val="22"/>
        </w:rPr>
        <w:t xml:space="preserve"> par operatīvajā nomā saņemtajiem </w:t>
      </w:r>
    </w:p>
    <w:p w14:paraId="3A935AE4" w14:textId="757C7F9B" w:rsidR="006F7CBB" w:rsidRPr="00A27896" w:rsidRDefault="006F7CBB" w:rsidP="003877C0">
      <w:pPr>
        <w:pStyle w:val="Tabulasnosaukums1"/>
        <w:spacing w:before="0" w:line="240" w:lineRule="auto"/>
        <w:rPr>
          <w:rFonts w:cs="Times New Roman"/>
          <w:color w:val="17365D"/>
        </w:rPr>
      </w:pPr>
      <w:r w:rsidRPr="00A27896">
        <w:rPr>
          <w:rFonts w:cs="Times New Roman"/>
          <w:i/>
          <w:color w:val="17365D"/>
          <w:szCs w:val="22"/>
        </w:rPr>
        <w:t>aktīviem un veicamajiem maksājumiem (euro)</w:t>
      </w:r>
    </w:p>
    <w:tbl>
      <w:tblPr>
        <w:tblW w:w="9356"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942"/>
        <w:gridCol w:w="1296"/>
        <w:gridCol w:w="1340"/>
        <w:gridCol w:w="1036"/>
        <w:gridCol w:w="1134"/>
        <w:gridCol w:w="1474"/>
        <w:gridCol w:w="1134"/>
      </w:tblGrid>
      <w:tr w:rsidR="000C1009" w:rsidRPr="00A27896" w14:paraId="54FC1BD5" w14:textId="77777777" w:rsidTr="000E5114">
        <w:trPr>
          <w:trHeight w:val="465"/>
          <w:tblHeader/>
        </w:trPr>
        <w:tc>
          <w:tcPr>
            <w:tcW w:w="1942" w:type="dxa"/>
            <w:vMerge w:val="restart"/>
            <w:tcBorders>
              <w:top w:val="nil"/>
            </w:tcBorders>
            <w:shd w:val="clear" w:color="000000" w:fill="B9CDE5"/>
            <w:vAlign w:val="center"/>
            <w:hideMark/>
          </w:tcPr>
          <w:p w14:paraId="488478BD"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Kontu grupa</w:t>
            </w:r>
          </w:p>
        </w:tc>
        <w:tc>
          <w:tcPr>
            <w:tcW w:w="1296" w:type="dxa"/>
            <w:vMerge w:val="restart"/>
            <w:tcBorders>
              <w:top w:val="nil"/>
            </w:tcBorders>
            <w:shd w:val="clear" w:color="000000" w:fill="B9CDE5"/>
            <w:vAlign w:val="center"/>
            <w:hideMark/>
          </w:tcPr>
          <w:p w14:paraId="1D18C819"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periodā atzītie izdevumi par nomu</w:t>
            </w:r>
          </w:p>
        </w:tc>
        <w:tc>
          <w:tcPr>
            <w:tcW w:w="4984" w:type="dxa"/>
            <w:gridSpan w:val="4"/>
            <w:tcBorders>
              <w:top w:val="nil"/>
              <w:bottom w:val="single" w:sz="4" w:space="0" w:color="auto"/>
            </w:tcBorders>
            <w:shd w:val="clear" w:color="000000" w:fill="B9CDE5"/>
            <w:vAlign w:val="center"/>
            <w:hideMark/>
          </w:tcPr>
          <w:p w14:paraId="5AC12DF6"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Neatceļamās nomas maksājumi</w:t>
            </w:r>
          </w:p>
        </w:tc>
        <w:tc>
          <w:tcPr>
            <w:tcW w:w="1134" w:type="dxa"/>
            <w:vMerge w:val="restart"/>
            <w:tcBorders>
              <w:top w:val="nil"/>
            </w:tcBorders>
            <w:shd w:val="clear" w:color="000000" w:fill="B9CDE5"/>
            <w:vAlign w:val="center"/>
            <w:hideMark/>
          </w:tcPr>
          <w:p w14:paraId="400D3020" w14:textId="77777777" w:rsidR="006F7CBB" w:rsidRPr="00A27896" w:rsidRDefault="006F7CBB" w:rsidP="006F7CBB">
            <w:pPr>
              <w:spacing w:after="0" w:line="240" w:lineRule="auto"/>
              <w:jc w:val="center"/>
              <w:rPr>
                <w:rFonts w:eastAsia="Times New Roman" w:cs="Times New Roman"/>
                <w:b/>
                <w:bCs/>
                <w:color w:val="17365D"/>
                <w:sz w:val="18"/>
                <w:szCs w:val="18"/>
                <w:highlight w:val="yellow"/>
                <w:lang w:eastAsia="lv-LV"/>
              </w:rPr>
            </w:pPr>
            <w:r w:rsidRPr="00A27896">
              <w:rPr>
                <w:rFonts w:eastAsia="Times New Roman" w:cs="Times New Roman"/>
                <w:b/>
                <w:bCs/>
                <w:color w:val="17365D"/>
                <w:sz w:val="18"/>
                <w:szCs w:val="18"/>
                <w:lang w:eastAsia="lv-LV"/>
              </w:rPr>
              <w:t>Neatceļamā apakšnoma (ieņēmumi)</w:t>
            </w:r>
          </w:p>
        </w:tc>
      </w:tr>
      <w:tr w:rsidR="000C1009" w:rsidRPr="00A27896" w14:paraId="08E81016" w14:textId="77777777" w:rsidTr="000E5114">
        <w:trPr>
          <w:trHeight w:val="425"/>
          <w:tblHeader/>
        </w:trPr>
        <w:tc>
          <w:tcPr>
            <w:tcW w:w="1942" w:type="dxa"/>
            <w:vMerge/>
            <w:tcBorders>
              <w:bottom w:val="single" w:sz="4" w:space="0" w:color="17365D"/>
            </w:tcBorders>
            <w:vAlign w:val="center"/>
            <w:hideMark/>
          </w:tcPr>
          <w:p w14:paraId="66C49CE8" w14:textId="77777777" w:rsidR="006F7CBB" w:rsidRPr="00A27896" w:rsidRDefault="006F7CBB" w:rsidP="006F7CBB">
            <w:pPr>
              <w:spacing w:after="0" w:line="240" w:lineRule="auto"/>
              <w:rPr>
                <w:rFonts w:eastAsia="Times New Roman" w:cs="Times New Roman"/>
                <w:b/>
                <w:bCs/>
                <w:color w:val="17365D"/>
                <w:sz w:val="18"/>
                <w:szCs w:val="18"/>
                <w:lang w:eastAsia="lv-LV"/>
              </w:rPr>
            </w:pPr>
          </w:p>
        </w:tc>
        <w:tc>
          <w:tcPr>
            <w:tcW w:w="1296" w:type="dxa"/>
            <w:vMerge/>
            <w:tcBorders>
              <w:bottom w:val="single" w:sz="4" w:space="0" w:color="17365D"/>
            </w:tcBorders>
            <w:vAlign w:val="center"/>
            <w:hideMark/>
          </w:tcPr>
          <w:p w14:paraId="1FC46B04" w14:textId="77777777" w:rsidR="006F7CBB" w:rsidRPr="00A27896" w:rsidRDefault="006F7CBB" w:rsidP="006F7CBB">
            <w:pPr>
              <w:spacing w:after="0" w:line="240" w:lineRule="auto"/>
              <w:rPr>
                <w:rFonts w:eastAsia="Times New Roman" w:cs="Times New Roman"/>
                <w:b/>
                <w:bCs/>
                <w:color w:val="17365D"/>
                <w:sz w:val="18"/>
                <w:szCs w:val="18"/>
                <w:lang w:eastAsia="lv-LV"/>
              </w:rPr>
            </w:pPr>
          </w:p>
        </w:tc>
        <w:tc>
          <w:tcPr>
            <w:tcW w:w="1340" w:type="dxa"/>
            <w:tcBorders>
              <w:bottom w:val="single" w:sz="4" w:space="0" w:color="auto"/>
            </w:tcBorders>
            <w:shd w:val="clear" w:color="000000" w:fill="B9CDE5"/>
            <w:vAlign w:val="center"/>
            <w:hideMark/>
          </w:tcPr>
          <w:p w14:paraId="4D4A4029"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036" w:type="dxa"/>
            <w:tcBorders>
              <w:bottom w:val="single" w:sz="4" w:space="0" w:color="auto"/>
            </w:tcBorders>
            <w:shd w:val="clear" w:color="000000" w:fill="B9CDE5"/>
            <w:vAlign w:val="center"/>
            <w:hideMark/>
          </w:tcPr>
          <w:p w14:paraId="348C3837" w14:textId="1781DE7A" w:rsidR="006F7CBB" w:rsidRPr="00A27896" w:rsidRDefault="004071BD" w:rsidP="001D1A6D">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FD2772">
              <w:rPr>
                <w:rFonts w:eastAsia="Times New Roman" w:cs="Times New Roman"/>
                <w:b/>
                <w:bCs/>
                <w:color w:val="17365D"/>
                <w:sz w:val="18"/>
                <w:szCs w:val="18"/>
                <w:lang w:eastAsia="lv-LV"/>
              </w:rPr>
              <w:t>4</w:t>
            </w:r>
          </w:p>
        </w:tc>
        <w:tc>
          <w:tcPr>
            <w:tcW w:w="1134" w:type="dxa"/>
            <w:tcBorders>
              <w:bottom w:val="single" w:sz="4" w:space="0" w:color="auto"/>
            </w:tcBorders>
            <w:shd w:val="clear" w:color="000000" w:fill="B9CDE5"/>
            <w:vAlign w:val="center"/>
            <w:hideMark/>
          </w:tcPr>
          <w:p w14:paraId="02556F39" w14:textId="3DC31D44" w:rsidR="006F7CBB" w:rsidRPr="00A27896" w:rsidRDefault="004071BD" w:rsidP="001D1A6D">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FD2772">
              <w:rPr>
                <w:rFonts w:eastAsia="Times New Roman" w:cs="Times New Roman"/>
                <w:b/>
                <w:bCs/>
                <w:color w:val="17365D"/>
                <w:sz w:val="18"/>
                <w:szCs w:val="18"/>
                <w:lang w:eastAsia="lv-LV"/>
              </w:rPr>
              <w:t>5</w:t>
            </w:r>
          </w:p>
        </w:tc>
        <w:tc>
          <w:tcPr>
            <w:tcW w:w="1474" w:type="dxa"/>
            <w:tcBorders>
              <w:bottom w:val="single" w:sz="4" w:space="0" w:color="auto"/>
            </w:tcBorders>
            <w:shd w:val="clear" w:color="000000" w:fill="B9CDE5"/>
            <w:vAlign w:val="center"/>
            <w:hideMark/>
          </w:tcPr>
          <w:p w14:paraId="22989DFF" w14:textId="5BDB70DA" w:rsidR="006F7CBB" w:rsidRPr="00A27896" w:rsidRDefault="004071BD" w:rsidP="001D1A6D">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FD2772">
              <w:rPr>
                <w:rFonts w:eastAsia="Times New Roman" w:cs="Times New Roman"/>
                <w:b/>
                <w:bCs/>
                <w:color w:val="17365D"/>
                <w:sz w:val="18"/>
                <w:szCs w:val="18"/>
                <w:lang w:eastAsia="lv-LV"/>
              </w:rPr>
              <w:t>6</w:t>
            </w:r>
          </w:p>
        </w:tc>
        <w:tc>
          <w:tcPr>
            <w:tcW w:w="1134" w:type="dxa"/>
            <w:vMerge/>
            <w:tcBorders>
              <w:bottom w:val="single" w:sz="4" w:space="0" w:color="17365D"/>
            </w:tcBorders>
            <w:vAlign w:val="center"/>
            <w:hideMark/>
          </w:tcPr>
          <w:p w14:paraId="53F213A2" w14:textId="77777777" w:rsidR="006F7CBB" w:rsidRPr="00A27896" w:rsidRDefault="006F7CBB" w:rsidP="006F7CBB">
            <w:pPr>
              <w:spacing w:after="0" w:line="240" w:lineRule="auto"/>
              <w:rPr>
                <w:rFonts w:eastAsia="Times New Roman" w:cs="Times New Roman"/>
                <w:b/>
                <w:bCs/>
                <w:color w:val="17365D"/>
                <w:sz w:val="18"/>
                <w:szCs w:val="18"/>
                <w:highlight w:val="yellow"/>
                <w:lang w:eastAsia="lv-LV"/>
              </w:rPr>
            </w:pPr>
          </w:p>
        </w:tc>
      </w:tr>
      <w:tr w:rsidR="000C1009" w:rsidRPr="00A27896" w14:paraId="12A27C1A" w14:textId="77777777" w:rsidTr="001231AF">
        <w:trPr>
          <w:trHeight w:val="64"/>
          <w:tblHeader/>
        </w:trPr>
        <w:tc>
          <w:tcPr>
            <w:tcW w:w="1942" w:type="dxa"/>
            <w:tcBorders>
              <w:top w:val="single" w:sz="4" w:space="0" w:color="17365D"/>
              <w:bottom w:val="single" w:sz="4" w:space="0" w:color="17365D"/>
            </w:tcBorders>
            <w:shd w:val="clear" w:color="auto" w:fill="auto"/>
            <w:vAlign w:val="center"/>
            <w:hideMark/>
          </w:tcPr>
          <w:p w14:paraId="49BDD47D"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96" w:type="dxa"/>
            <w:tcBorders>
              <w:top w:val="single" w:sz="4" w:space="0" w:color="17365D"/>
              <w:bottom w:val="single" w:sz="4" w:space="0" w:color="17365D"/>
            </w:tcBorders>
            <w:shd w:val="clear" w:color="auto" w:fill="auto"/>
            <w:vAlign w:val="center"/>
            <w:hideMark/>
          </w:tcPr>
          <w:p w14:paraId="128D979B"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340" w:type="dxa"/>
            <w:tcBorders>
              <w:top w:val="single" w:sz="4" w:space="0" w:color="auto"/>
              <w:bottom w:val="single" w:sz="4" w:space="0" w:color="17365D"/>
            </w:tcBorders>
            <w:shd w:val="clear" w:color="auto" w:fill="auto"/>
            <w:vAlign w:val="center"/>
            <w:hideMark/>
          </w:tcPr>
          <w:p w14:paraId="5CFDC0C4"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036" w:type="dxa"/>
            <w:tcBorders>
              <w:top w:val="single" w:sz="4" w:space="0" w:color="auto"/>
              <w:bottom w:val="single" w:sz="4" w:space="0" w:color="17365D"/>
            </w:tcBorders>
            <w:shd w:val="clear" w:color="auto" w:fill="auto"/>
            <w:vAlign w:val="center"/>
            <w:hideMark/>
          </w:tcPr>
          <w:p w14:paraId="0DD90688"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134" w:type="dxa"/>
            <w:tcBorders>
              <w:top w:val="single" w:sz="4" w:space="0" w:color="auto"/>
              <w:bottom w:val="single" w:sz="4" w:space="0" w:color="17365D"/>
            </w:tcBorders>
            <w:shd w:val="clear" w:color="auto" w:fill="auto"/>
            <w:vAlign w:val="center"/>
            <w:hideMark/>
          </w:tcPr>
          <w:p w14:paraId="59DC5563"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474" w:type="dxa"/>
            <w:tcBorders>
              <w:top w:val="single" w:sz="4" w:space="0" w:color="auto"/>
              <w:bottom w:val="single" w:sz="4" w:space="0" w:color="17365D"/>
            </w:tcBorders>
            <w:shd w:val="clear" w:color="auto" w:fill="auto"/>
            <w:vAlign w:val="center"/>
            <w:hideMark/>
          </w:tcPr>
          <w:p w14:paraId="74C4A9D4"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34" w:type="dxa"/>
            <w:tcBorders>
              <w:top w:val="single" w:sz="4" w:space="0" w:color="17365D"/>
              <w:bottom w:val="single" w:sz="4" w:space="0" w:color="17365D"/>
            </w:tcBorders>
            <w:shd w:val="clear" w:color="auto" w:fill="auto"/>
            <w:vAlign w:val="center"/>
            <w:hideMark/>
          </w:tcPr>
          <w:p w14:paraId="37B41550" w14:textId="77777777" w:rsidR="006F7CBB" w:rsidRPr="00A27896" w:rsidRDefault="006F7CBB" w:rsidP="006F7CB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FD2772" w:rsidRPr="00A27896" w14:paraId="3E06560C" w14:textId="77777777" w:rsidTr="001231AF">
        <w:trPr>
          <w:trHeight w:val="140"/>
        </w:trPr>
        <w:tc>
          <w:tcPr>
            <w:tcW w:w="1942" w:type="dxa"/>
            <w:tcBorders>
              <w:top w:val="single" w:sz="4" w:space="0" w:color="17365D"/>
              <w:bottom w:val="single" w:sz="4" w:space="0" w:color="17365D"/>
            </w:tcBorders>
            <w:shd w:val="clear" w:color="auto" w:fill="auto"/>
            <w:vAlign w:val="center"/>
          </w:tcPr>
          <w:p w14:paraId="54B9D2D3" w14:textId="5F38ED10" w:rsidR="00FD2772" w:rsidRPr="00A27896" w:rsidRDefault="00FD2772" w:rsidP="00FD2772">
            <w:pPr>
              <w:spacing w:after="0" w:line="240" w:lineRule="auto"/>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Ilgtermiņa ieguldījumi</w:t>
            </w:r>
          </w:p>
        </w:tc>
        <w:tc>
          <w:tcPr>
            <w:tcW w:w="1296" w:type="dxa"/>
            <w:tcBorders>
              <w:top w:val="single" w:sz="4" w:space="0" w:color="17365D"/>
              <w:left w:val="nil"/>
              <w:bottom w:val="single" w:sz="4" w:space="0" w:color="auto"/>
              <w:right w:val="nil"/>
            </w:tcBorders>
            <w:shd w:val="clear" w:color="auto" w:fill="auto"/>
            <w:vAlign w:val="center"/>
          </w:tcPr>
          <w:p w14:paraId="77D9BAFF" w14:textId="53E08AD8" w:rsidR="00FD2772" w:rsidRPr="00A27896" w:rsidRDefault="00FD2772" w:rsidP="00FD2772">
            <w:pPr>
              <w:spacing w:after="0" w:line="240" w:lineRule="auto"/>
              <w:jc w:val="right"/>
              <w:rPr>
                <w:rFonts w:cs="Times New Roman"/>
                <w:b/>
                <w:bCs/>
                <w:color w:val="17365D"/>
                <w:sz w:val="18"/>
                <w:szCs w:val="18"/>
              </w:rPr>
            </w:pPr>
            <w:r>
              <w:rPr>
                <w:b/>
                <w:bCs/>
                <w:color w:val="17365D"/>
                <w:sz w:val="18"/>
                <w:szCs w:val="18"/>
              </w:rPr>
              <w:t>80 750 136</w:t>
            </w:r>
          </w:p>
        </w:tc>
        <w:tc>
          <w:tcPr>
            <w:tcW w:w="1340" w:type="dxa"/>
            <w:tcBorders>
              <w:top w:val="single" w:sz="4" w:space="0" w:color="17365D"/>
              <w:left w:val="nil"/>
              <w:bottom w:val="single" w:sz="4" w:space="0" w:color="auto"/>
              <w:right w:val="nil"/>
            </w:tcBorders>
            <w:shd w:val="clear" w:color="auto" w:fill="auto"/>
            <w:vAlign w:val="center"/>
          </w:tcPr>
          <w:p w14:paraId="76E7BA60" w14:textId="683B5FED" w:rsidR="00FD2772" w:rsidRPr="00A27896" w:rsidRDefault="00FD2772" w:rsidP="00FD2772">
            <w:pPr>
              <w:spacing w:after="0" w:line="240" w:lineRule="auto"/>
              <w:jc w:val="right"/>
              <w:rPr>
                <w:rFonts w:cs="Times New Roman"/>
                <w:b/>
                <w:bCs/>
                <w:color w:val="17365D"/>
                <w:sz w:val="18"/>
                <w:szCs w:val="18"/>
              </w:rPr>
            </w:pPr>
            <w:r>
              <w:rPr>
                <w:b/>
                <w:bCs/>
                <w:color w:val="17365D"/>
                <w:sz w:val="18"/>
                <w:szCs w:val="18"/>
              </w:rPr>
              <w:t>9 506 439</w:t>
            </w:r>
          </w:p>
        </w:tc>
        <w:tc>
          <w:tcPr>
            <w:tcW w:w="1036" w:type="dxa"/>
            <w:tcBorders>
              <w:top w:val="single" w:sz="4" w:space="0" w:color="17365D"/>
              <w:left w:val="nil"/>
              <w:bottom w:val="single" w:sz="4" w:space="0" w:color="auto"/>
              <w:right w:val="nil"/>
            </w:tcBorders>
            <w:shd w:val="clear" w:color="auto" w:fill="auto"/>
            <w:vAlign w:val="center"/>
          </w:tcPr>
          <w:p w14:paraId="32E5EAE3" w14:textId="48DBF0AC" w:rsidR="00FD2772" w:rsidRPr="00A27896" w:rsidRDefault="00FD2772" w:rsidP="00FD2772">
            <w:pPr>
              <w:spacing w:after="0" w:line="240" w:lineRule="auto"/>
              <w:jc w:val="right"/>
              <w:rPr>
                <w:rFonts w:cs="Times New Roman"/>
                <w:b/>
                <w:bCs/>
                <w:color w:val="17365D"/>
                <w:sz w:val="18"/>
                <w:szCs w:val="18"/>
              </w:rPr>
            </w:pPr>
            <w:r>
              <w:rPr>
                <w:b/>
                <w:bCs/>
                <w:color w:val="17365D"/>
                <w:sz w:val="18"/>
                <w:szCs w:val="18"/>
              </w:rPr>
              <w:t>8 138 921</w:t>
            </w:r>
          </w:p>
        </w:tc>
        <w:tc>
          <w:tcPr>
            <w:tcW w:w="1134" w:type="dxa"/>
            <w:tcBorders>
              <w:top w:val="single" w:sz="4" w:space="0" w:color="17365D"/>
              <w:left w:val="nil"/>
              <w:bottom w:val="single" w:sz="4" w:space="0" w:color="auto"/>
              <w:right w:val="nil"/>
            </w:tcBorders>
            <w:shd w:val="clear" w:color="auto" w:fill="auto"/>
            <w:vAlign w:val="center"/>
          </w:tcPr>
          <w:p w14:paraId="3970E39A" w14:textId="38ACCDB4" w:rsidR="00FD2772" w:rsidRPr="00A27896" w:rsidRDefault="00FD2772" w:rsidP="00FD2772">
            <w:pPr>
              <w:spacing w:after="0" w:line="240" w:lineRule="auto"/>
              <w:jc w:val="right"/>
              <w:rPr>
                <w:rFonts w:cs="Times New Roman"/>
                <w:b/>
                <w:bCs/>
                <w:color w:val="17365D"/>
                <w:sz w:val="18"/>
                <w:szCs w:val="18"/>
              </w:rPr>
            </w:pPr>
            <w:r>
              <w:rPr>
                <w:b/>
                <w:bCs/>
                <w:color w:val="17365D"/>
                <w:sz w:val="18"/>
                <w:szCs w:val="18"/>
              </w:rPr>
              <w:t>5 087 955</w:t>
            </w:r>
          </w:p>
        </w:tc>
        <w:tc>
          <w:tcPr>
            <w:tcW w:w="1474" w:type="dxa"/>
            <w:tcBorders>
              <w:top w:val="single" w:sz="4" w:space="0" w:color="17365D"/>
              <w:left w:val="nil"/>
              <w:bottom w:val="single" w:sz="4" w:space="0" w:color="auto"/>
              <w:right w:val="nil"/>
            </w:tcBorders>
            <w:shd w:val="clear" w:color="auto" w:fill="auto"/>
            <w:vAlign w:val="center"/>
          </w:tcPr>
          <w:p w14:paraId="3AD85C51" w14:textId="585C3659" w:rsidR="00FD2772" w:rsidRPr="00A27896" w:rsidRDefault="00FD2772" w:rsidP="00FD2772">
            <w:pPr>
              <w:spacing w:after="0" w:line="240" w:lineRule="auto"/>
              <w:jc w:val="right"/>
              <w:rPr>
                <w:rFonts w:cs="Times New Roman"/>
                <w:b/>
                <w:bCs/>
                <w:color w:val="17365D"/>
                <w:sz w:val="18"/>
                <w:szCs w:val="18"/>
              </w:rPr>
            </w:pPr>
            <w:r>
              <w:rPr>
                <w:b/>
                <w:bCs/>
                <w:color w:val="17365D"/>
                <w:sz w:val="18"/>
                <w:szCs w:val="18"/>
              </w:rPr>
              <w:t>5 329 359</w:t>
            </w:r>
          </w:p>
        </w:tc>
        <w:tc>
          <w:tcPr>
            <w:tcW w:w="1134" w:type="dxa"/>
            <w:tcBorders>
              <w:top w:val="single" w:sz="4" w:space="0" w:color="17365D"/>
              <w:bottom w:val="single" w:sz="4" w:space="0" w:color="17365D"/>
            </w:tcBorders>
            <w:shd w:val="clear" w:color="auto" w:fill="auto"/>
            <w:vAlign w:val="center"/>
          </w:tcPr>
          <w:p w14:paraId="195A734F" w14:textId="3CE38DBB" w:rsidR="00FD2772" w:rsidRPr="00A27896" w:rsidRDefault="00FD2772" w:rsidP="00FD2772">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r>
      <w:tr w:rsidR="00FD2772" w:rsidRPr="00A27896" w14:paraId="0FF78867" w14:textId="77777777" w:rsidTr="001231AF">
        <w:trPr>
          <w:trHeight w:val="199"/>
        </w:trPr>
        <w:tc>
          <w:tcPr>
            <w:tcW w:w="1942" w:type="dxa"/>
            <w:tcBorders>
              <w:top w:val="single" w:sz="4" w:space="0" w:color="17365D"/>
              <w:bottom w:val="single" w:sz="4" w:space="0" w:color="17365D"/>
            </w:tcBorders>
            <w:shd w:val="clear" w:color="auto" w:fill="auto"/>
            <w:vAlign w:val="center"/>
            <w:hideMark/>
          </w:tcPr>
          <w:p w14:paraId="7E7FA358" w14:textId="00C10E96" w:rsidR="00FD2772" w:rsidRPr="00A27896" w:rsidRDefault="00FD2772" w:rsidP="00FD2772">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Licences, koncesijas un patenti, preču zīmes un tamlīdzīgas tiesības</w:t>
            </w:r>
          </w:p>
        </w:tc>
        <w:tc>
          <w:tcPr>
            <w:tcW w:w="1296" w:type="dxa"/>
            <w:tcBorders>
              <w:top w:val="single" w:sz="4" w:space="0" w:color="auto"/>
              <w:left w:val="nil"/>
              <w:bottom w:val="single" w:sz="4" w:space="0" w:color="auto"/>
              <w:right w:val="nil"/>
            </w:tcBorders>
            <w:shd w:val="clear" w:color="auto" w:fill="auto"/>
            <w:vAlign w:val="center"/>
          </w:tcPr>
          <w:p w14:paraId="01AA6620" w14:textId="649DEADE" w:rsidR="00FD2772" w:rsidRPr="00A27896" w:rsidRDefault="00FD2772" w:rsidP="00FD2772">
            <w:pPr>
              <w:spacing w:after="0" w:line="240" w:lineRule="auto"/>
              <w:jc w:val="right"/>
              <w:rPr>
                <w:rFonts w:cs="Times New Roman"/>
                <w:color w:val="17365D"/>
                <w:sz w:val="18"/>
                <w:szCs w:val="18"/>
              </w:rPr>
            </w:pPr>
            <w:r>
              <w:rPr>
                <w:color w:val="17365D"/>
                <w:sz w:val="18"/>
                <w:szCs w:val="18"/>
              </w:rPr>
              <w:t>3 468 572</w:t>
            </w:r>
          </w:p>
        </w:tc>
        <w:tc>
          <w:tcPr>
            <w:tcW w:w="1340" w:type="dxa"/>
            <w:tcBorders>
              <w:top w:val="single" w:sz="4" w:space="0" w:color="auto"/>
              <w:left w:val="nil"/>
              <w:bottom w:val="single" w:sz="4" w:space="0" w:color="auto"/>
              <w:right w:val="nil"/>
            </w:tcBorders>
            <w:shd w:val="clear" w:color="auto" w:fill="auto"/>
            <w:vAlign w:val="center"/>
          </w:tcPr>
          <w:p w14:paraId="011C968C" w14:textId="19482E21" w:rsidR="00FD2772" w:rsidRPr="00A27896" w:rsidRDefault="00FD2772" w:rsidP="00FD2772">
            <w:pPr>
              <w:spacing w:after="0" w:line="240" w:lineRule="auto"/>
              <w:jc w:val="right"/>
              <w:rPr>
                <w:rFonts w:cs="Times New Roman"/>
                <w:color w:val="17365D"/>
                <w:sz w:val="18"/>
                <w:szCs w:val="18"/>
              </w:rPr>
            </w:pPr>
            <w:r>
              <w:rPr>
                <w:color w:val="17365D"/>
                <w:sz w:val="18"/>
                <w:szCs w:val="18"/>
              </w:rPr>
              <w:t>320 950</w:t>
            </w:r>
          </w:p>
        </w:tc>
        <w:tc>
          <w:tcPr>
            <w:tcW w:w="1036" w:type="dxa"/>
            <w:tcBorders>
              <w:top w:val="single" w:sz="4" w:space="0" w:color="auto"/>
              <w:left w:val="nil"/>
              <w:bottom w:val="single" w:sz="4" w:space="0" w:color="auto"/>
              <w:right w:val="nil"/>
            </w:tcBorders>
            <w:shd w:val="clear" w:color="auto" w:fill="auto"/>
            <w:vAlign w:val="center"/>
          </w:tcPr>
          <w:p w14:paraId="40C81FD3" w14:textId="011E558D" w:rsidR="00FD2772" w:rsidRPr="00A27896" w:rsidRDefault="00FD2772" w:rsidP="00FD2772">
            <w:pPr>
              <w:spacing w:after="0" w:line="240" w:lineRule="auto"/>
              <w:jc w:val="right"/>
              <w:rPr>
                <w:rFonts w:cs="Times New Roman"/>
                <w:color w:val="17365D"/>
                <w:sz w:val="18"/>
                <w:szCs w:val="18"/>
              </w:rPr>
            </w:pPr>
            <w:r>
              <w:rPr>
                <w:color w:val="17365D"/>
                <w:sz w:val="18"/>
                <w:szCs w:val="18"/>
              </w:rPr>
              <w:t>322 367</w:t>
            </w:r>
          </w:p>
        </w:tc>
        <w:tc>
          <w:tcPr>
            <w:tcW w:w="1134" w:type="dxa"/>
            <w:tcBorders>
              <w:top w:val="single" w:sz="4" w:space="0" w:color="auto"/>
              <w:left w:val="nil"/>
              <w:bottom w:val="single" w:sz="4" w:space="0" w:color="auto"/>
              <w:right w:val="nil"/>
            </w:tcBorders>
            <w:shd w:val="clear" w:color="auto" w:fill="auto"/>
            <w:vAlign w:val="center"/>
          </w:tcPr>
          <w:p w14:paraId="5879BD82" w14:textId="03C4A020" w:rsidR="00FD2772" w:rsidRPr="00A27896" w:rsidRDefault="00FD2772" w:rsidP="00FD2772">
            <w:pPr>
              <w:spacing w:after="0" w:line="240" w:lineRule="auto"/>
              <w:jc w:val="right"/>
              <w:rPr>
                <w:rFonts w:cs="Times New Roman"/>
                <w:color w:val="17365D"/>
                <w:sz w:val="18"/>
                <w:szCs w:val="18"/>
              </w:rPr>
            </w:pPr>
            <w:r>
              <w:rPr>
                <w:color w:val="17365D"/>
                <w:sz w:val="18"/>
                <w:szCs w:val="18"/>
              </w:rPr>
              <w:t>195 991</w:t>
            </w:r>
          </w:p>
        </w:tc>
        <w:tc>
          <w:tcPr>
            <w:tcW w:w="1474" w:type="dxa"/>
            <w:tcBorders>
              <w:top w:val="single" w:sz="4" w:space="0" w:color="auto"/>
              <w:left w:val="nil"/>
              <w:bottom w:val="single" w:sz="4" w:space="0" w:color="auto"/>
              <w:right w:val="nil"/>
            </w:tcBorders>
            <w:shd w:val="clear" w:color="auto" w:fill="auto"/>
            <w:vAlign w:val="center"/>
          </w:tcPr>
          <w:p w14:paraId="5168057C" w14:textId="293F8AF3" w:rsidR="00FD2772" w:rsidRPr="00A27896" w:rsidRDefault="00FD2772" w:rsidP="00FD2772">
            <w:pPr>
              <w:spacing w:after="0" w:line="240" w:lineRule="auto"/>
              <w:jc w:val="right"/>
              <w:rPr>
                <w:rFonts w:cs="Times New Roman"/>
                <w:color w:val="17365D"/>
                <w:sz w:val="18"/>
                <w:szCs w:val="18"/>
              </w:rPr>
            </w:pPr>
            <w:r>
              <w:rPr>
                <w:color w:val="17365D"/>
                <w:sz w:val="18"/>
                <w:szCs w:val="18"/>
              </w:rPr>
              <w:t>195 991</w:t>
            </w:r>
          </w:p>
        </w:tc>
        <w:tc>
          <w:tcPr>
            <w:tcW w:w="1134" w:type="dxa"/>
            <w:tcBorders>
              <w:top w:val="single" w:sz="4" w:space="0" w:color="17365D"/>
              <w:bottom w:val="single" w:sz="4" w:space="0" w:color="17365D"/>
            </w:tcBorders>
            <w:shd w:val="clear" w:color="auto" w:fill="auto"/>
            <w:vAlign w:val="center"/>
            <w:hideMark/>
          </w:tcPr>
          <w:p w14:paraId="1EA7370C" w14:textId="69C620D4" w:rsidR="00FD2772" w:rsidRPr="00A27896" w:rsidRDefault="00FD2772" w:rsidP="00FD2772">
            <w:pPr>
              <w:spacing w:after="0" w:line="240" w:lineRule="auto"/>
              <w:jc w:val="right"/>
              <w:rPr>
                <w:rFonts w:cs="Times New Roman"/>
                <w:color w:val="17365D"/>
                <w:sz w:val="18"/>
                <w:szCs w:val="18"/>
              </w:rPr>
            </w:pPr>
            <w:r w:rsidRPr="00A27896">
              <w:rPr>
                <w:rFonts w:cs="Times New Roman"/>
                <w:color w:val="17365D"/>
                <w:sz w:val="18"/>
                <w:szCs w:val="18"/>
              </w:rPr>
              <w:t>0</w:t>
            </w:r>
          </w:p>
        </w:tc>
      </w:tr>
      <w:tr w:rsidR="00FD2772" w:rsidRPr="00A27896" w14:paraId="6DB100D1" w14:textId="77777777" w:rsidTr="001231AF">
        <w:trPr>
          <w:trHeight w:val="199"/>
        </w:trPr>
        <w:tc>
          <w:tcPr>
            <w:tcW w:w="1942" w:type="dxa"/>
            <w:tcBorders>
              <w:top w:val="single" w:sz="4" w:space="0" w:color="17365D"/>
              <w:bottom w:val="single" w:sz="4" w:space="0" w:color="17365D"/>
            </w:tcBorders>
            <w:shd w:val="clear" w:color="auto" w:fill="auto"/>
            <w:vAlign w:val="center"/>
          </w:tcPr>
          <w:p w14:paraId="6AE63B4B" w14:textId="6BBEE2E9" w:rsidR="00FD2772" w:rsidRPr="00A27896" w:rsidRDefault="00FD2772" w:rsidP="00FD2772">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nemateriālie ieguldījumi</w:t>
            </w:r>
          </w:p>
        </w:tc>
        <w:tc>
          <w:tcPr>
            <w:tcW w:w="1296" w:type="dxa"/>
            <w:tcBorders>
              <w:top w:val="single" w:sz="4" w:space="0" w:color="auto"/>
              <w:left w:val="nil"/>
              <w:bottom w:val="single" w:sz="4" w:space="0" w:color="auto"/>
              <w:right w:val="nil"/>
            </w:tcBorders>
            <w:shd w:val="clear" w:color="auto" w:fill="auto"/>
            <w:vAlign w:val="center"/>
          </w:tcPr>
          <w:p w14:paraId="1D7D942D" w14:textId="7C57D1F6" w:rsidR="00FD2772" w:rsidRPr="00A27896" w:rsidRDefault="00FD2772" w:rsidP="00FD2772">
            <w:pPr>
              <w:spacing w:after="0" w:line="240" w:lineRule="auto"/>
              <w:jc w:val="right"/>
              <w:rPr>
                <w:rFonts w:cs="Times New Roman"/>
                <w:color w:val="17365D"/>
                <w:sz w:val="18"/>
                <w:szCs w:val="18"/>
              </w:rPr>
            </w:pPr>
            <w:r>
              <w:rPr>
                <w:color w:val="17365D"/>
                <w:sz w:val="18"/>
                <w:szCs w:val="18"/>
              </w:rPr>
              <w:t>20 674</w:t>
            </w:r>
          </w:p>
        </w:tc>
        <w:tc>
          <w:tcPr>
            <w:tcW w:w="1340" w:type="dxa"/>
            <w:tcBorders>
              <w:top w:val="single" w:sz="4" w:space="0" w:color="auto"/>
              <w:left w:val="nil"/>
              <w:bottom w:val="single" w:sz="4" w:space="0" w:color="auto"/>
              <w:right w:val="nil"/>
            </w:tcBorders>
            <w:shd w:val="clear" w:color="auto" w:fill="auto"/>
            <w:vAlign w:val="center"/>
          </w:tcPr>
          <w:p w14:paraId="75AA336C" w14:textId="501EC27A" w:rsidR="00FD2772" w:rsidRPr="00A27896" w:rsidRDefault="00FD2772" w:rsidP="00FD2772">
            <w:pPr>
              <w:spacing w:after="0" w:line="240" w:lineRule="auto"/>
              <w:jc w:val="right"/>
              <w:rPr>
                <w:rFonts w:cs="Times New Roman"/>
                <w:color w:val="17365D"/>
                <w:sz w:val="18"/>
                <w:szCs w:val="18"/>
              </w:rPr>
            </w:pPr>
            <w:r>
              <w:rPr>
                <w:color w:val="17365D"/>
                <w:sz w:val="18"/>
                <w:szCs w:val="18"/>
              </w:rPr>
              <w:t>0</w:t>
            </w:r>
          </w:p>
        </w:tc>
        <w:tc>
          <w:tcPr>
            <w:tcW w:w="1036" w:type="dxa"/>
            <w:tcBorders>
              <w:top w:val="single" w:sz="4" w:space="0" w:color="auto"/>
              <w:left w:val="nil"/>
              <w:bottom w:val="single" w:sz="4" w:space="0" w:color="auto"/>
              <w:right w:val="nil"/>
            </w:tcBorders>
            <w:shd w:val="clear" w:color="auto" w:fill="auto"/>
            <w:vAlign w:val="center"/>
          </w:tcPr>
          <w:p w14:paraId="1D83B577" w14:textId="4717A2C1" w:rsidR="00FD2772" w:rsidRPr="00A27896" w:rsidRDefault="00FD2772" w:rsidP="00FD2772">
            <w:pPr>
              <w:spacing w:after="0" w:line="240" w:lineRule="auto"/>
              <w:jc w:val="right"/>
              <w:rPr>
                <w:rFonts w:cs="Times New Roman"/>
                <w:color w:val="17365D"/>
                <w:sz w:val="18"/>
                <w:szCs w:val="18"/>
              </w:rPr>
            </w:pPr>
            <w:r>
              <w:rPr>
                <w:color w:val="17365D"/>
                <w:sz w:val="18"/>
                <w:szCs w:val="18"/>
              </w:rPr>
              <w:t>0</w:t>
            </w:r>
          </w:p>
        </w:tc>
        <w:tc>
          <w:tcPr>
            <w:tcW w:w="1134" w:type="dxa"/>
            <w:tcBorders>
              <w:top w:val="single" w:sz="4" w:space="0" w:color="auto"/>
              <w:left w:val="nil"/>
              <w:bottom w:val="single" w:sz="4" w:space="0" w:color="auto"/>
              <w:right w:val="nil"/>
            </w:tcBorders>
            <w:shd w:val="clear" w:color="auto" w:fill="auto"/>
            <w:vAlign w:val="center"/>
          </w:tcPr>
          <w:p w14:paraId="60D55A30" w14:textId="70CB972F" w:rsidR="00FD2772" w:rsidRPr="00A27896" w:rsidRDefault="00FD2772" w:rsidP="00FD2772">
            <w:pPr>
              <w:spacing w:after="0" w:line="240" w:lineRule="auto"/>
              <w:jc w:val="right"/>
              <w:rPr>
                <w:rFonts w:cs="Times New Roman"/>
                <w:color w:val="17365D"/>
                <w:sz w:val="18"/>
                <w:szCs w:val="18"/>
              </w:rPr>
            </w:pPr>
            <w:r>
              <w:rPr>
                <w:color w:val="17365D"/>
                <w:sz w:val="18"/>
                <w:szCs w:val="18"/>
              </w:rPr>
              <w:t>0</w:t>
            </w:r>
          </w:p>
        </w:tc>
        <w:tc>
          <w:tcPr>
            <w:tcW w:w="1474" w:type="dxa"/>
            <w:tcBorders>
              <w:top w:val="single" w:sz="4" w:space="0" w:color="auto"/>
              <w:left w:val="nil"/>
              <w:bottom w:val="single" w:sz="4" w:space="0" w:color="auto"/>
              <w:right w:val="nil"/>
            </w:tcBorders>
            <w:shd w:val="clear" w:color="auto" w:fill="auto"/>
            <w:vAlign w:val="center"/>
          </w:tcPr>
          <w:p w14:paraId="73F1D9F9" w14:textId="4D73D471" w:rsidR="00FD2772" w:rsidRPr="00A27896" w:rsidRDefault="00FD2772" w:rsidP="00FD2772">
            <w:pPr>
              <w:spacing w:after="0" w:line="240" w:lineRule="auto"/>
              <w:jc w:val="right"/>
              <w:rPr>
                <w:rFonts w:cs="Times New Roman"/>
                <w:color w:val="17365D"/>
                <w:sz w:val="18"/>
                <w:szCs w:val="18"/>
              </w:rPr>
            </w:pPr>
            <w:r>
              <w:rPr>
                <w:color w:val="17365D"/>
                <w:sz w:val="18"/>
                <w:szCs w:val="18"/>
              </w:rPr>
              <w:t>0</w:t>
            </w:r>
          </w:p>
        </w:tc>
        <w:tc>
          <w:tcPr>
            <w:tcW w:w="1134" w:type="dxa"/>
            <w:tcBorders>
              <w:top w:val="single" w:sz="4" w:space="0" w:color="17365D"/>
              <w:bottom w:val="single" w:sz="4" w:space="0" w:color="17365D"/>
            </w:tcBorders>
            <w:shd w:val="clear" w:color="auto" w:fill="auto"/>
            <w:vAlign w:val="center"/>
          </w:tcPr>
          <w:p w14:paraId="20440CEF" w14:textId="189E8FF4" w:rsidR="00FD2772" w:rsidRPr="00A27896" w:rsidRDefault="00FD2772" w:rsidP="00FD2772">
            <w:pPr>
              <w:spacing w:after="0" w:line="240" w:lineRule="auto"/>
              <w:jc w:val="right"/>
              <w:rPr>
                <w:rFonts w:cs="Times New Roman"/>
                <w:color w:val="17365D"/>
                <w:sz w:val="18"/>
                <w:szCs w:val="18"/>
              </w:rPr>
            </w:pPr>
            <w:r w:rsidRPr="00A27896">
              <w:rPr>
                <w:rFonts w:cs="Times New Roman"/>
                <w:color w:val="17365D"/>
                <w:sz w:val="18"/>
                <w:szCs w:val="18"/>
              </w:rPr>
              <w:t>0</w:t>
            </w:r>
          </w:p>
        </w:tc>
      </w:tr>
      <w:tr w:rsidR="00FD2772" w:rsidRPr="00A27896" w14:paraId="7295427D" w14:textId="77777777" w:rsidTr="001231AF">
        <w:trPr>
          <w:trHeight w:val="199"/>
        </w:trPr>
        <w:tc>
          <w:tcPr>
            <w:tcW w:w="1942" w:type="dxa"/>
            <w:tcBorders>
              <w:top w:val="single" w:sz="4" w:space="0" w:color="17365D"/>
              <w:bottom w:val="single" w:sz="4" w:space="0" w:color="17365D"/>
            </w:tcBorders>
            <w:shd w:val="clear" w:color="auto" w:fill="auto"/>
            <w:vAlign w:val="center"/>
          </w:tcPr>
          <w:p w14:paraId="28BA8CEF" w14:textId="70E64D03" w:rsidR="00FD2772" w:rsidRPr="00A27896" w:rsidRDefault="00FD2772" w:rsidP="00FD2772">
            <w:pPr>
              <w:spacing w:after="0" w:line="240" w:lineRule="auto"/>
              <w:rPr>
                <w:rFonts w:eastAsia="Times New Roman" w:cs="Times New Roman"/>
                <w:color w:val="17365D"/>
                <w:sz w:val="18"/>
                <w:szCs w:val="18"/>
                <w:lang w:eastAsia="lv-LV"/>
              </w:rPr>
            </w:pPr>
            <w:r w:rsidRPr="00A27896">
              <w:rPr>
                <w:rFonts w:cs="Times New Roman"/>
                <w:color w:val="17365D"/>
                <w:sz w:val="18"/>
                <w:szCs w:val="18"/>
              </w:rPr>
              <w:t>Zeme un būves</w:t>
            </w:r>
          </w:p>
        </w:tc>
        <w:tc>
          <w:tcPr>
            <w:tcW w:w="1296" w:type="dxa"/>
            <w:tcBorders>
              <w:top w:val="single" w:sz="4" w:space="0" w:color="auto"/>
              <w:left w:val="nil"/>
              <w:bottom w:val="single" w:sz="4" w:space="0" w:color="auto"/>
              <w:right w:val="nil"/>
            </w:tcBorders>
            <w:shd w:val="clear" w:color="auto" w:fill="auto"/>
            <w:vAlign w:val="center"/>
          </w:tcPr>
          <w:p w14:paraId="17BD80AC" w14:textId="12C2F00F" w:rsidR="00FD2772" w:rsidRPr="00A27896" w:rsidRDefault="00FD2772" w:rsidP="00FD2772">
            <w:pPr>
              <w:spacing w:after="0" w:line="240" w:lineRule="auto"/>
              <w:jc w:val="right"/>
              <w:rPr>
                <w:rFonts w:cs="Times New Roman"/>
                <w:color w:val="17365D"/>
                <w:sz w:val="18"/>
                <w:szCs w:val="18"/>
              </w:rPr>
            </w:pPr>
            <w:r>
              <w:rPr>
                <w:color w:val="17365D"/>
                <w:sz w:val="18"/>
                <w:szCs w:val="18"/>
              </w:rPr>
              <w:t>60 990 173</w:t>
            </w:r>
          </w:p>
        </w:tc>
        <w:tc>
          <w:tcPr>
            <w:tcW w:w="1340" w:type="dxa"/>
            <w:tcBorders>
              <w:top w:val="single" w:sz="4" w:space="0" w:color="auto"/>
              <w:left w:val="nil"/>
              <w:bottom w:val="single" w:sz="4" w:space="0" w:color="auto"/>
              <w:right w:val="nil"/>
            </w:tcBorders>
            <w:shd w:val="clear" w:color="auto" w:fill="auto"/>
            <w:vAlign w:val="center"/>
          </w:tcPr>
          <w:p w14:paraId="5BFE03C6" w14:textId="5B803581" w:rsidR="00FD2772" w:rsidRPr="00A27896" w:rsidRDefault="00FD2772" w:rsidP="00FD2772">
            <w:pPr>
              <w:spacing w:after="0" w:line="240" w:lineRule="auto"/>
              <w:jc w:val="right"/>
              <w:rPr>
                <w:rFonts w:cs="Times New Roman"/>
                <w:color w:val="17365D"/>
                <w:sz w:val="18"/>
                <w:szCs w:val="18"/>
              </w:rPr>
            </w:pPr>
            <w:r>
              <w:rPr>
                <w:color w:val="17365D"/>
                <w:sz w:val="18"/>
                <w:szCs w:val="18"/>
              </w:rPr>
              <w:t>7 001 674</w:t>
            </w:r>
          </w:p>
        </w:tc>
        <w:tc>
          <w:tcPr>
            <w:tcW w:w="1036" w:type="dxa"/>
            <w:tcBorders>
              <w:top w:val="single" w:sz="4" w:space="0" w:color="auto"/>
              <w:left w:val="nil"/>
              <w:bottom w:val="single" w:sz="4" w:space="0" w:color="auto"/>
              <w:right w:val="nil"/>
            </w:tcBorders>
            <w:shd w:val="clear" w:color="auto" w:fill="auto"/>
            <w:vAlign w:val="center"/>
          </w:tcPr>
          <w:p w14:paraId="3AE3B319" w14:textId="60918FB2" w:rsidR="00FD2772" w:rsidRPr="00A27896" w:rsidRDefault="00FD2772" w:rsidP="00FD2772">
            <w:pPr>
              <w:spacing w:after="0" w:line="240" w:lineRule="auto"/>
              <w:jc w:val="right"/>
              <w:rPr>
                <w:rFonts w:cs="Times New Roman"/>
                <w:color w:val="17365D"/>
                <w:sz w:val="18"/>
                <w:szCs w:val="18"/>
              </w:rPr>
            </w:pPr>
            <w:r>
              <w:rPr>
                <w:color w:val="17365D"/>
                <w:sz w:val="18"/>
                <w:szCs w:val="18"/>
              </w:rPr>
              <w:t>6 207 442</w:t>
            </w:r>
          </w:p>
        </w:tc>
        <w:tc>
          <w:tcPr>
            <w:tcW w:w="1134" w:type="dxa"/>
            <w:tcBorders>
              <w:top w:val="single" w:sz="4" w:space="0" w:color="auto"/>
              <w:left w:val="nil"/>
              <w:bottom w:val="single" w:sz="4" w:space="0" w:color="auto"/>
              <w:right w:val="nil"/>
            </w:tcBorders>
            <w:shd w:val="clear" w:color="auto" w:fill="auto"/>
            <w:vAlign w:val="center"/>
          </w:tcPr>
          <w:p w14:paraId="4C5A9CB3" w14:textId="4B4286D7" w:rsidR="00FD2772" w:rsidRPr="00A27896" w:rsidRDefault="00FD2772" w:rsidP="00FD2772">
            <w:pPr>
              <w:spacing w:after="0" w:line="240" w:lineRule="auto"/>
              <w:jc w:val="right"/>
              <w:rPr>
                <w:rFonts w:cs="Times New Roman"/>
                <w:color w:val="17365D"/>
                <w:sz w:val="18"/>
                <w:szCs w:val="18"/>
              </w:rPr>
            </w:pPr>
            <w:r>
              <w:rPr>
                <w:color w:val="17365D"/>
                <w:sz w:val="18"/>
                <w:szCs w:val="18"/>
              </w:rPr>
              <w:t>3 679 283</w:t>
            </w:r>
          </w:p>
        </w:tc>
        <w:tc>
          <w:tcPr>
            <w:tcW w:w="1474" w:type="dxa"/>
            <w:tcBorders>
              <w:top w:val="single" w:sz="4" w:space="0" w:color="auto"/>
              <w:left w:val="nil"/>
              <w:bottom w:val="single" w:sz="4" w:space="0" w:color="auto"/>
              <w:right w:val="nil"/>
            </w:tcBorders>
            <w:shd w:val="clear" w:color="auto" w:fill="auto"/>
            <w:vAlign w:val="center"/>
          </w:tcPr>
          <w:p w14:paraId="4B3A57F8" w14:textId="523BC484" w:rsidR="00FD2772" w:rsidRPr="00A27896" w:rsidRDefault="00FD2772" w:rsidP="00FD2772">
            <w:pPr>
              <w:spacing w:after="0" w:line="240" w:lineRule="auto"/>
              <w:jc w:val="right"/>
              <w:rPr>
                <w:rFonts w:cs="Times New Roman"/>
                <w:color w:val="17365D"/>
                <w:sz w:val="18"/>
                <w:szCs w:val="18"/>
              </w:rPr>
            </w:pPr>
            <w:r>
              <w:rPr>
                <w:color w:val="17365D"/>
                <w:sz w:val="18"/>
                <w:szCs w:val="18"/>
              </w:rPr>
              <w:t>3 948 912</w:t>
            </w:r>
          </w:p>
        </w:tc>
        <w:tc>
          <w:tcPr>
            <w:tcW w:w="1134" w:type="dxa"/>
            <w:tcBorders>
              <w:top w:val="single" w:sz="4" w:space="0" w:color="17365D"/>
              <w:bottom w:val="single" w:sz="4" w:space="0" w:color="17365D"/>
            </w:tcBorders>
            <w:shd w:val="clear" w:color="auto" w:fill="auto"/>
            <w:vAlign w:val="center"/>
          </w:tcPr>
          <w:p w14:paraId="184D8FE0" w14:textId="18EDCDCC" w:rsidR="00FD2772" w:rsidRPr="00A27896" w:rsidRDefault="00FD2772" w:rsidP="00FD2772">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r>
      <w:tr w:rsidR="00FD2772" w:rsidRPr="00A27896" w14:paraId="20680E6B" w14:textId="77777777" w:rsidTr="001231AF">
        <w:trPr>
          <w:trHeight w:val="116"/>
        </w:trPr>
        <w:tc>
          <w:tcPr>
            <w:tcW w:w="1942" w:type="dxa"/>
            <w:tcBorders>
              <w:top w:val="single" w:sz="4" w:space="0" w:color="17365D"/>
              <w:bottom w:val="single" w:sz="4" w:space="0" w:color="17365D"/>
            </w:tcBorders>
            <w:shd w:val="clear" w:color="auto" w:fill="auto"/>
            <w:vAlign w:val="center"/>
            <w:hideMark/>
          </w:tcPr>
          <w:p w14:paraId="26387E02" w14:textId="0D64C33D" w:rsidR="00FD2772" w:rsidRPr="00A27896" w:rsidRDefault="00FD2772" w:rsidP="00FD2772">
            <w:pPr>
              <w:spacing w:after="0" w:line="240" w:lineRule="auto"/>
              <w:rPr>
                <w:rFonts w:eastAsia="Times New Roman" w:cs="Times New Roman"/>
                <w:color w:val="17365D"/>
                <w:sz w:val="18"/>
                <w:szCs w:val="18"/>
                <w:lang w:eastAsia="lv-LV"/>
              </w:rPr>
            </w:pPr>
            <w:r w:rsidRPr="00A27896">
              <w:rPr>
                <w:rFonts w:cs="Times New Roman"/>
                <w:color w:val="17365D"/>
                <w:sz w:val="18"/>
                <w:szCs w:val="18"/>
              </w:rPr>
              <w:t>Tehnoloģiskās iekārtas un mašīnas</w:t>
            </w:r>
          </w:p>
        </w:tc>
        <w:tc>
          <w:tcPr>
            <w:tcW w:w="1296" w:type="dxa"/>
            <w:tcBorders>
              <w:top w:val="single" w:sz="4" w:space="0" w:color="auto"/>
              <w:left w:val="nil"/>
              <w:bottom w:val="single" w:sz="4" w:space="0" w:color="auto"/>
              <w:right w:val="nil"/>
            </w:tcBorders>
            <w:shd w:val="clear" w:color="auto" w:fill="auto"/>
            <w:vAlign w:val="center"/>
          </w:tcPr>
          <w:p w14:paraId="6046DB1B" w14:textId="78F3A5FC" w:rsidR="00FD2772" w:rsidRPr="00A27896" w:rsidRDefault="00FD2772" w:rsidP="00FD2772">
            <w:pPr>
              <w:spacing w:after="0" w:line="240" w:lineRule="auto"/>
              <w:jc w:val="right"/>
              <w:rPr>
                <w:rFonts w:cs="Times New Roman"/>
                <w:color w:val="17365D"/>
                <w:sz w:val="18"/>
                <w:szCs w:val="18"/>
              </w:rPr>
            </w:pPr>
            <w:r>
              <w:rPr>
                <w:color w:val="17365D"/>
                <w:sz w:val="18"/>
                <w:szCs w:val="18"/>
              </w:rPr>
              <w:t>399 470</w:t>
            </w:r>
          </w:p>
        </w:tc>
        <w:tc>
          <w:tcPr>
            <w:tcW w:w="1340" w:type="dxa"/>
            <w:tcBorders>
              <w:top w:val="single" w:sz="4" w:space="0" w:color="auto"/>
              <w:left w:val="nil"/>
              <w:bottom w:val="single" w:sz="4" w:space="0" w:color="auto"/>
              <w:right w:val="nil"/>
            </w:tcBorders>
            <w:shd w:val="clear" w:color="auto" w:fill="auto"/>
            <w:vAlign w:val="center"/>
          </w:tcPr>
          <w:p w14:paraId="1950867C" w14:textId="3633A444" w:rsidR="00FD2772" w:rsidRPr="00A27896" w:rsidRDefault="00FD2772" w:rsidP="00FD2772">
            <w:pPr>
              <w:spacing w:after="0" w:line="240" w:lineRule="auto"/>
              <w:jc w:val="right"/>
              <w:rPr>
                <w:rFonts w:cs="Times New Roman"/>
                <w:color w:val="17365D"/>
                <w:sz w:val="18"/>
                <w:szCs w:val="18"/>
              </w:rPr>
            </w:pPr>
            <w:r>
              <w:rPr>
                <w:color w:val="17365D"/>
                <w:sz w:val="18"/>
                <w:szCs w:val="18"/>
              </w:rPr>
              <w:t>18 335</w:t>
            </w:r>
          </w:p>
        </w:tc>
        <w:tc>
          <w:tcPr>
            <w:tcW w:w="1036" w:type="dxa"/>
            <w:tcBorders>
              <w:top w:val="single" w:sz="4" w:space="0" w:color="auto"/>
              <w:left w:val="nil"/>
              <w:bottom w:val="single" w:sz="4" w:space="0" w:color="auto"/>
              <w:right w:val="nil"/>
            </w:tcBorders>
            <w:shd w:val="clear" w:color="auto" w:fill="auto"/>
            <w:vAlign w:val="center"/>
          </w:tcPr>
          <w:p w14:paraId="4143F732" w14:textId="763197F2" w:rsidR="00FD2772" w:rsidRPr="00A27896" w:rsidRDefault="00FD2772" w:rsidP="00FD2772">
            <w:pPr>
              <w:spacing w:after="0" w:line="240" w:lineRule="auto"/>
              <w:jc w:val="right"/>
              <w:rPr>
                <w:rFonts w:cs="Times New Roman"/>
                <w:color w:val="17365D"/>
                <w:sz w:val="18"/>
                <w:szCs w:val="18"/>
              </w:rPr>
            </w:pPr>
            <w:r>
              <w:rPr>
                <w:color w:val="17365D"/>
                <w:sz w:val="18"/>
                <w:szCs w:val="18"/>
              </w:rPr>
              <w:t>18 335</w:t>
            </w:r>
          </w:p>
        </w:tc>
        <w:tc>
          <w:tcPr>
            <w:tcW w:w="1134" w:type="dxa"/>
            <w:tcBorders>
              <w:top w:val="single" w:sz="4" w:space="0" w:color="auto"/>
              <w:left w:val="nil"/>
              <w:bottom w:val="single" w:sz="4" w:space="0" w:color="auto"/>
              <w:right w:val="nil"/>
            </w:tcBorders>
            <w:shd w:val="clear" w:color="auto" w:fill="auto"/>
            <w:vAlign w:val="center"/>
          </w:tcPr>
          <w:p w14:paraId="676F232F" w14:textId="679F178C" w:rsidR="00FD2772" w:rsidRPr="00A27896" w:rsidRDefault="00FD2772" w:rsidP="00FD2772">
            <w:pPr>
              <w:spacing w:after="0" w:line="240" w:lineRule="auto"/>
              <w:jc w:val="right"/>
              <w:rPr>
                <w:rFonts w:cs="Times New Roman"/>
                <w:color w:val="17365D"/>
                <w:sz w:val="18"/>
                <w:szCs w:val="18"/>
              </w:rPr>
            </w:pPr>
            <w:r>
              <w:rPr>
                <w:color w:val="17365D"/>
                <w:sz w:val="18"/>
                <w:szCs w:val="18"/>
              </w:rPr>
              <w:t>0</w:t>
            </w:r>
          </w:p>
        </w:tc>
        <w:tc>
          <w:tcPr>
            <w:tcW w:w="1474" w:type="dxa"/>
            <w:tcBorders>
              <w:top w:val="single" w:sz="4" w:space="0" w:color="auto"/>
              <w:left w:val="nil"/>
              <w:bottom w:val="single" w:sz="4" w:space="0" w:color="auto"/>
              <w:right w:val="nil"/>
            </w:tcBorders>
            <w:shd w:val="clear" w:color="auto" w:fill="auto"/>
            <w:vAlign w:val="center"/>
          </w:tcPr>
          <w:p w14:paraId="2DA5C31A" w14:textId="5D5740C8" w:rsidR="00FD2772" w:rsidRPr="00A27896" w:rsidRDefault="00FD2772" w:rsidP="00FD2772">
            <w:pPr>
              <w:spacing w:after="0" w:line="240" w:lineRule="auto"/>
              <w:jc w:val="right"/>
              <w:rPr>
                <w:rFonts w:cs="Times New Roman"/>
                <w:color w:val="17365D"/>
                <w:sz w:val="18"/>
                <w:szCs w:val="18"/>
              </w:rPr>
            </w:pPr>
            <w:r>
              <w:rPr>
                <w:color w:val="17365D"/>
                <w:sz w:val="18"/>
                <w:szCs w:val="18"/>
              </w:rPr>
              <w:t>0</w:t>
            </w:r>
          </w:p>
        </w:tc>
        <w:tc>
          <w:tcPr>
            <w:tcW w:w="1134" w:type="dxa"/>
            <w:tcBorders>
              <w:top w:val="single" w:sz="4" w:space="0" w:color="17365D"/>
              <w:bottom w:val="single" w:sz="4" w:space="0" w:color="17365D"/>
            </w:tcBorders>
            <w:shd w:val="clear" w:color="auto" w:fill="auto"/>
            <w:vAlign w:val="center"/>
            <w:hideMark/>
          </w:tcPr>
          <w:p w14:paraId="4B3A8E0B" w14:textId="0DFACC4E" w:rsidR="00FD2772" w:rsidRPr="00A27896" w:rsidRDefault="00FD2772" w:rsidP="00FD2772">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D2772" w:rsidRPr="00A27896" w14:paraId="3E09E944" w14:textId="77777777" w:rsidTr="001231AF">
        <w:trPr>
          <w:trHeight w:val="223"/>
        </w:trPr>
        <w:tc>
          <w:tcPr>
            <w:tcW w:w="1942" w:type="dxa"/>
            <w:tcBorders>
              <w:top w:val="single" w:sz="4" w:space="0" w:color="17365D"/>
              <w:bottom w:val="single" w:sz="4" w:space="0" w:color="17365D"/>
            </w:tcBorders>
            <w:shd w:val="clear" w:color="auto" w:fill="auto"/>
            <w:vAlign w:val="center"/>
            <w:hideMark/>
          </w:tcPr>
          <w:p w14:paraId="52FDF137" w14:textId="697C87C0" w:rsidR="00FD2772" w:rsidRPr="00A27896" w:rsidRDefault="00FD2772" w:rsidP="00FD2772">
            <w:pPr>
              <w:spacing w:after="0" w:line="240" w:lineRule="auto"/>
              <w:rPr>
                <w:rFonts w:eastAsia="Times New Roman" w:cs="Times New Roman"/>
                <w:color w:val="17365D"/>
                <w:sz w:val="18"/>
                <w:szCs w:val="18"/>
                <w:lang w:eastAsia="lv-LV"/>
              </w:rPr>
            </w:pPr>
            <w:r w:rsidRPr="00A27896">
              <w:rPr>
                <w:rFonts w:cs="Times New Roman"/>
                <w:color w:val="17365D"/>
                <w:sz w:val="18"/>
                <w:szCs w:val="18"/>
              </w:rPr>
              <w:t>Pārējie pamatlīdzekļi</w:t>
            </w:r>
          </w:p>
        </w:tc>
        <w:tc>
          <w:tcPr>
            <w:tcW w:w="1296" w:type="dxa"/>
            <w:tcBorders>
              <w:top w:val="single" w:sz="4" w:space="0" w:color="auto"/>
              <w:left w:val="nil"/>
              <w:bottom w:val="single" w:sz="4" w:space="0" w:color="auto"/>
              <w:right w:val="nil"/>
            </w:tcBorders>
            <w:shd w:val="clear" w:color="auto" w:fill="auto"/>
            <w:vAlign w:val="center"/>
          </w:tcPr>
          <w:p w14:paraId="731BBCB8" w14:textId="775D1A36" w:rsidR="00FD2772" w:rsidRPr="00A27896" w:rsidRDefault="00FD2772" w:rsidP="00FD2772">
            <w:pPr>
              <w:spacing w:after="0" w:line="240" w:lineRule="auto"/>
              <w:jc w:val="right"/>
              <w:rPr>
                <w:rFonts w:cs="Times New Roman"/>
                <w:color w:val="17365D"/>
                <w:sz w:val="18"/>
                <w:szCs w:val="18"/>
              </w:rPr>
            </w:pPr>
            <w:r>
              <w:rPr>
                <w:color w:val="17365D"/>
                <w:sz w:val="18"/>
                <w:szCs w:val="18"/>
              </w:rPr>
              <w:t>15 824 591</w:t>
            </w:r>
          </w:p>
        </w:tc>
        <w:tc>
          <w:tcPr>
            <w:tcW w:w="1340" w:type="dxa"/>
            <w:tcBorders>
              <w:top w:val="single" w:sz="4" w:space="0" w:color="auto"/>
              <w:left w:val="nil"/>
              <w:bottom w:val="single" w:sz="4" w:space="0" w:color="auto"/>
              <w:right w:val="nil"/>
            </w:tcBorders>
            <w:shd w:val="clear" w:color="auto" w:fill="auto"/>
            <w:vAlign w:val="center"/>
          </w:tcPr>
          <w:p w14:paraId="0A23D4B6" w14:textId="49C3767D" w:rsidR="00FD2772" w:rsidRPr="00A27896" w:rsidRDefault="00FD2772" w:rsidP="00FD2772">
            <w:pPr>
              <w:spacing w:after="0" w:line="240" w:lineRule="auto"/>
              <w:jc w:val="right"/>
              <w:rPr>
                <w:rFonts w:cs="Times New Roman"/>
                <w:color w:val="17365D"/>
                <w:sz w:val="18"/>
                <w:szCs w:val="18"/>
              </w:rPr>
            </w:pPr>
            <w:r>
              <w:rPr>
                <w:color w:val="17365D"/>
                <w:sz w:val="18"/>
                <w:szCs w:val="18"/>
              </w:rPr>
              <w:t>2 158 098</w:t>
            </w:r>
          </w:p>
        </w:tc>
        <w:tc>
          <w:tcPr>
            <w:tcW w:w="1036" w:type="dxa"/>
            <w:tcBorders>
              <w:top w:val="single" w:sz="4" w:space="0" w:color="auto"/>
              <w:left w:val="nil"/>
              <w:bottom w:val="single" w:sz="4" w:space="0" w:color="auto"/>
              <w:right w:val="nil"/>
            </w:tcBorders>
            <w:shd w:val="clear" w:color="auto" w:fill="auto"/>
            <w:vAlign w:val="center"/>
          </w:tcPr>
          <w:p w14:paraId="1BA3F2F5" w14:textId="6AA57066" w:rsidR="00FD2772" w:rsidRPr="00A27896" w:rsidRDefault="00FD2772" w:rsidP="00FD2772">
            <w:pPr>
              <w:spacing w:after="0" w:line="240" w:lineRule="auto"/>
              <w:jc w:val="right"/>
              <w:rPr>
                <w:rFonts w:cs="Times New Roman"/>
                <w:color w:val="17365D"/>
                <w:sz w:val="18"/>
                <w:szCs w:val="18"/>
              </w:rPr>
            </w:pPr>
            <w:r>
              <w:rPr>
                <w:color w:val="17365D"/>
                <w:sz w:val="18"/>
                <w:szCs w:val="18"/>
              </w:rPr>
              <w:t>1 583 395</w:t>
            </w:r>
          </w:p>
        </w:tc>
        <w:tc>
          <w:tcPr>
            <w:tcW w:w="1134" w:type="dxa"/>
            <w:tcBorders>
              <w:top w:val="single" w:sz="4" w:space="0" w:color="auto"/>
              <w:left w:val="nil"/>
              <w:bottom w:val="single" w:sz="4" w:space="0" w:color="auto"/>
              <w:right w:val="nil"/>
            </w:tcBorders>
            <w:shd w:val="clear" w:color="auto" w:fill="auto"/>
            <w:vAlign w:val="center"/>
          </w:tcPr>
          <w:p w14:paraId="7BAC5440" w14:textId="67D5F4D6" w:rsidR="00FD2772" w:rsidRPr="00A27896" w:rsidRDefault="00FD2772" w:rsidP="00FD2772">
            <w:pPr>
              <w:spacing w:after="0" w:line="240" w:lineRule="auto"/>
              <w:jc w:val="right"/>
              <w:rPr>
                <w:rFonts w:cs="Times New Roman"/>
                <w:color w:val="17365D"/>
                <w:sz w:val="18"/>
                <w:szCs w:val="18"/>
              </w:rPr>
            </w:pPr>
            <w:r>
              <w:rPr>
                <w:color w:val="17365D"/>
                <w:sz w:val="18"/>
                <w:szCs w:val="18"/>
              </w:rPr>
              <w:t>1 212 681</w:t>
            </w:r>
          </w:p>
        </w:tc>
        <w:tc>
          <w:tcPr>
            <w:tcW w:w="1474" w:type="dxa"/>
            <w:tcBorders>
              <w:top w:val="single" w:sz="4" w:space="0" w:color="auto"/>
              <w:left w:val="nil"/>
              <w:bottom w:val="single" w:sz="4" w:space="0" w:color="auto"/>
              <w:right w:val="nil"/>
            </w:tcBorders>
            <w:shd w:val="clear" w:color="auto" w:fill="auto"/>
            <w:vAlign w:val="center"/>
          </w:tcPr>
          <w:p w14:paraId="1D2924BF" w14:textId="161E9248" w:rsidR="00FD2772" w:rsidRPr="00A27896" w:rsidRDefault="00FD2772" w:rsidP="00FD2772">
            <w:pPr>
              <w:spacing w:after="0" w:line="240" w:lineRule="auto"/>
              <w:jc w:val="right"/>
              <w:rPr>
                <w:rFonts w:cs="Times New Roman"/>
                <w:color w:val="17365D"/>
                <w:sz w:val="18"/>
                <w:szCs w:val="18"/>
              </w:rPr>
            </w:pPr>
            <w:r>
              <w:rPr>
                <w:color w:val="17365D"/>
                <w:sz w:val="18"/>
                <w:szCs w:val="18"/>
              </w:rPr>
              <w:t>1 184 456</w:t>
            </w:r>
          </w:p>
        </w:tc>
        <w:tc>
          <w:tcPr>
            <w:tcW w:w="1134" w:type="dxa"/>
            <w:tcBorders>
              <w:top w:val="single" w:sz="4" w:space="0" w:color="17365D"/>
              <w:bottom w:val="single" w:sz="4" w:space="0" w:color="17365D"/>
            </w:tcBorders>
            <w:shd w:val="clear" w:color="auto" w:fill="auto"/>
            <w:vAlign w:val="center"/>
            <w:hideMark/>
          </w:tcPr>
          <w:p w14:paraId="4E7372DA" w14:textId="3E7C13EE" w:rsidR="00FD2772" w:rsidRPr="00A27896" w:rsidRDefault="00FD2772" w:rsidP="00FD2772">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D2772" w:rsidRPr="00A27896" w14:paraId="312992A7" w14:textId="77777777" w:rsidTr="001231AF">
        <w:trPr>
          <w:trHeight w:val="74"/>
        </w:trPr>
        <w:tc>
          <w:tcPr>
            <w:tcW w:w="1942" w:type="dxa"/>
            <w:tcBorders>
              <w:top w:val="single" w:sz="4" w:space="0" w:color="17365D"/>
              <w:bottom w:val="single" w:sz="4" w:space="0" w:color="17365D"/>
            </w:tcBorders>
            <w:shd w:val="clear" w:color="auto" w:fill="auto"/>
            <w:vAlign w:val="center"/>
            <w:hideMark/>
          </w:tcPr>
          <w:p w14:paraId="1D46A7E7" w14:textId="06F5CCCF" w:rsidR="00FD2772" w:rsidRPr="00A27896" w:rsidRDefault="00FD2772" w:rsidP="00FD2772">
            <w:pPr>
              <w:spacing w:after="0" w:line="240" w:lineRule="auto"/>
              <w:rPr>
                <w:rFonts w:eastAsia="Times New Roman" w:cs="Times New Roman"/>
                <w:color w:val="17365D"/>
                <w:sz w:val="18"/>
                <w:szCs w:val="18"/>
                <w:lang w:eastAsia="lv-LV"/>
              </w:rPr>
            </w:pPr>
            <w:r w:rsidRPr="00A27896">
              <w:rPr>
                <w:rFonts w:cs="Times New Roman"/>
                <w:color w:val="17365D"/>
                <w:sz w:val="18"/>
                <w:szCs w:val="18"/>
              </w:rPr>
              <w:t>Bioloģiskie un pazemes aktīvi</w:t>
            </w:r>
          </w:p>
        </w:tc>
        <w:tc>
          <w:tcPr>
            <w:tcW w:w="1296" w:type="dxa"/>
            <w:tcBorders>
              <w:top w:val="single" w:sz="4" w:space="0" w:color="auto"/>
              <w:left w:val="nil"/>
              <w:bottom w:val="single" w:sz="4" w:space="0" w:color="auto"/>
              <w:right w:val="nil"/>
            </w:tcBorders>
            <w:shd w:val="clear" w:color="auto" w:fill="auto"/>
            <w:vAlign w:val="center"/>
          </w:tcPr>
          <w:p w14:paraId="3AA4065C" w14:textId="4EAB3EED" w:rsidR="00FD2772" w:rsidRPr="00A27896" w:rsidRDefault="00FD2772" w:rsidP="00FD2772">
            <w:pPr>
              <w:spacing w:after="0" w:line="240" w:lineRule="auto"/>
              <w:jc w:val="right"/>
              <w:rPr>
                <w:rFonts w:eastAsia="Times New Roman" w:cs="Times New Roman"/>
                <w:color w:val="17365D"/>
                <w:sz w:val="18"/>
                <w:szCs w:val="18"/>
                <w:lang w:eastAsia="lv-LV"/>
              </w:rPr>
            </w:pPr>
            <w:r>
              <w:rPr>
                <w:color w:val="17365D"/>
                <w:sz w:val="18"/>
                <w:szCs w:val="18"/>
              </w:rPr>
              <w:t>34 642</w:t>
            </w:r>
          </w:p>
        </w:tc>
        <w:tc>
          <w:tcPr>
            <w:tcW w:w="1340" w:type="dxa"/>
            <w:tcBorders>
              <w:top w:val="single" w:sz="4" w:space="0" w:color="auto"/>
              <w:left w:val="nil"/>
              <w:bottom w:val="single" w:sz="4" w:space="0" w:color="auto"/>
              <w:right w:val="nil"/>
            </w:tcBorders>
            <w:shd w:val="clear" w:color="auto" w:fill="auto"/>
            <w:vAlign w:val="center"/>
          </w:tcPr>
          <w:p w14:paraId="4194CF2A" w14:textId="1A99E2AA" w:rsidR="00FD2772" w:rsidRPr="00A27896" w:rsidRDefault="00FD2772" w:rsidP="00FD2772">
            <w:pPr>
              <w:spacing w:after="0" w:line="240" w:lineRule="auto"/>
              <w:jc w:val="right"/>
              <w:rPr>
                <w:rFonts w:eastAsia="Times New Roman" w:cs="Times New Roman"/>
                <w:color w:val="17365D"/>
                <w:sz w:val="18"/>
                <w:szCs w:val="18"/>
                <w:lang w:eastAsia="lv-LV"/>
              </w:rPr>
            </w:pPr>
            <w:r>
              <w:rPr>
                <w:color w:val="17365D"/>
                <w:sz w:val="18"/>
                <w:szCs w:val="18"/>
              </w:rPr>
              <w:t>7 382</w:t>
            </w:r>
          </w:p>
        </w:tc>
        <w:tc>
          <w:tcPr>
            <w:tcW w:w="1036" w:type="dxa"/>
            <w:tcBorders>
              <w:top w:val="single" w:sz="4" w:space="0" w:color="auto"/>
              <w:left w:val="nil"/>
              <w:bottom w:val="single" w:sz="4" w:space="0" w:color="auto"/>
              <w:right w:val="nil"/>
            </w:tcBorders>
            <w:shd w:val="clear" w:color="auto" w:fill="auto"/>
            <w:vAlign w:val="center"/>
          </w:tcPr>
          <w:p w14:paraId="04DC4CA3" w14:textId="1C99620F" w:rsidR="00FD2772" w:rsidRPr="00A27896" w:rsidRDefault="00FD2772" w:rsidP="00FD2772">
            <w:pPr>
              <w:spacing w:after="0" w:line="240" w:lineRule="auto"/>
              <w:jc w:val="right"/>
              <w:rPr>
                <w:rFonts w:eastAsia="Times New Roman" w:cs="Times New Roman"/>
                <w:color w:val="17365D"/>
                <w:sz w:val="18"/>
                <w:szCs w:val="18"/>
                <w:lang w:eastAsia="lv-LV"/>
              </w:rPr>
            </w:pPr>
            <w:r>
              <w:rPr>
                <w:color w:val="17365D"/>
                <w:sz w:val="18"/>
                <w:szCs w:val="18"/>
              </w:rPr>
              <w:t>7 382</w:t>
            </w:r>
          </w:p>
        </w:tc>
        <w:tc>
          <w:tcPr>
            <w:tcW w:w="1134" w:type="dxa"/>
            <w:tcBorders>
              <w:top w:val="single" w:sz="4" w:space="0" w:color="auto"/>
              <w:left w:val="nil"/>
              <w:bottom w:val="single" w:sz="4" w:space="0" w:color="auto"/>
              <w:right w:val="nil"/>
            </w:tcBorders>
            <w:shd w:val="clear" w:color="auto" w:fill="auto"/>
            <w:vAlign w:val="center"/>
          </w:tcPr>
          <w:p w14:paraId="1274BC8B" w14:textId="4353AC2C" w:rsidR="00FD2772" w:rsidRPr="00A27896" w:rsidRDefault="00FD2772" w:rsidP="00FD2772">
            <w:pPr>
              <w:spacing w:after="0" w:line="240" w:lineRule="auto"/>
              <w:jc w:val="right"/>
              <w:rPr>
                <w:rFonts w:eastAsia="Times New Roman" w:cs="Times New Roman"/>
                <w:color w:val="17365D"/>
                <w:sz w:val="18"/>
                <w:szCs w:val="18"/>
                <w:lang w:eastAsia="lv-LV"/>
              </w:rPr>
            </w:pPr>
            <w:r>
              <w:rPr>
                <w:color w:val="17365D"/>
                <w:sz w:val="18"/>
                <w:szCs w:val="18"/>
              </w:rPr>
              <w:t>0</w:t>
            </w:r>
          </w:p>
        </w:tc>
        <w:tc>
          <w:tcPr>
            <w:tcW w:w="1474" w:type="dxa"/>
            <w:tcBorders>
              <w:top w:val="single" w:sz="4" w:space="0" w:color="auto"/>
              <w:left w:val="nil"/>
              <w:bottom w:val="single" w:sz="4" w:space="0" w:color="auto"/>
              <w:right w:val="nil"/>
            </w:tcBorders>
            <w:shd w:val="clear" w:color="auto" w:fill="auto"/>
            <w:vAlign w:val="center"/>
          </w:tcPr>
          <w:p w14:paraId="2371E43C" w14:textId="7C00DBD6" w:rsidR="00FD2772" w:rsidRPr="00A27896" w:rsidRDefault="00FD2772" w:rsidP="00FD2772">
            <w:pPr>
              <w:spacing w:after="0" w:line="240" w:lineRule="auto"/>
              <w:jc w:val="right"/>
              <w:rPr>
                <w:rFonts w:eastAsia="Times New Roman" w:cs="Times New Roman"/>
                <w:color w:val="17365D"/>
                <w:sz w:val="18"/>
                <w:szCs w:val="18"/>
                <w:lang w:eastAsia="lv-LV"/>
              </w:rPr>
            </w:pPr>
            <w:r>
              <w:rPr>
                <w:color w:val="17365D"/>
                <w:sz w:val="18"/>
                <w:szCs w:val="18"/>
              </w:rPr>
              <w:t>0</w:t>
            </w:r>
          </w:p>
        </w:tc>
        <w:tc>
          <w:tcPr>
            <w:tcW w:w="1134" w:type="dxa"/>
            <w:tcBorders>
              <w:top w:val="single" w:sz="4" w:space="0" w:color="17365D"/>
              <w:bottom w:val="single" w:sz="4" w:space="0" w:color="17365D"/>
            </w:tcBorders>
            <w:shd w:val="clear" w:color="auto" w:fill="auto"/>
            <w:vAlign w:val="center"/>
            <w:hideMark/>
          </w:tcPr>
          <w:p w14:paraId="634D8D10" w14:textId="7FDC047E" w:rsidR="00FD2772" w:rsidRPr="00A27896" w:rsidRDefault="00FD2772" w:rsidP="00FD2772">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FD2772" w:rsidRPr="00A27896" w14:paraId="782F274C" w14:textId="77777777" w:rsidTr="001231AF">
        <w:trPr>
          <w:trHeight w:val="74"/>
        </w:trPr>
        <w:tc>
          <w:tcPr>
            <w:tcW w:w="1942" w:type="dxa"/>
            <w:tcBorders>
              <w:top w:val="single" w:sz="4" w:space="0" w:color="17365D"/>
              <w:bottom w:val="single" w:sz="4" w:space="0" w:color="17365D"/>
            </w:tcBorders>
            <w:shd w:val="clear" w:color="auto" w:fill="auto"/>
            <w:vAlign w:val="center"/>
          </w:tcPr>
          <w:p w14:paraId="093E5D7A" w14:textId="36A54438" w:rsidR="00FD2772" w:rsidRPr="00A27896" w:rsidRDefault="00FD2772" w:rsidP="00FD2772">
            <w:pPr>
              <w:spacing w:after="0" w:line="240" w:lineRule="auto"/>
              <w:rPr>
                <w:rFonts w:eastAsia="Times New Roman" w:cs="Times New Roman"/>
                <w:color w:val="17365D"/>
                <w:sz w:val="18"/>
                <w:szCs w:val="18"/>
                <w:lang w:eastAsia="lv-LV"/>
              </w:rPr>
            </w:pPr>
            <w:r w:rsidRPr="00A27896">
              <w:rPr>
                <w:rFonts w:cs="Times New Roman"/>
                <w:color w:val="17365D"/>
                <w:sz w:val="18"/>
                <w:szCs w:val="18"/>
              </w:rPr>
              <w:t>Ilgtermiņa ieguldījumi nomātajos pamatlīdzekļos</w:t>
            </w:r>
          </w:p>
        </w:tc>
        <w:tc>
          <w:tcPr>
            <w:tcW w:w="1296" w:type="dxa"/>
            <w:tcBorders>
              <w:top w:val="single" w:sz="4" w:space="0" w:color="auto"/>
              <w:left w:val="nil"/>
              <w:bottom w:val="single" w:sz="4" w:space="0" w:color="auto"/>
              <w:right w:val="nil"/>
            </w:tcBorders>
            <w:shd w:val="clear" w:color="auto" w:fill="auto"/>
            <w:vAlign w:val="center"/>
          </w:tcPr>
          <w:p w14:paraId="3894B8BC" w14:textId="47FEA85D" w:rsidR="00FD2772" w:rsidRPr="00A27896" w:rsidRDefault="00FD2772" w:rsidP="00FD2772">
            <w:pPr>
              <w:spacing w:after="0" w:line="240" w:lineRule="auto"/>
              <w:jc w:val="right"/>
              <w:rPr>
                <w:rFonts w:cs="Times New Roman"/>
                <w:color w:val="17365D"/>
                <w:sz w:val="18"/>
                <w:szCs w:val="18"/>
              </w:rPr>
            </w:pPr>
            <w:r>
              <w:rPr>
                <w:color w:val="17365D"/>
                <w:sz w:val="18"/>
                <w:szCs w:val="18"/>
              </w:rPr>
              <w:t>12 014</w:t>
            </w:r>
          </w:p>
        </w:tc>
        <w:tc>
          <w:tcPr>
            <w:tcW w:w="1340" w:type="dxa"/>
            <w:tcBorders>
              <w:top w:val="single" w:sz="4" w:space="0" w:color="auto"/>
              <w:left w:val="nil"/>
              <w:bottom w:val="single" w:sz="4" w:space="0" w:color="auto"/>
              <w:right w:val="nil"/>
            </w:tcBorders>
            <w:shd w:val="clear" w:color="auto" w:fill="auto"/>
            <w:vAlign w:val="center"/>
          </w:tcPr>
          <w:p w14:paraId="3C7FCC9A" w14:textId="0F8DC8F0" w:rsidR="00FD2772" w:rsidRPr="00A27896" w:rsidRDefault="00FD2772" w:rsidP="00FD2772">
            <w:pPr>
              <w:spacing w:after="0" w:line="240" w:lineRule="auto"/>
              <w:jc w:val="right"/>
              <w:rPr>
                <w:rFonts w:eastAsia="Times New Roman" w:cs="Times New Roman"/>
                <w:color w:val="17365D"/>
                <w:sz w:val="18"/>
                <w:szCs w:val="18"/>
                <w:lang w:eastAsia="lv-LV"/>
              </w:rPr>
            </w:pPr>
            <w:r>
              <w:rPr>
                <w:color w:val="17365D"/>
                <w:sz w:val="18"/>
                <w:szCs w:val="18"/>
              </w:rPr>
              <w:t>0</w:t>
            </w:r>
          </w:p>
        </w:tc>
        <w:tc>
          <w:tcPr>
            <w:tcW w:w="1036" w:type="dxa"/>
            <w:tcBorders>
              <w:top w:val="single" w:sz="4" w:space="0" w:color="auto"/>
              <w:left w:val="nil"/>
              <w:bottom w:val="single" w:sz="4" w:space="0" w:color="auto"/>
              <w:right w:val="nil"/>
            </w:tcBorders>
            <w:shd w:val="clear" w:color="auto" w:fill="auto"/>
            <w:vAlign w:val="center"/>
          </w:tcPr>
          <w:p w14:paraId="0DD914A7" w14:textId="4D6247CC" w:rsidR="00FD2772" w:rsidRPr="00A27896" w:rsidRDefault="00FD2772" w:rsidP="00FD2772">
            <w:pPr>
              <w:spacing w:after="0" w:line="240" w:lineRule="auto"/>
              <w:jc w:val="right"/>
              <w:rPr>
                <w:rFonts w:eastAsia="Times New Roman" w:cs="Times New Roman"/>
                <w:color w:val="17365D"/>
                <w:sz w:val="18"/>
                <w:szCs w:val="18"/>
                <w:lang w:eastAsia="lv-LV"/>
              </w:rPr>
            </w:pPr>
            <w:r>
              <w:rPr>
                <w:color w:val="17365D"/>
                <w:sz w:val="18"/>
                <w:szCs w:val="18"/>
              </w:rPr>
              <w:t>0</w:t>
            </w:r>
          </w:p>
        </w:tc>
        <w:tc>
          <w:tcPr>
            <w:tcW w:w="1134" w:type="dxa"/>
            <w:tcBorders>
              <w:top w:val="single" w:sz="4" w:space="0" w:color="auto"/>
              <w:left w:val="nil"/>
              <w:bottom w:val="single" w:sz="4" w:space="0" w:color="auto"/>
              <w:right w:val="nil"/>
            </w:tcBorders>
            <w:shd w:val="clear" w:color="auto" w:fill="auto"/>
            <w:vAlign w:val="center"/>
          </w:tcPr>
          <w:p w14:paraId="5BFA02F0" w14:textId="4E69482E" w:rsidR="00FD2772" w:rsidRPr="00A27896" w:rsidRDefault="00FD2772" w:rsidP="00FD2772">
            <w:pPr>
              <w:spacing w:after="0" w:line="240" w:lineRule="auto"/>
              <w:jc w:val="right"/>
              <w:rPr>
                <w:rFonts w:eastAsia="Times New Roman" w:cs="Times New Roman"/>
                <w:color w:val="17365D"/>
                <w:sz w:val="18"/>
                <w:szCs w:val="18"/>
                <w:lang w:eastAsia="lv-LV"/>
              </w:rPr>
            </w:pPr>
            <w:r>
              <w:rPr>
                <w:color w:val="17365D"/>
                <w:sz w:val="18"/>
                <w:szCs w:val="18"/>
              </w:rPr>
              <w:t>0</w:t>
            </w:r>
          </w:p>
        </w:tc>
        <w:tc>
          <w:tcPr>
            <w:tcW w:w="1474" w:type="dxa"/>
            <w:tcBorders>
              <w:top w:val="single" w:sz="4" w:space="0" w:color="auto"/>
              <w:left w:val="nil"/>
              <w:bottom w:val="single" w:sz="4" w:space="0" w:color="auto"/>
              <w:right w:val="nil"/>
            </w:tcBorders>
            <w:shd w:val="clear" w:color="auto" w:fill="auto"/>
            <w:vAlign w:val="center"/>
          </w:tcPr>
          <w:p w14:paraId="214F9AD7" w14:textId="3802FC34" w:rsidR="00FD2772" w:rsidRPr="00A27896" w:rsidRDefault="00FD2772" w:rsidP="00FD2772">
            <w:pPr>
              <w:spacing w:after="0" w:line="240" w:lineRule="auto"/>
              <w:jc w:val="right"/>
              <w:rPr>
                <w:rFonts w:eastAsia="Times New Roman" w:cs="Times New Roman"/>
                <w:color w:val="17365D"/>
                <w:sz w:val="18"/>
                <w:szCs w:val="18"/>
                <w:lang w:eastAsia="lv-LV"/>
              </w:rPr>
            </w:pPr>
            <w:r>
              <w:rPr>
                <w:color w:val="17365D"/>
                <w:sz w:val="18"/>
                <w:szCs w:val="18"/>
              </w:rPr>
              <w:t>0</w:t>
            </w:r>
          </w:p>
        </w:tc>
        <w:tc>
          <w:tcPr>
            <w:tcW w:w="1134" w:type="dxa"/>
            <w:tcBorders>
              <w:top w:val="single" w:sz="4" w:space="0" w:color="17365D"/>
              <w:bottom w:val="single" w:sz="4" w:space="0" w:color="17365D"/>
            </w:tcBorders>
            <w:shd w:val="clear" w:color="auto" w:fill="auto"/>
            <w:vAlign w:val="center"/>
          </w:tcPr>
          <w:p w14:paraId="05F3E1EE" w14:textId="6E2CC114" w:rsidR="00FD2772" w:rsidRPr="00A27896" w:rsidRDefault="00FD2772" w:rsidP="00FD2772">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0</w:t>
            </w:r>
          </w:p>
        </w:tc>
      </w:tr>
      <w:tr w:rsidR="00FD2772" w:rsidRPr="00A27896" w14:paraId="7CC61397" w14:textId="77777777" w:rsidTr="001231AF">
        <w:trPr>
          <w:trHeight w:val="275"/>
        </w:trPr>
        <w:tc>
          <w:tcPr>
            <w:tcW w:w="1942" w:type="dxa"/>
            <w:tcBorders>
              <w:top w:val="single" w:sz="4" w:space="0" w:color="17365D"/>
              <w:bottom w:val="single" w:sz="4" w:space="0" w:color="17365D"/>
            </w:tcBorders>
            <w:shd w:val="clear" w:color="auto" w:fill="auto"/>
            <w:vAlign w:val="center"/>
            <w:hideMark/>
          </w:tcPr>
          <w:p w14:paraId="22EBE377" w14:textId="3E7A57D1" w:rsidR="00FD2772" w:rsidRPr="00A27896" w:rsidRDefault="00FD2772" w:rsidP="00FD2772">
            <w:pPr>
              <w:spacing w:after="0" w:line="240" w:lineRule="auto"/>
              <w:rPr>
                <w:rFonts w:eastAsia="Times New Roman" w:cs="Times New Roman"/>
                <w:color w:val="17365D"/>
                <w:sz w:val="18"/>
                <w:szCs w:val="18"/>
                <w:lang w:eastAsia="lv-LV"/>
              </w:rPr>
            </w:pPr>
            <w:r w:rsidRPr="00A27896">
              <w:rPr>
                <w:rFonts w:cs="Times New Roman"/>
                <w:b/>
                <w:bCs/>
                <w:color w:val="17365D"/>
                <w:sz w:val="18"/>
                <w:szCs w:val="18"/>
              </w:rPr>
              <w:t>Apgrozāmie līdzekļi</w:t>
            </w:r>
          </w:p>
        </w:tc>
        <w:tc>
          <w:tcPr>
            <w:tcW w:w="1296" w:type="dxa"/>
            <w:tcBorders>
              <w:top w:val="single" w:sz="4" w:space="0" w:color="auto"/>
              <w:left w:val="nil"/>
              <w:bottom w:val="single" w:sz="4" w:space="0" w:color="auto"/>
              <w:right w:val="nil"/>
            </w:tcBorders>
            <w:shd w:val="clear" w:color="auto" w:fill="auto"/>
            <w:vAlign w:val="center"/>
          </w:tcPr>
          <w:p w14:paraId="4E821B0E" w14:textId="5AACA08A" w:rsidR="00FD2772" w:rsidRPr="00A27896" w:rsidRDefault="00FD2772" w:rsidP="00FD2772">
            <w:pPr>
              <w:spacing w:after="0" w:line="240" w:lineRule="auto"/>
              <w:jc w:val="right"/>
              <w:rPr>
                <w:rFonts w:cs="Times New Roman"/>
                <w:b/>
                <w:bCs/>
                <w:color w:val="17365D"/>
                <w:sz w:val="18"/>
                <w:szCs w:val="18"/>
              </w:rPr>
            </w:pPr>
            <w:r>
              <w:rPr>
                <w:b/>
                <w:bCs/>
                <w:color w:val="17365D"/>
                <w:sz w:val="18"/>
                <w:szCs w:val="18"/>
              </w:rPr>
              <w:t>1 869 469</w:t>
            </w:r>
          </w:p>
        </w:tc>
        <w:tc>
          <w:tcPr>
            <w:tcW w:w="1340" w:type="dxa"/>
            <w:tcBorders>
              <w:top w:val="single" w:sz="4" w:space="0" w:color="auto"/>
              <w:left w:val="nil"/>
              <w:bottom w:val="single" w:sz="4" w:space="0" w:color="auto"/>
              <w:right w:val="nil"/>
            </w:tcBorders>
            <w:shd w:val="clear" w:color="auto" w:fill="auto"/>
            <w:vAlign w:val="center"/>
          </w:tcPr>
          <w:p w14:paraId="7054C538" w14:textId="2B97B8D5" w:rsidR="00FD2772" w:rsidRPr="00A27896" w:rsidRDefault="00FD2772" w:rsidP="00FD2772">
            <w:pPr>
              <w:spacing w:after="0" w:line="240" w:lineRule="auto"/>
              <w:jc w:val="right"/>
              <w:rPr>
                <w:rFonts w:cs="Times New Roman"/>
                <w:b/>
                <w:bCs/>
                <w:color w:val="17365D"/>
                <w:sz w:val="18"/>
                <w:szCs w:val="18"/>
              </w:rPr>
            </w:pPr>
            <w:r>
              <w:rPr>
                <w:b/>
                <w:bCs/>
                <w:color w:val="17365D"/>
                <w:sz w:val="18"/>
                <w:szCs w:val="18"/>
              </w:rPr>
              <w:t>35 258</w:t>
            </w:r>
          </w:p>
        </w:tc>
        <w:tc>
          <w:tcPr>
            <w:tcW w:w="1036" w:type="dxa"/>
            <w:tcBorders>
              <w:top w:val="single" w:sz="4" w:space="0" w:color="auto"/>
              <w:left w:val="nil"/>
              <w:bottom w:val="single" w:sz="4" w:space="0" w:color="auto"/>
              <w:right w:val="nil"/>
            </w:tcBorders>
            <w:shd w:val="clear" w:color="auto" w:fill="auto"/>
            <w:vAlign w:val="center"/>
          </w:tcPr>
          <w:p w14:paraId="7F1EED13" w14:textId="769A9007" w:rsidR="00FD2772" w:rsidRPr="00A27896" w:rsidRDefault="00FD2772" w:rsidP="00FD2772">
            <w:pPr>
              <w:spacing w:after="0" w:line="240" w:lineRule="auto"/>
              <w:jc w:val="right"/>
              <w:rPr>
                <w:rFonts w:cs="Times New Roman"/>
                <w:b/>
                <w:bCs/>
                <w:color w:val="17365D"/>
                <w:sz w:val="18"/>
                <w:szCs w:val="18"/>
              </w:rPr>
            </w:pPr>
            <w:r>
              <w:rPr>
                <w:b/>
                <w:bCs/>
                <w:color w:val="17365D"/>
                <w:sz w:val="18"/>
                <w:szCs w:val="18"/>
              </w:rPr>
              <w:t>24 051</w:t>
            </w:r>
          </w:p>
        </w:tc>
        <w:tc>
          <w:tcPr>
            <w:tcW w:w="1134" w:type="dxa"/>
            <w:tcBorders>
              <w:top w:val="single" w:sz="4" w:space="0" w:color="auto"/>
              <w:left w:val="nil"/>
              <w:bottom w:val="single" w:sz="4" w:space="0" w:color="auto"/>
              <w:right w:val="nil"/>
            </w:tcBorders>
            <w:shd w:val="clear" w:color="auto" w:fill="auto"/>
            <w:vAlign w:val="center"/>
          </w:tcPr>
          <w:p w14:paraId="6079FC4B" w14:textId="229455C7" w:rsidR="00FD2772" w:rsidRPr="00A27896" w:rsidRDefault="00FD2772" w:rsidP="00FD2772">
            <w:pPr>
              <w:spacing w:after="0" w:line="240" w:lineRule="auto"/>
              <w:jc w:val="right"/>
              <w:rPr>
                <w:rFonts w:cs="Times New Roman"/>
                <w:b/>
                <w:bCs/>
                <w:color w:val="17365D"/>
                <w:sz w:val="18"/>
                <w:szCs w:val="18"/>
              </w:rPr>
            </w:pPr>
            <w:r>
              <w:rPr>
                <w:b/>
                <w:bCs/>
                <w:color w:val="17365D"/>
                <w:sz w:val="18"/>
                <w:szCs w:val="18"/>
              </w:rPr>
              <w:t>16 208</w:t>
            </w:r>
          </w:p>
        </w:tc>
        <w:tc>
          <w:tcPr>
            <w:tcW w:w="1474" w:type="dxa"/>
            <w:tcBorders>
              <w:top w:val="single" w:sz="4" w:space="0" w:color="auto"/>
              <w:left w:val="nil"/>
              <w:bottom w:val="single" w:sz="4" w:space="0" w:color="auto"/>
              <w:right w:val="nil"/>
            </w:tcBorders>
            <w:shd w:val="clear" w:color="auto" w:fill="auto"/>
            <w:vAlign w:val="center"/>
          </w:tcPr>
          <w:p w14:paraId="42D0B5F8" w14:textId="2FAB893D" w:rsidR="00FD2772" w:rsidRPr="00A27896" w:rsidRDefault="00FD2772" w:rsidP="00FD2772">
            <w:pPr>
              <w:spacing w:after="0" w:line="240" w:lineRule="auto"/>
              <w:jc w:val="right"/>
              <w:rPr>
                <w:rFonts w:cs="Times New Roman"/>
                <w:b/>
                <w:bCs/>
                <w:color w:val="17365D"/>
                <w:sz w:val="18"/>
                <w:szCs w:val="18"/>
              </w:rPr>
            </w:pPr>
            <w:r>
              <w:rPr>
                <w:b/>
                <w:bCs/>
                <w:color w:val="17365D"/>
                <w:sz w:val="18"/>
                <w:szCs w:val="18"/>
              </w:rPr>
              <w:t>14 676</w:t>
            </w:r>
          </w:p>
        </w:tc>
        <w:tc>
          <w:tcPr>
            <w:tcW w:w="1134" w:type="dxa"/>
            <w:tcBorders>
              <w:top w:val="single" w:sz="4" w:space="0" w:color="17365D"/>
              <w:bottom w:val="single" w:sz="4" w:space="0" w:color="17365D"/>
            </w:tcBorders>
            <w:shd w:val="clear" w:color="auto" w:fill="auto"/>
            <w:vAlign w:val="center"/>
            <w:hideMark/>
          </w:tcPr>
          <w:p w14:paraId="5BE1B413" w14:textId="15FE88A2" w:rsidR="00FD2772" w:rsidRPr="00A27896" w:rsidRDefault="00FD2772" w:rsidP="00FD2772">
            <w:pPr>
              <w:spacing w:after="0" w:line="240" w:lineRule="auto"/>
              <w:jc w:val="right"/>
              <w:rPr>
                <w:rFonts w:eastAsia="Times New Roman" w:cs="Times New Roman"/>
                <w:color w:val="17365D"/>
                <w:sz w:val="18"/>
                <w:szCs w:val="18"/>
                <w:lang w:eastAsia="lv-LV"/>
              </w:rPr>
            </w:pPr>
            <w:r w:rsidRPr="00A27896">
              <w:rPr>
                <w:rFonts w:cs="Times New Roman"/>
                <w:b/>
                <w:bCs/>
                <w:color w:val="17365D"/>
                <w:sz w:val="18"/>
                <w:szCs w:val="18"/>
              </w:rPr>
              <w:t>0</w:t>
            </w:r>
          </w:p>
        </w:tc>
      </w:tr>
      <w:tr w:rsidR="00FD2772" w:rsidRPr="00A27896" w14:paraId="749FAE68" w14:textId="77777777" w:rsidTr="001231AF">
        <w:trPr>
          <w:trHeight w:val="111"/>
        </w:trPr>
        <w:tc>
          <w:tcPr>
            <w:tcW w:w="1942" w:type="dxa"/>
            <w:tcBorders>
              <w:top w:val="single" w:sz="4" w:space="0" w:color="17365D"/>
              <w:bottom w:val="single" w:sz="4" w:space="0" w:color="17365D"/>
            </w:tcBorders>
            <w:shd w:val="clear" w:color="auto" w:fill="auto"/>
            <w:vAlign w:val="center"/>
            <w:hideMark/>
          </w:tcPr>
          <w:p w14:paraId="55EA8E20" w14:textId="60CC6DB7" w:rsidR="00FD2772" w:rsidRPr="00A27896" w:rsidRDefault="00FD2772" w:rsidP="00FD2772">
            <w:pPr>
              <w:spacing w:after="0" w:line="240" w:lineRule="auto"/>
              <w:rPr>
                <w:rFonts w:eastAsia="Times New Roman" w:cs="Times New Roman"/>
                <w:color w:val="17365D"/>
                <w:sz w:val="18"/>
                <w:szCs w:val="18"/>
                <w:lang w:eastAsia="lv-LV"/>
              </w:rPr>
            </w:pPr>
            <w:r w:rsidRPr="00A27896">
              <w:rPr>
                <w:rFonts w:cs="Times New Roman"/>
                <w:color w:val="17365D"/>
                <w:sz w:val="18"/>
                <w:szCs w:val="18"/>
              </w:rPr>
              <w:t>Inventārs</w:t>
            </w:r>
          </w:p>
        </w:tc>
        <w:tc>
          <w:tcPr>
            <w:tcW w:w="1296" w:type="dxa"/>
            <w:tcBorders>
              <w:top w:val="single" w:sz="4" w:space="0" w:color="auto"/>
              <w:left w:val="nil"/>
              <w:bottom w:val="single" w:sz="4" w:space="0" w:color="auto"/>
              <w:right w:val="nil"/>
            </w:tcBorders>
            <w:shd w:val="clear" w:color="auto" w:fill="auto"/>
            <w:vAlign w:val="center"/>
          </w:tcPr>
          <w:p w14:paraId="225B4EA6" w14:textId="62BCA9BF" w:rsidR="00FD2772" w:rsidRPr="00A27896" w:rsidRDefault="00FD2772" w:rsidP="00FD2772">
            <w:pPr>
              <w:spacing w:after="0" w:line="240" w:lineRule="auto"/>
              <w:jc w:val="right"/>
              <w:rPr>
                <w:rFonts w:cs="Times New Roman"/>
                <w:color w:val="17365D"/>
                <w:sz w:val="18"/>
                <w:szCs w:val="18"/>
              </w:rPr>
            </w:pPr>
            <w:r>
              <w:rPr>
                <w:color w:val="17365D"/>
                <w:sz w:val="18"/>
                <w:szCs w:val="18"/>
              </w:rPr>
              <w:t>1 869 469</w:t>
            </w:r>
          </w:p>
        </w:tc>
        <w:tc>
          <w:tcPr>
            <w:tcW w:w="1340" w:type="dxa"/>
            <w:tcBorders>
              <w:top w:val="single" w:sz="4" w:space="0" w:color="auto"/>
              <w:left w:val="nil"/>
              <w:bottom w:val="single" w:sz="4" w:space="0" w:color="auto"/>
              <w:right w:val="nil"/>
            </w:tcBorders>
            <w:shd w:val="clear" w:color="auto" w:fill="auto"/>
            <w:vAlign w:val="center"/>
          </w:tcPr>
          <w:p w14:paraId="23E4F4CC" w14:textId="7AC8F440" w:rsidR="00FD2772" w:rsidRPr="00A27896" w:rsidRDefault="00FD2772" w:rsidP="00FD2772">
            <w:pPr>
              <w:spacing w:after="0" w:line="240" w:lineRule="auto"/>
              <w:jc w:val="right"/>
              <w:rPr>
                <w:rFonts w:cs="Times New Roman"/>
                <w:color w:val="17365D"/>
                <w:sz w:val="18"/>
                <w:szCs w:val="18"/>
              </w:rPr>
            </w:pPr>
            <w:r>
              <w:rPr>
                <w:color w:val="17365D"/>
                <w:sz w:val="18"/>
                <w:szCs w:val="18"/>
              </w:rPr>
              <w:t>35 258</w:t>
            </w:r>
          </w:p>
        </w:tc>
        <w:tc>
          <w:tcPr>
            <w:tcW w:w="1036" w:type="dxa"/>
            <w:tcBorders>
              <w:top w:val="single" w:sz="4" w:space="0" w:color="auto"/>
              <w:left w:val="nil"/>
              <w:bottom w:val="single" w:sz="4" w:space="0" w:color="auto"/>
              <w:right w:val="nil"/>
            </w:tcBorders>
            <w:shd w:val="clear" w:color="auto" w:fill="auto"/>
            <w:vAlign w:val="center"/>
          </w:tcPr>
          <w:p w14:paraId="218FFC52" w14:textId="0A4F42B9" w:rsidR="00FD2772" w:rsidRPr="00A27896" w:rsidRDefault="00FD2772" w:rsidP="00FD2772">
            <w:pPr>
              <w:spacing w:after="0" w:line="240" w:lineRule="auto"/>
              <w:jc w:val="right"/>
              <w:rPr>
                <w:rFonts w:cs="Times New Roman"/>
                <w:color w:val="17365D"/>
                <w:sz w:val="18"/>
                <w:szCs w:val="18"/>
              </w:rPr>
            </w:pPr>
            <w:r>
              <w:rPr>
                <w:color w:val="17365D"/>
                <w:sz w:val="18"/>
                <w:szCs w:val="18"/>
              </w:rPr>
              <w:t>24 051</w:t>
            </w:r>
          </w:p>
        </w:tc>
        <w:tc>
          <w:tcPr>
            <w:tcW w:w="1134" w:type="dxa"/>
            <w:tcBorders>
              <w:top w:val="single" w:sz="4" w:space="0" w:color="auto"/>
              <w:left w:val="nil"/>
              <w:bottom w:val="single" w:sz="4" w:space="0" w:color="auto"/>
              <w:right w:val="nil"/>
            </w:tcBorders>
            <w:shd w:val="clear" w:color="auto" w:fill="auto"/>
            <w:vAlign w:val="center"/>
          </w:tcPr>
          <w:p w14:paraId="2BCF90D6" w14:textId="1DBF7645" w:rsidR="00FD2772" w:rsidRPr="00A27896" w:rsidRDefault="00FD2772" w:rsidP="00FD2772">
            <w:pPr>
              <w:spacing w:after="0" w:line="240" w:lineRule="auto"/>
              <w:jc w:val="right"/>
              <w:rPr>
                <w:rFonts w:cs="Times New Roman"/>
                <w:color w:val="17365D"/>
                <w:sz w:val="18"/>
                <w:szCs w:val="18"/>
              </w:rPr>
            </w:pPr>
            <w:r>
              <w:rPr>
                <w:color w:val="17365D"/>
                <w:sz w:val="18"/>
                <w:szCs w:val="18"/>
              </w:rPr>
              <w:t>16 208</w:t>
            </w:r>
          </w:p>
        </w:tc>
        <w:tc>
          <w:tcPr>
            <w:tcW w:w="1474" w:type="dxa"/>
            <w:tcBorders>
              <w:top w:val="single" w:sz="4" w:space="0" w:color="auto"/>
              <w:left w:val="nil"/>
              <w:bottom w:val="single" w:sz="4" w:space="0" w:color="auto"/>
              <w:right w:val="nil"/>
            </w:tcBorders>
            <w:shd w:val="clear" w:color="auto" w:fill="auto"/>
            <w:vAlign w:val="center"/>
          </w:tcPr>
          <w:p w14:paraId="54F41A50" w14:textId="5528FE58" w:rsidR="00FD2772" w:rsidRPr="00A27896" w:rsidRDefault="00FD2772" w:rsidP="00FD2772">
            <w:pPr>
              <w:spacing w:after="0" w:line="240" w:lineRule="auto"/>
              <w:jc w:val="right"/>
              <w:rPr>
                <w:rFonts w:cs="Times New Roman"/>
                <w:color w:val="17365D"/>
                <w:sz w:val="18"/>
                <w:szCs w:val="18"/>
              </w:rPr>
            </w:pPr>
            <w:r>
              <w:rPr>
                <w:color w:val="17365D"/>
                <w:sz w:val="18"/>
                <w:szCs w:val="18"/>
              </w:rPr>
              <w:t>14 676</w:t>
            </w:r>
          </w:p>
        </w:tc>
        <w:tc>
          <w:tcPr>
            <w:tcW w:w="1134" w:type="dxa"/>
            <w:tcBorders>
              <w:top w:val="single" w:sz="4" w:space="0" w:color="17365D"/>
              <w:bottom w:val="single" w:sz="4" w:space="0" w:color="17365D"/>
            </w:tcBorders>
            <w:shd w:val="clear" w:color="auto" w:fill="auto"/>
            <w:vAlign w:val="center"/>
            <w:hideMark/>
          </w:tcPr>
          <w:p w14:paraId="33A24E39" w14:textId="49A2F9ED" w:rsidR="00FD2772" w:rsidRPr="00A27896" w:rsidRDefault="00FD2772" w:rsidP="00FD2772">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0C1009" w:rsidRPr="00A27896" w14:paraId="1E763144" w14:textId="77777777" w:rsidTr="001231AF">
        <w:trPr>
          <w:trHeight w:val="60"/>
        </w:trPr>
        <w:tc>
          <w:tcPr>
            <w:tcW w:w="1942" w:type="dxa"/>
            <w:tcBorders>
              <w:top w:val="single" w:sz="4" w:space="0" w:color="17365D"/>
              <w:bottom w:val="nil"/>
            </w:tcBorders>
            <w:shd w:val="clear" w:color="000000" w:fill="B9CDE5"/>
            <w:vAlign w:val="center"/>
            <w:hideMark/>
          </w:tcPr>
          <w:p w14:paraId="3588C284" w14:textId="77777777" w:rsidR="006F7CBB" w:rsidRPr="00A27896" w:rsidRDefault="006F7CBB" w:rsidP="006F7CB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296" w:type="dxa"/>
            <w:tcBorders>
              <w:top w:val="single" w:sz="4" w:space="0" w:color="auto"/>
              <w:bottom w:val="nil"/>
            </w:tcBorders>
            <w:shd w:val="clear" w:color="000000" w:fill="B9CDE5"/>
            <w:vAlign w:val="center"/>
            <w:hideMark/>
          </w:tcPr>
          <w:p w14:paraId="5A9B0889" w14:textId="77777777" w:rsidR="006F7CBB" w:rsidRPr="00A27896" w:rsidRDefault="006F7CBB" w:rsidP="006F7CBB">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340" w:type="dxa"/>
            <w:tcBorders>
              <w:top w:val="single" w:sz="4" w:space="0" w:color="auto"/>
              <w:bottom w:val="nil"/>
            </w:tcBorders>
            <w:shd w:val="clear" w:color="000000" w:fill="B9CDE5"/>
            <w:noWrap/>
            <w:vAlign w:val="center"/>
            <w:hideMark/>
          </w:tcPr>
          <w:p w14:paraId="08A34DA9" w14:textId="77777777" w:rsidR="006F7CBB" w:rsidRPr="00A27896" w:rsidRDefault="006F7CBB" w:rsidP="006F7CBB">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036" w:type="dxa"/>
            <w:tcBorders>
              <w:top w:val="single" w:sz="4" w:space="0" w:color="auto"/>
              <w:bottom w:val="nil"/>
            </w:tcBorders>
            <w:shd w:val="clear" w:color="000000" w:fill="B9CDE5"/>
            <w:noWrap/>
            <w:vAlign w:val="center"/>
            <w:hideMark/>
          </w:tcPr>
          <w:p w14:paraId="7BE6F05B"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auto"/>
              <w:bottom w:val="nil"/>
            </w:tcBorders>
            <w:shd w:val="clear" w:color="000000" w:fill="B9CDE5"/>
            <w:noWrap/>
            <w:vAlign w:val="center"/>
            <w:hideMark/>
          </w:tcPr>
          <w:p w14:paraId="659FDA74"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474" w:type="dxa"/>
            <w:tcBorders>
              <w:top w:val="single" w:sz="4" w:space="0" w:color="auto"/>
              <w:bottom w:val="nil"/>
            </w:tcBorders>
            <w:shd w:val="clear" w:color="000000" w:fill="B9CDE5"/>
            <w:noWrap/>
            <w:vAlign w:val="center"/>
            <w:hideMark/>
          </w:tcPr>
          <w:p w14:paraId="408C76AC"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134" w:type="dxa"/>
            <w:tcBorders>
              <w:top w:val="single" w:sz="4" w:space="0" w:color="17365D"/>
              <w:bottom w:val="nil"/>
            </w:tcBorders>
            <w:shd w:val="clear" w:color="000000" w:fill="B9CDE5"/>
            <w:noWrap/>
            <w:vAlign w:val="center"/>
            <w:hideMark/>
          </w:tcPr>
          <w:p w14:paraId="67B178DA" w14:textId="77777777" w:rsidR="006F7CBB" w:rsidRPr="00A27896" w:rsidRDefault="006F7CBB" w:rsidP="006F7CBB">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3C4B0671" w14:textId="05032393" w:rsidR="00735C41" w:rsidRPr="00A27896" w:rsidRDefault="00735C41" w:rsidP="00572E7A">
      <w:pPr>
        <w:pStyle w:val="Heading4"/>
        <w:spacing w:line="240" w:lineRule="auto"/>
        <w:jc w:val="both"/>
        <w:rPr>
          <w:rFonts w:cs="Times New Roman"/>
        </w:rPr>
      </w:pPr>
      <w:r w:rsidRPr="00A27896">
        <w:rPr>
          <w:rFonts w:cs="Times New Roman"/>
        </w:rPr>
        <w:t xml:space="preserve">Piezīme Nr. V5. </w:t>
      </w:r>
      <w:r w:rsidR="005D56E1" w:rsidRPr="00A27896">
        <w:rPr>
          <w:rFonts w:cs="Times New Roman"/>
        </w:rPr>
        <w:t>Valsts ieņēmumu dienesta administrēto nodokļu, nodevu un citu tā administrēto uz valsts budžetu attiecināmu maksājumu rezultāts</w:t>
      </w:r>
    </w:p>
    <w:p w14:paraId="673F9353" w14:textId="199F2F0E" w:rsidR="008B1A32" w:rsidRPr="00A27896" w:rsidRDefault="008B1A32" w:rsidP="00572E7A">
      <w:pPr>
        <w:pStyle w:val="Pamatteksts1"/>
        <w:ind w:firstLine="284"/>
        <w:rPr>
          <w:rFonts w:eastAsiaTheme="minorHAnsi"/>
          <w:color w:val="17365D"/>
          <w:lang w:eastAsia="en-US"/>
        </w:rPr>
      </w:pPr>
      <w:r w:rsidRPr="00A27896">
        <w:rPr>
          <w:rFonts w:eastAsiaTheme="minorHAnsi"/>
          <w:color w:val="17365D"/>
          <w:lang w:eastAsia="en-US"/>
        </w:rPr>
        <w:t xml:space="preserve">Pārskata gada beigās nodokļu prasību bruto summa ir </w:t>
      </w:r>
      <w:r w:rsidR="00920C94" w:rsidRPr="00920C94">
        <w:rPr>
          <w:rFonts w:eastAsia="Calibri"/>
          <w:noProof w:val="0"/>
          <w:color w:val="17365D"/>
          <w:szCs w:val="22"/>
          <w:lang w:eastAsia="en-US"/>
        </w:rPr>
        <w:t>2 005 083</w:t>
      </w:r>
      <w:r w:rsidR="00920C94">
        <w:rPr>
          <w:rFonts w:eastAsia="Calibri"/>
          <w:noProof w:val="0"/>
          <w:color w:val="17365D"/>
          <w:szCs w:val="22"/>
          <w:lang w:eastAsia="en-US"/>
        </w:rPr>
        <w:t> </w:t>
      </w:r>
      <w:r w:rsidR="00920C94" w:rsidRPr="00920C94">
        <w:rPr>
          <w:rFonts w:eastAsia="Calibri"/>
          <w:noProof w:val="0"/>
          <w:color w:val="17365D"/>
          <w:szCs w:val="22"/>
          <w:lang w:eastAsia="en-US"/>
        </w:rPr>
        <w:t>895</w:t>
      </w:r>
      <w:r w:rsidR="00920C94">
        <w:rPr>
          <w:rFonts w:eastAsia="Calibri"/>
          <w:noProof w:val="0"/>
          <w:color w:val="17365D"/>
          <w:szCs w:val="22"/>
          <w:lang w:eastAsia="en-US"/>
        </w:rPr>
        <w:t xml:space="preserve"> </w:t>
      </w:r>
      <w:r w:rsidRPr="00A27896">
        <w:rPr>
          <w:rFonts w:eastAsiaTheme="minorHAnsi"/>
          <w:i/>
          <w:color w:val="17365D"/>
          <w:lang w:eastAsia="en-US"/>
        </w:rPr>
        <w:t>euro</w:t>
      </w:r>
      <w:r w:rsidRPr="00A27896">
        <w:rPr>
          <w:rFonts w:eastAsiaTheme="minorHAnsi"/>
          <w:color w:val="17365D"/>
          <w:lang w:eastAsia="en-US"/>
        </w:rPr>
        <w:t xml:space="preserve">, bet nodokļu </w:t>
      </w:r>
      <w:r w:rsidR="0014394B" w:rsidRPr="00A27896">
        <w:rPr>
          <w:rFonts w:eastAsiaTheme="minorHAnsi"/>
          <w:color w:val="17365D"/>
          <w:lang w:eastAsia="en-US"/>
        </w:rPr>
        <w:t xml:space="preserve">saistību summa ir </w:t>
      </w:r>
      <w:r w:rsidR="00920C94" w:rsidRPr="00920C94">
        <w:rPr>
          <w:rFonts w:eastAsiaTheme="minorHAnsi"/>
          <w:color w:val="17365D"/>
          <w:lang w:eastAsia="en-US"/>
        </w:rPr>
        <w:t>844</w:t>
      </w:r>
      <w:r w:rsidR="00920C94">
        <w:rPr>
          <w:rFonts w:eastAsiaTheme="minorHAnsi"/>
          <w:color w:val="17365D"/>
          <w:lang w:eastAsia="en-US"/>
        </w:rPr>
        <w:t> </w:t>
      </w:r>
      <w:r w:rsidR="00920C94" w:rsidRPr="00920C94">
        <w:rPr>
          <w:rFonts w:eastAsiaTheme="minorHAnsi"/>
          <w:color w:val="17365D"/>
          <w:lang w:eastAsia="en-US"/>
        </w:rPr>
        <w:t>147</w:t>
      </w:r>
      <w:r w:rsidR="00920C94">
        <w:rPr>
          <w:rFonts w:eastAsiaTheme="minorHAnsi"/>
          <w:color w:val="17365D"/>
          <w:lang w:eastAsia="en-US"/>
        </w:rPr>
        <w:t> </w:t>
      </w:r>
      <w:r w:rsidR="00920C94" w:rsidRPr="00920C94">
        <w:rPr>
          <w:rFonts w:eastAsiaTheme="minorHAnsi"/>
          <w:color w:val="17365D"/>
          <w:lang w:eastAsia="en-US"/>
        </w:rPr>
        <w:t>812</w:t>
      </w:r>
      <w:r w:rsidR="00920C94">
        <w:rPr>
          <w:rFonts w:eastAsiaTheme="minorHAnsi"/>
          <w:color w:val="17365D"/>
          <w:lang w:eastAsia="en-US"/>
        </w:rPr>
        <w:t xml:space="preserve"> </w:t>
      </w:r>
      <w:r w:rsidRPr="00A27896">
        <w:rPr>
          <w:rFonts w:eastAsiaTheme="minorHAnsi"/>
          <w:i/>
          <w:color w:val="17365D"/>
          <w:lang w:eastAsia="en-US"/>
        </w:rPr>
        <w:t>euro</w:t>
      </w:r>
      <w:r w:rsidRPr="00A27896">
        <w:rPr>
          <w:rFonts w:eastAsiaTheme="minorHAnsi"/>
          <w:color w:val="17365D"/>
          <w:lang w:eastAsia="en-US"/>
        </w:rPr>
        <w:t>, kas veido lielāko daļu no valsts budžeta ieņēmumu prasībām un saistībām.</w:t>
      </w:r>
    </w:p>
    <w:p w14:paraId="496FFAC5" w14:textId="45FF6660" w:rsidR="00FF42D5" w:rsidRPr="00A27896" w:rsidRDefault="008B1A32" w:rsidP="00572E7A">
      <w:pPr>
        <w:pStyle w:val="Pamatteksts1"/>
        <w:ind w:firstLine="284"/>
        <w:rPr>
          <w:rFonts w:eastAsiaTheme="minorHAnsi"/>
          <w:color w:val="17365D"/>
          <w:lang w:eastAsia="en-US"/>
        </w:rPr>
      </w:pPr>
      <w:r w:rsidRPr="00A27896">
        <w:rPr>
          <w:rFonts w:eastAsiaTheme="minorHAnsi"/>
          <w:color w:val="17365D"/>
          <w:lang w:eastAsia="en-US"/>
        </w:rPr>
        <w:t>Nodokļu prasību kopsumma pret nodokļu maksātājiem,</w:t>
      </w:r>
      <w:r w:rsidR="00FF42D5" w:rsidRPr="00A27896">
        <w:rPr>
          <w:rFonts w:eastAsiaTheme="minorHAnsi"/>
          <w:color w:val="17365D"/>
          <w:lang w:eastAsia="en-US"/>
        </w:rPr>
        <w:t xml:space="preserve"> pret</w:t>
      </w:r>
      <w:r w:rsidRPr="00A27896">
        <w:rPr>
          <w:rFonts w:eastAsiaTheme="minorHAnsi"/>
          <w:color w:val="17365D"/>
          <w:lang w:eastAsia="en-US"/>
        </w:rPr>
        <w:t xml:space="preserve"> kur</w:t>
      </w:r>
      <w:r w:rsidR="00FF42D5" w:rsidRPr="00A27896">
        <w:rPr>
          <w:rFonts w:eastAsiaTheme="minorHAnsi"/>
          <w:color w:val="17365D"/>
          <w:lang w:eastAsia="en-US"/>
        </w:rPr>
        <w:t>iem</w:t>
      </w:r>
      <w:r w:rsidRPr="00A27896">
        <w:rPr>
          <w:rFonts w:eastAsiaTheme="minorHAnsi"/>
          <w:color w:val="17365D"/>
          <w:lang w:eastAsia="en-US"/>
        </w:rPr>
        <w:t xml:space="preserve"> prasības apjoms pārsniedz 1 mlj. </w:t>
      </w:r>
      <w:r w:rsidR="00FF42D5" w:rsidRPr="00A27896">
        <w:rPr>
          <w:rFonts w:eastAsiaTheme="minorHAnsi"/>
          <w:i/>
          <w:color w:val="17365D"/>
          <w:lang w:eastAsia="en-US"/>
        </w:rPr>
        <w:t>e</w:t>
      </w:r>
      <w:r w:rsidRPr="00A27896">
        <w:rPr>
          <w:rFonts w:eastAsiaTheme="minorHAnsi"/>
          <w:i/>
          <w:color w:val="17365D"/>
          <w:lang w:eastAsia="en-US"/>
        </w:rPr>
        <w:t>uro</w:t>
      </w:r>
      <w:r w:rsidRPr="00A27896">
        <w:rPr>
          <w:rFonts w:eastAsiaTheme="minorHAnsi"/>
          <w:color w:val="17365D"/>
          <w:lang w:eastAsia="en-US"/>
        </w:rPr>
        <w:t xml:space="preserve">, </w:t>
      </w:r>
      <w:r w:rsidR="00FF42D5" w:rsidRPr="00A27896">
        <w:rPr>
          <w:rFonts w:eastAsiaTheme="minorHAnsi"/>
          <w:color w:val="17365D"/>
          <w:lang w:eastAsia="en-US"/>
        </w:rPr>
        <w:t xml:space="preserve">ir </w:t>
      </w:r>
      <w:r w:rsidR="000D2E21">
        <w:rPr>
          <w:rFonts w:eastAsia="Calibri"/>
          <w:noProof w:val="0"/>
          <w:color w:val="17365D"/>
          <w:szCs w:val="22"/>
          <w:lang w:eastAsia="en-US"/>
        </w:rPr>
        <w:t>300 402</w:t>
      </w:r>
      <w:r w:rsidR="000D2E21">
        <w:rPr>
          <w:lang w:eastAsia="en-US"/>
        </w:rPr>
        <w:t> </w:t>
      </w:r>
      <w:r w:rsidR="000D2E21">
        <w:rPr>
          <w:rFonts w:eastAsia="Calibri"/>
          <w:noProof w:val="0"/>
          <w:color w:val="17365D"/>
          <w:szCs w:val="22"/>
          <w:lang w:eastAsia="en-US"/>
        </w:rPr>
        <w:t>598</w:t>
      </w:r>
      <w:r w:rsidR="000D2E21" w:rsidRPr="006931A9">
        <w:rPr>
          <w:rFonts w:eastAsia="Calibri"/>
          <w:noProof w:val="0"/>
          <w:color w:val="17365D"/>
          <w:szCs w:val="22"/>
          <w:lang w:eastAsia="en-US"/>
        </w:rPr>
        <w:t xml:space="preserve"> </w:t>
      </w:r>
      <w:r w:rsidR="00FF42D5" w:rsidRPr="00A27896">
        <w:rPr>
          <w:rFonts w:eastAsiaTheme="minorHAnsi"/>
          <w:i/>
          <w:color w:val="17365D"/>
          <w:lang w:eastAsia="en-US"/>
        </w:rPr>
        <w:t>euro</w:t>
      </w:r>
      <w:r w:rsidR="00FF42D5" w:rsidRPr="00A27896">
        <w:rPr>
          <w:rFonts w:eastAsiaTheme="minorHAnsi"/>
          <w:color w:val="17365D"/>
          <w:lang w:eastAsia="en-US"/>
        </w:rPr>
        <w:t>.</w:t>
      </w:r>
      <w:r w:rsidRPr="00A27896">
        <w:rPr>
          <w:rFonts w:eastAsiaTheme="minorHAnsi"/>
          <w:color w:val="17365D"/>
          <w:lang w:eastAsia="en-US"/>
        </w:rPr>
        <w:t xml:space="preserve"> </w:t>
      </w:r>
      <w:r w:rsidR="00FF42D5" w:rsidRPr="00A27896">
        <w:rPr>
          <w:rFonts w:eastAsiaTheme="minorHAnsi"/>
          <w:color w:val="17365D"/>
          <w:lang w:eastAsia="en-US"/>
        </w:rPr>
        <w:t>Lielākā daļa nodokļu prasību apmaksas termiņš ir viena gada laikā pēc bilances datuma.</w:t>
      </w:r>
    </w:p>
    <w:p w14:paraId="2B038FCB" w14:textId="2C69F587" w:rsidR="00735C41" w:rsidRPr="00A27896" w:rsidRDefault="00FF42D5" w:rsidP="00572E7A">
      <w:pPr>
        <w:pStyle w:val="Pamatteksts1"/>
        <w:ind w:firstLine="284"/>
        <w:rPr>
          <w:rFonts w:eastAsiaTheme="minorHAnsi"/>
          <w:color w:val="17365D"/>
          <w:lang w:eastAsia="en-US"/>
        </w:rPr>
      </w:pPr>
      <w:r w:rsidRPr="00A27896">
        <w:rPr>
          <w:rFonts w:eastAsiaTheme="minorHAnsi"/>
          <w:color w:val="17365D"/>
          <w:lang w:eastAsia="en-US"/>
        </w:rPr>
        <w:t>D</w:t>
      </w:r>
      <w:r w:rsidR="008B1A32" w:rsidRPr="00A27896">
        <w:rPr>
          <w:rFonts w:eastAsiaTheme="minorHAnsi"/>
          <w:color w:val="17365D"/>
          <w:lang w:eastAsia="en-US"/>
        </w:rPr>
        <w:t>etalizēta informācija par nodokļu prasību sadalījumu atbilstoši apmaksas termiņiem, nodokļu prasību struktūras izmaiņām un prasībām, kas pārsniedz 1 000 000 </w:t>
      </w:r>
      <w:r w:rsidR="008B1A32" w:rsidRPr="00A27896">
        <w:rPr>
          <w:rFonts w:eastAsiaTheme="minorHAnsi"/>
          <w:i/>
          <w:color w:val="17365D"/>
          <w:lang w:eastAsia="en-US"/>
        </w:rPr>
        <w:t>euro</w:t>
      </w:r>
      <w:r w:rsidR="008B1A32" w:rsidRPr="00A27896">
        <w:rPr>
          <w:rFonts w:eastAsiaTheme="minorHAnsi"/>
          <w:color w:val="17365D"/>
          <w:lang w:eastAsia="en-US"/>
        </w:rPr>
        <w:t xml:space="preserve">, </w:t>
      </w:r>
      <w:r w:rsidRPr="00A27896">
        <w:rPr>
          <w:rFonts w:eastAsiaTheme="minorHAnsi"/>
          <w:color w:val="17365D"/>
          <w:lang w:eastAsia="en-US"/>
        </w:rPr>
        <w:t xml:space="preserve">ir pieejama </w:t>
      </w:r>
      <w:r w:rsidR="00B814D6" w:rsidRPr="00A27896">
        <w:rPr>
          <w:rFonts w:eastAsiaTheme="minorHAnsi"/>
          <w:color w:val="17365D"/>
          <w:lang w:eastAsia="en-US"/>
        </w:rPr>
        <w:t xml:space="preserve">Valsts kases </w:t>
      </w:r>
      <w:r w:rsidR="00B814D6" w:rsidRPr="00A27896">
        <w:rPr>
          <w:rFonts w:eastAsiaTheme="minorHAnsi"/>
          <w:color w:val="17365D"/>
          <w:lang w:eastAsia="en-US"/>
        </w:rPr>
        <w:lastRenderedPageBreak/>
        <w:t>tīmekļvietnē sadaļā “Pārskati un tāmes</w:t>
      </w:r>
      <w:r w:rsidR="00B814D6" w:rsidRPr="00A27896">
        <w:rPr>
          <w:rFonts w:eastAsiaTheme="minorHAnsi"/>
          <w:noProof w:val="0"/>
          <w:color w:val="17365D"/>
          <w:lang w:eastAsia="en-US"/>
        </w:rPr>
        <w:t>”</w:t>
      </w:r>
      <w:r w:rsidR="0014394B" w:rsidRPr="00A27896">
        <w:rPr>
          <w:rFonts w:eastAsiaTheme="minorHAnsi"/>
          <w:noProof w:val="0"/>
          <w:color w:val="17365D"/>
          <w:lang w:eastAsia="en-US"/>
        </w:rPr>
        <w:t xml:space="preserve"> </w:t>
      </w:r>
      <w:r w:rsidR="00D9706D" w:rsidRPr="00A27896">
        <w:rPr>
          <w:rFonts w:eastAsiaTheme="minorHAnsi"/>
          <w:noProof w:val="0"/>
          <w:color w:val="17365D"/>
          <w:lang w:eastAsia="en-US"/>
        </w:rPr>
        <w:sym w:font="Wingdings" w:char="F0E0"/>
      </w:r>
      <w:r w:rsidR="0014394B" w:rsidRPr="00A27896">
        <w:rPr>
          <w:rFonts w:eastAsiaTheme="minorHAnsi"/>
          <w:noProof w:val="0"/>
          <w:color w:val="17365D"/>
          <w:lang w:eastAsia="en-US"/>
        </w:rPr>
        <w:t xml:space="preserve"> </w:t>
      </w:r>
      <w:r w:rsidR="00B814D6" w:rsidRPr="00A27896">
        <w:rPr>
          <w:rFonts w:eastAsiaTheme="minorHAnsi"/>
          <w:color w:val="17365D"/>
          <w:lang w:eastAsia="en-US"/>
        </w:rPr>
        <w:t>Latvijas Republikas gada pārskats</w:t>
      </w:r>
      <w:r w:rsidR="00D9706D" w:rsidRPr="00A27896">
        <w:rPr>
          <w:rFonts w:eastAsiaTheme="minorHAnsi"/>
          <w:noProof w:val="0"/>
          <w:color w:val="17365D"/>
          <w:lang w:eastAsia="en-US"/>
        </w:rPr>
        <w:sym w:font="Wingdings" w:char="F0E0"/>
      </w:r>
      <w:r w:rsidR="0014394B" w:rsidRPr="00A27896">
        <w:rPr>
          <w:rFonts w:eastAsiaTheme="minorHAnsi"/>
          <w:noProof w:val="0"/>
          <w:color w:val="17365D"/>
          <w:lang w:eastAsia="en-US"/>
        </w:rPr>
        <w:t xml:space="preserve"> </w:t>
      </w:r>
      <w:r w:rsidR="00F41931" w:rsidRPr="00A27896">
        <w:rPr>
          <w:rFonts w:eastAsiaTheme="minorHAnsi"/>
          <w:noProof w:val="0"/>
          <w:color w:val="17365D"/>
          <w:lang w:eastAsia="en-US"/>
        </w:rPr>
        <w:t>202</w:t>
      </w:r>
      <w:r w:rsidR="00581E58">
        <w:rPr>
          <w:rFonts w:eastAsiaTheme="minorHAnsi"/>
          <w:noProof w:val="0"/>
          <w:color w:val="17365D"/>
          <w:lang w:eastAsia="en-US"/>
        </w:rPr>
        <w:t>3</w:t>
      </w:r>
      <w:r w:rsidR="000C1009" w:rsidRPr="00A27896">
        <w:rPr>
          <w:rFonts w:eastAsiaTheme="minorHAnsi"/>
          <w:noProof w:val="0"/>
          <w:color w:val="17365D"/>
          <w:lang w:eastAsia="en-US"/>
        </w:rPr>
        <w:t>. gad</w:t>
      </w:r>
      <w:r w:rsidR="0014394B" w:rsidRPr="00A27896">
        <w:rPr>
          <w:rFonts w:eastAsiaTheme="minorHAnsi"/>
          <w:noProof w:val="0"/>
          <w:color w:val="17365D"/>
          <w:lang w:eastAsia="en-US"/>
        </w:rPr>
        <w:t xml:space="preserve">a pārskats </w:t>
      </w:r>
      <w:r w:rsidR="0014394B" w:rsidRPr="00A27896">
        <w:rPr>
          <w:rFonts w:eastAsiaTheme="minorHAnsi"/>
          <w:noProof w:val="0"/>
          <w:color w:val="17365D"/>
          <w:lang w:eastAsia="en-US"/>
        </w:rPr>
        <w:sym w:font="Wingdings" w:char="F0E0"/>
      </w:r>
      <w:r w:rsidR="0014394B" w:rsidRPr="00A27896">
        <w:rPr>
          <w:rFonts w:eastAsiaTheme="minorHAnsi"/>
          <w:noProof w:val="0"/>
          <w:color w:val="17365D"/>
          <w:lang w:eastAsia="en-US"/>
        </w:rPr>
        <w:t xml:space="preserve"> </w:t>
      </w:r>
      <w:r w:rsidR="00B814D6" w:rsidRPr="00A27896">
        <w:rPr>
          <w:rFonts w:eastAsiaTheme="minorHAnsi"/>
          <w:color w:val="17365D"/>
          <w:lang w:eastAsia="en-US"/>
        </w:rPr>
        <w:t>ePārskatu informācija</w:t>
      </w:r>
      <w:r w:rsidR="0014394B" w:rsidRPr="00A27896">
        <w:rPr>
          <w:rFonts w:eastAsiaTheme="minorHAnsi"/>
          <w:color w:val="17365D"/>
          <w:lang w:eastAsia="en-US"/>
        </w:rPr>
        <w:t xml:space="preserve"> </w:t>
      </w:r>
      <w:r w:rsidR="00D9706D" w:rsidRPr="00A27896">
        <w:rPr>
          <w:rFonts w:eastAsiaTheme="minorHAnsi"/>
          <w:noProof w:val="0"/>
          <w:color w:val="17365D"/>
          <w:lang w:eastAsia="en-US"/>
        </w:rPr>
        <w:sym w:font="Wingdings" w:char="F0E0"/>
      </w:r>
      <w:r w:rsidR="0014394B" w:rsidRPr="00A27896">
        <w:rPr>
          <w:rFonts w:eastAsiaTheme="minorHAnsi"/>
          <w:noProof w:val="0"/>
          <w:color w:val="17365D"/>
          <w:lang w:eastAsia="en-US"/>
        </w:rPr>
        <w:t xml:space="preserve"> </w:t>
      </w:r>
      <w:r w:rsidR="00B814D6" w:rsidRPr="00A27896">
        <w:rPr>
          <w:rFonts w:eastAsiaTheme="minorHAnsi"/>
          <w:color w:val="17365D"/>
          <w:lang w:eastAsia="en-US"/>
        </w:rPr>
        <w:t>Finanšu pārskata posteņu skaidrojums</w:t>
      </w:r>
      <w:r w:rsidR="0014394B" w:rsidRPr="00A27896">
        <w:rPr>
          <w:rFonts w:eastAsiaTheme="minorHAnsi"/>
          <w:color w:val="17365D"/>
          <w:lang w:eastAsia="en-US"/>
        </w:rPr>
        <w:t xml:space="preserve"> </w:t>
      </w:r>
      <w:r w:rsidR="00D9706D" w:rsidRPr="00A27896">
        <w:rPr>
          <w:rFonts w:eastAsiaTheme="minorHAnsi"/>
          <w:noProof w:val="0"/>
          <w:color w:val="17365D"/>
          <w:lang w:eastAsia="en-US"/>
        </w:rPr>
        <w:sym w:font="Wingdings" w:char="F0E0"/>
      </w:r>
      <w:r w:rsidR="0014394B" w:rsidRPr="00A27896">
        <w:rPr>
          <w:rFonts w:eastAsiaTheme="minorHAnsi"/>
          <w:noProof w:val="0"/>
          <w:color w:val="17365D"/>
          <w:lang w:eastAsia="en-US"/>
        </w:rPr>
        <w:t xml:space="preserve"> </w:t>
      </w:r>
      <w:r w:rsidR="00B814D6" w:rsidRPr="00A27896">
        <w:rPr>
          <w:rFonts w:eastAsiaTheme="minorHAnsi"/>
          <w:color w:val="17365D"/>
          <w:lang w:eastAsia="en-US"/>
        </w:rPr>
        <w:t>V5.piezīme.</w:t>
      </w:r>
    </w:p>
    <w:p w14:paraId="2E119ADC" w14:textId="0AA30500" w:rsidR="007B7D77" w:rsidRPr="00A27896" w:rsidRDefault="007B7D77" w:rsidP="000229AE">
      <w:pPr>
        <w:pStyle w:val="Heading4"/>
        <w:rPr>
          <w:rFonts w:cs="Times New Roman"/>
        </w:rPr>
      </w:pPr>
      <w:r w:rsidRPr="00A27896">
        <w:rPr>
          <w:rFonts w:cs="Times New Roman"/>
        </w:rPr>
        <w:t xml:space="preserve">Piezīme </w:t>
      </w:r>
      <w:r w:rsidR="00AC754B" w:rsidRPr="00A27896">
        <w:rPr>
          <w:rFonts w:cs="Times New Roman"/>
        </w:rPr>
        <w:t xml:space="preserve">Nr. </w:t>
      </w:r>
      <w:r w:rsidRPr="00A27896">
        <w:rPr>
          <w:rFonts w:cs="Times New Roman"/>
        </w:rPr>
        <w:t>V6. Tiesvedības</w:t>
      </w:r>
    </w:p>
    <w:p w14:paraId="64C569AE" w14:textId="5B589AF9" w:rsidR="00AC754B" w:rsidRPr="00A27896" w:rsidRDefault="00CF154C" w:rsidP="00BA279A">
      <w:pPr>
        <w:spacing w:after="120" w:line="240" w:lineRule="auto"/>
        <w:ind w:firstLine="284"/>
        <w:jc w:val="both"/>
        <w:rPr>
          <w:rFonts w:cs="Times New Roman"/>
          <w:color w:val="17365D"/>
          <w:szCs w:val="24"/>
        </w:rPr>
      </w:pPr>
      <w:r w:rsidRPr="00A27896">
        <w:rPr>
          <w:rFonts w:cs="Times New Roman"/>
          <w:color w:val="17365D"/>
          <w:szCs w:val="24"/>
        </w:rPr>
        <w:t>Saskaņā ar budžeta iestāžu novērtējumu un sniegto informāciju ā</w:t>
      </w:r>
      <w:r w:rsidR="00713D41" w:rsidRPr="00A27896">
        <w:rPr>
          <w:rFonts w:cs="Times New Roman"/>
          <w:color w:val="17365D"/>
          <w:szCs w:val="24"/>
        </w:rPr>
        <w:t>rvalstu un s</w:t>
      </w:r>
      <w:r w:rsidR="004A55BE" w:rsidRPr="00A27896">
        <w:rPr>
          <w:rFonts w:cs="Times New Roman"/>
          <w:color w:val="17365D"/>
          <w:szCs w:val="24"/>
        </w:rPr>
        <w:t>tarptautisk</w:t>
      </w:r>
      <w:r w:rsidR="00713D41" w:rsidRPr="00A27896">
        <w:rPr>
          <w:rFonts w:cs="Times New Roman"/>
          <w:color w:val="17365D"/>
          <w:szCs w:val="24"/>
        </w:rPr>
        <w:t>aj</w:t>
      </w:r>
      <w:r w:rsidR="004A55BE" w:rsidRPr="00A27896">
        <w:rPr>
          <w:rFonts w:cs="Times New Roman"/>
          <w:color w:val="17365D"/>
          <w:szCs w:val="24"/>
        </w:rPr>
        <w:t xml:space="preserve">ās </w:t>
      </w:r>
      <w:r w:rsidR="00713D41" w:rsidRPr="00A27896">
        <w:rPr>
          <w:rFonts w:cs="Times New Roman"/>
          <w:color w:val="17365D"/>
          <w:szCs w:val="24"/>
        </w:rPr>
        <w:t xml:space="preserve">tiesu institūcijās notiekošām tiesvedībām </w:t>
      </w:r>
      <w:r w:rsidR="004626BD" w:rsidRPr="00A27896">
        <w:rPr>
          <w:rFonts w:cs="Times New Roman"/>
          <w:color w:val="17365D"/>
          <w:szCs w:val="24"/>
        </w:rPr>
        <w:t>izveidoti uzkrājumi 4 7</w:t>
      </w:r>
      <w:r w:rsidR="00561114">
        <w:rPr>
          <w:rFonts w:cs="Times New Roman"/>
          <w:color w:val="17365D"/>
          <w:szCs w:val="24"/>
        </w:rPr>
        <w:t>51</w:t>
      </w:r>
      <w:r w:rsidR="004626BD" w:rsidRPr="00A27896">
        <w:rPr>
          <w:rFonts w:cs="Times New Roman"/>
          <w:color w:val="17365D"/>
          <w:szCs w:val="24"/>
        </w:rPr>
        <w:t> </w:t>
      </w:r>
      <w:r w:rsidR="00561114">
        <w:rPr>
          <w:rFonts w:cs="Times New Roman"/>
          <w:color w:val="17365D"/>
          <w:szCs w:val="24"/>
        </w:rPr>
        <w:t>96</w:t>
      </w:r>
      <w:r w:rsidR="004626BD" w:rsidRPr="00A27896">
        <w:rPr>
          <w:rFonts w:cs="Times New Roman"/>
          <w:color w:val="17365D"/>
          <w:szCs w:val="24"/>
        </w:rPr>
        <w:t xml:space="preserve">5 </w:t>
      </w:r>
      <w:r w:rsidR="004626BD" w:rsidRPr="00A27896">
        <w:rPr>
          <w:rFonts w:cs="Times New Roman"/>
          <w:i/>
          <w:color w:val="17365D"/>
          <w:szCs w:val="24"/>
        </w:rPr>
        <w:t>euro</w:t>
      </w:r>
      <w:r w:rsidR="004626BD" w:rsidRPr="00A27896">
        <w:rPr>
          <w:rFonts w:cs="Times New Roman"/>
          <w:color w:val="17365D"/>
          <w:szCs w:val="24"/>
        </w:rPr>
        <w:t xml:space="preserve"> vērtībā, lielākie uzkrājumi izveidoti Ogres novada pašvaldībai</w:t>
      </w:r>
      <w:r w:rsidR="00713D41" w:rsidRPr="00A27896">
        <w:rPr>
          <w:rFonts w:cs="Times New Roman"/>
          <w:color w:val="17365D"/>
          <w:szCs w:val="24"/>
        </w:rPr>
        <w:t xml:space="preserve">. Citām tiesvedībām </w:t>
      </w:r>
      <w:r w:rsidR="001F2268" w:rsidRPr="00A27896">
        <w:rPr>
          <w:rFonts w:cs="Times New Roman"/>
          <w:color w:val="17365D"/>
          <w:szCs w:val="24"/>
        </w:rPr>
        <w:t xml:space="preserve">lielākie </w:t>
      </w:r>
      <w:r w:rsidR="00713D41" w:rsidRPr="00A27896">
        <w:rPr>
          <w:rFonts w:cs="Times New Roman"/>
          <w:color w:val="17365D"/>
          <w:szCs w:val="24"/>
        </w:rPr>
        <w:t xml:space="preserve">uzkrājumi </w:t>
      </w:r>
      <w:r w:rsidR="001F2268" w:rsidRPr="00A27896">
        <w:rPr>
          <w:rFonts w:cs="Times New Roman"/>
          <w:color w:val="17365D"/>
          <w:szCs w:val="24"/>
        </w:rPr>
        <w:t xml:space="preserve">izveidoti </w:t>
      </w:r>
      <w:r w:rsidR="0033469D">
        <w:rPr>
          <w:rFonts w:cs="Times New Roman"/>
          <w:color w:val="17365D"/>
          <w:szCs w:val="24"/>
        </w:rPr>
        <w:t xml:space="preserve">Iekšlietu ministrijai 3 880 113 </w:t>
      </w:r>
      <w:r w:rsidR="0033469D" w:rsidRPr="00A27896">
        <w:rPr>
          <w:rFonts w:cs="Times New Roman"/>
          <w:i/>
          <w:color w:val="17365D"/>
          <w:szCs w:val="24"/>
        </w:rPr>
        <w:t>euro</w:t>
      </w:r>
      <w:r w:rsidR="0033469D" w:rsidRPr="00A27896">
        <w:rPr>
          <w:rFonts w:cs="Times New Roman"/>
          <w:color w:val="17365D"/>
          <w:szCs w:val="24"/>
        </w:rPr>
        <w:t xml:space="preserve"> vērtībā. </w:t>
      </w:r>
      <w:r w:rsidR="004A55BE" w:rsidRPr="00A27896">
        <w:rPr>
          <w:rFonts w:cs="Times New Roman"/>
          <w:color w:val="17365D"/>
          <w:szCs w:val="24"/>
        </w:rPr>
        <w:t>Lielākās zembilances saistības par citām tiesvedībām uzskaitītas Rīgas</w:t>
      </w:r>
      <w:r w:rsidR="00BE1DE8" w:rsidRPr="00A27896">
        <w:rPr>
          <w:rFonts w:cs="Times New Roman"/>
          <w:color w:val="17365D"/>
          <w:szCs w:val="24"/>
        </w:rPr>
        <w:t xml:space="preserve"> pilsētas pašvaldībai </w:t>
      </w:r>
      <w:r w:rsidR="00316F3A" w:rsidRPr="00A27896">
        <w:rPr>
          <w:rFonts w:cs="Times New Roman"/>
          <w:color w:val="17365D"/>
          <w:szCs w:val="24"/>
        </w:rPr>
        <w:t>1</w:t>
      </w:r>
      <w:r w:rsidR="00BE1DE8" w:rsidRPr="00A27896">
        <w:rPr>
          <w:rFonts w:cs="Times New Roman"/>
          <w:color w:val="17365D"/>
          <w:szCs w:val="24"/>
        </w:rPr>
        <w:t> </w:t>
      </w:r>
      <w:r w:rsidR="0033469D">
        <w:rPr>
          <w:rFonts w:cs="Times New Roman"/>
          <w:color w:val="17365D"/>
          <w:szCs w:val="24"/>
        </w:rPr>
        <w:t>661</w:t>
      </w:r>
      <w:r w:rsidR="0033469D" w:rsidRPr="00A27896">
        <w:rPr>
          <w:rFonts w:cs="Times New Roman"/>
          <w:color w:val="17365D"/>
          <w:szCs w:val="24"/>
        </w:rPr>
        <w:t> </w:t>
      </w:r>
      <w:r w:rsidR="0033469D">
        <w:rPr>
          <w:rFonts w:cs="Times New Roman"/>
          <w:color w:val="17365D"/>
          <w:szCs w:val="24"/>
        </w:rPr>
        <w:t>869</w:t>
      </w:r>
      <w:r w:rsidR="0033469D" w:rsidRPr="00A27896">
        <w:rPr>
          <w:rFonts w:cs="Times New Roman"/>
          <w:color w:val="17365D"/>
          <w:szCs w:val="24"/>
        </w:rPr>
        <w:t> </w:t>
      </w:r>
      <w:r w:rsidR="004A55BE" w:rsidRPr="00A27896">
        <w:rPr>
          <w:rFonts w:cs="Times New Roman"/>
          <w:i/>
          <w:color w:val="17365D"/>
          <w:szCs w:val="24"/>
        </w:rPr>
        <w:t>euro</w:t>
      </w:r>
      <w:r w:rsidR="004A55BE" w:rsidRPr="00A27896">
        <w:rPr>
          <w:rFonts w:cs="Times New Roman"/>
          <w:color w:val="17365D"/>
          <w:szCs w:val="24"/>
        </w:rPr>
        <w:t xml:space="preserve"> vērtībā, </w:t>
      </w:r>
      <w:r w:rsidR="00035DD5" w:rsidRPr="00A27896">
        <w:rPr>
          <w:rFonts w:cs="Times New Roman"/>
          <w:color w:val="17365D"/>
          <w:szCs w:val="24"/>
        </w:rPr>
        <w:t xml:space="preserve">Ekonomikas ministrijai </w:t>
      </w:r>
      <w:r w:rsidR="008C33BC" w:rsidRPr="00A27896">
        <w:rPr>
          <w:rFonts w:cs="Times New Roman"/>
          <w:color w:val="17365D"/>
          <w:szCs w:val="24"/>
        </w:rPr>
        <w:t>2</w:t>
      </w:r>
      <w:r w:rsidR="004626BD" w:rsidRPr="00A27896">
        <w:rPr>
          <w:rFonts w:cs="Times New Roman"/>
          <w:color w:val="17365D"/>
          <w:szCs w:val="24"/>
        </w:rPr>
        <w:t> 6</w:t>
      </w:r>
      <w:r w:rsidR="0033469D">
        <w:rPr>
          <w:rFonts w:cs="Times New Roman"/>
          <w:color w:val="17365D"/>
          <w:szCs w:val="24"/>
        </w:rPr>
        <w:t>32</w:t>
      </w:r>
      <w:r w:rsidR="004626BD" w:rsidRPr="00A27896">
        <w:rPr>
          <w:rFonts w:cs="Times New Roman"/>
          <w:color w:val="17365D"/>
          <w:szCs w:val="24"/>
        </w:rPr>
        <w:t> </w:t>
      </w:r>
      <w:r w:rsidR="0033469D">
        <w:rPr>
          <w:rFonts w:cs="Times New Roman"/>
          <w:color w:val="17365D"/>
          <w:szCs w:val="24"/>
        </w:rPr>
        <w:t>121</w:t>
      </w:r>
      <w:r w:rsidR="0033469D" w:rsidRPr="00A27896">
        <w:rPr>
          <w:rFonts w:cs="Times New Roman"/>
          <w:color w:val="17365D"/>
          <w:szCs w:val="24"/>
        </w:rPr>
        <w:t> </w:t>
      </w:r>
      <w:r w:rsidR="00035DD5" w:rsidRPr="00A27896">
        <w:rPr>
          <w:rFonts w:cs="Times New Roman"/>
          <w:i/>
          <w:color w:val="17365D"/>
          <w:szCs w:val="24"/>
        </w:rPr>
        <w:t xml:space="preserve">euro </w:t>
      </w:r>
      <w:r w:rsidR="00035DD5" w:rsidRPr="00A27896">
        <w:rPr>
          <w:rFonts w:cs="Times New Roman"/>
          <w:color w:val="17365D"/>
          <w:szCs w:val="24"/>
        </w:rPr>
        <w:t xml:space="preserve">un </w:t>
      </w:r>
      <w:r w:rsidR="004A55BE" w:rsidRPr="00A27896">
        <w:rPr>
          <w:rFonts w:cs="Times New Roman"/>
          <w:color w:val="17365D"/>
          <w:szCs w:val="24"/>
        </w:rPr>
        <w:t xml:space="preserve">Finanšu ministrijai </w:t>
      </w:r>
      <w:r w:rsidR="0033469D">
        <w:rPr>
          <w:rFonts w:cs="Times New Roman"/>
          <w:color w:val="17365D"/>
          <w:szCs w:val="24"/>
        </w:rPr>
        <w:t>6</w:t>
      </w:r>
      <w:r w:rsidR="008C33BC" w:rsidRPr="00A27896">
        <w:rPr>
          <w:rFonts w:cs="Times New Roman"/>
          <w:color w:val="17365D"/>
          <w:szCs w:val="24"/>
        </w:rPr>
        <w:t> </w:t>
      </w:r>
      <w:r w:rsidR="0033469D">
        <w:rPr>
          <w:rFonts w:cs="Times New Roman"/>
          <w:color w:val="17365D"/>
          <w:szCs w:val="24"/>
        </w:rPr>
        <w:t>230</w:t>
      </w:r>
      <w:r w:rsidR="0033469D" w:rsidRPr="00A27896">
        <w:rPr>
          <w:rFonts w:cs="Times New Roman"/>
          <w:color w:val="17365D"/>
          <w:szCs w:val="24"/>
        </w:rPr>
        <w:t> </w:t>
      </w:r>
      <w:r w:rsidR="0033469D">
        <w:rPr>
          <w:rFonts w:cs="Times New Roman"/>
          <w:color w:val="17365D"/>
          <w:szCs w:val="24"/>
        </w:rPr>
        <w:t>151</w:t>
      </w:r>
      <w:r w:rsidR="0033469D" w:rsidRPr="00A27896">
        <w:rPr>
          <w:rFonts w:cs="Times New Roman"/>
          <w:color w:val="17365D"/>
          <w:szCs w:val="24"/>
        </w:rPr>
        <w:t xml:space="preserve"> </w:t>
      </w:r>
      <w:r w:rsidR="004A55BE" w:rsidRPr="00A27896">
        <w:rPr>
          <w:rFonts w:cs="Times New Roman"/>
          <w:i/>
          <w:color w:val="17365D"/>
          <w:szCs w:val="24"/>
        </w:rPr>
        <w:t>euro</w:t>
      </w:r>
      <w:r w:rsidR="004A55BE" w:rsidRPr="00A27896">
        <w:rPr>
          <w:rFonts w:cs="Times New Roman"/>
          <w:color w:val="17365D"/>
          <w:szCs w:val="24"/>
        </w:rPr>
        <w:t xml:space="preserve"> vērtībā.</w:t>
      </w:r>
      <w:r w:rsidR="0033469D">
        <w:rPr>
          <w:rFonts w:cs="Times New Roman"/>
          <w:color w:val="17365D"/>
          <w:szCs w:val="24"/>
        </w:rPr>
        <w:t xml:space="preserve"> Pārskata gadā lielākie izdevumi</w:t>
      </w:r>
      <w:r w:rsidR="000C3372">
        <w:rPr>
          <w:rFonts w:cs="Times New Roman"/>
          <w:color w:val="17365D"/>
          <w:szCs w:val="24"/>
        </w:rPr>
        <w:t xml:space="preserve"> saistībā ar tiesvedībām bijuši Ministru kabinetam 4 565 452 </w:t>
      </w:r>
      <w:r w:rsidR="000C3372" w:rsidRPr="00CB6B88">
        <w:rPr>
          <w:rFonts w:cs="Times New Roman"/>
          <w:i/>
          <w:color w:val="17365D"/>
          <w:szCs w:val="24"/>
        </w:rPr>
        <w:t>euro</w:t>
      </w:r>
      <w:r w:rsidR="000C3372">
        <w:rPr>
          <w:rFonts w:cs="Times New Roman"/>
          <w:color w:val="17365D"/>
          <w:szCs w:val="24"/>
        </w:rPr>
        <w:t xml:space="preserve"> vērtībā un Iekšlietu ministrijai 3 795 586 </w:t>
      </w:r>
      <w:r w:rsidR="000C3372" w:rsidRPr="00CB6B88">
        <w:rPr>
          <w:rFonts w:cs="Times New Roman"/>
          <w:i/>
          <w:color w:val="17365D"/>
          <w:szCs w:val="24"/>
        </w:rPr>
        <w:t>euro</w:t>
      </w:r>
      <w:r w:rsidR="000C3372">
        <w:rPr>
          <w:rFonts w:cs="Times New Roman"/>
          <w:color w:val="17365D"/>
          <w:szCs w:val="24"/>
        </w:rPr>
        <w:t xml:space="preserve"> vērtībā.</w:t>
      </w:r>
    </w:p>
    <w:p w14:paraId="3A66C0FA" w14:textId="77777777" w:rsidR="0019458D" w:rsidRPr="00A27896" w:rsidRDefault="0019458D" w:rsidP="005A3758">
      <w:pPr>
        <w:pStyle w:val="Heading4"/>
        <w:rPr>
          <w:rFonts w:cs="Times New Roman"/>
        </w:rPr>
      </w:pPr>
      <w:r w:rsidRPr="00A27896">
        <w:rPr>
          <w:rFonts w:cs="Times New Roman"/>
        </w:rPr>
        <w:t>Piezīme Nr. V7. Informācija par publisko un privāto partnerību</w:t>
      </w:r>
    </w:p>
    <w:p w14:paraId="4FF002EC" w14:textId="337CDDB7" w:rsidR="000E0ECD" w:rsidRPr="00A27896" w:rsidRDefault="0094412C" w:rsidP="00514C3E">
      <w:pPr>
        <w:pStyle w:val="Heading5"/>
        <w:rPr>
          <w:rFonts w:cs="Times New Roman"/>
        </w:rPr>
      </w:pPr>
      <w:r w:rsidRPr="00A27896">
        <w:rPr>
          <w:rFonts w:cs="Times New Roman"/>
        </w:rPr>
        <w:t xml:space="preserve">Piezīme </w:t>
      </w:r>
      <w:r w:rsidR="00AC754B" w:rsidRPr="00A27896">
        <w:rPr>
          <w:rFonts w:cs="Times New Roman"/>
        </w:rPr>
        <w:t xml:space="preserve">Nr. </w:t>
      </w:r>
      <w:r w:rsidRPr="00A27896">
        <w:rPr>
          <w:rFonts w:cs="Times New Roman"/>
        </w:rPr>
        <w:t>V7. Informācija par partnerības līgumu</w:t>
      </w:r>
      <w:r w:rsidR="00186738" w:rsidRPr="00A27896">
        <w:rPr>
          <w:rFonts w:cs="Times New Roman"/>
        </w:rPr>
        <w:t xml:space="preserve"> </w:t>
      </w:r>
    </w:p>
    <w:p w14:paraId="71C7A39E" w14:textId="00719DD3" w:rsidR="00FB6674" w:rsidRPr="00A27896" w:rsidRDefault="00477828" w:rsidP="00FB6674">
      <w:pPr>
        <w:spacing w:after="120" w:line="240" w:lineRule="auto"/>
        <w:ind w:firstLine="284"/>
        <w:jc w:val="both"/>
        <w:rPr>
          <w:rFonts w:cs="Times New Roman"/>
          <w:color w:val="17365D"/>
          <w:szCs w:val="24"/>
        </w:rPr>
      </w:pPr>
      <w:r w:rsidRPr="00A27896">
        <w:rPr>
          <w:rFonts w:cs="Times New Roman"/>
          <w:color w:val="17365D"/>
          <w:szCs w:val="24"/>
        </w:rPr>
        <w:t>Publiskās un privātās partnerības līgumus par pirmsskola</w:t>
      </w:r>
      <w:r w:rsidR="000E0ECD" w:rsidRPr="00A27896">
        <w:rPr>
          <w:rFonts w:cs="Times New Roman"/>
          <w:color w:val="17365D"/>
          <w:szCs w:val="24"/>
        </w:rPr>
        <w:t>s izglītības iestāžu būvniecību</w:t>
      </w:r>
      <w:r w:rsidR="0020116D" w:rsidRPr="00A27896">
        <w:rPr>
          <w:rFonts w:cs="Times New Roman"/>
          <w:color w:val="17365D"/>
          <w:szCs w:val="24"/>
        </w:rPr>
        <w:t xml:space="preserve"> īstenojušas</w:t>
      </w:r>
      <w:r w:rsidRPr="00A27896">
        <w:rPr>
          <w:rFonts w:cs="Times New Roman"/>
          <w:color w:val="17365D"/>
          <w:szCs w:val="24"/>
        </w:rPr>
        <w:t xml:space="preserve"> Mārupes novada pašvald</w:t>
      </w:r>
      <w:r w:rsidR="0020116D" w:rsidRPr="00A27896">
        <w:rPr>
          <w:rFonts w:cs="Times New Roman"/>
          <w:color w:val="17365D"/>
          <w:szCs w:val="24"/>
        </w:rPr>
        <w:t xml:space="preserve">ība saskaņā ar </w:t>
      </w:r>
      <w:r w:rsidR="000E0ECD" w:rsidRPr="00A27896">
        <w:rPr>
          <w:rFonts w:cs="Times New Roman"/>
          <w:color w:val="17365D"/>
          <w:szCs w:val="24"/>
        </w:rPr>
        <w:t>līgumu</w:t>
      </w:r>
      <w:r w:rsidRPr="00A27896">
        <w:rPr>
          <w:rFonts w:cs="Times New Roman"/>
          <w:color w:val="17365D"/>
          <w:szCs w:val="24"/>
        </w:rPr>
        <w:t xml:space="preserve"> Nr.</w:t>
      </w:r>
      <w:r w:rsidR="00FB6674" w:rsidRPr="00A27896">
        <w:rPr>
          <w:rFonts w:cs="Times New Roman"/>
          <w:color w:val="17365D"/>
          <w:szCs w:val="24"/>
        </w:rPr>
        <w:t xml:space="preserve">5-25/134-2009, Ķekavas novada pašvaldība – līgums Nr.133/2009 un Tukuma novada pašvaldība – līgums Nr.391. </w:t>
      </w:r>
    </w:p>
    <w:p w14:paraId="09CB7EEB" w14:textId="292C388B" w:rsidR="002B6495" w:rsidRPr="00A27896" w:rsidRDefault="00477828" w:rsidP="00CF0F04">
      <w:pPr>
        <w:spacing w:after="120" w:line="240" w:lineRule="auto"/>
        <w:ind w:firstLine="284"/>
        <w:jc w:val="both"/>
        <w:rPr>
          <w:rFonts w:cs="Times New Roman"/>
          <w:color w:val="17365D"/>
        </w:rPr>
      </w:pPr>
      <w:r w:rsidRPr="00A27896">
        <w:rPr>
          <w:rFonts w:cs="Times New Roman"/>
          <w:color w:val="17365D"/>
          <w:szCs w:val="24"/>
        </w:rPr>
        <w:t xml:space="preserve">Publiskās un privātās partnerības līgumu </w:t>
      </w:r>
      <w:r w:rsidR="0033772A" w:rsidRPr="00A27896">
        <w:rPr>
          <w:rFonts w:cs="Times New Roman"/>
          <w:color w:val="17365D"/>
          <w:szCs w:val="24"/>
        </w:rPr>
        <w:t xml:space="preserve">par </w:t>
      </w:r>
      <w:r w:rsidR="00572E7A" w:rsidRPr="00A27896">
        <w:rPr>
          <w:rFonts w:cs="Times New Roman"/>
          <w:color w:val="17365D"/>
          <w:szCs w:val="24"/>
        </w:rPr>
        <w:t xml:space="preserve">autoceļa </w:t>
      </w:r>
      <w:r w:rsidR="0033772A" w:rsidRPr="00A27896">
        <w:rPr>
          <w:rFonts w:cs="Times New Roman"/>
          <w:color w:val="17365D"/>
          <w:szCs w:val="24"/>
        </w:rPr>
        <w:t>E67/A7 Rīga-Bauska-Lietuvas robeža posma (Ķekavas apvedceļa) projektēšanu, būvniecību un uzturēšanu</w:t>
      </w:r>
      <w:r w:rsidR="00C36594">
        <w:rPr>
          <w:rFonts w:cs="Times New Roman"/>
          <w:color w:val="17365D"/>
          <w:szCs w:val="24"/>
        </w:rPr>
        <w:t xml:space="preserve"> saskaņā ar līgumu Nr. </w:t>
      </w:r>
      <w:r w:rsidR="002B6495" w:rsidRPr="00A27896">
        <w:rPr>
          <w:rFonts w:cs="Times New Roman"/>
          <w:color w:val="17365D"/>
          <w:szCs w:val="24"/>
        </w:rPr>
        <w:t xml:space="preserve">SM2021/-26 </w:t>
      </w:r>
      <w:r w:rsidR="007F3D3D" w:rsidRPr="00A27896">
        <w:rPr>
          <w:rFonts w:cs="Times New Roman"/>
          <w:color w:val="17365D"/>
          <w:szCs w:val="24"/>
        </w:rPr>
        <w:t>noslēgusi</w:t>
      </w:r>
      <w:r w:rsidR="002B6495" w:rsidRPr="00A27896">
        <w:rPr>
          <w:rFonts w:cs="Times New Roman"/>
          <w:color w:val="17365D"/>
          <w:szCs w:val="24"/>
        </w:rPr>
        <w:t xml:space="preserve"> </w:t>
      </w:r>
      <w:r w:rsidR="002B6495" w:rsidRPr="00A27896">
        <w:rPr>
          <w:rFonts w:cs="Times New Roman"/>
          <w:color w:val="17365D"/>
        </w:rPr>
        <w:t>Satiksmes ministrija.</w:t>
      </w:r>
    </w:p>
    <w:p w14:paraId="62E9EABE" w14:textId="77777777" w:rsidR="005E3A38" w:rsidRPr="00A27896" w:rsidRDefault="003B6C8A" w:rsidP="00514C3E">
      <w:pPr>
        <w:pStyle w:val="Heading5"/>
        <w:rPr>
          <w:rFonts w:cs="Times New Roman"/>
        </w:rPr>
      </w:pPr>
      <w:r w:rsidRPr="00A27896">
        <w:rPr>
          <w:rFonts w:cs="Times New Roman"/>
        </w:rPr>
        <w:t>Piezīme Nr.</w:t>
      </w:r>
      <w:r w:rsidR="005A010F" w:rsidRPr="00A27896">
        <w:rPr>
          <w:rFonts w:cs="Times New Roman"/>
        </w:rPr>
        <w:t>V7.</w:t>
      </w:r>
      <w:r w:rsidR="000E0ECD" w:rsidRPr="00A27896">
        <w:rPr>
          <w:rFonts w:cs="Times New Roman"/>
        </w:rPr>
        <w:t xml:space="preserve"> </w:t>
      </w:r>
      <w:r w:rsidR="00DE4C7C" w:rsidRPr="00A27896">
        <w:rPr>
          <w:rFonts w:cs="Times New Roman"/>
        </w:rPr>
        <w:t>Informācija par pamatlīdzekļiem, kas analītiski nodalīti par partnerības aktīviem</w:t>
      </w:r>
      <w:r w:rsidR="005E3A38" w:rsidRPr="00A27896">
        <w:rPr>
          <w:rFonts w:cs="Times New Roman"/>
        </w:rPr>
        <w:t xml:space="preserve"> </w:t>
      </w:r>
    </w:p>
    <w:p w14:paraId="342AAD9C" w14:textId="05BB184B" w:rsidR="005A010F" w:rsidRPr="00A27896" w:rsidRDefault="005E3A38" w:rsidP="00034664">
      <w:pPr>
        <w:spacing w:after="0" w:line="240" w:lineRule="auto"/>
        <w:ind w:firstLine="284"/>
        <w:jc w:val="both"/>
        <w:rPr>
          <w:rFonts w:cs="Times New Roman"/>
          <w:color w:val="17365D"/>
          <w:szCs w:val="24"/>
        </w:rPr>
      </w:pPr>
      <w:r w:rsidRPr="00A27896">
        <w:rPr>
          <w:rFonts w:cs="Times New Roman"/>
          <w:color w:val="17365D"/>
          <w:szCs w:val="24"/>
        </w:rPr>
        <w:t xml:space="preserve">Pārskata gadā </w:t>
      </w:r>
      <w:r w:rsidR="004E7DAA" w:rsidRPr="00A27896">
        <w:rPr>
          <w:rFonts w:cs="Times New Roman"/>
          <w:color w:val="17365D"/>
          <w:szCs w:val="24"/>
        </w:rPr>
        <w:t>atbilstoši noslēgtajam līgumam Satiksmes minis</w:t>
      </w:r>
      <w:r w:rsidR="000C1009" w:rsidRPr="00A27896">
        <w:rPr>
          <w:rFonts w:cs="Times New Roman"/>
          <w:color w:val="17365D"/>
          <w:szCs w:val="24"/>
        </w:rPr>
        <w:t>t</w:t>
      </w:r>
      <w:r w:rsidR="004E7DAA" w:rsidRPr="00A27896">
        <w:rPr>
          <w:rFonts w:cs="Times New Roman"/>
          <w:color w:val="17365D"/>
          <w:szCs w:val="24"/>
        </w:rPr>
        <w:t xml:space="preserve">rijas </w:t>
      </w:r>
      <w:r w:rsidR="00F75CE1" w:rsidRPr="00A27896">
        <w:rPr>
          <w:rFonts w:cs="Times New Roman"/>
          <w:color w:val="17365D"/>
          <w:szCs w:val="24"/>
        </w:rPr>
        <w:t xml:space="preserve">un pašvaldību </w:t>
      </w:r>
      <w:r w:rsidR="004E7DAA" w:rsidRPr="00A27896">
        <w:rPr>
          <w:rFonts w:cs="Times New Roman"/>
          <w:color w:val="17365D"/>
          <w:szCs w:val="24"/>
        </w:rPr>
        <w:t xml:space="preserve">uzskaitē </w:t>
      </w:r>
      <w:r w:rsidRPr="00A27896">
        <w:rPr>
          <w:rFonts w:cs="Times New Roman"/>
          <w:color w:val="17365D"/>
          <w:szCs w:val="24"/>
        </w:rPr>
        <w:t>analītiski nodalīt</w:t>
      </w:r>
      <w:r w:rsidR="00F75CE1" w:rsidRPr="00A27896">
        <w:rPr>
          <w:rFonts w:cs="Times New Roman"/>
          <w:color w:val="17365D"/>
          <w:szCs w:val="24"/>
        </w:rPr>
        <w:t>i</w:t>
      </w:r>
      <w:r w:rsidRPr="00A27896">
        <w:rPr>
          <w:rFonts w:cs="Times New Roman"/>
          <w:color w:val="17365D"/>
          <w:szCs w:val="24"/>
        </w:rPr>
        <w:t xml:space="preserve"> partnerības akt</w:t>
      </w:r>
      <w:r w:rsidR="001F557E" w:rsidRPr="00A27896">
        <w:rPr>
          <w:rFonts w:cs="Times New Roman"/>
          <w:color w:val="17365D"/>
          <w:szCs w:val="24"/>
        </w:rPr>
        <w:t>īv</w:t>
      </w:r>
      <w:r w:rsidR="00F75CE1" w:rsidRPr="00A27896">
        <w:rPr>
          <w:rFonts w:cs="Times New Roman"/>
          <w:color w:val="17365D"/>
          <w:szCs w:val="24"/>
        </w:rPr>
        <w:t>i un</w:t>
      </w:r>
      <w:r w:rsidR="004E7DAA" w:rsidRPr="00A27896">
        <w:rPr>
          <w:rFonts w:cs="Times New Roman"/>
          <w:color w:val="17365D"/>
          <w:szCs w:val="24"/>
        </w:rPr>
        <w:t xml:space="preserve"> nepabeigtā būvniecība</w:t>
      </w:r>
      <w:r w:rsidR="00034664" w:rsidRPr="00A27896">
        <w:rPr>
          <w:rFonts w:cs="Times New Roman"/>
          <w:color w:val="17365D"/>
          <w:szCs w:val="24"/>
        </w:rPr>
        <w:t>, par ko sniegta informā</w:t>
      </w:r>
      <w:r w:rsidR="009169B4" w:rsidRPr="00A27896">
        <w:rPr>
          <w:rFonts w:cs="Times New Roman"/>
          <w:color w:val="17365D"/>
          <w:szCs w:val="24"/>
        </w:rPr>
        <w:t>c</w:t>
      </w:r>
      <w:r w:rsidR="00034664" w:rsidRPr="00A27896">
        <w:rPr>
          <w:rFonts w:cs="Times New Roman"/>
          <w:color w:val="17365D"/>
          <w:szCs w:val="24"/>
        </w:rPr>
        <w:t xml:space="preserve">ija </w:t>
      </w:r>
      <w:r w:rsidR="001231AF">
        <w:rPr>
          <w:rFonts w:cs="Times New Roman"/>
          <w:color w:val="17365D"/>
          <w:szCs w:val="24"/>
        </w:rPr>
        <w:t>1.</w:t>
      </w:r>
      <w:r w:rsidR="000229AE" w:rsidRPr="00A27896">
        <w:rPr>
          <w:rFonts w:cs="Times New Roman"/>
          <w:color w:val="17365D"/>
          <w:szCs w:val="24"/>
        </w:rPr>
        <w:t>29</w:t>
      </w:r>
      <w:r w:rsidR="00034664" w:rsidRPr="00A27896">
        <w:rPr>
          <w:rFonts w:cs="Times New Roman"/>
          <w:color w:val="17365D"/>
          <w:szCs w:val="24"/>
        </w:rPr>
        <w:t>.tabulā</w:t>
      </w:r>
      <w:r w:rsidR="001F557E" w:rsidRPr="00A27896">
        <w:rPr>
          <w:rFonts w:cs="Times New Roman"/>
          <w:color w:val="17365D"/>
          <w:szCs w:val="24"/>
        </w:rPr>
        <w:t>.</w:t>
      </w:r>
    </w:p>
    <w:p w14:paraId="2CCBEC4E" w14:textId="2A4121EC" w:rsidR="003877C0" w:rsidRPr="00A27896" w:rsidRDefault="001231AF" w:rsidP="003877C0">
      <w:pPr>
        <w:pStyle w:val="Tabulasnosaukums1"/>
        <w:spacing w:before="0" w:line="240" w:lineRule="auto"/>
        <w:rPr>
          <w:rFonts w:cs="Times New Roman"/>
          <w:i/>
          <w:color w:val="17365D"/>
          <w:szCs w:val="22"/>
        </w:rPr>
      </w:pPr>
      <w:r>
        <w:rPr>
          <w:rFonts w:cs="Times New Roman"/>
          <w:i/>
          <w:color w:val="17365D"/>
          <w:szCs w:val="22"/>
        </w:rPr>
        <w:t>1.</w:t>
      </w:r>
      <w:r w:rsidR="000229AE" w:rsidRPr="00F342FC">
        <w:rPr>
          <w:rFonts w:cs="Times New Roman"/>
          <w:i/>
          <w:color w:val="17365D"/>
          <w:szCs w:val="22"/>
        </w:rPr>
        <w:t>29</w:t>
      </w:r>
      <w:r w:rsidR="005E3A38" w:rsidRPr="00F342FC">
        <w:rPr>
          <w:rFonts w:cs="Times New Roman"/>
          <w:i/>
          <w:color w:val="17365D"/>
          <w:szCs w:val="22"/>
        </w:rPr>
        <w:t>. tabula</w:t>
      </w:r>
      <w:r w:rsidR="003877C0" w:rsidRPr="00F342FC">
        <w:rPr>
          <w:rFonts w:cs="Times New Roman"/>
          <w:i/>
          <w:color w:val="17365D"/>
          <w:szCs w:val="22"/>
        </w:rPr>
        <w:t>.</w:t>
      </w:r>
      <w:r w:rsidR="005E3A38" w:rsidRPr="00A27896">
        <w:rPr>
          <w:rFonts w:cs="Times New Roman"/>
          <w:i/>
          <w:color w:val="17365D"/>
          <w:szCs w:val="22"/>
        </w:rPr>
        <w:t xml:space="preserve"> Informācija par </w:t>
      </w:r>
      <w:r w:rsidR="00DE4C7C" w:rsidRPr="00A27896">
        <w:rPr>
          <w:rFonts w:cs="Times New Roman"/>
          <w:i/>
          <w:color w:val="17365D"/>
          <w:szCs w:val="22"/>
        </w:rPr>
        <w:t xml:space="preserve">pamatlīdzekļiem, </w:t>
      </w:r>
    </w:p>
    <w:p w14:paraId="5178C18D" w14:textId="73E82B24" w:rsidR="005E3A38" w:rsidRPr="00A27896" w:rsidRDefault="00DE4C7C" w:rsidP="003877C0">
      <w:pPr>
        <w:pStyle w:val="Tabulasnosaukums1"/>
        <w:spacing w:before="0" w:line="240" w:lineRule="auto"/>
        <w:rPr>
          <w:rFonts w:cs="Times New Roman"/>
          <w:i/>
          <w:color w:val="17365D"/>
          <w:szCs w:val="22"/>
        </w:rPr>
      </w:pPr>
      <w:r w:rsidRPr="00A27896">
        <w:rPr>
          <w:rFonts w:cs="Times New Roman"/>
          <w:i/>
          <w:color w:val="17365D"/>
          <w:szCs w:val="22"/>
        </w:rPr>
        <w:t>kas analītiski nodalīti par partnerības aktīviem</w:t>
      </w:r>
      <w:r w:rsidR="005E3A38" w:rsidRPr="00A27896">
        <w:rPr>
          <w:rFonts w:cs="Times New Roman"/>
          <w:i/>
          <w:color w:val="17365D"/>
          <w:szCs w:val="22"/>
        </w:rPr>
        <w:t xml:space="preserve"> (euro)</w:t>
      </w:r>
    </w:p>
    <w:tbl>
      <w:tblPr>
        <w:tblW w:w="9308" w:type="dxa"/>
        <w:tblInd w:w="-5" w:type="dxa"/>
        <w:tblBorders>
          <w:top w:val="single" w:sz="4" w:space="0" w:color="000000"/>
          <w:bottom w:val="single" w:sz="4" w:space="0" w:color="000000"/>
          <w:insideH w:val="single" w:sz="4" w:space="0" w:color="000000"/>
        </w:tblBorders>
        <w:tblLayout w:type="fixed"/>
        <w:tblLook w:val="04A0" w:firstRow="1" w:lastRow="0" w:firstColumn="1" w:lastColumn="0" w:noHBand="0" w:noVBand="1"/>
      </w:tblPr>
      <w:tblGrid>
        <w:gridCol w:w="2000"/>
        <w:gridCol w:w="1241"/>
        <w:gridCol w:w="1146"/>
        <w:gridCol w:w="1317"/>
        <w:gridCol w:w="1141"/>
        <w:gridCol w:w="1146"/>
        <w:gridCol w:w="1317"/>
      </w:tblGrid>
      <w:tr w:rsidR="000C1009" w:rsidRPr="00A27896" w14:paraId="44BDBF0C" w14:textId="77777777" w:rsidTr="009677AB">
        <w:trPr>
          <w:trHeight w:val="300"/>
        </w:trPr>
        <w:tc>
          <w:tcPr>
            <w:tcW w:w="2000" w:type="dxa"/>
            <w:vMerge w:val="restart"/>
            <w:tcBorders>
              <w:top w:val="nil"/>
            </w:tcBorders>
            <w:shd w:val="clear" w:color="auto" w:fill="B8CCE4" w:themeFill="accent1" w:themeFillTint="66"/>
            <w:vAlign w:val="center"/>
            <w:hideMark/>
          </w:tcPr>
          <w:p w14:paraId="4FBC26D7"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Konta nosaukums</w:t>
            </w:r>
          </w:p>
        </w:tc>
        <w:tc>
          <w:tcPr>
            <w:tcW w:w="3704" w:type="dxa"/>
            <w:gridSpan w:val="3"/>
            <w:tcBorders>
              <w:top w:val="nil"/>
            </w:tcBorders>
            <w:shd w:val="clear" w:color="auto" w:fill="B8CCE4" w:themeFill="accent1" w:themeFillTint="66"/>
            <w:vAlign w:val="center"/>
            <w:hideMark/>
          </w:tcPr>
          <w:p w14:paraId="002AEB7D"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periodā</w:t>
            </w:r>
          </w:p>
        </w:tc>
        <w:tc>
          <w:tcPr>
            <w:tcW w:w="3604" w:type="dxa"/>
            <w:gridSpan w:val="3"/>
            <w:tcBorders>
              <w:top w:val="nil"/>
            </w:tcBorders>
            <w:shd w:val="clear" w:color="auto" w:fill="B8CCE4" w:themeFill="accent1" w:themeFillTint="66"/>
            <w:vAlign w:val="center"/>
            <w:hideMark/>
          </w:tcPr>
          <w:p w14:paraId="0998C4AC"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Iepriekšējā pārskata periodā</w:t>
            </w:r>
          </w:p>
        </w:tc>
      </w:tr>
      <w:tr w:rsidR="000C1009" w:rsidRPr="00A27896" w14:paraId="0F97599B" w14:textId="77777777" w:rsidTr="009677AB">
        <w:trPr>
          <w:trHeight w:val="792"/>
        </w:trPr>
        <w:tc>
          <w:tcPr>
            <w:tcW w:w="2000" w:type="dxa"/>
            <w:vMerge/>
            <w:tcBorders>
              <w:bottom w:val="single" w:sz="4" w:space="0" w:color="17365D"/>
            </w:tcBorders>
            <w:shd w:val="clear" w:color="auto" w:fill="B8CCE4" w:themeFill="accent1" w:themeFillTint="66"/>
            <w:vAlign w:val="center"/>
            <w:hideMark/>
          </w:tcPr>
          <w:p w14:paraId="3E56F8EE"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p>
        </w:tc>
        <w:tc>
          <w:tcPr>
            <w:tcW w:w="1241" w:type="dxa"/>
            <w:tcBorders>
              <w:bottom w:val="single" w:sz="4" w:space="0" w:color="17365D"/>
            </w:tcBorders>
            <w:shd w:val="clear" w:color="auto" w:fill="B8CCE4" w:themeFill="accent1" w:themeFillTint="66"/>
            <w:vAlign w:val="center"/>
            <w:hideMark/>
          </w:tcPr>
          <w:p w14:paraId="29989B41"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sākotnējā vērtība (+)</w:t>
            </w:r>
          </w:p>
        </w:tc>
        <w:tc>
          <w:tcPr>
            <w:tcW w:w="1146" w:type="dxa"/>
            <w:tcBorders>
              <w:bottom w:val="single" w:sz="4" w:space="0" w:color="17365D"/>
            </w:tcBorders>
            <w:shd w:val="clear" w:color="auto" w:fill="B8CCE4" w:themeFill="accent1" w:themeFillTint="66"/>
            <w:vAlign w:val="center"/>
            <w:hideMark/>
          </w:tcPr>
          <w:p w14:paraId="5E88C974"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nolietojums (-)</w:t>
            </w:r>
          </w:p>
        </w:tc>
        <w:tc>
          <w:tcPr>
            <w:tcW w:w="1317" w:type="dxa"/>
            <w:tcBorders>
              <w:bottom w:val="single" w:sz="4" w:space="0" w:color="17365D"/>
            </w:tcBorders>
            <w:shd w:val="clear" w:color="auto" w:fill="B8CCE4" w:themeFill="accent1" w:themeFillTint="66"/>
            <w:vAlign w:val="center"/>
            <w:hideMark/>
          </w:tcPr>
          <w:p w14:paraId="40A553DD"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vērtības samazinājums (+,-)</w:t>
            </w:r>
          </w:p>
        </w:tc>
        <w:tc>
          <w:tcPr>
            <w:tcW w:w="1141" w:type="dxa"/>
            <w:tcBorders>
              <w:bottom w:val="single" w:sz="4" w:space="0" w:color="17365D"/>
            </w:tcBorders>
            <w:shd w:val="clear" w:color="auto" w:fill="B8CCE4" w:themeFill="accent1" w:themeFillTint="66"/>
            <w:vAlign w:val="center"/>
            <w:hideMark/>
          </w:tcPr>
          <w:p w14:paraId="218F0E44"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sākotnējā vērtība (+)</w:t>
            </w:r>
          </w:p>
        </w:tc>
        <w:tc>
          <w:tcPr>
            <w:tcW w:w="1146" w:type="dxa"/>
            <w:tcBorders>
              <w:bottom w:val="single" w:sz="4" w:space="0" w:color="17365D"/>
            </w:tcBorders>
            <w:shd w:val="clear" w:color="auto" w:fill="B8CCE4" w:themeFill="accent1" w:themeFillTint="66"/>
            <w:vAlign w:val="center"/>
            <w:hideMark/>
          </w:tcPr>
          <w:p w14:paraId="08231D66"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nolietojums (-)</w:t>
            </w:r>
          </w:p>
        </w:tc>
        <w:tc>
          <w:tcPr>
            <w:tcW w:w="1317" w:type="dxa"/>
            <w:tcBorders>
              <w:bottom w:val="single" w:sz="4" w:space="0" w:color="17365D"/>
            </w:tcBorders>
            <w:shd w:val="clear" w:color="auto" w:fill="B8CCE4" w:themeFill="accent1" w:themeFillTint="66"/>
            <w:vAlign w:val="center"/>
            <w:hideMark/>
          </w:tcPr>
          <w:p w14:paraId="462B8B99" w14:textId="77777777" w:rsidR="005B6245" w:rsidRPr="00A27896" w:rsidRDefault="005B6245" w:rsidP="00163BA8">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vērtības samazinājums (+,-)</w:t>
            </w:r>
          </w:p>
        </w:tc>
      </w:tr>
      <w:tr w:rsidR="00A27896" w:rsidRPr="00A27896" w14:paraId="2897CE60" w14:textId="77777777" w:rsidTr="009677AB">
        <w:trPr>
          <w:trHeight w:val="288"/>
        </w:trPr>
        <w:tc>
          <w:tcPr>
            <w:tcW w:w="2000" w:type="dxa"/>
            <w:tcBorders>
              <w:top w:val="single" w:sz="4" w:space="0" w:color="17365D"/>
              <w:bottom w:val="single" w:sz="4" w:space="0" w:color="17365D"/>
            </w:tcBorders>
            <w:shd w:val="clear" w:color="auto" w:fill="auto"/>
            <w:vAlign w:val="center"/>
            <w:hideMark/>
          </w:tcPr>
          <w:p w14:paraId="3C554DCD" w14:textId="697634B9"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241" w:type="dxa"/>
            <w:tcBorders>
              <w:top w:val="single" w:sz="4" w:space="0" w:color="17365D"/>
              <w:bottom w:val="single" w:sz="4" w:space="0" w:color="17365D"/>
            </w:tcBorders>
            <w:shd w:val="clear" w:color="auto" w:fill="auto"/>
            <w:vAlign w:val="center"/>
            <w:hideMark/>
          </w:tcPr>
          <w:p w14:paraId="2F9677AF" w14:textId="58FE0DCC"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146" w:type="dxa"/>
            <w:tcBorders>
              <w:top w:val="single" w:sz="4" w:space="0" w:color="17365D"/>
              <w:bottom w:val="single" w:sz="4" w:space="0" w:color="17365D"/>
            </w:tcBorders>
            <w:shd w:val="clear" w:color="auto" w:fill="auto"/>
            <w:vAlign w:val="center"/>
            <w:hideMark/>
          </w:tcPr>
          <w:p w14:paraId="3A7A2F9E" w14:textId="4FA45C1A"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317" w:type="dxa"/>
            <w:tcBorders>
              <w:top w:val="single" w:sz="4" w:space="0" w:color="17365D"/>
              <w:bottom w:val="single" w:sz="4" w:space="0" w:color="17365D"/>
            </w:tcBorders>
            <w:shd w:val="clear" w:color="auto" w:fill="auto"/>
            <w:vAlign w:val="center"/>
            <w:hideMark/>
          </w:tcPr>
          <w:p w14:paraId="7C819F54" w14:textId="4D242DAE"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141" w:type="dxa"/>
            <w:tcBorders>
              <w:top w:val="single" w:sz="4" w:space="0" w:color="17365D"/>
              <w:bottom w:val="single" w:sz="4" w:space="0" w:color="17365D"/>
            </w:tcBorders>
            <w:shd w:val="clear" w:color="auto" w:fill="auto"/>
            <w:vAlign w:val="center"/>
            <w:hideMark/>
          </w:tcPr>
          <w:p w14:paraId="13CA5F0A" w14:textId="1F820E67"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146" w:type="dxa"/>
            <w:tcBorders>
              <w:top w:val="single" w:sz="4" w:space="0" w:color="17365D"/>
              <w:bottom w:val="single" w:sz="4" w:space="0" w:color="17365D"/>
            </w:tcBorders>
            <w:shd w:val="clear" w:color="auto" w:fill="auto"/>
            <w:vAlign w:val="center"/>
            <w:hideMark/>
          </w:tcPr>
          <w:p w14:paraId="55ACD07B" w14:textId="40C0D8B0"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317" w:type="dxa"/>
            <w:tcBorders>
              <w:top w:val="single" w:sz="4" w:space="0" w:color="17365D"/>
              <w:bottom w:val="single" w:sz="4" w:space="0" w:color="17365D"/>
            </w:tcBorders>
            <w:shd w:val="clear" w:color="auto" w:fill="auto"/>
            <w:vAlign w:val="center"/>
            <w:hideMark/>
          </w:tcPr>
          <w:p w14:paraId="61C6F452" w14:textId="716DBD38" w:rsidR="005B6245" w:rsidRPr="00A27896" w:rsidRDefault="00163BA8" w:rsidP="005B6245">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C132D8" w:rsidRPr="00A27896" w14:paraId="7FDD42AF" w14:textId="77777777" w:rsidTr="009677AB">
        <w:trPr>
          <w:trHeight w:val="300"/>
        </w:trPr>
        <w:tc>
          <w:tcPr>
            <w:tcW w:w="2000" w:type="dxa"/>
            <w:tcBorders>
              <w:top w:val="single" w:sz="4" w:space="0" w:color="17365D"/>
              <w:bottom w:val="single" w:sz="4" w:space="0" w:color="17365D"/>
            </w:tcBorders>
            <w:shd w:val="clear" w:color="auto" w:fill="auto"/>
            <w:vAlign w:val="center"/>
            <w:hideMark/>
          </w:tcPr>
          <w:p w14:paraId="62D4F185" w14:textId="77777777" w:rsidR="00C132D8" w:rsidRPr="00A27896" w:rsidRDefault="00C132D8" w:rsidP="00C132D8">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Pamatlīdzekļi</w:t>
            </w:r>
          </w:p>
        </w:tc>
        <w:tc>
          <w:tcPr>
            <w:tcW w:w="1241" w:type="dxa"/>
            <w:tcBorders>
              <w:top w:val="single" w:sz="4" w:space="0" w:color="17365D"/>
              <w:left w:val="nil"/>
              <w:bottom w:val="single" w:sz="4" w:space="0" w:color="auto"/>
              <w:right w:val="nil"/>
            </w:tcBorders>
            <w:shd w:val="clear" w:color="auto" w:fill="auto"/>
            <w:vAlign w:val="center"/>
            <w:hideMark/>
          </w:tcPr>
          <w:p w14:paraId="1E426172" w14:textId="24EDF3FB" w:rsidR="00C132D8" w:rsidRPr="00A27896" w:rsidRDefault="00C132D8" w:rsidP="00C132D8">
            <w:pPr>
              <w:spacing w:after="0" w:line="240" w:lineRule="auto"/>
              <w:jc w:val="right"/>
              <w:rPr>
                <w:rFonts w:eastAsia="Times New Roman" w:cs="Times New Roman"/>
                <w:b/>
                <w:color w:val="17365D"/>
                <w:sz w:val="18"/>
                <w:szCs w:val="18"/>
                <w:lang w:eastAsia="lv-LV"/>
              </w:rPr>
            </w:pPr>
            <w:r>
              <w:rPr>
                <w:b/>
                <w:bCs/>
                <w:color w:val="17365D"/>
                <w:sz w:val="18"/>
                <w:szCs w:val="18"/>
              </w:rPr>
              <w:t>129 470 481</w:t>
            </w:r>
          </w:p>
        </w:tc>
        <w:tc>
          <w:tcPr>
            <w:tcW w:w="1146" w:type="dxa"/>
            <w:tcBorders>
              <w:top w:val="single" w:sz="4" w:space="0" w:color="17365D"/>
              <w:left w:val="nil"/>
              <w:bottom w:val="single" w:sz="4" w:space="0" w:color="auto"/>
              <w:right w:val="nil"/>
            </w:tcBorders>
            <w:shd w:val="clear" w:color="auto" w:fill="auto"/>
            <w:vAlign w:val="center"/>
            <w:hideMark/>
          </w:tcPr>
          <w:p w14:paraId="73A11BFE" w14:textId="71872683" w:rsidR="00C132D8" w:rsidRPr="00A27896" w:rsidRDefault="00C132D8" w:rsidP="00C132D8">
            <w:pPr>
              <w:spacing w:after="0" w:line="240" w:lineRule="auto"/>
              <w:jc w:val="right"/>
              <w:rPr>
                <w:rFonts w:eastAsia="Times New Roman" w:cs="Times New Roman"/>
                <w:b/>
                <w:color w:val="17365D"/>
                <w:sz w:val="18"/>
                <w:szCs w:val="18"/>
                <w:lang w:eastAsia="lv-LV"/>
              </w:rPr>
            </w:pPr>
            <w:r>
              <w:rPr>
                <w:b/>
                <w:bCs/>
                <w:color w:val="17365D"/>
                <w:sz w:val="18"/>
                <w:szCs w:val="18"/>
              </w:rPr>
              <w:t>-1 526 542</w:t>
            </w:r>
          </w:p>
        </w:tc>
        <w:tc>
          <w:tcPr>
            <w:tcW w:w="1317" w:type="dxa"/>
            <w:tcBorders>
              <w:top w:val="single" w:sz="4" w:space="0" w:color="17365D"/>
              <w:bottom w:val="single" w:sz="4" w:space="0" w:color="17365D"/>
            </w:tcBorders>
            <w:shd w:val="clear" w:color="auto" w:fill="auto"/>
            <w:vAlign w:val="center"/>
            <w:hideMark/>
          </w:tcPr>
          <w:p w14:paraId="06BBC75A" w14:textId="1327A449" w:rsidR="00C132D8" w:rsidRPr="00A27896" w:rsidRDefault="00C132D8" w:rsidP="00C132D8">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c>
          <w:tcPr>
            <w:tcW w:w="1141" w:type="dxa"/>
            <w:tcBorders>
              <w:top w:val="single" w:sz="4" w:space="0" w:color="17365D"/>
              <w:bottom w:val="single" w:sz="4" w:space="0" w:color="17365D"/>
            </w:tcBorders>
            <w:shd w:val="clear" w:color="auto" w:fill="auto"/>
            <w:vAlign w:val="center"/>
            <w:hideMark/>
          </w:tcPr>
          <w:p w14:paraId="6CDB86B5" w14:textId="2006999D" w:rsidR="00C132D8" w:rsidRPr="00A27896" w:rsidRDefault="00C132D8" w:rsidP="00C132D8">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25 273 603</w:t>
            </w:r>
          </w:p>
        </w:tc>
        <w:tc>
          <w:tcPr>
            <w:tcW w:w="1146" w:type="dxa"/>
            <w:tcBorders>
              <w:top w:val="single" w:sz="4" w:space="0" w:color="17365D"/>
              <w:bottom w:val="single" w:sz="4" w:space="0" w:color="17365D"/>
            </w:tcBorders>
            <w:shd w:val="clear" w:color="auto" w:fill="auto"/>
            <w:vAlign w:val="center"/>
            <w:hideMark/>
          </w:tcPr>
          <w:p w14:paraId="3CCBC4BE" w14:textId="02A6EAAA" w:rsidR="00C132D8" w:rsidRPr="00A27896" w:rsidRDefault="00C132D8" w:rsidP="00C132D8">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-2 111 583</w:t>
            </w:r>
          </w:p>
        </w:tc>
        <w:tc>
          <w:tcPr>
            <w:tcW w:w="1317" w:type="dxa"/>
            <w:tcBorders>
              <w:top w:val="single" w:sz="4" w:space="0" w:color="17365D"/>
              <w:bottom w:val="single" w:sz="4" w:space="0" w:color="17365D"/>
            </w:tcBorders>
            <w:shd w:val="clear" w:color="auto" w:fill="auto"/>
            <w:vAlign w:val="center"/>
            <w:hideMark/>
          </w:tcPr>
          <w:p w14:paraId="70477195" w14:textId="77777777" w:rsidR="00C132D8" w:rsidRPr="00A27896" w:rsidRDefault="00C132D8" w:rsidP="00C132D8">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r>
      <w:tr w:rsidR="00C132D8" w:rsidRPr="00A27896" w14:paraId="68BD8970" w14:textId="77777777" w:rsidTr="009677AB">
        <w:trPr>
          <w:trHeight w:val="288"/>
        </w:trPr>
        <w:tc>
          <w:tcPr>
            <w:tcW w:w="2000" w:type="dxa"/>
            <w:tcBorders>
              <w:top w:val="single" w:sz="4" w:space="0" w:color="17365D"/>
              <w:bottom w:val="single" w:sz="4" w:space="0" w:color="17365D"/>
            </w:tcBorders>
            <w:shd w:val="clear" w:color="auto" w:fill="auto"/>
            <w:vAlign w:val="center"/>
            <w:hideMark/>
          </w:tcPr>
          <w:p w14:paraId="66542098" w14:textId="77777777" w:rsidR="00C132D8" w:rsidRPr="00A27896" w:rsidRDefault="00C132D8" w:rsidP="00C132D8">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Zeme un būves</w:t>
            </w:r>
          </w:p>
        </w:tc>
        <w:tc>
          <w:tcPr>
            <w:tcW w:w="1241" w:type="dxa"/>
            <w:tcBorders>
              <w:top w:val="single" w:sz="4" w:space="0" w:color="auto"/>
              <w:left w:val="nil"/>
              <w:bottom w:val="single" w:sz="4" w:space="0" w:color="auto"/>
              <w:right w:val="nil"/>
            </w:tcBorders>
            <w:shd w:val="clear" w:color="auto" w:fill="auto"/>
            <w:vAlign w:val="center"/>
            <w:hideMark/>
          </w:tcPr>
          <w:p w14:paraId="44734C26" w14:textId="0660FA45" w:rsidR="00C132D8" w:rsidRPr="00A27896" w:rsidRDefault="00C132D8" w:rsidP="00C132D8">
            <w:pPr>
              <w:spacing w:after="0" w:line="240" w:lineRule="auto"/>
              <w:jc w:val="right"/>
              <w:rPr>
                <w:rFonts w:eastAsia="Times New Roman" w:cs="Times New Roman"/>
                <w:color w:val="17365D"/>
                <w:sz w:val="18"/>
                <w:szCs w:val="18"/>
                <w:lang w:eastAsia="lv-LV"/>
              </w:rPr>
            </w:pPr>
            <w:r>
              <w:rPr>
                <w:color w:val="17365D"/>
                <w:sz w:val="18"/>
                <w:szCs w:val="18"/>
              </w:rPr>
              <w:t>129 167 452</w:t>
            </w:r>
          </w:p>
        </w:tc>
        <w:tc>
          <w:tcPr>
            <w:tcW w:w="1146" w:type="dxa"/>
            <w:tcBorders>
              <w:top w:val="single" w:sz="4" w:space="0" w:color="auto"/>
              <w:left w:val="nil"/>
              <w:bottom w:val="single" w:sz="4" w:space="0" w:color="auto"/>
              <w:right w:val="nil"/>
            </w:tcBorders>
            <w:shd w:val="clear" w:color="auto" w:fill="auto"/>
            <w:vAlign w:val="center"/>
            <w:hideMark/>
          </w:tcPr>
          <w:p w14:paraId="163D1AFC" w14:textId="00BADAC4" w:rsidR="00C132D8" w:rsidRPr="00A27896" w:rsidRDefault="00C132D8" w:rsidP="00C132D8">
            <w:pPr>
              <w:spacing w:after="0" w:line="240" w:lineRule="auto"/>
              <w:jc w:val="right"/>
              <w:rPr>
                <w:rFonts w:eastAsia="Times New Roman" w:cs="Times New Roman"/>
                <w:color w:val="17365D"/>
                <w:sz w:val="18"/>
                <w:szCs w:val="18"/>
                <w:lang w:eastAsia="lv-LV"/>
              </w:rPr>
            </w:pPr>
            <w:r>
              <w:rPr>
                <w:color w:val="17365D"/>
                <w:sz w:val="18"/>
                <w:szCs w:val="18"/>
              </w:rPr>
              <w:t>-1 390 717</w:t>
            </w:r>
          </w:p>
        </w:tc>
        <w:tc>
          <w:tcPr>
            <w:tcW w:w="1317" w:type="dxa"/>
            <w:tcBorders>
              <w:top w:val="single" w:sz="4" w:space="0" w:color="17365D"/>
              <w:bottom w:val="single" w:sz="4" w:space="0" w:color="17365D"/>
            </w:tcBorders>
            <w:shd w:val="clear" w:color="auto" w:fill="auto"/>
            <w:vAlign w:val="center"/>
            <w:hideMark/>
          </w:tcPr>
          <w:p w14:paraId="4140EC78" w14:textId="6124D704"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41" w:type="dxa"/>
            <w:tcBorders>
              <w:top w:val="single" w:sz="4" w:space="0" w:color="17365D"/>
              <w:bottom w:val="single" w:sz="4" w:space="0" w:color="17365D"/>
            </w:tcBorders>
            <w:shd w:val="clear" w:color="auto" w:fill="auto"/>
            <w:vAlign w:val="center"/>
            <w:hideMark/>
          </w:tcPr>
          <w:p w14:paraId="72BC96E6" w14:textId="5187BFDD"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9 011 522</w:t>
            </w:r>
          </w:p>
        </w:tc>
        <w:tc>
          <w:tcPr>
            <w:tcW w:w="1146" w:type="dxa"/>
            <w:tcBorders>
              <w:top w:val="single" w:sz="4" w:space="0" w:color="17365D"/>
              <w:bottom w:val="single" w:sz="4" w:space="0" w:color="17365D"/>
            </w:tcBorders>
            <w:shd w:val="clear" w:color="auto" w:fill="auto"/>
            <w:vAlign w:val="center"/>
            <w:hideMark/>
          </w:tcPr>
          <w:p w14:paraId="47F5F78E" w14:textId="0CB64F13"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-1 741 721</w:t>
            </w:r>
          </w:p>
        </w:tc>
        <w:tc>
          <w:tcPr>
            <w:tcW w:w="1317" w:type="dxa"/>
            <w:tcBorders>
              <w:top w:val="single" w:sz="4" w:space="0" w:color="17365D"/>
              <w:bottom w:val="single" w:sz="4" w:space="0" w:color="17365D"/>
            </w:tcBorders>
            <w:shd w:val="clear" w:color="auto" w:fill="auto"/>
            <w:vAlign w:val="center"/>
            <w:hideMark/>
          </w:tcPr>
          <w:p w14:paraId="4226E21F" w14:textId="77777777"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C132D8" w:rsidRPr="00A27896" w14:paraId="42A86208" w14:textId="77777777" w:rsidTr="009677AB">
        <w:trPr>
          <w:trHeight w:val="288"/>
        </w:trPr>
        <w:tc>
          <w:tcPr>
            <w:tcW w:w="2000" w:type="dxa"/>
            <w:tcBorders>
              <w:top w:val="single" w:sz="4" w:space="0" w:color="17365D"/>
              <w:bottom w:val="single" w:sz="4" w:space="0" w:color="17365D"/>
            </w:tcBorders>
            <w:shd w:val="clear" w:color="auto" w:fill="auto"/>
            <w:vAlign w:val="center"/>
            <w:hideMark/>
          </w:tcPr>
          <w:p w14:paraId="4A4E8725" w14:textId="77777777" w:rsidR="00C132D8" w:rsidRPr="00A27896" w:rsidRDefault="00C132D8" w:rsidP="00C132D8">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pamatlīdzekļi</w:t>
            </w:r>
          </w:p>
        </w:tc>
        <w:tc>
          <w:tcPr>
            <w:tcW w:w="1241" w:type="dxa"/>
            <w:tcBorders>
              <w:top w:val="single" w:sz="4" w:space="0" w:color="auto"/>
              <w:left w:val="nil"/>
              <w:bottom w:val="single" w:sz="4" w:space="0" w:color="auto"/>
              <w:right w:val="nil"/>
            </w:tcBorders>
            <w:shd w:val="clear" w:color="auto" w:fill="auto"/>
            <w:vAlign w:val="center"/>
            <w:hideMark/>
          </w:tcPr>
          <w:p w14:paraId="41A38124" w14:textId="4156D10D" w:rsidR="00C132D8" w:rsidRPr="00A27896" w:rsidRDefault="00C132D8" w:rsidP="00C132D8">
            <w:pPr>
              <w:spacing w:after="0" w:line="240" w:lineRule="auto"/>
              <w:jc w:val="right"/>
              <w:rPr>
                <w:rFonts w:eastAsia="Times New Roman" w:cs="Times New Roman"/>
                <w:color w:val="17365D"/>
                <w:sz w:val="18"/>
                <w:szCs w:val="18"/>
                <w:lang w:eastAsia="lv-LV"/>
              </w:rPr>
            </w:pPr>
            <w:r>
              <w:rPr>
                <w:color w:val="17365D"/>
                <w:sz w:val="18"/>
                <w:szCs w:val="18"/>
              </w:rPr>
              <w:t>171 708</w:t>
            </w:r>
          </w:p>
        </w:tc>
        <w:tc>
          <w:tcPr>
            <w:tcW w:w="1146" w:type="dxa"/>
            <w:tcBorders>
              <w:top w:val="single" w:sz="4" w:space="0" w:color="auto"/>
              <w:left w:val="nil"/>
              <w:bottom w:val="single" w:sz="4" w:space="0" w:color="auto"/>
              <w:right w:val="nil"/>
            </w:tcBorders>
            <w:shd w:val="clear" w:color="auto" w:fill="auto"/>
            <w:vAlign w:val="center"/>
            <w:hideMark/>
          </w:tcPr>
          <w:p w14:paraId="389E0EBB" w14:textId="759AE27B" w:rsidR="00C132D8" w:rsidRPr="00A27896" w:rsidRDefault="00C132D8" w:rsidP="00C132D8">
            <w:pPr>
              <w:spacing w:after="0" w:line="240" w:lineRule="auto"/>
              <w:jc w:val="right"/>
              <w:rPr>
                <w:rFonts w:eastAsia="Times New Roman" w:cs="Times New Roman"/>
                <w:color w:val="17365D"/>
                <w:sz w:val="18"/>
                <w:szCs w:val="18"/>
                <w:lang w:eastAsia="lv-LV"/>
              </w:rPr>
            </w:pPr>
            <w:r>
              <w:rPr>
                <w:color w:val="17365D"/>
                <w:sz w:val="18"/>
                <w:szCs w:val="18"/>
              </w:rPr>
              <w:t>-135 825</w:t>
            </w:r>
          </w:p>
        </w:tc>
        <w:tc>
          <w:tcPr>
            <w:tcW w:w="1317" w:type="dxa"/>
            <w:tcBorders>
              <w:top w:val="single" w:sz="4" w:space="0" w:color="17365D"/>
              <w:bottom w:val="single" w:sz="4" w:space="0" w:color="17365D"/>
            </w:tcBorders>
            <w:shd w:val="clear" w:color="auto" w:fill="auto"/>
            <w:vAlign w:val="center"/>
            <w:hideMark/>
          </w:tcPr>
          <w:p w14:paraId="22A7EECE" w14:textId="6EA52FB9"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41" w:type="dxa"/>
            <w:tcBorders>
              <w:top w:val="single" w:sz="4" w:space="0" w:color="17365D"/>
              <w:bottom w:val="single" w:sz="4" w:space="0" w:color="17365D"/>
            </w:tcBorders>
            <w:shd w:val="clear" w:color="auto" w:fill="auto"/>
            <w:vAlign w:val="center"/>
            <w:hideMark/>
          </w:tcPr>
          <w:p w14:paraId="1F812AA2" w14:textId="698EC0C8"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435 652</w:t>
            </w:r>
          </w:p>
        </w:tc>
        <w:tc>
          <w:tcPr>
            <w:tcW w:w="1146" w:type="dxa"/>
            <w:tcBorders>
              <w:top w:val="single" w:sz="4" w:space="0" w:color="17365D"/>
              <w:bottom w:val="single" w:sz="4" w:space="0" w:color="17365D"/>
            </w:tcBorders>
            <w:shd w:val="clear" w:color="auto" w:fill="auto"/>
            <w:vAlign w:val="center"/>
            <w:hideMark/>
          </w:tcPr>
          <w:p w14:paraId="394D3B81" w14:textId="5DD953D4"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-369 862</w:t>
            </w:r>
          </w:p>
        </w:tc>
        <w:tc>
          <w:tcPr>
            <w:tcW w:w="1317" w:type="dxa"/>
            <w:tcBorders>
              <w:top w:val="single" w:sz="4" w:space="0" w:color="17365D"/>
              <w:bottom w:val="single" w:sz="4" w:space="0" w:color="17365D"/>
            </w:tcBorders>
            <w:shd w:val="clear" w:color="auto" w:fill="auto"/>
            <w:vAlign w:val="center"/>
            <w:hideMark/>
          </w:tcPr>
          <w:p w14:paraId="62F0959C" w14:textId="77777777"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C132D8" w:rsidRPr="00A27896" w14:paraId="5FB26A84" w14:textId="77777777" w:rsidTr="009677AB">
        <w:trPr>
          <w:trHeight w:val="528"/>
        </w:trPr>
        <w:tc>
          <w:tcPr>
            <w:tcW w:w="2000" w:type="dxa"/>
            <w:tcBorders>
              <w:top w:val="single" w:sz="4" w:space="0" w:color="17365D"/>
              <w:bottom w:val="single" w:sz="4" w:space="0" w:color="17365D"/>
            </w:tcBorders>
            <w:shd w:val="clear" w:color="auto" w:fill="auto"/>
            <w:vAlign w:val="center"/>
            <w:hideMark/>
          </w:tcPr>
          <w:p w14:paraId="50C59702" w14:textId="77777777" w:rsidR="00C132D8" w:rsidRPr="00A27896" w:rsidRDefault="00C132D8" w:rsidP="00C132D8">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Pamatlīdzekļu izveidošana un nepabeigtā būvniecība</w:t>
            </w:r>
          </w:p>
        </w:tc>
        <w:tc>
          <w:tcPr>
            <w:tcW w:w="1241" w:type="dxa"/>
            <w:tcBorders>
              <w:top w:val="single" w:sz="4" w:space="0" w:color="auto"/>
              <w:left w:val="nil"/>
              <w:bottom w:val="single" w:sz="4" w:space="0" w:color="auto"/>
              <w:right w:val="nil"/>
            </w:tcBorders>
            <w:shd w:val="clear" w:color="auto" w:fill="auto"/>
            <w:vAlign w:val="center"/>
            <w:hideMark/>
          </w:tcPr>
          <w:p w14:paraId="473F1A38" w14:textId="29868B4F" w:rsidR="00C132D8" w:rsidRPr="00A27896" w:rsidRDefault="00C132D8" w:rsidP="00C132D8">
            <w:pPr>
              <w:spacing w:after="0" w:line="240" w:lineRule="auto"/>
              <w:jc w:val="right"/>
              <w:rPr>
                <w:rFonts w:eastAsia="Times New Roman" w:cs="Times New Roman"/>
                <w:color w:val="17365D"/>
                <w:sz w:val="18"/>
                <w:szCs w:val="18"/>
                <w:lang w:eastAsia="lv-LV"/>
              </w:rPr>
            </w:pPr>
            <w:r>
              <w:rPr>
                <w:color w:val="17365D"/>
                <w:sz w:val="18"/>
                <w:szCs w:val="18"/>
              </w:rPr>
              <w:t>115 043</w:t>
            </w:r>
          </w:p>
        </w:tc>
        <w:tc>
          <w:tcPr>
            <w:tcW w:w="1146" w:type="dxa"/>
            <w:tcBorders>
              <w:top w:val="single" w:sz="4" w:space="0" w:color="auto"/>
              <w:left w:val="nil"/>
              <w:bottom w:val="single" w:sz="4" w:space="0" w:color="auto"/>
              <w:right w:val="nil"/>
            </w:tcBorders>
            <w:shd w:val="clear" w:color="auto" w:fill="auto"/>
            <w:vAlign w:val="center"/>
            <w:hideMark/>
          </w:tcPr>
          <w:p w14:paraId="5ADD9ECC" w14:textId="3F0EAEBD" w:rsidR="00C132D8" w:rsidRPr="00A27896" w:rsidRDefault="00C132D8" w:rsidP="00C132D8">
            <w:pPr>
              <w:spacing w:after="0" w:line="240" w:lineRule="auto"/>
              <w:jc w:val="right"/>
              <w:rPr>
                <w:rFonts w:eastAsia="Times New Roman" w:cs="Times New Roman"/>
                <w:color w:val="17365D"/>
                <w:sz w:val="18"/>
                <w:szCs w:val="18"/>
                <w:lang w:eastAsia="lv-LV"/>
              </w:rPr>
            </w:pPr>
            <w:r>
              <w:rPr>
                <w:color w:val="17365D"/>
                <w:sz w:val="18"/>
                <w:szCs w:val="18"/>
              </w:rPr>
              <w:t>0</w:t>
            </w:r>
          </w:p>
        </w:tc>
        <w:tc>
          <w:tcPr>
            <w:tcW w:w="1317" w:type="dxa"/>
            <w:tcBorders>
              <w:top w:val="single" w:sz="4" w:space="0" w:color="17365D"/>
              <w:bottom w:val="single" w:sz="4" w:space="0" w:color="17365D"/>
            </w:tcBorders>
            <w:shd w:val="clear" w:color="auto" w:fill="auto"/>
            <w:vAlign w:val="center"/>
            <w:hideMark/>
          </w:tcPr>
          <w:p w14:paraId="0321EAC1" w14:textId="41B34D80"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41" w:type="dxa"/>
            <w:tcBorders>
              <w:top w:val="single" w:sz="4" w:space="0" w:color="17365D"/>
              <w:bottom w:val="single" w:sz="4" w:space="0" w:color="17365D"/>
            </w:tcBorders>
            <w:shd w:val="clear" w:color="auto" w:fill="auto"/>
            <w:vAlign w:val="center"/>
            <w:hideMark/>
          </w:tcPr>
          <w:p w14:paraId="47379E24" w14:textId="1C73DBF9"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15 806 007</w:t>
            </w:r>
          </w:p>
        </w:tc>
        <w:tc>
          <w:tcPr>
            <w:tcW w:w="1146" w:type="dxa"/>
            <w:tcBorders>
              <w:top w:val="single" w:sz="4" w:space="0" w:color="17365D"/>
              <w:bottom w:val="single" w:sz="4" w:space="0" w:color="17365D"/>
            </w:tcBorders>
            <w:shd w:val="clear" w:color="auto" w:fill="auto"/>
            <w:vAlign w:val="center"/>
            <w:hideMark/>
          </w:tcPr>
          <w:p w14:paraId="3BBAB57B" w14:textId="311CC256"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17" w:type="dxa"/>
            <w:tcBorders>
              <w:top w:val="single" w:sz="4" w:space="0" w:color="17365D"/>
              <w:bottom w:val="single" w:sz="4" w:space="0" w:color="17365D"/>
            </w:tcBorders>
            <w:shd w:val="clear" w:color="auto" w:fill="auto"/>
            <w:vAlign w:val="center"/>
            <w:hideMark/>
          </w:tcPr>
          <w:p w14:paraId="04D0F778" w14:textId="77777777"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C132D8" w:rsidRPr="00A27896" w14:paraId="4A7A5CBC" w14:textId="77777777" w:rsidTr="009677AB">
        <w:trPr>
          <w:trHeight w:val="288"/>
        </w:trPr>
        <w:tc>
          <w:tcPr>
            <w:tcW w:w="2000" w:type="dxa"/>
            <w:tcBorders>
              <w:top w:val="single" w:sz="4" w:space="0" w:color="17365D"/>
              <w:bottom w:val="single" w:sz="4" w:space="0" w:color="17365D"/>
            </w:tcBorders>
            <w:shd w:val="clear" w:color="auto" w:fill="auto"/>
            <w:vAlign w:val="center"/>
            <w:hideMark/>
          </w:tcPr>
          <w:p w14:paraId="5AAD456F" w14:textId="77777777" w:rsidR="00C132D8" w:rsidRPr="00A27896" w:rsidRDefault="00C132D8" w:rsidP="00C132D8">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Bioloģiskie un pazemes aktīvi</w:t>
            </w:r>
          </w:p>
        </w:tc>
        <w:tc>
          <w:tcPr>
            <w:tcW w:w="1241" w:type="dxa"/>
            <w:tcBorders>
              <w:top w:val="single" w:sz="4" w:space="0" w:color="auto"/>
              <w:left w:val="nil"/>
              <w:bottom w:val="single" w:sz="4" w:space="0" w:color="auto"/>
              <w:right w:val="nil"/>
            </w:tcBorders>
            <w:shd w:val="clear" w:color="auto" w:fill="auto"/>
            <w:vAlign w:val="center"/>
            <w:hideMark/>
          </w:tcPr>
          <w:p w14:paraId="444D9A5A" w14:textId="749D2963" w:rsidR="00C132D8" w:rsidRPr="00A27896" w:rsidRDefault="00C132D8" w:rsidP="00C132D8">
            <w:pPr>
              <w:spacing w:after="0" w:line="240" w:lineRule="auto"/>
              <w:jc w:val="right"/>
              <w:rPr>
                <w:rFonts w:eastAsia="Times New Roman" w:cs="Times New Roman"/>
                <w:color w:val="17365D"/>
                <w:sz w:val="18"/>
                <w:szCs w:val="18"/>
                <w:lang w:eastAsia="lv-LV"/>
              </w:rPr>
            </w:pPr>
            <w:r>
              <w:rPr>
                <w:color w:val="17365D"/>
                <w:sz w:val="18"/>
                <w:szCs w:val="18"/>
              </w:rPr>
              <w:t>16 278</w:t>
            </w:r>
          </w:p>
        </w:tc>
        <w:tc>
          <w:tcPr>
            <w:tcW w:w="1146" w:type="dxa"/>
            <w:tcBorders>
              <w:top w:val="single" w:sz="4" w:space="0" w:color="auto"/>
              <w:left w:val="nil"/>
              <w:bottom w:val="single" w:sz="4" w:space="0" w:color="auto"/>
              <w:right w:val="nil"/>
            </w:tcBorders>
            <w:shd w:val="clear" w:color="auto" w:fill="auto"/>
            <w:vAlign w:val="center"/>
            <w:hideMark/>
          </w:tcPr>
          <w:p w14:paraId="70273F2A" w14:textId="3FC9FE8B" w:rsidR="00C132D8" w:rsidRPr="00A27896" w:rsidRDefault="00C132D8" w:rsidP="00C132D8">
            <w:pPr>
              <w:spacing w:after="0" w:line="240" w:lineRule="auto"/>
              <w:jc w:val="right"/>
              <w:rPr>
                <w:rFonts w:eastAsia="Times New Roman" w:cs="Times New Roman"/>
                <w:color w:val="17365D"/>
                <w:sz w:val="18"/>
                <w:szCs w:val="18"/>
                <w:lang w:eastAsia="lv-LV"/>
              </w:rPr>
            </w:pPr>
            <w:r>
              <w:rPr>
                <w:color w:val="17365D"/>
                <w:sz w:val="18"/>
                <w:szCs w:val="18"/>
              </w:rPr>
              <w:t>0</w:t>
            </w:r>
          </w:p>
        </w:tc>
        <w:tc>
          <w:tcPr>
            <w:tcW w:w="1317" w:type="dxa"/>
            <w:tcBorders>
              <w:top w:val="single" w:sz="4" w:space="0" w:color="17365D"/>
              <w:bottom w:val="single" w:sz="4" w:space="0" w:color="17365D"/>
            </w:tcBorders>
            <w:shd w:val="clear" w:color="auto" w:fill="auto"/>
            <w:vAlign w:val="center"/>
            <w:hideMark/>
          </w:tcPr>
          <w:p w14:paraId="2CAF319C" w14:textId="2E2E7A14"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141" w:type="dxa"/>
            <w:tcBorders>
              <w:top w:val="single" w:sz="4" w:space="0" w:color="17365D"/>
              <w:bottom w:val="single" w:sz="4" w:space="0" w:color="17365D"/>
            </w:tcBorders>
            <w:shd w:val="clear" w:color="auto" w:fill="auto"/>
            <w:vAlign w:val="center"/>
            <w:hideMark/>
          </w:tcPr>
          <w:p w14:paraId="580EF12E" w14:textId="62565F74"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20 422</w:t>
            </w:r>
          </w:p>
        </w:tc>
        <w:tc>
          <w:tcPr>
            <w:tcW w:w="1146" w:type="dxa"/>
            <w:tcBorders>
              <w:top w:val="single" w:sz="4" w:space="0" w:color="17365D"/>
              <w:bottom w:val="single" w:sz="4" w:space="0" w:color="17365D"/>
            </w:tcBorders>
            <w:shd w:val="clear" w:color="auto" w:fill="auto"/>
            <w:vAlign w:val="center"/>
            <w:hideMark/>
          </w:tcPr>
          <w:p w14:paraId="504764CD" w14:textId="77777777"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317" w:type="dxa"/>
            <w:tcBorders>
              <w:top w:val="single" w:sz="4" w:space="0" w:color="17365D"/>
              <w:bottom w:val="single" w:sz="4" w:space="0" w:color="17365D"/>
            </w:tcBorders>
            <w:shd w:val="clear" w:color="auto" w:fill="auto"/>
            <w:vAlign w:val="center"/>
            <w:hideMark/>
          </w:tcPr>
          <w:p w14:paraId="5DF2E64F" w14:textId="77777777" w:rsidR="00C132D8" w:rsidRPr="00A27896" w:rsidRDefault="00C132D8" w:rsidP="00C132D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0C1009" w:rsidRPr="00A27896" w14:paraId="067FF419" w14:textId="77777777" w:rsidTr="009677AB">
        <w:trPr>
          <w:trHeight w:val="184"/>
        </w:trPr>
        <w:tc>
          <w:tcPr>
            <w:tcW w:w="2000" w:type="dxa"/>
            <w:tcBorders>
              <w:top w:val="single" w:sz="4" w:space="0" w:color="17365D"/>
              <w:bottom w:val="nil"/>
            </w:tcBorders>
            <w:shd w:val="clear" w:color="auto" w:fill="B8CCE4" w:themeFill="accent1" w:themeFillTint="66"/>
            <w:vAlign w:val="center"/>
          </w:tcPr>
          <w:p w14:paraId="47EF327F" w14:textId="77777777" w:rsidR="00163BA8" w:rsidRPr="00A27896" w:rsidRDefault="00163BA8" w:rsidP="005B6245">
            <w:pPr>
              <w:spacing w:after="0" w:line="240" w:lineRule="auto"/>
              <w:rPr>
                <w:rFonts w:eastAsia="Times New Roman" w:cs="Times New Roman"/>
                <w:color w:val="17365D"/>
                <w:sz w:val="20"/>
                <w:szCs w:val="20"/>
                <w:lang w:eastAsia="lv-LV"/>
              </w:rPr>
            </w:pPr>
          </w:p>
        </w:tc>
        <w:tc>
          <w:tcPr>
            <w:tcW w:w="1241" w:type="dxa"/>
            <w:tcBorders>
              <w:top w:val="single" w:sz="4" w:space="0" w:color="auto"/>
              <w:bottom w:val="nil"/>
            </w:tcBorders>
            <w:shd w:val="clear" w:color="auto" w:fill="B8CCE4" w:themeFill="accent1" w:themeFillTint="66"/>
            <w:vAlign w:val="center"/>
          </w:tcPr>
          <w:p w14:paraId="3E711BB6"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146" w:type="dxa"/>
            <w:tcBorders>
              <w:top w:val="single" w:sz="4" w:space="0" w:color="auto"/>
              <w:bottom w:val="nil"/>
            </w:tcBorders>
            <w:shd w:val="clear" w:color="auto" w:fill="B8CCE4" w:themeFill="accent1" w:themeFillTint="66"/>
            <w:vAlign w:val="center"/>
          </w:tcPr>
          <w:p w14:paraId="1440EC56"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317" w:type="dxa"/>
            <w:tcBorders>
              <w:top w:val="single" w:sz="4" w:space="0" w:color="17365D"/>
              <w:bottom w:val="nil"/>
            </w:tcBorders>
            <w:shd w:val="clear" w:color="auto" w:fill="B8CCE4" w:themeFill="accent1" w:themeFillTint="66"/>
            <w:vAlign w:val="center"/>
          </w:tcPr>
          <w:p w14:paraId="19B76334"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141" w:type="dxa"/>
            <w:tcBorders>
              <w:top w:val="single" w:sz="4" w:space="0" w:color="17365D"/>
              <w:bottom w:val="nil"/>
            </w:tcBorders>
            <w:shd w:val="clear" w:color="auto" w:fill="B8CCE4" w:themeFill="accent1" w:themeFillTint="66"/>
            <w:vAlign w:val="center"/>
          </w:tcPr>
          <w:p w14:paraId="2B659211"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146" w:type="dxa"/>
            <w:tcBorders>
              <w:top w:val="single" w:sz="4" w:space="0" w:color="17365D"/>
              <w:bottom w:val="nil"/>
            </w:tcBorders>
            <w:shd w:val="clear" w:color="auto" w:fill="B8CCE4" w:themeFill="accent1" w:themeFillTint="66"/>
            <w:vAlign w:val="center"/>
          </w:tcPr>
          <w:p w14:paraId="72A15749"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c>
          <w:tcPr>
            <w:tcW w:w="1317" w:type="dxa"/>
            <w:tcBorders>
              <w:top w:val="single" w:sz="4" w:space="0" w:color="17365D"/>
              <w:bottom w:val="nil"/>
            </w:tcBorders>
            <w:shd w:val="clear" w:color="auto" w:fill="B8CCE4" w:themeFill="accent1" w:themeFillTint="66"/>
            <w:vAlign w:val="center"/>
          </w:tcPr>
          <w:p w14:paraId="329E85CE" w14:textId="77777777" w:rsidR="00163BA8" w:rsidRPr="00A27896" w:rsidRDefault="00163BA8" w:rsidP="005B6245">
            <w:pPr>
              <w:spacing w:after="0" w:line="240" w:lineRule="auto"/>
              <w:jc w:val="right"/>
              <w:rPr>
                <w:rFonts w:eastAsia="Times New Roman" w:cs="Times New Roman"/>
                <w:color w:val="17365D"/>
                <w:sz w:val="20"/>
                <w:szCs w:val="20"/>
                <w:lang w:eastAsia="lv-LV"/>
              </w:rPr>
            </w:pPr>
          </w:p>
        </w:tc>
      </w:tr>
    </w:tbl>
    <w:p w14:paraId="2EABE18A" w14:textId="5EBEFCCF" w:rsidR="005B6245" w:rsidRPr="00A27896" w:rsidRDefault="005B6245" w:rsidP="003877C0">
      <w:pPr>
        <w:pStyle w:val="Tabulasnosaukums1"/>
        <w:spacing w:before="0" w:line="240" w:lineRule="auto"/>
        <w:rPr>
          <w:rFonts w:cs="Times New Roman"/>
          <w:color w:val="17365D"/>
        </w:rPr>
      </w:pPr>
    </w:p>
    <w:p w14:paraId="60A4EB55" w14:textId="4FE63F37" w:rsidR="005A010F" w:rsidRPr="00A27896" w:rsidRDefault="00715EF2" w:rsidP="00185DCE">
      <w:pPr>
        <w:pStyle w:val="Heading5"/>
        <w:spacing w:before="240"/>
        <w:rPr>
          <w:rFonts w:cs="Times New Roman"/>
        </w:rPr>
      </w:pPr>
      <w:r w:rsidRPr="00A27896">
        <w:rPr>
          <w:rFonts w:cs="Times New Roman"/>
        </w:rPr>
        <w:t xml:space="preserve">Piezīme Nr. </w:t>
      </w:r>
      <w:r w:rsidR="0045219A" w:rsidRPr="00A27896">
        <w:rPr>
          <w:rFonts w:cs="Times New Roman"/>
        </w:rPr>
        <w:t>V7.</w:t>
      </w:r>
      <w:r w:rsidR="00350716" w:rsidRPr="00A27896">
        <w:rPr>
          <w:rFonts w:cs="Times New Roman"/>
        </w:rPr>
        <w:t xml:space="preserve"> </w:t>
      </w:r>
      <w:r w:rsidR="00DE4C7C" w:rsidRPr="00A27896">
        <w:rPr>
          <w:rFonts w:cs="Times New Roman"/>
        </w:rPr>
        <w:t>Informācija par saistībām un privātā partnera sniegtajiem pakalpojumiem partnerības līguma ietvaros</w:t>
      </w:r>
    </w:p>
    <w:p w14:paraId="072210EE" w14:textId="53C8B7D3" w:rsidR="005861EC" w:rsidRPr="00A27896" w:rsidRDefault="005861EC" w:rsidP="005861EC">
      <w:pPr>
        <w:spacing w:after="0" w:line="240" w:lineRule="auto"/>
        <w:ind w:firstLine="284"/>
        <w:jc w:val="both"/>
        <w:rPr>
          <w:rFonts w:cs="Times New Roman"/>
          <w:color w:val="17365D"/>
          <w:szCs w:val="24"/>
        </w:rPr>
      </w:pPr>
      <w:r w:rsidRPr="00A27896">
        <w:rPr>
          <w:rFonts w:cs="Times New Roman"/>
          <w:color w:val="17365D"/>
          <w:szCs w:val="24"/>
        </w:rPr>
        <w:t xml:space="preserve">Pārskata gada beigās partnerības līguma ietvaros saistības pret piegādātājiem un darbuzņēmējiem par sniegtajiem pakalpojumiem ir atzītas </w:t>
      </w:r>
      <w:r w:rsidR="005759FB" w:rsidRPr="00605368">
        <w:rPr>
          <w:rFonts w:cs="Times New Roman"/>
          <w:color w:val="17365D"/>
          <w:szCs w:val="24"/>
        </w:rPr>
        <w:t>272</w:t>
      </w:r>
      <w:r w:rsidR="005759FB">
        <w:rPr>
          <w:rFonts w:cs="Times New Roman"/>
          <w:color w:val="17365D"/>
          <w:szCs w:val="24"/>
        </w:rPr>
        <w:t> </w:t>
      </w:r>
      <w:r w:rsidR="005759FB" w:rsidRPr="00605368">
        <w:rPr>
          <w:rFonts w:cs="Times New Roman"/>
          <w:color w:val="17365D"/>
          <w:szCs w:val="24"/>
        </w:rPr>
        <w:t>433</w:t>
      </w:r>
      <w:r w:rsidR="005759FB">
        <w:rPr>
          <w:rFonts w:cs="Times New Roman"/>
          <w:color w:val="17365D"/>
          <w:szCs w:val="24"/>
        </w:rPr>
        <w:t> </w:t>
      </w:r>
      <w:r w:rsidR="005759FB" w:rsidRPr="00605368">
        <w:rPr>
          <w:rFonts w:cs="Times New Roman"/>
          <w:color w:val="17365D"/>
          <w:szCs w:val="24"/>
        </w:rPr>
        <w:t>545</w:t>
      </w:r>
      <w:r w:rsidR="005759FB">
        <w:rPr>
          <w:rFonts w:cs="Times New Roman"/>
          <w:color w:val="17365D"/>
          <w:szCs w:val="24"/>
        </w:rPr>
        <w:t> </w:t>
      </w:r>
      <w:r w:rsidRPr="00A27896">
        <w:rPr>
          <w:rFonts w:cs="Times New Roman"/>
          <w:i/>
          <w:color w:val="17365D"/>
          <w:szCs w:val="24"/>
        </w:rPr>
        <w:t>euro</w:t>
      </w:r>
      <w:r w:rsidRPr="00A27896">
        <w:rPr>
          <w:rFonts w:cs="Times New Roman"/>
          <w:color w:val="17365D"/>
          <w:szCs w:val="24"/>
        </w:rPr>
        <w:t xml:space="preserve"> vērtībā un </w:t>
      </w:r>
      <w:r w:rsidR="00D356BB">
        <w:rPr>
          <w:rFonts w:cs="Times New Roman"/>
          <w:color w:val="17365D"/>
          <w:szCs w:val="24"/>
        </w:rPr>
        <w:t>1.</w:t>
      </w:r>
      <w:r w:rsidRPr="00A27896">
        <w:rPr>
          <w:rFonts w:cs="Times New Roman"/>
          <w:color w:val="17365D"/>
          <w:szCs w:val="24"/>
        </w:rPr>
        <w:t>3</w:t>
      </w:r>
      <w:r w:rsidR="000229AE" w:rsidRPr="00A27896">
        <w:rPr>
          <w:rFonts w:cs="Times New Roman"/>
          <w:color w:val="17365D"/>
          <w:szCs w:val="24"/>
        </w:rPr>
        <w:t>0</w:t>
      </w:r>
      <w:r w:rsidRPr="00A27896">
        <w:rPr>
          <w:rFonts w:cs="Times New Roman"/>
          <w:color w:val="17365D"/>
          <w:szCs w:val="24"/>
        </w:rPr>
        <w:t>. tabulā sniegta informācija par to nākotnes maksājumiem un par izdevumiem līdz līguma termiņa beigām.</w:t>
      </w:r>
    </w:p>
    <w:p w14:paraId="6F40CC13" w14:textId="77777777" w:rsidR="000E5463" w:rsidRDefault="000E5463" w:rsidP="005E3A38">
      <w:pPr>
        <w:pStyle w:val="Tabulasnosaukums1"/>
        <w:spacing w:before="0" w:line="240" w:lineRule="auto"/>
        <w:rPr>
          <w:rFonts w:cs="Times New Roman"/>
          <w:i/>
          <w:color w:val="17365D"/>
          <w:szCs w:val="22"/>
        </w:rPr>
      </w:pPr>
    </w:p>
    <w:p w14:paraId="49055ACC" w14:textId="14CFBA31" w:rsidR="005E3A38" w:rsidRPr="00A27896" w:rsidRDefault="00D356BB" w:rsidP="005E3A38">
      <w:pPr>
        <w:pStyle w:val="Tabulasnosaukums1"/>
        <w:spacing w:before="0" w:line="240" w:lineRule="auto"/>
        <w:rPr>
          <w:rFonts w:cs="Times New Roman"/>
          <w:i/>
          <w:color w:val="17365D"/>
          <w:szCs w:val="22"/>
        </w:rPr>
      </w:pPr>
      <w:r>
        <w:rPr>
          <w:rFonts w:cs="Times New Roman"/>
          <w:i/>
          <w:color w:val="17365D"/>
          <w:szCs w:val="22"/>
        </w:rPr>
        <w:t>1.</w:t>
      </w:r>
      <w:r w:rsidR="005E3A38" w:rsidRPr="00817EBA">
        <w:rPr>
          <w:rFonts w:cs="Times New Roman"/>
          <w:i/>
          <w:color w:val="17365D"/>
          <w:szCs w:val="22"/>
        </w:rPr>
        <w:t>3</w:t>
      </w:r>
      <w:r w:rsidR="000229AE" w:rsidRPr="00817EBA">
        <w:rPr>
          <w:rFonts w:cs="Times New Roman"/>
          <w:i/>
          <w:color w:val="17365D"/>
          <w:szCs w:val="22"/>
        </w:rPr>
        <w:t>0</w:t>
      </w:r>
      <w:r w:rsidR="005E3A38" w:rsidRPr="00817EBA">
        <w:rPr>
          <w:rFonts w:cs="Times New Roman"/>
          <w:i/>
          <w:color w:val="17365D"/>
          <w:szCs w:val="22"/>
        </w:rPr>
        <w:t>. tabula</w:t>
      </w:r>
      <w:r w:rsidR="003877C0" w:rsidRPr="00817EBA">
        <w:rPr>
          <w:rFonts w:cs="Times New Roman"/>
          <w:i/>
          <w:color w:val="17365D"/>
          <w:szCs w:val="22"/>
        </w:rPr>
        <w:t>.</w:t>
      </w:r>
      <w:r w:rsidR="005E3A38" w:rsidRPr="00817EBA">
        <w:rPr>
          <w:rFonts w:cs="Times New Roman"/>
          <w:i/>
          <w:color w:val="17365D"/>
          <w:szCs w:val="22"/>
        </w:rPr>
        <w:t xml:space="preserve"> Informācija</w:t>
      </w:r>
      <w:r w:rsidR="005E3A38" w:rsidRPr="00A27896">
        <w:rPr>
          <w:rFonts w:cs="Times New Roman"/>
          <w:i/>
          <w:color w:val="17365D"/>
          <w:szCs w:val="22"/>
        </w:rPr>
        <w:t xml:space="preserve"> par saistībām un privātā partnera </w:t>
      </w:r>
    </w:p>
    <w:p w14:paraId="2AEBC1FD" w14:textId="68817228" w:rsidR="005E3A38" w:rsidRPr="00A27896" w:rsidRDefault="005E3A38" w:rsidP="005E3A38">
      <w:pPr>
        <w:pStyle w:val="Tabulasnosaukums1"/>
        <w:spacing w:before="0" w:line="240" w:lineRule="auto"/>
        <w:rPr>
          <w:rFonts w:cs="Times New Roman"/>
          <w:color w:val="17365D"/>
        </w:rPr>
      </w:pPr>
      <w:r w:rsidRPr="00A27896">
        <w:rPr>
          <w:rFonts w:cs="Times New Roman"/>
          <w:i/>
          <w:color w:val="17365D"/>
          <w:szCs w:val="22"/>
        </w:rPr>
        <w:t>sniegtajiem pakalpojumiem partnerības līguma ietvaros (euro)</w:t>
      </w:r>
    </w:p>
    <w:tbl>
      <w:tblPr>
        <w:tblW w:w="9367" w:type="dxa"/>
        <w:tblBorders>
          <w:insideH w:val="single" w:sz="4" w:space="0" w:color="17365D"/>
        </w:tblBorders>
        <w:tblLayout w:type="fixed"/>
        <w:tblLook w:val="04A0" w:firstRow="1" w:lastRow="0" w:firstColumn="1" w:lastColumn="0" w:noHBand="0" w:noVBand="1"/>
      </w:tblPr>
      <w:tblGrid>
        <w:gridCol w:w="1858"/>
        <w:gridCol w:w="694"/>
        <w:gridCol w:w="810"/>
        <w:gridCol w:w="351"/>
        <w:gridCol w:w="1107"/>
        <w:gridCol w:w="649"/>
        <w:gridCol w:w="627"/>
        <w:gridCol w:w="713"/>
        <w:gridCol w:w="279"/>
        <w:gridCol w:w="757"/>
        <w:gridCol w:w="377"/>
        <w:gridCol w:w="1134"/>
        <w:gridCol w:w="11"/>
      </w:tblGrid>
      <w:tr w:rsidR="000C1009" w:rsidRPr="00A27896" w14:paraId="1CBD077D" w14:textId="77777777" w:rsidTr="00163BA8">
        <w:trPr>
          <w:gridAfter w:val="1"/>
          <w:wAfter w:w="11" w:type="dxa"/>
          <w:trHeight w:val="260"/>
          <w:tblHeader/>
        </w:trPr>
        <w:tc>
          <w:tcPr>
            <w:tcW w:w="2552" w:type="dxa"/>
            <w:gridSpan w:val="2"/>
            <w:vMerge w:val="restart"/>
            <w:shd w:val="clear" w:color="000000" w:fill="B9CDE5"/>
            <w:vAlign w:val="center"/>
          </w:tcPr>
          <w:p w14:paraId="37C44DD9" w14:textId="06644C87"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Konta un izdevumu klasifikācijas koda nosaukums</w:t>
            </w:r>
          </w:p>
        </w:tc>
        <w:tc>
          <w:tcPr>
            <w:tcW w:w="2268" w:type="dxa"/>
            <w:gridSpan w:val="3"/>
            <w:shd w:val="clear" w:color="000000" w:fill="B9CDE5"/>
            <w:vAlign w:val="center"/>
          </w:tcPr>
          <w:p w14:paraId="11CF73A9" w14:textId="02C7A098"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vērtība</w:t>
            </w:r>
          </w:p>
        </w:tc>
        <w:tc>
          <w:tcPr>
            <w:tcW w:w="4536" w:type="dxa"/>
            <w:gridSpan w:val="7"/>
            <w:shd w:val="clear" w:color="000000" w:fill="B9CDE5"/>
            <w:vAlign w:val="center"/>
          </w:tcPr>
          <w:p w14:paraId="5C92958E" w14:textId="7F036688" w:rsidR="00835357" w:rsidRPr="00A27896" w:rsidRDefault="00835357" w:rsidP="005E3A3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Nākotnes maksājumi</w:t>
            </w:r>
          </w:p>
        </w:tc>
      </w:tr>
      <w:tr w:rsidR="000C1009" w:rsidRPr="00A27896" w14:paraId="441A602D" w14:textId="77777777" w:rsidTr="00FE5EB1">
        <w:trPr>
          <w:gridAfter w:val="1"/>
          <w:wAfter w:w="11" w:type="dxa"/>
          <w:trHeight w:val="616"/>
          <w:tblHeader/>
        </w:trPr>
        <w:tc>
          <w:tcPr>
            <w:tcW w:w="2552" w:type="dxa"/>
            <w:gridSpan w:val="2"/>
            <w:vMerge/>
          </w:tcPr>
          <w:p w14:paraId="1AD51A42" w14:textId="3DCF7886" w:rsidR="00835357" w:rsidRPr="00A27896" w:rsidRDefault="00835357" w:rsidP="008D562C">
            <w:pPr>
              <w:spacing w:after="0" w:line="240" w:lineRule="auto"/>
              <w:rPr>
                <w:rFonts w:eastAsia="Times New Roman" w:cs="Times New Roman"/>
                <w:b/>
                <w:bCs/>
                <w:color w:val="17365D"/>
                <w:sz w:val="18"/>
                <w:szCs w:val="18"/>
                <w:lang w:eastAsia="lv-LV"/>
              </w:rPr>
            </w:pPr>
          </w:p>
        </w:tc>
        <w:tc>
          <w:tcPr>
            <w:tcW w:w="1161" w:type="dxa"/>
            <w:gridSpan w:val="2"/>
            <w:shd w:val="clear" w:color="000000" w:fill="B9CDE5"/>
            <w:vAlign w:val="center"/>
          </w:tcPr>
          <w:p w14:paraId="45470739" w14:textId="4A1D2912"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pārskata perioda beigās</w:t>
            </w:r>
          </w:p>
        </w:tc>
        <w:tc>
          <w:tcPr>
            <w:tcW w:w="1107" w:type="dxa"/>
            <w:shd w:val="clear" w:color="000000" w:fill="B9CDE5"/>
            <w:vAlign w:val="center"/>
          </w:tcPr>
          <w:p w14:paraId="2987B31F" w14:textId="32BA6618"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c>
          <w:tcPr>
            <w:tcW w:w="1276" w:type="dxa"/>
            <w:gridSpan w:val="2"/>
            <w:shd w:val="clear" w:color="000000" w:fill="B9CDE5"/>
            <w:vAlign w:val="center"/>
            <w:hideMark/>
          </w:tcPr>
          <w:p w14:paraId="19B907E0" w14:textId="7519C37B"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 līdz līguma termiņa beigām</w:t>
            </w:r>
          </w:p>
        </w:tc>
        <w:tc>
          <w:tcPr>
            <w:tcW w:w="992" w:type="dxa"/>
            <w:gridSpan w:val="2"/>
            <w:shd w:val="clear" w:color="000000" w:fill="B9CDE5"/>
            <w:vAlign w:val="center"/>
            <w:hideMark/>
          </w:tcPr>
          <w:p w14:paraId="6A6FCCB4" w14:textId="47305FDE" w:rsidR="00835357" w:rsidRPr="00A27896" w:rsidRDefault="005861EC" w:rsidP="003F2DB9">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5759FB">
              <w:rPr>
                <w:rFonts w:eastAsia="Times New Roman" w:cs="Times New Roman"/>
                <w:b/>
                <w:bCs/>
                <w:color w:val="17365D"/>
                <w:sz w:val="18"/>
                <w:szCs w:val="18"/>
                <w:lang w:eastAsia="lv-LV"/>
              </w:rPr>
              <w:t>4</w:t>
            </w:r>
          </w:p>
        </w:tc>
        <w:tc>
          <w:tcPr>
            <w:tcW w:w="1134" w:type="dxa"/>
            <w:gridSpan w:val="2"/>
            <w:shd w:val="clear" w:color="000000" w:fill="B9CDE5"/>
            <w:vAlign w:val="center"/>
            <w:hideMark/>
          </w:tcPr>
          <w:p w14:paraId="5E0CF54C" w14:textId="25DA9E44" w:rsidR="00835357" w:rsidRPr="00A27896" w:rsidRDefault="005861EC" w:rsidP="003F2DB9">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5759FB">
              <w:rPr>
                <w:rFonts w:eastAsia="Times New Roman" w:cs="Times New Roman"/>
                <w:b/>
                <w:bCs/>
                <w:color w:val="17365D"/>
                <w:sz w:val="18"/>
                <w:szCs w:val="18"/>
                <w:lang w:eastAsia="lv-LV"/>
              </w:rPr>
              <w:t>5</w:t>
            </w:r>
          </w:p>
        </w:tc>
        <w:tc>
          <w:tcPr>
            <w:tcW w:w="1134" w:type="dxa"/>
            <w:shd w:val="clear" w:color="000000" w:fill="B9CDE5"/>
            <w:vAlign w:val="center"/>
            <w:hideMark/>
          </w:tcPr>
          <w:p w14:paraId="322B51A2" w14:textId="4EF66FA4" w:rsidR="00835357" w:rsidRPr="00A27896" w:rsidRDefault="005861EC" w:rsidP="003F2DB9">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5759FB">
              <w:rPr>
                <w:rFonts w:eastAsia="Times New Roman" w:cs="Times New Roman"/>
                <w:b/>
                <w:bCs/>
                <w:color w:val="17365D"/>
                <w:sz w:val="18"/>
                <w:szCs w:val="18"/>
                <w:lang w:eastAsia="lv-LV"/>
              </w:rPr>
              <w:t>6</w:t>
            </w:r>
          </w:p>
        </w:tc>
      </w:tr>
      <w:tr w:rsidR="00A27896" w:rsidRPr="00A27896" w14:paraId="0689C152" w14:textId="77777777" w:rsidTr="00603FE0">
        <w:trPr>
          <w:gridAfter w:val="1"/>
          <w:wAfter w:w="11" w:type="dxa"/>
          <w:trHeight w:val="269"/>
          <w:tblHeader/>
        </w:trPr>
        <w:tc>
          <w:tcPr>
            <w:tcW w:w="2552" w:type="dxa"/>
            <w:gridSpan w:val="2"/>
            <w:vAlign w:val="center"/>
          </w:tcPr>
          <w:p w14:paraId="42E87FC1" w14:textId="1DC2FC1F"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161" w:type="dxa"/>
            <w:gridSpan w:val="2"/>
            <w:vAlign w:val="center"/>
          </w:tcPr>
          <w:p w14:paraId="2F18A3BA" w14:textId="0ED75447"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107" w:type="dxa"/>
            <w:vAlign w:val="center"/>
          </w:tcPr>
          <w:p w14:paraId="5FFE505E" w14:textId="33451E39"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276" w:type="dxa"/>
            <w:gridSpan w:val="2"/>
            <w:shd w:val="clear" w:color="auto" w:fill="auto"/>
            <w:vAlign w:val="center"/>
            <w:hideMark/>
          </w:tcPr>
          <w:p w14:paraId="1CAE2185" w14:textId="6A97DB88"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992" w:type="dxa"/>
            <w:gridSpan w:val="2"/>
            <w:shd w:val="clear" w:color="auto" w:fill="auto"/>
            <w:vAlign w:val="center"/>
            <w:hideMark/>
          </w:tcPr>
          <w:p w14:paraId="5F48B92A" w14:textId="56B3F41C"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134" w:type="dxa"/>
            <w:gridSpan w:val="2"/>
            <w:shd w:val="clear" w:color="auto" w:fill="auto"/>
            <w:vAlign w:val="center"/>
            <w:hideMark/>
          </w:tcPr>
          <w:p w14:paraId="03F475E6" w14:textId="6471828F"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1134" w:type="dxa"/>
            <w:shd w:val="clear" w:color="auto" w:fill="auto"/>
            <w:vAlign w:val="center"/>
            <w:hideMark/>
          </w:tcPr>
          <w:p w14:paraId="545BB2C6" w14:textId="3D3722D6" w:rsidR="00835357" w:rsidRPr="00A27896" w:rsidRDefault="00835357" w:rsidP="008D562C">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6</w:t>
            </w:r>
          </w:p>
        </w:tc>
      </w:tr>
      <w:tr w:rsidR="005759FB" w:rsidRPr="00A27896" w14:paraId="4FDFCC16" w14:textId="77777777" w:rsidTr="00481BCD">
        <w:trPr>
          <w:gridAfter w:val="1"/>
          <w:wAfter w:w="11" w:type="dxa"/>
          <w:trHeight w:val="246"/>
        </w:trPr>
        <w:tc>
          <w:tcPr>
            <w:tcW w:w="2552" w:type="dxa"/>
            <w:gridSpan w:val="2"/>
            <w:vAlign w:val="center"/>
          </w:tcPr>
          <w:p w14:paraId="6AB30889" w14:textId="2BDF5E9C" w:rsidR="005759FB" w:rsidRPr="00A27896" w:rsidRDefault="005759FB" w:rsidP="005759FB">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Saistības pret piegādātājiem un darbuzņēmējiem</w:t>
            </w:r>
          </w:p>
        </w:tc>
        <w:tc>
          <w:tcPr>
            <w:tcW w:w="1161" w:type="dxa"/>
            <w:gridSpan w:val="2"/>
            <w:vAlign w:val="center"/>
          </w:tcPr>
          <w:p w14:paraId="715B70DE" w14:textId="64903129" w:rsidR="005759FB" w:rsidRPr="00A27896" w:rsidRDefault="005759FB" w:rsidP="005759FB">
            <w:pPr>
              <w:spacing w:after="0" w:line="240" w:lineRule="auto"/>
              <w:ind w:right="57"/>
              <w:jc w:val="right"/>
              <w:rPr>
                <w:rFonts w:eastAsia="Times New Roman" w:cs="Times New Roman"/>
                <w:color w:val="17365D"/>
                <w:sz w:val="18"/>
                <w:szCs w:val="18"/>
                <w:lang w:eastAsia="lv-LV"/>
              </w:rPr>
            </w:pPr>
            <w:r w:rsidRPr="00A07303">
              <w:rPr>
                <w:rFonts w:eastAsia="Times New Roman" w:cs="Times New Roman"/>
                <w:color w:val="17365D"/>
                <w:sz w:val="17"/>
                <w:szCs w:val="17"/>
                <w:lang w:eastAsia="lv-LV"/>
              </w:rPr>
              <w:t>272 433 545</w:t>
            </w:r>
          </w:p>
        </w:tc>
        <w:tc>
          <w:tcPr>
            <w:tcW w:w="1107" w:type="dxa"/>
            <w:vAlign w:val="center"/>
          </w:tcPr>
          <w:p w14:paraId="5C05F393" w14:textId="0ABAE104" w:rsidR="005759FB" w:rsidRPr="00A27896" w:rsidRDefault="005759FB" w:rsidP="005759FB">
            <w:pPr>
              <w:spacing w:after="0" w:line="240" w:lineRule="auto"/>
              <w:ind w:right="57"/>
              <w:jc w:val="right"/>
              <w:rPr>
                <w:rFonts w:eastAsia="Times New Roman" w:cs="Times New Roman"/>
                <w:color w:val="17365D"/>
                <w:sz w:val="18"/>
                <w:szCs w:val="18"/>
                <w:lang w:eastAsia="lv-LV"/>
              </w:rPr>
            </w:pPr>
            <w:r w:rsidRPr="00A07303">
              <w:rPr>
                <w:rFonts w:eastAsia="Times New Roman" w:cs="Times New Roman"/>
                <w:color w:val="17365D"/>
                <w:sz w:val="17"/>
                <w:szCs w:val="17"/>
                <w:lang w:eastAsia="lv-LV"/>
              </w:rPr>
              <w:t>4 795 400</w:t>
            </w:r>
          </w:p>
        </w:tc>
        <w:tc>
          <w:tcPr>
            <w:tcW w:w="1276" w:type="dxa"/>
            <w:gridSpan w:val="2"/>
            <w:shd w:val="clear" w:color="auto" w:fill="auto"/>
            <w:vAlign w:val="center"/>
          </w:tcPr>
          <w:p w14:paraId="6B5E4337" w14:textId="3E57183E" w:rsidR="005759FB" w:rsidRPr="00A27896" w:rsidRDefault="005759FB" w:rsidP="005759FB">
            <w:pPr>
              <w:spacing w:after="0" w:line="240" w:lineRule="auto"/>
              <w:ind w:right="57"/>
              <w:jc w:val="right"/>
              <w:rPr>
                <w:rFonts w:eastAsia="Times New Roman" w:cs="Times New Roman"/>
                <w:color w:val="17365D"/>
                <w:sz w:val="18"/>
                <w:szCs w:val="18"/>
                <w:lang w:eastAsia="lv-LV"/>
              </w:rPr>
            </w:pPr>
            <w:r w:rsidRPr="00A07303">
              <w:rPr>
                <w:rFonts w:eastAsia="Times New Roman" w:cs="Times New Roman"/>
                <w:color w:val="17365D"/>
                <w:sz w:val="17"/>
                <w:szCs w:val="17"/>
                <w:lang w:eastAsia="lv-LV"/>
              </w:rPr>
              <w:t>272 433 545</w:t>
            </w:r>
          </w:p>
        </w:tc>
        <w:tc>
          <w:tcPr>
            <w:tcW w:w="992" w:type="dxa"/>
            <w:gridSpan w:val="2"/>
            <w:shd w:val="clear" w:color="auto" w:fill="auto"/>
            <w:vAlign w:val="center"/>
          </w:tcPr>
          <w:p w14:paraId="1A4575A4" w14:textId="2E49C86F" w:rsidR="005759FB" w:rsidRPr="00A27896" w:rsidRDefault="005759FB" w:rsidP="005759FB">
            <w:pPr>
              <w:spacing w:after="0" w:line="240" w:lineRule="auto"/>
              <w:jc w:val="right"/>
              <w:rPr>
                <w:rFonts w:eastAsia="Times New Roman" w:cs="Times New Roman"/>
                <w:color w:val="17365D"/>
                <w:sz w:val="18"/>
                <w:szCs w:val="18"/>
                <w:lang w:eastAsia="lv-LV"/>
              </w:rPr>
            </w:pPr>
            <w:r w:rsidRPr="00A07303">
              <w:rPr>
                <w:rFonts w:eastAsia="Times New Roman" w:cs="Times New Roman"/>
                <w:color w:val="17365D"/>
                <w:sz w:val="17"/>
                <w:szCs w:val="17"/>
                <w:lang w:eastAsia="lv-LV"/>
              </w:rPr>
              <w:t>14 059 474</w:t>
            </w:r>
          </w:p>
        </w:tc>
        <w:tc>
          <w:tcPr>
            <w:tcW w:w="1134" w:type="dxa"/>
            <w:gridSpan w:val="2"/>
            <w:shd w:val="clear" w:color="auto" w:fill="auto"/>
            <w:vAlign w:val="center"/>
          </w:tcPr>
          <w:p w14:paraId="75BED457" w14:textId="5F9B0FDB" w:rsidR="005759FB" w:rsidRPr="00A27896" w:rsidRDefault="005759FB" w:rsidP="005759FB">
            <w:pPr>
              <w:spacing w:after="0" w:line="240" w:lineRule="auto"/>
              <w:ind w:right="57"/>
              <w:jc w:val="right"/>
              <w:rPr>
                <w:rFonts w:eastAsia="Times New Roman" w:cs="Times New Roman"/>
                <w:color w:val="17365D"/>
                <w:sz w:val="18"/>
                <w:szCs w:val="18"/>
                <w:lang w:eastAsia="lv-LV"/>
              </w:rPr>
            </w:pPr>
            <w:r w:rsidRPr="00A07303">
              <w:rPr>
                <w:rFonts w:eastAsia="Times New Roman" w:cs="Times New Roman"/>
                <w:color w:val="17365D"/>
                <w:sz w:val="17"/>
                <w:szCs w:val="17"/>
                <w:lang w:eastAsia="lv-LV"/>
              </w:rPr>
              <w:t>14 004 547</w:t>
            </w:r>
          </w:p>
        </w:tc>
        <w:tc>
          <w:tcPr>
            <w:tcW w:w="1134" w:type="dxa"/>
            <w:shd w:val="clear" w:color="auto" w:fill="auto"/>
            <w:vAlign w:val="center"/>
          </w:tcPr>
          <w:p w14:paraId="34E4FD8D" w14:textId="5ABC33FA" w:rsidR="005759FB" w:rsidRPr="00A27896" w:rsidRDefault="005759FB" w:rsidP="005759FB">
            <w:pPr>
              <w:spacing w:after="0" w:line="240" w:lineRule="auto"/>
              <w:ind w:right="57"/>
              <w:jc w:val="right"/>
              <w:rPr>
                <w:rFonts w:eastAsia="Times New Roman" w:cs="Times New Roman"/>
                <w:color w:val="17365D"/>
                <w:sz w:val="18"/>
                <w:szCs w:val="18"/>
                <w:lang w:eastAsia="lv-LV"/>
              </w:rPr>
            </w:pPr>
            <w:r w:rsidRPr="00A07303">
              <w:rPr>
                <w:rFonts w:eastAsia="Times New Roman" w:cs="Times New Roman"/>
                <w:color w:val="17365D"/>
                <w:sz w:val="17"/>
                <w:szCs w:val="17"/>
                <w:lang w:eastAsia="lv-LV"/>
              </w:rPr>
              <w:t>14 037 666</w:t>
            </w:r>
          </w:p>
        </w:tc>
      </w:tr>
      <w:tr w:rsidR="005759FB" w:rsidRPr="00A27896" w14:paraId="5F4B7556" w14:textId="77777777" w:rsidTr="00481BCD">
        <w:trPr>
          <w:gridAfter w:val="1"/>
          <w:wAfter w:w="11" w:type="dxa"/>
          <w:trHeight w:val="142"/>
        </w:trPr>
        <w:tc>
          <w:tcPr>
            <w:tcW w:w="2552" w:type="dxa"/>
            <w:gridSpan w:val="2"/>
            <w:vAlign w:val="center"/>
          </w:tcPr>
          <w:p w14:paraId="04D364D0" w14:textId="2FA87348" w:rsidR="005759FB" w:rsidRPr="00A27896" w:rsidRDefault="005759FB" w:rsidP="005759FB">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Izdevumi</w:t>
            </w:r>
          </w:p>
        </w:tc>
        <w:tc>
          <w:tcPr>
            <w:tcW w:w="1161" w:type="dxa"/>
            <w:gridSpan w:val="2"/>
            <w:vAlign w:val="center"/>
          </w:tcPr>
          <w:p w14:paraId="3CCF2B9F" w14:textId="0122DB7C" w:rsidR="005759FB" w:rsidRPr="00A27896" w:rsidRDefault="005759FB" w:rsidP="005759F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x</w:t>
            </w:r>
          </w:p>
        </w:tc>
        <w:tc>
          <w:tcPr>
            <w:tcW w:w="1107" w:type="dxa"/>
            <w:vAlign w:val="center"/>
          </w:tcPr>
          <w:p w14:paraId="72C9451B" w14:textId="314AD979" w:rsidR="005759FB" w:rsidRPr="00A27896" w:rsidRDefault="005759FB" w:rsidP="005759FB">
            <w:pPr>
              <w:spacing w:after="0" w:line="240" w:lineRule="auto"/>
              <w:ind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x</w:t>
            </w:r>
          </w:p>
        </w:tc>
        <w:tc>
          <w:tcPr>
            <w:tcW w:w="1276" w:type="dxa"/>
            <w:gridSpan w:val="2"/>
            <w:vAlign w:val="center"/>
          </w:tcPr>
          <w:p w14:paraId="2E6D0E8D" w14:textId="1F85BDFE" w:rsidR="005759FB" w:rsidRPr="00EA0031" w:rsidRDefault="005759FB" w:rsidP="005759FB">
            <w:pPr>
              <w:spacing w:after="0" w:line="240" w:lineRule="auto"/>
              <w:ind w:right="57"/>
              <w:jc w:val="right"/>
              <w:rPr>
                <w:rFonts w:eastAsia="Times New Roman" w:cs="Times New Roman"/>
                <w:color w:val="17365D"/>
                <w:sz w:val="17"/>
                <w:szCs w:val="17"/>
                <w:lang w:eastAsia="lv-LV"/>
              </w:rPr>
            </w:pPr>
            <w:r w:rsidRPr="00EA0031">
              <w:rPr>
                <w:rFonts w:eastAsia="Times New Roman" w:cs="Times New Roman"/>
                <w:color w:val="17365D"/>
                <w:sz w:val="17"/>
                <w:szCs w:val="17"/>
                <w:lang w:eastAsia="lv-LV"/>
              </w:rPr>
              <w:t>54 652 621</w:t>
            </w:r>
          </w:p>
        </w:tc>
        <w:tc>
          <w:tcPr>
            <w:tcW w:w="992" w:type="dxa"/>
            <w:gridSpan w:val="2"/>
            <w:shd w:val="clear" w:color="auto" w:fill="auto"/>
            <w:vAlign w:val="center"/>
          </w:tcPr>
          <w:p w14:paraId="28D406E0" w14:textId="68D67FBE" w:rsidR="005759FB" w:rsidRPr="00EA0031" w:rsidRDefault="005759FB" w:rsidP="005759FB">
            <w:pPr>
              <w:spacing w:after="0" w:line="240" w:lineRule="auto"/>
              <w:ind w:right="57"/>
              <w:jc w:val="right"/>
              <w:rPr>
                <w:rFonts w:eastAsia="Times New Roman" w:cs="Times New Roman"/>
                <w:color w:val="17365D"/>
                <w:sz w:val="17"/>
                <w:szCs w:val="17"/>
                <w:lang w:eastAsia="lv-LV"/>
              </w:rPr>
            </w:pPr>
            <w:r w:rsidRPr="00EA0031">
              <w:rPr>
                <w:rFonts w:eastAsia="Times New Roman" w:cs="Times New Roman"/>
                <w:color w:val="17365D"/>
                <w:sz w:val="17"/>
                <w:szCs w:val="17"/>
                <w:lang w:eastAsia="lv-LV"/>
              </w:rPr>
              <w:t>3 340 254</w:t>
            </w:r>
          </w:p>
        </w:tc>
        <w:tc>
          <w:tcPr>
            <w:tcW w:w="1134" w:type="dxa"/>
            <w:gridSpan w:val="2"/>
            <w:shd w:val="clear" w:color="auto" w:fill="auto"/>
            <w:vAlign w:val="center"/>
          </w:tcPr>
          <w:p w14:paraId="69187612" w14:textId="07EF82A4" w:rsidR="005759FB" w:rsidRPr="00EA0031" w:rsidRDefault="005759FB" w:rsidP="005759FB">
            <w:pPr>
              <w:spacing w:after="0" w:line="240" w:lineRule="auto"/>
              <w:ind w:right="57"/>
              <w:jc w:val="right"/>
              <w:rPr>
                <w:rFonts w:eastAsia="Times New Roman" w:cs="Times New Roman"/>
                <w:color w:val="17365D"/>
                <w:sz w:val="17"/>
                <w:szCs w:val="17"/>
                <w:lang w:eastAsia="lv-LV"/>
              </w:rPr>
            </w:pPr>
            <w:r w:rsidRPr="00EA0031">
              <w:rPr>
                <w:rFonts w:eastAsia="Times New Roman" w:cs="Times New Roman"/>
                <w:color w:val="17365D"/>
                <w:sz w:val="17"/>
                <w:szCs w:val="17"/>
                <w:lang w:eastAsia="lv-LV"/>
              </w:rPr>
              <w:t>3 008 929</w:t>
            </w:r>
          </w:p>
        </w:tc>
        <w:tc>
          <w:tcPr>
            <w:tcW w:w="1134" w:type="dxa"/>
            <w:shd w:val="clear" w:color="auto" w:fill="auto"/>
            <w:vAlign w:val="center"/>
          </w:tcPr>
          <w:p w14:paraId="6A76814E" w14:textId="0A738AE0" w:rsidR="005759FB" w:rsidRPr="00EA0031" w:rsidRDefault="005759FB" w:rsidP="005759FB">
            <w:pPr>
              <w:spacing w:after="0" w:line="240" w:lineRule="auto"/>
              <w:ind w:right="57"/>
              <w:jc w:val="right"/>
              <w:rPr>
                <w:rFonts w:eastAsia="Times New Roman" w:cs="Times New Roman"/>
                <w:color w:val="17365D"/>
                <w:sz w:val="17"/>
                <w:szCs w:val="17"/>
                <w:lang w:eastAsia="lv-LV"/>
              </w:rPr>
            </w:pPr>
            <w:r w:rsidRPr="00EA0031">
              <w:rPr>
                <w:rFonts w:eastAsia="Times New Roman" w:cs="Times New Roman"/>
                <w:color w:val="17365D"/>
                <w:sz w:val="17"/>
                <w:szCs w:val="17"/>
                <w:lang w:eastAsia="lv-LV"/>
              </w:rPr>
              <w:t>3 031 410</w:t>
            </w:r>
          </w:p>
        </w:tc>
      </w:tr>
      <w:tr w:rsidR="000C1009" w:rsidRPr="00A27896" w14:paraId="16389C52" w14:textId="77777777" w:rsidTr="00163BA8">
        <w:trPr>
          <w:trHeight w:val="60"/>
        </w:trPr>
        <w:tc>
          <w:tcPr>
            <w:tcW w:w="1858" w:type="dxa"/>
            <w:shd w:val="clear" w:color="auto" w:fill="B9CDE5"/>
            <w:vAlign w:val="center"/>
          </w:tcPr>
          <w:p w14:paraId="436D93CD" w14:textId="77777777" w:rsidR="003569CE" w:rsidRPr="00A27896" w:rsidRDefault="003569CE" w:rsidP="001F557E">
            <w:pPr>
              <w:spacing w:after="0" w:line="240" w:lineRule="auto"/>
              <w:rPr>
                <w:rFonts w:eastAsia="Times New Roman" w:cs="Times New Roman"/>
                <w:color w:val="17365D"/>
                <w:sz w:val="18"/>
                <w:szCs w:val="18"/>
                <w:lang w:eastAsia="lv-LV"/>
              </w:rPr>
            </w:pPr>
          </w:p>
        </w:tc>
        <w:tc>
          <w:tcPr>
            <w:tcW w:w="1504" w:type="dxa"/>
            <w:gridSpan w:val="2"/>
            <w:shd w:val="clear" w:color="auto" w:fill="B9CDE5"/>
            <w:vAlign w:val="center"/>
            <w:hideMark/>
          </w:tcPr>
          <w:p w14:paraId="276A4666" w14:textId="4FDB13E9" w:rsidR="003569CE" w:rsidRPr="00A27896" w:rsidRDefault="003569CE" w:rsidP="001F557E">
            <w:pPr>
              <w:spacing w:after="0" w:line="240" w:lineRule="auto"/>
              <w:rPr>
                <w:rFonts w:eastAsia="Times New Roman" w:cs="Times New Roman"/>
                <w:color w:val="17365D"/>
                <w:sz w:val="18"/>
                <w:szCs w:val="18"/>
                <w:lang w:eastAsia="lv-LV"/>
              </w:rPr>
            </w:pPr>
          </w:p>
        </w:tc>
        <w:tc>
          <w:tcPr>
            <w:tcW w:w="1458" w:type="dxa"/>
            <w:gridSpan w:val="2"/>
            <w:shd w:val="clear" w:color="auto" w:fill="B9CDE5"/>
            <w:vAlign w:val="center"/>
          </w:tcPr>
          <w:p w14:paraId="0777E6B1" w14:textId="77777777" w:rsidR="003569CE" w:rsidRPr="00A27896" w:rsidRDefault="003569CE" w:rsidP="001F557E">
            <w:pPr>
              <w:spacing w:after="0" w:line="240" w:lineRule="auto"/>
              <w:jc w:val="center"/>
              <w:rPr>
                <w:rFonts w:eastAsia="Times New Roman" w:cs="Times New Roman"/>
                <w:color w:val="17365D"/>
                <w:sz w:val="18"/>
                <w:szCs w:val="18"/>
                <w:lang w:eastAsia="lv-LV"/>
              </w:rPr>
            </w:pPr>
          </w:p>
        </w:tc>
        <w:tc>
          <w:tcPr>
            <w:tcW w:w="649" w:type="dxa"/>
            <w:shd w:val="clear" w:color="auto" w:fill="B9CDE5"/>
            <w:vAlign w:val="center"/>
          </w:tcPr>
          <w:p w14:paraId="5BDAE250" w14:textId="2116EC67" w:rsidR="003569CE" w:rsidRPr="00A27896" w:rsidRDefault="003569CE" w:rsidP="001F557E">
            <w:pPr>
              <w:spacing w:after="0" w:line="240" w:lineRule="auto"/>
              <w:jc w:val="center"/>
              <w:rPr>
                <w:rFonts w:eastAsia="Times New Roman" w:cs="Times New Roman"/>
                <w:color w:val="17365D"/>
                <w:sz w:val="18"/>
                <w:szCs w:val="18"/>
                <w:lang w:eastAsia="lv-LV"/>
              </w:rPr>
            </w:pPr>
          </w:p>
        </w:tc>
        <w:tc>
          <w:tcPr>
            <w:tcW w:w="1340" w:type="dxa"/>
            <w:gridSpan w:val="2"/>
            <w:shd w:val="clear" w:color="auto" w:fill="B9CDE5"/>
            <w:noWrap/>
            <w:vAlign w:val="center"/>
            <w:hideMark/>
          </w:tcPr>
          <w:p w14:paraId="41144F93" w14:textId="2297BD52" w:rsidR="003569CE" w:rsidRPr="00A27896" w:rsidRDefault="003569CE" w:rsidP="001F557E">
            <w:pPr>
              <w:spacing w:after="0" w:line="240" w:lineRule="auto"/>
              <w:jc w:val="center"/>
              <w:rPr>
                <w:rFonts w:eastAsia="Times New Roman" w:cs="Times New Roman"/>
                <w:color w:val="17365D"/>
                <w:sz w:val="18"/>
                <w:szCs w:val="18"/>
                <w:lang w:eastAsia="lv-LV"/>
              </w:rPr>
            </w:pPr>
          </w:p>
        </w:tc>
        <w:tc>
          <w:tcPr>
            <w:tcW w:w="1036" w:type="dxa"/>
            <w:gridSpan w:val="2"/>
            <w:shd w:val="clear" w:color="auto" w:fill="B9CDE5"/>
            <w:noWrap/>
            <w:vAlign w:val="center"/>
            <w:hideMark/>
          </w:tcPr>
          <w:p w14:paraId="433D8DF3" w14:textId="3246A6F1" w:rsidR="003569CE" w:rsidRPr="00A27896" w:rsidRDefault="003569CE" w:rsidP="001F557E">
            <w:pPr>
              <w:spacing w:after="0" w:line="240" w:lineRule="auto"/>
              <w:jc w:val="right"/>
              <w:rPr>
                <w:rFonts w:eastAsia="Times New Roman" w:cs="Times New Roman"/>
                <w:color w:val="17365D"/>
                <w:sz w:val="18"/>
                <w:szCs w:val="18"/>
                <w:lang w:eastAsia="lv-LV"/>
              </w:rPr>
            </w:pPr>
          </w:p>
        </w:tc>
        <w:tc>
          <w:tcPr>
            <w:tcW w:w="1522" w:type="dxa"/>
            <w:gridSpan w:val="3"/>
            <w:shd w:val="clear" w:color="auto" w:fill="B9CDE5"/>
            <w:noWrap/>
            <w:vAlign w:val="center"/>
            <w:hideMark/>
          </w:tcPr>
          <w:p w14:paraId="2B7B6B0F" w14:textId="5B7F2F36" w:rsidR="003569CE" w:rsidRPr="00A27896" w:rsidRDefault="003569CE" w:rsidP="00790209">
            <w:pPr>
              <w:spacing w:after="0" w:line="240" w:lineRule="auto"/>
              <w:jc w:val="center"/>
              <w:rPr>
                <w:rFonts w:eastAsia="Times New Roman" w:cs="Times New Roman"/>
                <w:color w:val="17365D"/>
                <w:sz w:val="18"/>
                <w:szCs w:val="18"/>
                <w:lang w:eastAsia="lv-LV"/>
              </w:rPr>
            </w:pPr>
          </w:p>
        </w:tc>
      </w:tr>
    </w:tbl>
    <w:p w14:paraId="0D09D8D6" w14:textId="0F57018F" w:rsidR="00743E0E" w:rsidRPr="00A27896" w:rsidRDefault="00743E0E" w:rsidP="000229AE">
      <w:pPr>
        <w:pStyle w:val="Heading4"/>
        <w:rPr>
          <w:rFonts w:cs="Times New Roman"/>
        </w:rPr>
      </w:pPr>
      <w:r w:rsidRPr="00A27896">
        <w:rPr>
          <w:rFonts w:cs="Times New Roman"/>
        </w:rPr>
        <w:t xml:space="preserve">Piezīme </w:t>
      </w:r>
      <w:r w:rsidR="00AC754B" w:rsidRPr="00A27896">
        <w:rPr>
          <w:rFonts w:cs="Times New Roman"/>
        </w:rPr>
        <w:t xml:space="preserve">Nr. </w:t>
      </w:r>
      <w:r w:rsidRPr="00A27896">
        <w:rPr>
          <w:rFonts w:cs="Times New Roman"/>
        </w:rPr>
        <w:t xml:space="preserve">V8. Informācija par </w:t>
      </w:r>
      <w:r w:rsidR="00890698" w:rsidRPr="00A27896">
        <w:rPr>
          <w:rFonts w:cs="Times New Roman"/>
        </w:rPr>
        <w:t xml:space="preserve">radniecīgo un asociēto </w:t>
      </w:r>
      <w:r w:rsidRPr="00A27896">
        <w:rPr>
          <w:rFonts w:cs="Times New Roman"/>
        </w:rPr>
        <w:t>kapitālsabiedrību pārvaldību</w:t>
      </w:r>
    </w:p>
    <w:p w14:paraId="72472759" w14:textId="78BE7CD9" w:rsidR="004A0420" w:rsidRPr="00A27896" w:rsidRDefault="0019458D" w:rsidP="0019458D">
      <w:pPr>
        <w:spacing w:after="0" w:line="240" w:lineRule="auto"/>
        <w:jc w:val="both"/>
        <w:rPr>
          <w:rFonts w:cs="Times New Roman"/>
          <w:color w:val="17365D"/>
          <w:szCs w:val="24"/>
        </w:rPr>
      </w:pPr>
      <w:r w:rsidRPr="00A27896">
        <w:rPr>
          <w:rFonts w:cs="Times New Roman"/>
          <w:color w:val="17365D"/>
          <w:szCs w:val="24"/>
        </w:rPr>
        <w:t xml:space="preserve">Saskaņā ar </w:t>
      </w:r>
      <w:r w:rsidR="009373AF" w:rsidRPr="00A27896">
        <w:rPr>
          <w:rFonts w:cs="Times New Roman"/>
          <w:color w:val="17365D"/>
          <w:szCs w:val="24"/>
        </w:rPr>
        <w:t>ministriju</w:t>
      </w:r>
      <w:r w:rsidRPr="00A27896">
        <w:rPr>
          <w:rFonts w:cs="Times New Roman"/>
          <w:color w:val="17365D"/>
          <w:szCs w:val="24"/>
        </w:rPr>
        <w:t xml:space="preserve"> un pašvaldību sniegto informāciju </w:t>
      </w:r>
      <w:r w:rsidR="00934C2E" w:rsidRPr="00A27896">
        <w:rPr>
          <w:rFonts w:cs="Times New Roman"/>
          <w:color w:val="17365D"/>
          <w:szCs w:val="24"/>
        </w:rPr>
        <w:t>nākamajos pārskata gados plānot</w:t>
      </w:r>
      <w:r w:rsidR="004A0420" w:rsidRPr="00A27896">
        <w:rPr>
          <w:rFonts w:cs="Times New Roman"/>
          <w:color w:val="17365D"/>
          <w:szCs w:val="24"/>
        </w:rPr>
        <w:t>ais</w:t>
      </w:r>
      <w:r w:rsidR="00934C2E" w:rsidRPr="00A27896">
        <w:rPr>
          <w:rFonts w:cs="Times New Roman"/>
          <w:color w:val="17365D"/>
          <w:szCs w:val="24"/>
        </w:rPr>
        <w:t xml:space="preserve"> </w:t>
      </w:r>
      <w:r w:rsidR="004A0420" w:rsidRPr="00A27896">
        <w:rPr>
          <w:rFonts w:cs="Times New Roman"/>
          <w:color w:val="17365D"/>
          <w:szCs w:val="24"/>
        </w:rPr>
        <w:t xml:space="preserve">finansējums </w:t>
      </w:r>
      <w:r w:rsidR="00934C2E" w:rsidRPr="00A27896">
        <w:rPr>
          <w:rFonts w:cs="Times New Roman"/>
          <w:color w:val="17365D"/>
          <w:szCs w:val="24"/>
        </w:rPr>
        <w:t>kapitālsabiedr</w:t>
      </w:r>
      <w:r w:rsidR="004A0420" w:rsidRPr="00A27896">
        <w:rPr>
          <w:rFonts w:cs="Times New Roman"/>
          <w:color w:val="17365D"/>
          <w:szCs w:val="24"/>
        </w:rPr>
        <w:t xml:space="preserve">ībām ir apkopots </w:t>
      </w:r>
      <w:r w:rsidR="00D356BB">
        <w:rPr>
          <w:rFonts w:cs="Times New Roman"/>
          <w:color w:val="17365D"/>
          <w:szCs w:val="24"/>
        </w:rPr>
        <w:t>1.</w:t>
      </w:r>
      <w:r w:rsidRPr="00A27896">
        <w:rPr>
          <w:rFonts w:cs="Times New Roman"/>
          <w:color w:val="17365D"/>
          <w:szCs w:val="24"/>
        </w:rPr>
        <w:t>3</w:t>
      </w:r>
      <w:r w:rsidR="000229AE" w:rsidRPr="00A27896">
        <w:rPr>
          <w:rFonts w:cs="Times New Roman"/>
          <w:color w:val="17365D"/>
          <w:szCs w:val="24"/>
        </w:rPr>
        <w:t>1</w:t>
      </w:r>
      <w:r w:rsidRPr="00A27896">
        <w:rPr>
          <w:rFonts w:cs="Times New Roman"/>
          <w:color w:val="17365D"/>
          <w:szCs w:val="24"/>
        </w:rPr>
        <w:t>.tabulā</w:t>
      </w:r>
      <w:r w:rsidR="004A0420" w:rsidRPr="00A27896">
        <w:rPr>
          <w:rFonts w:cs="Times New Roman"/>
          <w:color w:val="17365D"/>
          <w:szCs w:val="24"/>
        </w:rPr>
        <w:t>:</w:t>
      </w:r>
      <w:r w:rsidRPr="00A27896">
        <w:rPr>
          <w:rFonts w:cs="Times New Roman"/>
          <w:color w:val="17365D"/>
          <w:szCs w:val="24"/>
        </w:rPr>
        <w:t xml:space="preserve"> </w:t>
      </w:r>
    </w:p>
    <w:p w14:paraId="5AD5CB8B" w14:textId="631F0D77" w:rsidR="004A0420" w:rsidRPr="00A27896" w:rsidRDefault="00D356BB" w:rsidP="004A0420">
      <w:pPr>
        <w:pStyle w:val="Tabulasnosaukums1"/>
        <w:spacing w:before="120" w:line="240" w:lineRule="auto"/>
        <w:rPr>
          <w:rFonts w:cs="Times New Roman"/>
          <w:color w:val="17365D"/>
        </w:rPr>
      </w:pPr>
      <w:r>
        <w:rPr>
          <w:rFonts w:cs="Times New Roman"/>
          <w:i/>
          <w:color w:val="17365D"/>
          <w:szCs w:val="22"/>
        </w:rPr>
        <w:t>1.</w:t>
      </w:r>
      <w:r w:rsidR="004A0420" w:rsidRPr="00A27896">
        <w:rPr>
          <w:rFonts w:cs="Times New Roman"/>
          <w:i/>
          <w:color w:val="17365D"/>
          <w:szCs w:val="22"/>
        </w:rPr>
        <w:t>31. tabula. Informācija par kapitālsabiedrību pārvaldību (euro)</w:t>
      </w:r>
    </w:p>
    <w:tbl>
      <w:tblPr>
        <w:tblW w:w="9356" w:type="dxa"/>
        <w:tblBorders>
          <w:insideH w:val="single" w:sz="4" w:space="0" w:color="17365D"/>
        </w:tblBorders>
        <w:tblLook w:val="04A0" w:firstRow="1" w:lastRow="0" w:firstColumn="1" w:lastColumn="0" w:noHBand="0" w:noVBand="1"/>
      </w:tblPr>
      <w:tblGrid>
        <w:gridCol w:w="3828"/>
        <w:gridCol w:w="2126"/>
        <w:gridCol w:w="1701"/>
        <w:gridCol w:w="1695"/>
        <w:gridCol w:w="6"/>
      </w:tblGrid>
      <w:tr w:rsidR="004A0420" w:rsidRPr="00A27896" w14:paraId="046410CA" w14:textId="77777777" w:rsidTr="0001726F">
        <w:trPr>
          <w:gridAfter w:val="1"/>
          <w:wAfter w:w="6" w:type="dxa"/>
          <w:trHeight w:val="329"/>
        </w:trPr>
        <w:tc>
          <w:tcPr>
            <w:tcW w:w="3828" w:type="dxa"/>
            <w:vMerge w:val="restart"/>
            <w:shd w:val="clear" w:color="000000" w:fill="B9CDE5"/>
            <w:vAlign w:val="center"/>
            <w:hideMark/>
          </w:tcPr>
          <w:p w14:paraId="56EE6B03"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Finansējuma veids</w:t>
            </w:r>
          </w:p>
        </w:tc>
        <w:tc>
          <w:tcPr>
            <w:tcW w:w="5522" w:type="dxa"/>
            <w:gridSpan w:val="3"/>
            <w:shd w:val="clear" w:color="000000" w:fill="B9CDE5"/>
            <w:vAlign w:val="center"/>
            <w:hideMark/>
          </w:tcPr>
          <w:p w14:paraId="138C31ED"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Apstiprinātais finansējums</w:t>
            </w:r>
          </w:p>
        </w:tc>
      </w:tr>
      <w:tr w:rsidR="004A0420" w:rsidRPr="00A27896" w14:paraId="6956BED8" w14:textId="77777777" w:rsidTr="0001726F">
        <w:trPr>
          <w:trHeight w:val="270"/>
        </w:trPr>
        <w:tc>
          <w:tcPr>
            <w:tcW w:w="3828" w:type="dxa"/>
            <w:vMerge/>
            <w:vAlign w:val="center"/>
            <w:hideMark/>
          </w:tcPr>
          <w:p w14:paraId="0DE4D7FF" w14:textId="77777777" w:rsidR="004A0420" w:rsidRPr="00A27896" w:rsidRDefault="004A0420" w:rsidP="00F86B01">
            <w:pPr>
              <w:spacing w:after="0" w:line="240" w:lineRule="auto"/>
              <w:rPr>
                <w:rFonts w:eastAsia="Times New Roman" w:cs="Times New Roman"/>
                <w:b/>
                <w:bCs/>
                <w:color w:val="17365D"/>
                <w:sz w:val="18"/>
                <w:szCs w:val="18"/>
                <w:lang w:eastAsia="lv-LV"/>
              </w:rPr>
            </w:pPr>
          </w:p>
        </w:tc>
        <w:tc>
          <w:tcPr>
            <w:tcW w:w="2126" w:type="dxa"/>
            <w:shd w:val="clear" w:color="000000" w:fill="B9CDE5"/>
            <w:vAlign w:val="center"/>
            <w:hideMark/>
          </w:tcPr>
          <w:p w14:paraId="1F3F1779" w14:textId="10A27461"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2A7A87">
              <w:rPr>
                <w:rFonts w:eastAsia="Times New Roman" w:cs="Times New Roman"/>
                <w:b/>
                <w:bCs/>
                <w:color w:val="17365D"/>
                <w:sz w:val="18"/>
                <w:szCs w:val="18"/>
                <w:lang w:eastAsia="lv-LV"/>
              </w:rPr>
              <w:t>4</w:t>
            </w:r>
            <w:r w:rsidRPr="00A27896">
              <w:rPr>
                <w:rFonts w:eastAsia="Times New Roman" w:cs="Times New Roman"/>
                <w:b/>
                <w:bCs/>
                <w:color w:val="17365D"/>
                <w:sz w:val="18"/>
                <w:szCs w:val="18"/>
                <w:lang w:eastAsia="lv-LV"/>
              </w:rPr>
              <w:t xml:space="preserve"> </w:t>
            </w:r>
          </w:p>
        </w:tc>
        <w:tc>
          <w:tcPr>
            <w:tcW w:w="1701" w:type="dxa"/>
            <w:shd w:val="clear" w:color="000000" w:fill="B9CDE5"/>
            <w:vAlign w:val="center"/>
            <w:hideMark/>
          </w:tcPr>
          <w:p w14:paraId="52743B85" w14:textId="43576D14"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2A7A87">
              <w:rPr>
                <w:rFonts w:eastAsia="Times New Roman" w:cs="Times New Roman"/>
                <w:b/>
                <w:bCs/>
                <w:color w:val="17365D"/>
                <w:sz w:val="18"/>
                <w:szCs w:val="18"/>
                <w:lang w:eastAsia="lv-LV"/>
              </w:rPr>
              <w:t>5</w:t>
            </w:r>
          </w:p>
        </w:tc>
        <w:tc>
          <w:tcPr>
            <w:tcW w:w="1701" w:type="dxa"/>
            <w:gridSpan w:val="2"/>
            <w:shd w:val="clear" w:color="000000" w:fill="B9CDE5"/>
            <w:vAlign w:val="center"/>
            <w:hideMark/>
          </w:tcPr>
          <w:p w14:paraId="501C50DB" w14:textId="0C0068D1"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202</w:t>
            </w:r>
            <w:r w:rsidR="002A7A87">
              <w:rPr>
                <w:rFonts w:eastAsia="Times New Roman" w:cs="Times New Roman"/>
                <w:b/>
                <w:bCs/>
                <w:color w:val="17365D"/>
                <w:sz w:val="18"/>
                <w:szCs w:val="18"/>
                <w:lang w:eastAsia="lv-LV"/>
              </w:rPr>
              <w:t>6</w:t>
            </w:r>
          </w:p>
        </w:tc>
      </w:tr>
      <w:tr w:rsidR="004A0420" w:rsidRPr="00A27896" w14:paraId="5BFA6034" w14:textId="77777777" w:rsidTr="0001726F">
        <w:trPr>
          <w:trHeight w:val="118"/>
        </w:trPr>
        <w:tc>
          <w:tcPr>
            <w:tcW w:w="3828" w:type="dxa"/>
            <w:shd w:val="clear" w:color="auto" w:fill="auto"/>
            <w:vAlign w:val="center"/>
            <w:hideMark/>
          </w:tcPr>
          <w:p w14:paraId="3FE443C7"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2126" w:type="dxa"/>
            <w:shd w:val="clear" w:color="auto" w:fill="auto"/>
            <w:vAlign w:val="center"/>
            <w:hideMark/>
          </w:tcPr>
          <w:p w14:paraId="330904EE"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701" w:type="dxa"/>
            <w:shd w:val="clear" w:color="auto" w:fill="auto"/>
            <w:vAlign w:val="center"/>
            <w:hideMark/>
          </w:tcPr>
          <w:p w14:paraId="7C0EFDEB"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c>
          <w:tcPr>
            <w:tcW w:w="1701" w:type="dxa"/>
            <w:gridSpan w:val="2"/>
            <w:shd w:val="clear" w:color="auto" w:fill="auto"/>
            <w:vAlign w:val="center"/>
            <w:hideMark/>
          </w:tcPr>
          <w:p w14:paraId="663009F1" w14:textId="77777777" w:rsidR="004A0420" w:rsidRPr="00A27896" w:rsidRDefault="004A0420" w:rsidP="00F86B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r>
      <w:tr w:rsidR="004A0420" w:rsidRPr="00A27896" w14:paraId="67483ADC" w14:textId="77777777" w:rsidTr="0001726F">
        <w:trPr>
          <w:trHeight w:val="288"/>
        </w:trPr>
        <w:tc>
          <w:tcPr>
            <w:tcW w:w="3828" w:type="dxa"/>
            <w:shd w:val="clear" w:color="auto" w:fill="auto"/>
            <w:vAlign w:val="center"/>
            <w:hideMark/>
          </w:tcPr>
          <w:p w14:paraId="2F499C2F" w14:textId="77777777" w:rsidR="004A0420" w:rsidRPr="00A27896" w:rsidRDefault="004A0420" w:rsidP="00F86B0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Aizņēmums</w:t>
            </w:r>
            <w:r w:rsidRPr="00A27896">
              <w:rPr>
                <w:rFonts w:cs="Times New Roman"/>
                <w:color w:val="17365D"/>
              </w:rPr>
              <w:t xml:space="preserve"> </w:t>
            </w:r>
            <w:r w:rsidRPr="00A27896">
              <w:rPr>
                <w:rFonts w:eastAsia="Times New Roman" w:cs="Times New Roman"/>
                <w:color w:val="17365D"/>
                <w:sz w:val="18"/>
                <w:szCs w:val="18"/>
                <w:lang w:eastAsia="lv-LV"/>
              </w:rPr>
              <w:t>no valsts budžeta vai komercbankām</w:t>
            </w:r>
          </w:p>
        </w:tc>
        <w:tc>
          <w:tcPr>
            <w:tcW w:w="2126" w:type="dxa"/>
            <w:shd w:val="clear" w:color="auto" w:fill="auto"/>
            <w:vAlign w:val="center"/>
            <w:hideMark/>
          </w:tcPr>
          <w:p w14:paraId="35F98321" w14:textId="06C1D785" w:rsidR="004A0420" w:rsidRPr="00A27896" w:rsidRDefault="002A7A87" w:rsidP="00F86B01">
            <w:pPr>
              <w:spacing w:after="0" w:line="240" w:lineRule="auto"/>
              <w:jc w:val="right"/>
              <w:rPr>
                <w:rFonts w:eastAsia="Times New Roman" w:cs="Times New Roman"/>
                <w:color w:val="17365D"/>
                <w:sz w:val="18"/>
                <w:szCs w:val="18"/>
                <w:lang w:eastAsia="lv-LV"/>
              </w:rPr>
            </w:pPr>
            <w:r w:rsidRPr="002A7A87">
              <w:rPr>
                <w:rFonts w:eastAsia="Times New Roman" w:cs="Times New Roman"/>
                <w:color w:val="17365D"/>
                <w:sz w:val="18"/>
                <w:szCs w:val="18"/>
                <w:lang w:eastAsia="lv-LV"/>
              </w:rPr>
              <w:t>768 090 947</w:t>
            </w:r>
          </w:p>
        </w:tc>
        <w:tc>
          <w:tcPr>
            <w:tcW w:w="1701" w:type="dxa"/>
            <w:shd w:val="clear" w:color="auto" w:fill="auto"/>
            <w:vAlign w:val="center"/>
            <w:hideMark/>
          </w:tcPr>
          <w:p w14:paraId="40284A7A" w14:textId="5575C8A1" w:rsidR="004A0420" w:rsidRPr="00A27896" w:rsidRDefault="002A7A87" w:rsidP="00F86B01">
            <w:pPr>
              <w:spacing w:after="0" w:line="240" w:lineRule="auto"/>
              <w:jc w:val="right"/>
              <w:rPr>
                <w:rFonts w:eastAsia="Times New Roman" w:cs="Times New Roman"/>
                <w:color w:val="17365D"/>
                <w:sz w:val="18"/>
                <w:szCs w:val="18"/>
                <w:lang w:eastAsia="lv-LV"/>
              </w:rPr>
            </w:pPr>
            <w:r w:rsidRPr="002A7A87">
              <w:rPr>
                <w:rFonts w:eastAsia="Times New Roman" w:cs="Times New Roman"/>
                <w:color w:val="17365D"/>
                <w:sz w:val="18"/>
                <w:szCs w:val="18"/>
                <w:lang w:eastAsia="lv-LV"/>
              </w:rPr>
              <w:t>849 346 002</w:t>
            </w:r>
          </w:p>
        </w:tc>
        <w:tc>
          <w:tcPr>
            <w:tcW w:w="1701" w:type="dxa"/>
            <w:gridSpan w:val="2"/>
            <w:shd w:val="clear" w:color="auto" w:fill="auto"/>
            <w:vAlign w:val="center"/>
            <w:hideMark/>
          </w:tcPr>
          <w:p w14:paraId="64BDFAB7" w14:textId="229EB4FD" w:rsidR="004A0420" w:rsidRPr="00A27896" w:rsidRDefault="002A7A87" w:rsidP="00F86B01">
            <w:pPr>
              <w:spacing w:after="0" w:line="240" w:lineRule="auto"/>
              <w:jc w:val="right"/>
              <w:rPr>
                <w:rFonts w:eastAsia="Times New Roman" w:cs="Times New Roman"/>
                <w:color w:val="17365D"/>
                <w:sz w:val="18"/>
                <w:szCs w:val="18"/>
                <w:lang w:eastAsia="lv-LV"/>
              </w:rPr>
            </w:pPr>
            <w:r w:rsidRPr="002A7A87">
              <w:rPr>
                <w:rFonts w:eastAsia="Times New Roman" w:cs="Times New Roman"/>
                <w:color w:val="17365D"/>
                <w:sz w:val="18"/>
                <w:szCs w:val="18"/>
                <w:lang w:eastAsia="lv-LV"/>
              </w:rPr>
              <w:t>1 051 399 145</w:t>
            </w:r>
          </w:p>
        </w:tc>
      </w:tr>
      <w:tr w:rsidR="004A0420" w:rsidRPr="00A27896" w14:paraId="26DC0CA9" w14:textId="77777777" w:rsidTr="0001726F">
        <w:trPr>
          <w:trHeight w:val="138"/>
        </w:trPr>
        <w:tc>
          <w:tcPr>
            <w:tcW w:w="3828" w:type="dxa"/>
            <w:shd w:val="clear" w:color="auto" w:fill="auto"/>
            <w:vAlign w:val="center"/>
            <w:hideMark/>
          </w:tcPr>
          <w:p w14:paraId="5906F7D7" w14:textId="77777777" w:rsidR="004A0420" w:rsidRPr="00A27896" w:rsidRDefault="004A0420" w:rsidP="00F86B01">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Subsīdijas, dotācijas, ieguldījums kapitālā</w:t>
            </w:r>
          </w:p>
        </w:tc>
        <w:tc>
          <w:tcPr>
            <w:tcW w:w="2126" w:type="dxa"/>
            <w:shd w:val="clear" w:color="auto" w:fill="auto"/>
            <w:hideMark/>
          </w:tcPr>
          <w:p w14:paraId="7B5EDED9" w14:textId="3D9201FC" w:rsidR="004A0420" w:rsidRPr="00A27896" w:rsidRDefault="002A7A87" w:rsidP="00F86B01">
            <w:pPr>
              <w:spacing w:after="0" w:line="240" w:lineRule="auto"/>
              <w:jc w:val="right"/>
              <w:rPr>
                <w:rFonts w:eastAsia="Times New Roman" w:cs="Times New Roman"/>
                <w:color w:val="17365D"/>
                <w:sz w:val="18"/>
                <w:szCs w:val="18"/>
                <w:lang w:eastAsia="lv-LV"/>
              </w:rPr>
            </w:pPr>
            <w:r w:rsidRPr="002A7A87">
              <w:rPr>
                <w:rFonts w:eastAsia="Times New Roman" w:cs="Times New Roman"/>
                <w:color w:val="17365D"/>
                <w:sz w:val="18"/>
                <w:szCs w:val="18"/>
                <w:lang w:eastAsia="lv-LV"/>
              </w:rPr>
              <w:t>1 312 257 035</w:t>
            </w:r>
          </w:p>
        </w:tc>
        <w:tc>
          <w:tcPr>
            <w:tcW w:w="1701" w:type="dxa"/>
            <w:shd w:val="clear" w:color="auto" w:fill="auto"/>
            <w:hideMark/>
          </w:tcPr>
          <w:p w14:paraId="019832AE" w14:textId="2563039B" w:rsidR="004A0420" w:rsidRPr="00A27896" w:rsidRDefault="002A7A87" w:rsidP="00F86B01">
            <w:pPr>
              <w:spacing w:after="0" w:line="240" w:lineRule="auto"/>
              <w:jc w:val="right"/>
              <w:rPr>
                <w:rFonts w:eastAsia="Times New Roman" w:cs="Times New Roman"/>
                <w:color w:val="17365D"/>
                <w:sz w:val="18"/>
                <w:szCs w:val="18"/>
                <w:lang w:eastAsia="lv-LV"/>
              </w:rPr>
            </w:pPr>
            <w:r w:rsidRPr="002A7A87">
              <w:rPr>
                <w:rFonts w:eastAsia="Times New Roman" w:cs="Times New Roman"/>
                <w:color w:val="17365D"/>
                <w:sz w:val="18"/>
                <w:szCs w:val="18"/>
                <w:lang w:eastAsia="lv-LV"/>
              </w:rPr>
              <w:t>522 371 169</w:t>
            </w:r>
          </w:p>
        </w:tc>
        <w:tc>
          <w:tcPr>
            <w:tcW w:w="1701" w:type="dxa"/>
            <w:gridSpan w:val="2"/>
            <w:shd w:val="clear" w:color="auto" w:fill="auto"/>
            <w:hideMark/>
          </w:tcPr>
          <w:p w14:paraId="46DCFCD3" w14:textId="628E09BA" w:rsidR="004A0420" w:rsidRPr="00A27896" w:rsidRDefault="002A7A87" w:rsidP="00F86B01">
            <w:pPr>
              <w:spacing w:after="0" w:line="240" w:lineRule="auto"/>
              <w:jc w:val="right"/>
              <w:rPr>
                <w:rFonts w:eastAsia="Times New Roman" w:cs="Times New Roman"/>
                <w:color w:val="17365D"/>
                <w:sz w:val="18"/>
                <w:szCs w:val="18"/>
                <w:lang w:eastAsia="lv-LV"/>
              </w:rPr>
            </w:pPr>
            <w:r w:rsidRPr="002A7A87">
              <w:rPr>
                <w:rFonts w:eastAsia="Times New Roman" w:cs="Times New Roman"/>
                <w:color w:val="17365D"/>
                <w:sz w:val="18"/>
                <w:szCs w:val="18"/>
                <w:lang w:eastAsia="lv-LV"/>
              </w:rPr>
              <w:t>517 507 295</w:t>
            </w:r>
          </w:p>
        </w:tc>
      </w:tr>
      <w:tr w:rsidR="004A0420" w:rsidRPr="00A27896" w14:paraId="012ED6ED" w14:textId="77777777" w:rsidTr="0001726F">
        <w:trPr>
          <w:trHeight w:val="255"/>
        </w:trPr>
        <w:tc>
          <w:tcPr>
            <w:tcW w:w="3828" w:type="dxa"/>
            <w:shd w:val="clear" w:color="000000" w:fill="B9CDE5"/>
            <w:vAlign w:val="center"/>
            <w:hideMark/>
          </w:tcPr>
          <w:p w14:paraId="255FA613" w14:textId="77777777" w:rsidR="004A0420" w:rsidRPr="00A27896" w:rsidRDefault="004A0420" w:rsidP="00F86B01">
            <w:pPr>
              <w:spacing w:after="0" w:line="240" w:lineRule="auto"/>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c>
          <w:tcPr>
            <w:tcW w:w="2126" w:type="dxa"/>
            <w:shd w:val="clear" w:color="000000" w:fill="B9CDE5"/>
            <w:hideMark/>
          </w:tcPr>
          <w:p w14:paraId="6172E5FE" w14:textId="7E181C27" w:rsidR="004A0420" w:rsidRPr="00A27896" w:rsidRDefault="002A7A87" w:rsidP="00F86B01">
            <w:pPr>
              <w:spacing w:after="0" w:line="240" w:lineRule="auto"/>
              <w:jc w:val="right"/>
              <w:rPr>
                <w:rFonts w:cs="Times New Roman"/>
                <w:b/>
                <w:bCs/>
                <w:color w:val="17365D"/>
                <w:sz w:val="18"/>
                <w:szCs w:val="18"/>
              </w:rPr>
            </w:pPr>
            <w:r w:rsidRPr="002A7A87">
              <w:rPr>
                <w:rFonts w:cs="Times New Roman"/>
                <w:b/>
                <w:bCs/>
                <w:color w:val="17365D"/>
                <w:sz w:val="18"/>
                <w:szCs w:val="18"/>
              </w:rPr>
              <w:t>2 080 347 982</w:t>
            </w:r>
          </w:p>
        </w:tc>
        <w:tc>
          <w:tcPr>
            <w:tcW w:w="1701" w:type="dxa"/>
            <w:shd w:val="clear" w:color="000000" w:fill="B9CDE5"/>
            <w:hideMark/>
          </w:tcPr>
          <w:p w14:paraId="0FEE18DE" w14:textId="7DFD0078" w:rsidR="004A0420" w:rsidRPr="00A27896" w:rsidRDefault="002A7A87" w:rsidP="00F86B01">
            <w:pPr>
              <w:spacing w:after="0" w:line="240" w:lineRule="auto"/>
              <w:jc w:val="right"/>
              <w:rPr>
                <w:rFonts w:cs="Times New Roman"/>
                <w:b/>
                <w:bCs/>
                <w:color w:val="17365D"/>
                <w:sz w:val="18"/>
                <w:szCs w:val="18"/>
              </w:rPr>
            </w:pPr>
            <w:r w:rsidRPr="002A7A87">
              <w:rPr>
                <w:rFonts w:cs="Times New Roman"/>
                <w:b/>
                <w:bCs/>
                <w:color w:val="17365D"/>
                <w:sz w:val="18"/>
                <w:szCs w:val="18"/>
              </w:rPr>
              <w:t>1 371 717 171</w:t>
            </w:r>
          </w:p>
        </w:tc>
        <w:tc>
          <w:tcPr>
            <w:tcW w:w="1701" w:type="dxa"/>
            <w:gridSpan w:val="2"/>
            <w:shd w:val="clear" w:color="000000" w:fill="B9CDE5"/>
            <w:hideMark/>
          </w:tcPr>
          <w:p w14:paraId="3C3CBD16" w14:textId="6E0808FB" w:rsidR="004A0420" w:rsidRPr="00A27896" w:rsidRDefault="002A7A87" w:rsidP="00F86B01">
            <w:pPr>
              <w:spacing w:after="0" w:line="240" w:lineRule="auto"/>
              <w:jc w:val="right"/>
              <w:rPr>
                <w:rFonts w:cs="Times New Roman"/>
                <w:b/>
                <w:bCs/>
                <w:color w:val="17365D"/>
                <w:sz w:val="18"/>
                <w:szCs w:val="18"/>
              </w:rPr>
            </w:pPr>
            <w:r w:rsidRPr="002A7A87">
              <w:rPr>
                <w:rFonts w:cs="Times New Roman"/>
                <w:b/>
                <w:bCs/>
                <w:color w:val="17365D"/>
                <w:sz w:val="18"/>
                <w:szCs w:val="18"/>
              </w:rPr>
              <w:t>1 568 906 440</w:t>
            </w:r>
          </w:p>
        </w:tc>
      </w:tr>
    </w:tbl>
    <w:p w14:paraId="7CF80515" w14:textId="77777777" w:rsidR="004A0420" w:rsidRPr="00A27896" w:rsidRDefault="004A0420" w:rsidP="004A0420">
      <w:pPr>
        <w:pStyle w:val="Pamatteksts1"/>
        <w:spacing w:after="0"/>
        <w:rPr>
          <w:color w:val="17365D"/>
          <w:sz w:val="16"/>
        </w:rPr>
      </w:pPr>
    </w:p>
    <w:p w14:paraId="2FFF62C2" w14:textId="43A64D4E" w:rsidR="0019458D" w:rsidRPr="00A27896" w:rsidRDefault="004A0420" w:rsidP="006D7BEC">
      <w:pPr>
        <w:spacing w:after="120" w:line="240" w:lineRule="auto"/>
        <w:jc w:val="both"/>
        <w:rPr>
          <w:rFonts w:cs="Times New Roman"/>
          <w:color w:val="17365D"/>
          <w:szCs w:val="24"/>
        </w:rPr>
      </w:pPr>
      <w:r w:rsidRPr="00A27896">
        <w:rPr>
          <w:rFonts w:cs="Times New Roman"/>
          <w:color w:val="17365D"/>
          <w:szCs w:val="24"/>
        </w:rPr>
        <w:t>L</w:t>
      </w:r>
      <w:r w:rsidR="0019458D" w:rsidRPr="00A27896">
        <w:rPr>
          <w:rFonts w:cs="Times New Roman"/>
          <w:color w:val="17365D"/>
          <w:szCs w:val="24"/>
        </w:rPr>
        <w:t>ielākie aizņēmumi nākamajā gadā plānoti:</w:t>
      </w:r>
    </w:p>
    <w:p w14:paraId="0BD4DC1E" w14:textId="05BB3C02" w:rsidR="0019458D" w:rsidRPr="00A27896" w:rsidRDefault="0019458D" w:rsidP="004E5915">
      <w:pPr>
        <w:pStyle w:val="ListParagraph"/>
        <w:numPr>
          <w:ilvl w:val="0"/>
          <w:numId w:val="21"/>
        </w:numPr>
        <w:spacing w:after="120" w:line="240" w:lineRule="auto"/>
        <w:contextualSpacing w:val="0"/>
        <w:jc w:val="both"/>
        <w:rPr>
          <w:rFonts w:cs="Times New Roman"/>
          <w:color w:val="17365D"/>
          <w:szCs w:val="24"/>
        </w:rPr>
      </w:pPr>
      <w:r w:rsidRPr="00A27896">
        <w:rPr>
          <w:rFonts w:cs="Times New Roman"/>
          <w:color w:val="17365D"/>
          <w:szCs w:val="24"/>
        </w:rPr>
        <w:t xml:space="preserve">AS “Latvenergo” </w:t>
      </w:r>
      <w:r w:rsidR="002A7A87" w:rsidRPr="002A7A87">
        <w:rPr>
          <w:rFonts w:cs="Times New Roman"/>
          <w:color w:val="17365D"/>
          <w:szCs w:val="24"/>
        </w:rPr>
        <w:t>611</w:t>
      </w:r>
      <w:r w:rsidR="005F3250">
        <w:rPr>
          <w:rFonts w:cs="Times New Roman"/>
          <w:color w:val="17365D"/>
          <w:szCs w:val="24"/>
        </w:rPr>
        <w:t> </w:t>
      </w:r>
      <w:r w:rsidR="002A7A87" w:rsidRPr="002A7A87">
        <w:rPr>
          <w:rFonts w:cs="Times New Roman"/>
          <w:color w:val="17365D"/>
          <w:szCs w:val="24"/>
        </w:rPr>
        <w:t>572</w:t>
      </w:r>
      <w:r w:rsidR="002A7A87">
        <w:rPr>
          <w:rFonts w:cs="Times New Roman"/>
          <w:color w:val="17365D"/>
          <w:szCs w:val="24"/>
        </w:rPr>
        <w:t> </w:t>
      </w:r>
      <w:r w:rsidR="002A7A87" w:rsidRPr="002A7A87">
        <w:rPr>
          <w:rFonts w:cs="Times New Roman"/>
          <w:color w:val="17365D"/>
          <w:szCs w:val="24"/>
        </w:rPr>
        <w:t>358</w:t>
      </w:r>
      <w:r w:rsidR="002A7A87">
        <w:rPr>
          <w:rFonts w:cs="Times New Roman"/>
          <w:color w:val="17365D"/>
          <w:szCs w:val="24"/>
        </w:rPr>
        <w:t xml:space="preserve"> </w:t>
      </w:r>
      <w:r w:rsidRPr="00A27896">
        <w:rPr>
          <w:rFonts w:cs="Times New Roman"/>
          <w:i/>
          <w:color w:val="17365D"/>
          <w:szCs w:val="24"/>
        </w:rPr>
        <w:t>euro</w:t>
      </w:r>
      <w:r w:rsidRPr="00A27896">
        <w:rPr>
          <w:rFonts w:cs="Times New Roman"/>
          <w:color w:val="17365D"/>
          <w:szCs w:val="24"/>
        </w:rPr>
        <w:t xml:space="preserve"> vērtībā investīciju projektu realizēšanai;</w:t>
      </w:r>
    </w:p>
    <w:p w14:paraId="7D8E0EA4" w14:textId="5C359766" w:rsidR="0021162E" w:rsidRPr="00A27896" w:rsidRDefault="0021162E" w:rsidP="004E5915">
      <w:pPr>
        <w:pStyle w:val="ListParagraph"/>
        <w:numPr>
          <w:ilvl w:val="0"/>
          <w:numId w:val="21"/>
        </w:numPr>
        <w:spacing w:after="120" w:line="240" w:lineRule="auto"/>
        <w:contextualSpacing w:val="0"/>
        <w:jc w:val="both"/>
        <w:rPr>
          <w:rFonts w:cs="Times New Roman"/>
          <w:color w:val="17365D"/>
          <w:szCs w:val="24"/>
        </w:rPr>
      </w:pPr>
      <w:r w:rsidRPr="00A27896">
        <w:rPr>
          <w:rFonts w:cs="Times New Roman"/>
          <w:color w:val="17365D"/>
          <w:szCs w:val="24"/>
        </w:rPr>
        <w:t xml:space="preserve">SIA “Rīgas ūdens” </w:t>
      </w:r>
      <w:r w:rsidR="002A7A87" w:rsidRPr="002A7A87">
        <w:rPr>
          <w:rFonts w:cs="Times New Roman"/>
          <w:color w:val="17365D"/>
          <w:szCs w:val="24"/>
        </w:rPr>
        <w:t>42</w:t>
      </w:r>
      <w:r w:rsidR="005F3250">
        <w:rPr>
          <w:rFonts w:cs="Times New Roman"/>
          <w:color w:val="17365D"/>
          <w:szCs w:val="24"/>
        </w:rPr>
        <w:t> </w:t>
      </w:r>
      <w:r w:rsidR="002A7A87" w:rsidRPr="002A7A87">
        <w:rPr>
          <w:rFonts w:cs="Times New Roman"/>
          <w:color w:val="17365D"/>
          <w:szCs w:val="24"/>
        </w:rPr>
        <w:t>000</w:t>
      </w:r>
      <w:r w:rsidR="002A7A87">
        <w:rPr>
          <w:rFonts w:cs="Times New Roman"/>
          <w:color w:val="17365D"/>
          <w:szCs w:val="24"/>
        </w:rPr>
        <w:t> </w:t>
      </w:r>
      <w:r w:rsidR="002A7A87" w:rsidRPr="002A7A87">
        <w:rPr>
          <w:rFonts w:cs="Times New Roman"/>
          <w:color w:val="17365D"/>
          <w:szCs w:val="24"/>
        </w:rPr>
        <w:t>000</w:t>
      </w:r>
      <w:r w:rsidR="002A7A87">
        <w:rPr>
          <w:rFonts w:cs="Times New Roman"/>
          <w:color w:val="17365D"/>
          <w:szCs w:val="24"/>
        </w:rPr>
        <w:t xml:space="preserve"> </w:t>
      </w:r>
      <w:r w:rsidRPr="00A27896">
        <w:rPr>
          <w:rFonts w:cs="Times New Roman"/>
          <w:i/>
          <w:color w:val="17365D"/>
          <w:szCs w:val="24"/>
        </w:rPr>
        <w:t xml:space="preserve">euro </w:t>
      </w:r>
      <w:r w:rsidRPr="00A27896">
        <w:rPr>
          <w:rFonts w:cs="Times New Roman"/>
          <w:color w:val="17365D"/>
          <w:szCs w:val="24"/>
        </w:rPr>
        <w:t>vērtībā ūdenssaimniecības infrastruktūras investīciju projektu finansēšanai;</w:t>
      </w:r>
    </w:p>
    <w:p w14:paraId="2ADC5576" w14:textId="7EFB1BA2" w:rsidR="009951EA" w:rsidRPr="002A7A87" w:rsidRDefault="009951EA" w:rsidP="004E5915">
      <w:pPr>
        <w:pStyle w:val="ListParagraph"/>
        <w:numPr>
          <w:ilvl w:val="0"/>
          <w:numId w:val="21"/>
        </w:numPr>
        <w:spacing w:after="120" w:line="240" w:lineRule="auto"/>
        <w:contextualSpacing w:val="0"/>
        <w:jc w:val="both"/>
        <w:rPr>
          <w:rFonts w:cs="Times New Roman"/>
          <w:color w:val="17365D"/>
          <w:szCs w:val="24"/>
        </w:rPr>
      </w:pPr>
      <w:r w:rsidRPr="002A7A87">
        <w:rPr>
          <w:rFonts w:cs="Times New Roman"/>
          <w:color w:val="17365D"/>
          <w:szCs w:val="24"/>
        </w:rPr>
        <w:t>AS “</w:t>
      </w:r>
      <w:r w:rsidR="002A7A87" w:rsidRPr="002A7A87">
        <w:rPr>
          <w:rFonts w:cs="Times New Roman"/>
          <w:color w:val="17365D"/>
          <w:szCs w:val="24"/>
        </w:rPr>
        <w:t>Rīgas Siltums</w:t>
      </w:r>
      <w:r w:rsidRPr="002A7A87">
        <w:rPr>
          <w:rFonts w:cs="Times New Roman"/>
          <w:color w:val="17365D"/>
          <w:szCs w:val="24"/>
        </w:rPr>
        <w:t xml:space="preserve">” </w:t>
      </w:r>
      <w:r w:rsidR="002A7A87" w:rsidRPr="002A7A87">
        <w:rPr>
          <w:rFonts w:cs="Times New Roman"/>
          <w:color w:val="17365D"/>
          <w:szCs w:val="24"/>
        </w:rPr>
        <w:t>27 </w:t>
      </w:r>
      <w:r w:rsidR="007F5DFA" w:rsidRPr="002A7A87">
        <w:rPr>
          <w:rFonts w:cs="Times New Roman"/>
          <w:color w:val="17365D"/>
          <w:szCs w:val="24"/>
        </w:rPr>
        <w:t>00</w:t>
      </w:r>
      <w:r w:rsidR="0021162E" w:rsidRPr="002A7A87">
        <w:rPr>
          <w:rFonts w:cs="Times New Roman"/>
          <w:color w:val="17365D"/>
          <w:szCs w:val="24"/>
        </w:rPr>
        <w:t xml:space="preserve">0 000 </w:t>
      </w:r>
      <w:r w:rsidRPr="002A7A87">
        <w:rPr>
          <w:rFonts w:cs="Times New Roman"/>
          <w:i/>
          <w:color w:val="17365D"/>
          <w:szCs w:val="24"/>
        </w:rPr>
        <w:t>euro</w:t>
      </w:r>
      <w:r w:rsidRPr="002A7A87">
        <w:rPr>
          <w:rFonts w:cs="Times New Roman"/>
          <w:color w:val="17365D"/>
          <w:szCs w:val="24"/>
        </w:rPr>
        <w:t xml:space="preserve"> </w:t>
      </w:r>
      <w:r w:rsidR="00572E7A" w:rsidRPr="002A7A87">
        <w:rPr>
          <w:rFonts w:cs="Times New Roman"/>
          <w:color w:val="17365D"/>
          <w:szCs w:val="24"/>
        </w:rPr>
        <w:t xml:space="preserve">vērtībā </w:t>
      </w:r>
      <w:r w:rsidR="002A7A87" w:rsidRPr="002A7A87">
        <w:rPr>
          <w:rFonts w:cs="Times New Roman"/>
          <w:color w:val="17365D"/>
          <w:szCs w:val="24"/>
        </w:rPr>
        <w:t>remontdarbu finansēšanai un refinansēšanai</w:t>
      </w:r>
      <w:r w:rsidR="007F5DFA" w:rsidRPr="002A7A87">
        <w:rPr>
          <w:rFonts w:cs="Times New Roman"/>
          <w:color w:val="17365D"/>
          <w:szCs w:val="24"/>
        </w:rPr>
        <w:t>.</w:t>
      </w:r>
    </w:p>
    <w:p w14:paraId="13670E22" w14:textId="418321C7" w:rsidR="0019458D" w:rsidRPr="00A27896" w:rsidRDefault="0019458D" w:rsidP="006D7BEC">
      <w:pPr>
        <w:spacing w:after="120" w:line="240" w:lineRule="auto"/>
        <w:jc w:val="both"/>
        <w:rPr>
          <w:rFonts w:cs="Times New Roman"/>
          <w:color w:val="17365D"/>
          <w:szCs w:val="24"/>
        </w:rPr>
      </w:pPr>
      <w:r w:rsidRPr="00A27896">
        <w:rPr>
          <w:rFonts w:cs="Times New Roman"/>
          <w:color w:val="17365D"/>
          <w:szCs w:val="24"/>
        </w:rPr>
        <w:t>Lielākais finansējums subsīdiju, dotāciju un ieguldījumu veidā nākam</w:t>
      </w:r>
      <w:r w:rsidR="00572E7A" w:rsidRPr="00A27896">
        <w:rPr>
          <w:rFonts w:cs="Times New Roman"/>
          <w:color w:val="17365D"/>
          <w:szCs w:val="24"/>
        </w:rPr>
        <w:t>a</w:t>
      </w:r>
      <w:r w:rsidRPr="00A27896">
        <w:rPr>
          <w:rFonts w:cs="Times New Roman"/>
          <w:color w:val="17365D"/>
          <w:szCs w:val="24"/>
        </w:rPr>
        <w:t>jā gadā plānots:</w:t>
      </w:r>
    </w:p>
    <w:p w14:paraId="5718C727" w14:textId="3B5A877C" w:rsidR="00CC6120" w:rsidRPr="00A27896" w:rsidRDefault="00CC6120" w:rsidP="004E5915">
      <w:pPr>
        <w:pStyle w:val="ListParagraph"/>
        <w:numPr>
          <w:ilvl w:val="0"/>
          <w:numId w:val="21"/>
        </w:numPr>
        <w:spacing w:after="120" w:line="240" w:lineRule="auto"/>
        <w:contextualSpacing w:val="0"/>
        <w:jc w:val="both"/>
        <w:rPr>
          <w:rFonts w:cs="Times New Roman"/>
          <w:color w:val="17365D"/>
          <w:szCs w:val="24"/>
        </w:rPr>
      </w:pPr>
      <w:r w:rsidRPr="00A27896">
        <w:rPr>
          <w:rFonts w:cs="Times New Roman"/>
          <w:color w:val="17365D"/>
          <w:szCs w:val="24"/>
        </w:rPr>
        <w:t xml:space="preserve">VAS “Latvijas Valsts ceļi” </w:t>
      </w:r>
      <w:r w:rsidR="002A7A87" w:rsidRPr="002A7A87">
        <w:rPr>
          <w:rFonts w:cs="Times New Roman"/>
          <w:color w:val="17365D"/>
          <w:szCs w:val="24"/>
        </w:rPr>
        <w:t>226</w:t>
      </w:r>
      <w:r w:rsidR="00172635">
        <w:rPr>
          <w:rFonts w:cs="Times New Roman"/>
          <w:color w:val="17365D"/>
          <w:szCs w:val="24"/>
        </w:rPr>
        <w:t> </w:t>
      </w:r>
      <w:r w:rsidR="002A7A87" w:rsidRPr="002A7A87">
        <w:rPr>
          <w:rFonts w:cs="Times New Roman"/>
          <w:color w:val="17365D"/>
          <w:szCs w:val="24"/>
        </w:rPr>
        <w:t>535</w:t>
      </w:r>
      <w:r w:rsidR="002A7A87">
        <w:rPr>
          <w:rFonts w:cs="Times New Roman"/>
          <w:color w:val="17365D"/>
          <w:szCs w:val="24"/>
        </w:rPr>
        <w:t> </w:t>
      </w:r>
      <w:r w:rsidR="002A7A87" w:rsidRPr="002A7A87">
        <w:rPr>
          <w:rFonts w:cs="Times New Roman"/>
          <w:color w:val="17365D"/>
          <w:szCs w:val="24"/>
        </w:rPr>
        <w:t>535</w:t>
      </w:r>
      <w:r w:rsidR="002A7A87">
        <w:rPr>
          <w:rFonts w:cs="Times New Roman"/>
          <w:color w:val="17365D"/>
          <w:szCs w:val="24"/>
        </w:rPr>
        <w:t xml:space="preserve"> </w:t>
      </w:r>
      <w:r w:rsidRPr="00A27896">
        <w:rPr>
          <w:rFonts w:cs="Times New Roman"/>
          <w:i/>
          <w:color w:val="17365D"/>
          <w:szCs w:val="24"/>
        </w:rPr>
        <w:t>euro</w:t>
      </w:r>
      <w:r w:rsidRPr="00A27896">
        <w:rPr>
          <w:rFonts w:cs="Times New Roman"/>
          <w:color w:val="17365D"/>
          <w:szCs w:val="24"/>
        </w:rPr>
        <w:t xml:space="preserve"> vērtībā valsts autoceļu uzturēšanai un atjaunošanai;</w:t>
      </w:r>
    </w:p>
    <w:p w14:paraId="2FCD1CCC" w14:textId="08A88B02" w:rsidR="00B15D69" w:rsidRPr="00A27896" w:rsidRDefault="00B15D69" w:rsidP="004E5915">
      <w:pPr>
        <w:pStyle w:val="ListParagraph"/>
        <w:numPr>
          <w:ilvl w:val="0"/>
          <w:numId w:val="21"/>
        </w:numPr>
        <w:spacing w:after="120" w:line="240" w:lineRule="auto"/>
        <w:contextualSpacing w:val="0"/>
        <w:jc w:val="both"/>
        <w:rPr>
          <w:rFonts w:cs="Times New Roman"/>
          <w:color w:val="17365D"/>
          <w:szCs w:val="24"/>
        </w:rPr>
      </w:pPr>
      <w:r w:rsidRPr="00A27896">
        <w:rPr>
          <w:rFonts w:cs="Times New Roman"/>
          <w:color w:val="17365D"/>
          <w:szCs w:val="24"/>
        </w:rPr>
        <w:t xml:space="preserve">SIA “Rīgas Austrumu klīniskā universitātes slimnīca” </w:t>
      </w:r>
      <w:r w:rsidR="002A7A87" w:rsidRPr="002A7A87">
        <w:rPr>
          <w:rFonts w:cs="Times New Roman"/>
          <w:color w:val="17365D"/>
          <w:szCs w:val="24"/>
        </w:rPr>
        <w:t>187</w:t>
      </w:r>
      <w:r w:rsidR="00172635">
        <w:rPr>
          <w:rFonts w:cs="Times New Roman"/>
          <w:color w:val="17365D"/>
          <w:szCs w:val="24"/>
        </w:rPr>
        <w:t> </w:t>
      </w:r>
      <w:r w:rsidR="002A7A87" w:rsidRPr="002A7A87">
        <w:rPr>
          <w:rFonts w:cs="Times New Roman"/>
          <w:color w:val="17365D"/>
          <w:szCs w:val="24"/>
        </w:rPr>
        <w:t>890</w:t>
      </w:r>
      <w:r w:rsidR="002A7A87">
        <w:rPr>
          <w:rFonts w:cs="Times New Roman"/>
          <w:color w:val="17365D"/>
          <w:szCs w:val="24"/>
        </w:rPr>
        <w:t> </w:t>
      </w:r>
      <w:r w:rsidR="002A7A87" w:rsidRPr="002A7A87">
        <w:rPr>
          <w:rFonts w:cs="Times New Roman"/>
          <w:color w:val="17365D"/>
          <w:szCs w:val="24"/>
        </w:rPr>
        <w:t>145</w:t>
      </w:r>
      <w:r w:rsidR="002A7A87">
        <w:rPr>
          <w:rFonts w:cs="Times New Roman"/>
          <w:color w:val="17365D"/>
          <w:szCs w:val="24"/>
        </w:rPr>
        <w:t xml:space="preserve"> </w:t>
      </w:r>
      <w:r w:rsidRPr="00A27896">
        <w:rPr>
          <w:rFonts w:cs="Times New Roman"/>
          <w:i/>
          <w:color w:val="17365D"/>
          <w:szCs w:val="24"/>
        </w:rPr>
        <w:t>euro</w:t>
      </w:r>
      <w:r w:rsidRPr="00A27896">
        <w:rPr>
          <w:rFonts w:cs="Times New Roman"/>
          <w:color w:val="17365D"/>
          <w:szCs w:val="24"/>
        </w:rPr>
        <w:t xml:space="preserve"> vērtībā stacionārai un ambulatorai </w:t>
      </w:r>
      <w:r w:rsidR="002A7A87">
        <w:rPr>
          <w:rFonts w:cs="Times New Roman"/>
          <w:color w:val="17365D"/>
          <w:szCs w:val="24"/>
        </w:rPr>
        <w:t>p</w:t>
      </w:r>
      <w:r w:rsidRPr="00A27896">
        <w:rPr>
          <w:rFonts w:cs="Times New Roman"/>
          <w:color w:val="17365D"/>
          <w:szCs w:val="24"/>
        </w:rPr>
        <w:t>alīdzībai</w:t>
      </w:r>
      <w:r w:rsidR="007F5DFA" w:rsidRPr="00A27896">
        <w:rPr>
          <w:rFonts w:cs="Times New Roman"/>
          <w:color w:val="17365D"/>
          <w:szCs w:val="24"/>
        </w:rPr>
        <w:t xml:space="preserve"> un citiem pakalpojumiem</w:t>
      </w:r>
      <w:r w:rsidRPr="00A27896">
        <w:rPr>
          <w:rFonts w:cs="Times New Roman"/>
          <w:color w:val="17365D"/>
          <w:szCs w:val="24"/>
        </w:rPr>
        <w:t>;</w:t>
      </w:r>
    </w:p>
    <w:p w14:paraId="4B77A95B" w14:textId="1A58834D" w:rsidR="00CC6120" w:rsidRPr="00A27896" w:rsidRDefault="007F5DFA" w:rsidP="004E5915">
      <w:pPr>
        <w:pStyle w:val="ListParagraph"/>
        <w:numPr>
          <w:ilvl w:val="0"/>
          <w:numId w:val="21"/>
        </w:numPr>
        <w:spacing w:after="120" w:line="240" w:lineRule="auto"/>
        <w:contextualSpacing w:val="0"/>
        <w:jc w:val="both"/>
        <w:rPr>
          <w:rFonts w:cs="Times New Roman"/>
          <w:color w:val="17365D"/>
          <w:szCs w:val="24"/>
        </w:rPr>
      </w:pPr>
      <w:r w:rsidRPr="00A27896">
        <w:rPr>
          <w:rFonts w:cs="Times New Roman"/>
          <w:color w:val="17365D"/>
          <w:szCs w:val="24"/>
        </w:rPr>
        <w:t xml:space="preserve">Rīgas pašvaldības SIA “Rīgas satiksme” </w:t>
      </w:r>
      <w:r w:rsidR="002A7A87" w:rsidRPr="002A7A87">
        <w:rPr>
          <w:rFonts w:cs="Times New Roman"/>
          <w:color w:val="17365D"/>
          <w:szCs w:val="24"/>
        </w:rPr>
        <w:t>154 889</w:t>
      </w:r>
      <w:r w:rsidR="002A7A87">
        <w:rPr>
          <w:rFonts w:cs="Times New Roman"/>
          <w:color w:val="17365D"/>
          <w:szCs w:val="24"/>
        </w:rPr>
        <w:t> </w:t>
      </w:r>
      <w:r w:rsidR="002A7A87" w:rsidRPr="002A7A87">
        <w:rPr>
          <w:rFonts w:cs="Times New Roman"/>
          <w:color w:val="17365D"/>
          <w:szCs w:val="24"/>
        </w:rPr>
        <w:t>021</w:t>
      </w:r>
      <w:r w:rsidR="002A7A87">
        <w:rPr>
          <w:rFonts w:cs="Times New Roman"/>
          <w:color w:val="17365D"/>
          <w:szCs w:val="24"/>
        </w:rPr>
        <w:t xml:space="preserve"> </w:t>
      </w:r>
      <w:r w:rsidRPr="00A27896">
        <w:rPr>
          <w:rFonts w:cs="Times New Roman"/>
          <w:i/>
          <w:color w:val="17365D"/>
          <w:szCs w:val="24"/>
        </w:rPr>
        <w:t>euro</w:t>
      </w:r>
      <w:r w:rsidRPr="00A27896">
        <w:rPr>
          <w:rFonts w:cs="Times New Roman"/>
          <w:color w:val="17365D"/>
          <w:szCs w:val="24"/>
        </w:rPr>
        <w:t xml:space="preserve"> vērtībā sabiedriskā transporta pakalpojumu sniegšanai Rīgas pilsētas sabiedriskā transporta maršrutu tīklā;</w:t>
      </w:r>
    </w:p>
    <w:p w14:paraId="3CAF5262" w14:textId="54496DC1" w:rsidR="0019458D" w:rsidRPr="00A27896" w:rsidRDefault="00CC6120" w:rsidP="004E5915">
      <w:pPr>
        <w:pStyle w:val="ListParagraph"/>
        <w:numPr>
          <w:ilvl w:val="0"/>
          <w:numId w:val="21"/>
        </w:numPr>
        <w:spacing w:after="120" w:line="240" w:lineRule="auto"/>
        <w:ind w:left="644"/>
        <w:contextualSpacing w:val="0"/>
        <w:jc w:val="both"/>
        <w:rPr>
          <w:rFonts w:cs="Times New Roman"/>
          <w:color w:val="17365D"/>
        </w:rPr>
      </w:pPr>
      <w:r w:rsidRPr="00A27896">
        <w:rPr>
          <w:rFonts w:cs="Times New Roman"/>
          <w:color w:val="17365D"/>
          <w:szCs w:val="24"/>
        </w:rPr>
        <w:t xml:space="preserve">VSIA “Paula Stradiņa klīniskā universitātes slimnīca” </w:t>
      </w:r>
      <w:r w:rsidR="002A7A87" w:rsidRPr="002A7A87">
        <w:rPr>
          <w:rFonts w:cs="Times New Roman"/>
          <w:color w:val="17365D"/>
          <w:szCs w:val="24"/>
        </w:rPr>
        <w:t>152</w:t>
      </w:r>
      <w:r w:rsidR="00172635">
        <w:rPr>
          <w:rFonts w:cs="Times New Roman"/>
          <w:color w:val="17365D"/>
          <w:szCs w:val="24"/>
        </w:rPr>
        <w:t> </w:t>
      </w:r>
      <w:r w:rsidR="002A7A87" w:rsidRPr="002A7A87">
        <w:rPr>
          <w:rFonts w:cs="Times New Roman"/>
          <w:color w:val="17365D"/>
          <w:szCs w:val="24"/>
        </w:rPr>
        <w:t>034</w:t>
      </w:r>
      <w:r w:rsidR="002A7A87">
        <w:rPr>
          <w:rFonts w:cs="Times New Roman"/>
          <w:color w:val="17365D"/>
          <w:szCs w:val="24"/>
        </w:rPr>
        <w:t> </w:t>
      </w:r>
      <w:r w:rsidR="002A7A87" w:rsidRPr="002A7A87">
        <w:rPr>
          <w:rFonts w:cs="Times New Roman"/>
          <w:color w:val="17365D"/>
          <w:szCs w:val="24"/>
        </w:rPr>
        <w:t>374</w:t>
      </w:r>
      <w:r w:rsidR="002A7A87">
        <w:rPr>
          <w:rFonts w:cs="Times New Roman"/>
          <w:color w:val="17365D"/>
          <w:szCs w:val="24"/>
        </w:rPr>
        <w:t xml:space="preserve"> </w:t>
      </w:r>
      <w:r w:rsidRPr="00A27896">
        <w:rPr>
          <w:rFonts w:cs="Times New Roman"/>
          <w:i/>
          <w:color w:val="17365D"/>
          <w:szCs w:val="24"/>
        </w:rPr>
        <w:t xml:space="preserve">euro </w:t>
      </w:r>
      <w:r w:rsidRPr="00A27896">
        <w:rPr>
          <w:rFonts w:cs="Times New Roman"/>
          <w:color w:val="17365D"/>
          <w:szCs w:val="24"/>
        </w:rPr>
        <w:t>vērtībā stacionārai un ambulatorai palīdzībai</w:t>
      </w:r>
      <w:r w:rsidR="007F5DFA" w:rsidRPr="00A27896">
        <w:rPr>
          <w:rFonts w:cs="Times New Roman"/>
          <w:color w:val="17365D"/>
          <w:szCs w:val="24"/>
        </w:rPr>
        <w:t xml:space="preserve"> un citiem pakalpojumiem</w:t>
      </w:r>
      <w:r w:rsidRPr="00A27896">
        <w:rPr>
          <w:rFonts w:cs="Times New Roman"/>
          <w:color w:val="17365D"/>
          <w:szCs w:val="24"/>
        </w:rPr>
        <w:t>.</w:t>
      </w:r>
    </w:p>
    <w:p w14:paraId="6F310B76" w14:textId="77777777" w:rsidR="00CE6289" w:rsidRPr="00A27896" w:rsidRDefault="00CE6289" w:rsidP="00CE6289">
      <w:pPr>
        <w:spacing w:after="0" w:line="240" w:lineRule="auto"/>
        <w:jc w:val="both"/>
        <w:rPr>
          <w:rFonts w:cs="Times New Roman"/>
          <w:color w:val="17365D"/>
          <w:sz w:val="22"/>
        </w:rPr>
      </w:pPr>
    </w:p>
    <w:p w14:paraId="73EDBF87" w14:textId="2B5CB9FF" w:rsidR="0019458D" w:rsidRPr="00A27896" w:rsidRDefault="0019458D" w:rsidP="00D55685">
      <w:pPr>
        <w:pStyle w:val="Heading4"/>
        <w:spacing w:line="240" w:lineRule="auto"/>
        <w:rPr>
          <w:rFonts w:cs="Times New Roman"/>
        </w:rPr>
      </w:pPr>
      <w:r w:rsidRPr="00A27896">
        <w:rPr>
          <w:rFonts w:cs="Times New Roman"/>
        </w:rPr>
        <w:t>Piezīme Nr. V9. Informācija par finanšu instrumentiem</w:t>
      </w:r>
    </w:p>
    <w:p w14:paraId="2FBCF433" w14:textId="2EC3797D" w:rsidR="00AC754B" w:rsidRPr="00A27896" w:rsidRDefault="00AC754B" w:rsidP="00514C3E">
      <w:pPr>
        <w:pStyle w:val="Heading5"/>
        <w:rPr>
          <w:rFonts w:cs="Times New Roman"/>
        </w:rPr>
      </w:pPr>
      <w:r w:rsidRPr="00A27896">
        <w:rPr>
          <w:rFonts w:cs="Times New Roman"/>
        </w:rPr>
        <w:t>Piezīme Nr. V9. Informācija par finanšu aktīvu un finanšu saistību sadalījumu pa finanšu instrumentu kategorijām un instrumentiem un cita informācija</w:t>
      </w:r>
    </w:p>
    <w:p w14:paraId="3A922D71" w14:textId="3056CDAC" w:rsidR="005861EC" w:rsidRPr="00A27896" w:rsidRDefault="005861EC" w:rsidP="006D7BEC">
      <w:pPr>
        <w:spacing w:after="120" w:line="240" w:lineRule="auto"/>
        <w:ind w:firstLine="284"/>
        <w:jc w:val="both"/>
        <w:rPr>
          <w:rFonts w:cs="Times New Roman"/>
          <w:color w:val="17365D"/>
          <w:szCs w:val="24"/>
        </w:rPr>
      </w:pPr>
      <w:r w:rsidRPr="00A27896">
        <w:rPr>
          <w:rFonts w:cs="Times New Roman"/>
          <w:color w:val="17365D"/>
          <w:szCs w:val="24"/>
        </w:rPr>
        <w:t>Informācija par ministriju, centrālo valsts iestāžu, pašvaldību un valsts</w:t>
      </w:r>
      <w:r w:rsidR="00BA279A" w:rsidRPr="00A27896">
        <w:rPr>
          <w:rFonts w:cs="Times New Roman"/>
          <w:color w:val="17365D"/>
          <w:szCs w:val="24"/>
        </w:rPr>
        <w:t xml:space="preserve"> budžeta finanšu uzskaitē atzītiem</w:t>
      </w:r>
      <w:r w:rsidRPr="00A27896">
        <w:rPr>
          <w:rFonts w:cs="Times New Roman"/>
          <w:color w:val="17365D"/>
          <w:szCs w:val="24"/>
        </w:rPr>
        <w:t xml:space="preserve"> </w:t>
      </w:r>
      <w:r w:rsidR="00BA279A" w:rsidRPr="00A27896">
        <w:rPr>
          <w:rFonts w:cs="Times New Roman"/>
          <w:color w:val="17365D"/>
          <w:szCs w:val="24"/>
        </w:rPr>
        <w:t>finanšu aktīviem un finanšu saistībām sniegta</w:t>
      </w:r>
      <w:r w:rsidRPr="00A27896">
        <w:rPr>
          <w:rFonts w:cs="Times New Roman"/>
          <w:color w:val="17365D"/>
          <w:szCs w:val="24"/>
        </w:rPr>
        <w:t xml:space="preserve"> </w:t>
      </w:r>
      <w:r w:rsidR="00D356BB">
        <w:rPr>
          <w:rFonts w:cs="Times New Roman"/>
          <w:color w:val="17365D"/>
          <w:szCs w:val="24"/>
        </w:rPr>
        <w:t>1.</w:t>
      </w:r>
      <w:r w:rsidRPr="00A27896">
        <w:rPr>
          <w:rFonts w:cs="Times New Roman"/>
          <w:color w:val="17365D"/>
          <w:szCs w:val="24"/>
        </w:rPr>
        <w:t>3</w:t>
      </w:r>
      <w:r w:rsidR="000229AE" w:rsidRPr="00A27896">
        <w:rPr>
          <w:rFonts w:cs="Times New Roman"/>
          <w:color w:val="17365D"/>
          <w:szCs w:val="24"/>
        </w:rPr>
        <w:t>2</w:t>
      </w:r>
      <w:r w:rsidRPr="00A27896">
        <w:rPr>
          <w:rFonts w:cs="Times New Roman"/>
          <w:color w:val="17365D"/>
          <w:szCs w:val="24"/>
        </w:rPr>
        <w:t xml:space="preserve">.tabulā </w:t>
      </w:r>
      <w:r w:rsidR="00BA279A" w:rsidRPr="00A27896">
        <w:rPr>
          <w:rFonts w:cs="Times New Roman"/>
          <w:color w:val="17365D"/>
          <w:szCs w:val="24"/>
        </w:rPr>
        <w:t>sadalījumā</w:t>
      </w:r>
      <w:r w:rsidRPr="00A27896">
        <w:rPr>
          <w:rFonts w:cs="Times New Roman"/>
          <w:color w:val="17365D"/>
          <w:szCs w:val="24"/>
        </w:rPr>
        <w:t xml:space="preserve"> pa:</w:t>
      </w:r>
    </w:p>
    <w:p w14:paraId="14E62D48" w14:textId="77777777" w:rsidR="005861EC" w:rsidRPr="00A27896" w:rsidRDefault="005861EC" w:rsidP="004E5915">
      <w:pPr>
        <w:pStyle w:val="ListParagraph"/>
        <w:numPr>
          <w:ilvl w:val="0"/>
          <w:numId w:val="21"/>
        </w:numPr>
        <w:spacing w:after="120" w:line="240" w:lineRule="auto"/>
        <w:ind w:left="851"/>
        <w:contextualSpacing w:val="0"/>
        <w:rPr>
          <w:rFonts w:cs="Times New Roman"/>
          <w:color w:val="17365D"/>
          <w:szCs w:val="24"/>
        </w:rPr>
      </w:pPr>
      <w:r w:rsidRPr="00A27896">
        <w:rPr>
          <w:rFonts w:cs="Times New Roman"/>
          <w:color w:val="17365D"/>
          <w:szCs w:val="24"/>
        </w:rPr>
        <w:t>finanšu instrumentu kategorijām;</w:t>
      </w:r>
    </w:p>
    <w:p w14:paraId="5D63E5D7" w14:textId="308C4EFC" w:rsidR="005861EC" w:rsidRPr="00A27896" w:rsidRDefault="005861EC" w:rsidP="004E5915">
      <w:pPr>
        <w:pStyle w:val="ListParagraph"/>
        <w:numPr>
          <w:ilvl w:val="0"/>
          <w:numId w:val="21"/>
        </w:numPr>
        <w:spacing w:after="120" w:line="240" w:lineRule="auto"/>
        <w:ind w:left="851"/>
        <w:contextualSpacing w:val="0"/>
        <w:rPr>
          <w:rFonts w:cs="Times New Roman"/>
          <w:color w:val="17365D"/>
          <w:szCs w:val="24"/>
        </w:rPr>
      </w:pPr>
      <w:r w:rsidRPr="00A27896">
        <w:rPr>
          <w:rFonts w:cs="Times New Roman"/>
          <w:color w:val="17365D"/>
          <w:szCs w:val="24"/>
        </w:rPr>
        <w:t>finanšu instrumentiem.</w:t>
      </w:r>
      <w:r w:rsidRPr="00A27896" w:rsidDel="00B339DF">
        <w:rPr>
          <w:rFonts w:cs="Times New Roman"/>
          <w:color w:val="17365D"/>
          <w:szCs w:val="24"/>
        </w:rPr>
        <w:t xml:space="preserve"> </w:t>
      </w:r>
    </w:p>
    <w:p w14:paraId="20BB41CB" w14:textId="602DCE18" w:rsidR="00EA0031" w:rsidRDefault="005861EC" w:rsidP="006D7BEC">
      <w:pPr>
        <w:spacing w:before="120" w:after="0" w:line="240" w:lineRule="auto"/>
        <w:jc w:val="both"/>
        <w:rPr>
          <w:rFonts w:cs="Times New Roman"/>
          <w:i/>
          <w:color w:val="17365D"/>
        </w:rPr>
      </w:pPr>
      <w:r w:rsidRPr="00A27896">
        <w:rPr>
          <w:rFonts w:cs="Times New Roman"/>
          <w:color w:val="17365D"/>
        </w:rPr>
        <w:lastRenderedPageBreak/>
        <w:t xml:space="preserve">Informācija </w:t>
      </w:r>
      <w:r w:rsidR="00BA279A" w:rsidRPr="00A27896">
        <w:rPr>
          <w:rFonts w:cs="Times New Roman"/>
          <w:color w:val="17365D"/>
        </w:rPr>
        <w:t>piezīmē</w:t>
      </w:r>
      <w:r w:rsidRPr="00A27896">
        <w:rPr>
          <w:rFonts w:cs="Times New Roman"/>
          <w:color w:val="17365D"/>
        </w:rPr>
        <w:t xml:space="preserve"> konsolidēta par </w:t>
      </w:r>
      <w:r w:rsidR="00DB637B" w:rsidRPr="00A27896">
        <w:rPr>
          <w:rFonts w:cs="Times New Roman"/>
          <w:color w:val="17365D"/>
        </w:rPr>
        <w:t xml:space="preserve">savstarpējiem valsts budžeta </w:t>
      </w:r>
      <w:r w:rsidR="00D356BB">
        <w:rPr>
          <w:rFonts w:cs="Times New Roman"/>
          <w:color w:val="17365D"/>
        </w:rPr>
        <w:t>finanšu uzskaites</w:t>
      </w:r>
      <w:r w:rsidR="00DB637B" w:rsidRPr="00A27896">
        <w:rPr>
          <w:rFonts w:cs="Times New Roman"/>
          <w:color w:val="17365D"/>
        </w:rPr>
        <w:t xml:space="preserve"> un </w:t>
      </w:r>
      <w:r w:rsidR="00706C04">
        <w:rPr>
          <w:rFonts w:cs="Times New Roman"/>
          <w:color w:val="17365D"/>
        </w:rPr>
        <w:t>valsts</w:t>
      </w:r>
      <w:r w:rsidR="00DB637B" w:rsidRPr="00A27896">
        <w:rPr>
          <w:rFonts w:cs="Times New Roman"/>
          <w:color w:val="17365D"/>
        </w:rPr>
        <w:t xml:space="preserve"> un pašvaldību </w:t>
      </w:r>
      <w:r w:rsidR="00706C04">
        <w:rPr>
          <w:rFonts w:cs="Times New Roman"/>
          <w:color w:val="17365D"/>
        </w:rPr>
        <w:t xml:space="preserve">budžeta iestāžu aktīvu un saistību </w:t>
      </w:r>
      <w:r w:rsidRPr="00A27896">
        <w:rPr>
          <w:rFonts w:cs="Times New Roman"/>
          <w:color w:val="17365D"/>
        </w:rPr>
        <w:t>atlikumiem.</w:t>
      </w:r>
    </w:p>
    <w:p w14:paraId="0D599445" w14:textId="42E9125D" w:rsidR="00185E10" w:rsidRPr="00A27896" w:rsidRDefault="00D356BB" w:rsidP="0019458D">
      <w:pPr>
        <w:pStyle w:val="Tabulasnosaukums1"/>
        <w:spacing w:before="120" w:line="240" w:lineRule="auto"/>
        <w:rPr>
          <w:rFonts w:cs="Times New Roman"/>
          <w:i/>
          <w:color w:val="17365D"/>
          <w:szCs w:val="22"/>
        </w:rPr>
      </w:pPr>
      <w:r>
        <w:rPr>
          <w:rFonts w:cs="Times New Roman"/>
          <w:i/>
          <w:color w:val="17365D"/>
          <w:szCs w:val="22"/>
        </w:rPr>
        <w:t>1.</w:t>
      </w:r>
      <w:r w:rsidR="00185E10" w:rsidRPr="00A27896">
        <w:rPr>
          <w:rFonts w:cs="Times New Roman"/>
          <w:i/>
          <w:color w:val="17365D"/>
          <w:szCs w:val="22"/>
        </w:rPr>
        <w:t>3</w:t>
      </w:r>
      <w:r w:rsidR="000229AE" w:rsidRPr="00A27896">
        <w:rPr>
          <w:rFonts w:cs="Times New Roman"/>
          <w:i/>
          <w:color w:val="17365D"/>
          <w:szCs w:val="22"/>
        </w:rPr>
        <w:t>2</w:t>
      </w:r>
      <w:r w:rsidR="00185E10" w:rsidRPr="00A27896">
        <w:rPr>
          <w:rFonts w:cs="Times New Roman"/>
          <w:i/>
          <w:color w:val="17365D"/>
          <w:szCs w:val="22"/>
        </w:rPr>
        <w:t>. tabula</w:t>
      </w:r>
      <w:r w:rsidR="003877C0" w:rsidRPr="00A27896">
        <w:rPr>
          <w:rFonts w:cs="Times New Roman"/>
          <w:i/>
          <w:color w:val="17365D"/>
          <w:szCs w:val="22"/>
        </w:rPr>
        <w:t>.</w:t>
      </w:r>
      <w:r w:rsidR="00185E10" w:rsidRPr="00A27896">
        <w:rPr>
          <w:rFonts w:cs="Times New Roman"/>
          <w:i/>
          <w:color w:val="17365D"/>
          <w:szCs w:val="22"/>
        </w:rPr>
        <w:t xml:space="preserve"> Informācija par finanšu aktīvu un finanšu saistību sadalījumu</w:t>
      </w:r>
    </w:p>
    <w:p w14:paraId="5CD44065" w14:textId="7837BCF9" w:rsidR="00185E10" w:rsidRPr="00A27896" w:rsidRDefault="00185E10" w:rsidP="00185E10">
      <w:pPr>
        <w:pStyle w:val="Tabulasnosaukums1"/>
        <w:spacing w:before="0" w:line="240" w:lineRule="auto"/>
        <w:rPr>
          <w:rFonts w:cs="Times New Roman"/>
          <w:i/>
          <w:color w:val="17365D"/>
          <w:szCs w:val="22"/>
        </w:rPr>
      </w:pPr>
      <w:r w:rsidRPr="00A27896">
        <w:rPr>
          <w:rFonts w:cs="Times New Roman"/>
          <w:i/>
          <w:color w:val="17365D"/>
          <w:szCs w:val="22"/>
        </w:rPr>
        <w:t xml:space="preserve"> pa finanšu instrumentu kategorijām un instrumentiem un cita informācija (euro)</w:t>
      </w:r>
    </w:p>
    <w:tbl>
      <w:tblPr>
        <w:tblW w:w="9389" w:type="dxa"/>
        <w:tblBorders>
          <w:insideH w:val="single" w:sz="4" w:space="0" w:color="17365D"/>
        </w:tblBorders>
        <w:tblLook w:val="04A0" w:firstRow="1" w:lastRow="0" w:firstColumn="1" w:lastColumn="0" w:noHBand="0" w:noVBand="1"/>
      </w:tblPr>
      <w:tblGrid>
        <w:gridCol w:w="2520"/>
        <w:gridCol w:w="3434"/>
        <w:gridCol w:w="1526"/>
        <w:gridCol w:w="175"/>
        <w:gridCol w:w="1734"/>
      </w:tblGrid>
      <w:tr w:rsidR="000C1009" w:rsidRPr="00A27896" w14:paraId="307B55CC" w14:textId="77777777" w:rsidTr="00D356BB">
        <w:trPr>
          <w:trHeight w:val="717"/>
          <w:tblHeader/>
        </w:trPr>
        <w:tc>
          <w:tcPr>
            <w:tcW w:w="5954" w:type="dxa"/>
            <w:gridSpan w:val="2"/>
            <w:shd w:val="clear" w:color="000000" w:fill="B9CDE5"/>
            <w:vAlign w:val="center"/>
            <w:hideMark/>
          </w:tcPr>
          <w:p w14:paraId="3EA10657"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Finanšu instrumentu kategorijas</w:t>
            </w:r>
          </w:p>
          <w:p w14:paraId="427CFAE4"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 un finanšu instrumenta nosaukums</w:t>
            </w:r>
          </w:p>
        </w:tc>
        <w:tc>
          <w:tcPr>
            <w:tcW w:w="1701" w:type="dxa"/>
            <w:gridSpan w:val="2"/>
            <w:tcBorders>
              <w:bottom w:val="single" w:sz="4" w:space="0" w:color="17365D"/>
            </w:tcBorders>
            <w:shd w:val="clear" w:color="000000" w:fill="B9CDE5"/>
            <w:vAlign w:val="center"/>
            <w:hideMark/>
          </w:tcPr>
          <w:p w14:paraId="4FB1DB03"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734" w:type="dxa"/>
            <w:tcBorders>
              <w:bottom w:val="single" w:sz="4" w:space="0" w:color="17365D"/>
            </w:tcBorders>
            <w:shd w:val="clear" w:color="000000" w:fill="B9CDE5"/>
            <w:vAlign w:val="center"/>
            <w:hideMark/>
          </w:tcPr>
          <w:p w14:paraId="752BE84A"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2372C82F" w14:textId="77777777" w:rsidTr="00D356BB">
        <w:trPr>
          <w:trHeight w:val="204"/>
          <w:tblHeader/>
        </w:trPr>
        <w:tc>
          <w:tcPr>
            <w:tcW w:w="5954" w:type="dxa"/>
            <w:gridSpan w:val="2"/>
            <w:tcBorders>
              <w:bottom w:val="single" w:sz="4" w:space="0" w:color="17365D"/>
            </w:tcBorders>
            <w:shd w:val="clear" w:color="auto" w:fill="auto"/>
            <w:vAlign w:val="center"/>
            <w:hideMark/>
          </w:tcPr>
          <w:p w14:paraId="069730C7"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701" w:type="dxa"/>
            <w:gridSpan w:val="2"/>
            <w:tcBorders>
              <w:top w:val="single" w:sz="4" w:space="0" w:color="17365D"/>
              <w:bottom w:val="single" w:sz="4" w:space="0" w:color="auto"/>
            </w:tcBorders>
            <w:shd w:val="clear" w:color="auto" w:fill="auto"/>
            <w:vAlign w:val="center"/>
            <w:hideMark/>
          </w:tcPr>
          <w:p w14:paraId="71370893"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734" w:type="dxa"/>
            <w:tcBorders>
              <w:top w:val="single" w:sz="4" w:space="0" w:color="17365D"/>
              <w:bottom w:val="single" w:sz="4" w:space="0" w:color="auto"/>
            </w:tcBorders>
            <w:shd w:val="clear" w:color="auto" w:fill="auto"/>
            <w:vAlign w:val="center"/>
            <w:hideMark/>
          </w:tcPr>
          <w:p w14:paraId="6750D7C6" w14:textId="77777777" w:rsidR="00413E6B" w:rsidRPr="00A27896" w:rsidRDefault="00413E6B" w:rsidP="0096041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r>
      <w:tr w:rsidR="005F3250" w:rsidRPr="00A27896" w14:paraId="4133569F"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05767337" w14:textId="597567E8" w:rsidR="005F3250" w:rsidRPr="00A27896" w:rsidRDefault="005F3250" w:rsidP="005F3250">
            <w:pPr>
              <w:spacing w:after="0" w:line="240" w:lineRule="auto"/>
              <w:ind w:right="57"/>
              <w:rPr>
                <w:rFonts w:eastAsia="Times New Roman" w:cs="Times New Roman"/>
                <w:b/>
                <w:color w:val="17365D"/>
                <w:sz w:val="18"/>
                <w:szCs w:val="18"/>
                <w:lang w:eastAsia="lv-LV"/>
              </w:rPr>
            </w:pPr>
            <w:r w:rsidRPr="00A27896">
              <w:rPr>
                <w:rFonts w:cs="Times New Roman"/>
                <w:b/>
                <w:bCs/>
                <w:color w:val="17365D"/>
                <w:sz w:val="18"/>
                <w:szCs w:val="18"/>
              </w:rPr>
              <w:t>Finanšu aktīvi</w:t>
            </w:r>
          </w:p>
        </w:tc>
        <w:tc>
          <w:tcPr>
            <w:tcW w:w="1701" w:type="dxa"/>
            <w:gridSpan w:val="2"/>
            <w:tcBorders>
              <w:top w:val="single" w:sz="4" w:space="0" w:color="auto"/>
              <w:left w:val="nil"/>
              <w:bottom w:val="single" w:sz="4" w:space="0" w:color="auto"/>
              <w:right w:val="nil"/>
            </w:tcBorders>
            <w:shd w:val="clear" w:color="auto" w:fill="auto"/>
            <w:noWrap/>
            <w:vAlign w:val="center"/>
          </w:tcPr>
          <w:p w14:paraId="2C2ECB0A" w14:textId="015AAA86" w:rsidR="005F3250" w:rsidRPr="00A27896" w:rsidRDefault="005F3250" w:rsidP="005F3250">
            <w:pPr>
              <w:spacing w:after="0" w:line="240" w:lineRule="auto"/>
              <w:ind w:right="57"/>
              <w:jc w:val="right"/>
              <w:rPr>
                <w:rFonts w:cs="Times New Roman"/>
                <w:b/>
                <w:bCs/>
                <w:color w:val="17365D"/>
                <w:sz w:val="18"/>
                <w:szCs w:val="18"/>
              </w:rPr>
            </w:pPr>
            <w:r>
              <w:rPr>
                <w:b/>
                <w:bCs/>
                <w:color w:val="17365D"/>
                <w:sz w:val="18"/>
                <w:szCs w:val="18"/>
              </w:rPr>
              <w:t>1 253 279 134</w:t>
            </w:r>
          </w:p>
        </w:tc>
        <w:tc>
          <w:tcPr>
            <w:tcW w:w="1734" w:type="dxa"/>
            <w:tcBorders>
              <w:top w:val="single" w:sz="4" w:space="0" w:color="auto"/>
              <w:left w:val="nil"/>
              <w:bottom w:val="single" w:sz="4" w:space="0" w:color="auto"/>
              <w:right w:val="nil"/>
            </w:tcBorders>
            <w:shd w:val="clear" w:color="auto" w:fill="auto"/>
            <w:noWrap/>
            <w:vAlign w:val="center"/>
          </w:tcPr>
          <w:p w14:paraId="1A30121B" w14:textId="0E4C90D4" w:rsidR="005F3250" w:rsidRPr="00A27896" w:rsidRDefault="005F3250" w:rsidP="005F3250">
            <w:pPr>
              <w:spacing w:after="0" w:line="240" w:lineRule="auto"/>
              <w:ind w:right="57"/>
              <w:jc w:val="right"/>
              <w:rPr>
                <w:rFonts w:cs="Times New Roman"/>
                <w:b/>
                <w:bCs/>
                <w:color w:val="17365D"/>
                <w:sz w:val="18"/>
                <w:szCs w:val="18"/>
              </w:rPr>
            </w:pPr>
            <w:r>
              <w:rPr>
                <w:b/>
                <w:bCs/>
                <w:color w:val="17365D"/>
                <w:sz w:val="18"/>
                <w:szCs w:val="18"/>
              </w:rPr>
              <w:t>1 153 878 029</w:t>
            </w:r>
          </w:p>
        </w:tc>
      </w:tr>
      <w:tr w:rsidR="005F3250" w:rsidRPr="00A27896" w14:paraId="3F2541FA"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98EF02B" w14:textId="28BA7BEF" w:rsidR="005F3250" w:rsidRPr="00A27896" w:rsidRDefault="005F3250" w:rsidP="005F3250">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Patiesajā vērtībā novērtēti finanšu aktīvi</w:t>
            </w:r>
          </w:p>
        </w:tc>
        <w:tc>
          <w:tcPr>
            <w:tcW w:w="1701" w:type="dxa"/>
            <w:gridSpan w:val="2"/>
            <w:tcBorders>
              <w:top w:val="single" w:sz="4" w:space="0" w:color="auto"/>
              <w:left w:val="nil"/>
              <w:bottom w:val="single" w:sz="4" w:space="0" w:color="auto"/>
              <w:right w:val="nil"/>
            </w:tcBorders>
            <w:shd w:val="clear" w:color="auto" w:fill="auto"/>
            <w:noWrap/>
            <w:vAlign w:val="center"/>
          </w:tcPr>
          <w:p w14:paraId="2BA09CBB" w14:textId="2A5CC6B2"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6 194</w:t>
            </w:r>
          </w:p>
        </w:tc>
        <w:tc>
          <w:tcPr>
            <w:tcW w:w="1734" w:type="dxa"/>
            <w:tcBorders>
              <w:top w:val="single" w:sz="4" w:space="0" w:color="auto"/>
              <w:left w:val="nil"/>
              <w:bottom w:val="single" w:sz="4" w:space="0" w:color="auto"/>
              <w:right w:val="nil"/>
            </w:tcBorders>
            <w:shd w:val="clear" w:color="auto" w:fill="auto"/>
            <w:noWrap/>
            <w:vAlign w:val="center"/>
          </w:tcPr>
          <w:p w14:paraId="4BA9761E" w14:textId="443F6A0D"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6 133</w:t>
            </w:r>
          </w:p>
        </w:tc>
      </w:tr>
      <w:tr w:rsidR="005F3250" w:rsidRPr="00A27896" w14:paraId="3BC54EF6"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463A1F2" w14:textId="0FF944CE" w:rsidR="005F3250" w:rsidRPr="00A27896" w:rsidRDefault="005F3250" w:rsidP="005F3250">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Vērtspapīri</w:t>
            </w:r>
          </w:p>
        </w:tc>
        <w:tc>
          <w:tcPr>
            <w:tcW w:w="1701" w:type="dxa"/>
            <w:gridSpan w:val="2"/>
            <w:tcBorders>
              <w:top w:val="single" w:sz="4" w:space="0" w:color="auto"/>
              <w:left w:val="nil"/>
              <w:bottom w:val="single" w:sz="4" w:space="0" w:color="auto"/>
              <w:right w:val="nil"/>
            </w:tcBorders>
            <w:shd w:val="clear" w:color="auto" w:fill="auto"/>
            <w:noWrap/>
            <w:vAlign w:val="center"/>
          </w:tcPr>
          <w:p w14:paraId="3D4887DF" w14:textId="4FD44C93"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6 194</w:t>
            </w:r>
          </w:p>
        </w:tc>
        <w:tc>
          <w:tcPr>
            <w:tcW w:w="1734" w:type="dxa"/>
            <w:tcBorders>
              <w:top w:val="single" w:sz="4" w:space="0" w:color="auto"/>
              <w:left w:val="nil"/>
              <w:bottom w:val="single" w:sz="4" w:space="0" w:color="auto"/>
              <w:right w:val="nil"/>
            </w:tcBorders>
            <w:shd w:val="clear" w:color="auto" w:fill="auto"/>
            <w:noWrap/>
            <w:vAlign w:val="center"/>
          </w:tcPr>
          <w:p w14:paraId="22915061" w14:textId="1E8A8F74"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6 133</w:t>
            </w:r>
          </w:p>
        </w:tc>
      </w:tr>
      <w:tr w:rsidR="005F3250" w:rsidRPr="00A27896" w14:paraId="2F7ECE2C"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1B731646" w14:textId="28B8410E" w:rsidR="005F3250" w:rsidRPr="00A27896" w:rsidRDefault="005F3250" w:rsidP="005F3250">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Līdz termiņa beigām turēti ieguldījumi</w:t>
            </w:r>
          </w:p>
        </w:tc>
        <w:tc>
          <w:tcPr>
            <w:tcW w:w="1701" w:type="dxa"/>
            <w:gridSpan w:val="2"/>
            <w:tcBorders>
              <w:top w:val="single" w:sz="4" w:space="0" w:color="auto"/>
              <w:left w:val="nil"/>
              <w:bottom w:val="single" w:sz="4" w:space="0" w:color="auto"/>
              <w:right w:val="nil"/>
            </w:tcBorders>
            <w:shd w:val="clear" w:color="auto" w:fill="auto"/>
            <w:noWrap/>
            <w:vAlign w:val="center"/>
          </w:tcPr>
          <w:p w14:paraId="292A4C47" w14:textId="44AE05C5"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42 356 005</w:t>
            </w:r>
          </w:p>
        </w:tc>
        <w:tc>
          <w:tcPr>
            <w:tcW w:w="1734" w:type="dxa"/>
            <w:tcBorders>
              <w:top w:val="single" w:sz="4" w:space="0" w:color="auto"/>
              <w:left w:val="nil"/>
              <w:bottom w:val="single" w:sz="4" w:space="0" w:color="auto"/>
              <w:right w:val="nil"/>
            </w:tcBorders>
            <w:shd w:val="clear" w:color="auto" w:fill="auto"/>
            <w:noWrap/>
            <w:vAlign w:val="center"/>
          </w:tcPr>
          <w:p w14:paraId="56BD1942" w14:textId="63202BFC"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5 314</w:t>
            </w:r>
          </w:p>
        </w:tc>
      </w:tr>
      <w:tr w:rsidR="005F3250" w:rsidRPr="00A27896" w14:paraId="0F18B924"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AE62809" w14:textId="02E7FD21" w:rsidR="005F3250" w:rsidRPr="00A27896" w:rsidRDefault="005F3250" w:rsidP="005F3250">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Noguldījumi</w:t>
            </w:r>
          </w:p>
        </w:tc>
        <w:tc>
          <w:tcPr>
            <w:tcW w:w="1701" w:type="dxa"/>
            <w:gridSpan w:val="2"/>
            <w:tcBorders>
              <w:top w:val="single" w:sz="4" w:space="0" w:color="auto"/>
              <w:left w:val="nil"/>
              <w:bottom w:val="single" w:sz="4" w:space="0" w:color="auto"/>
              <w:right w:val="nil"/>
            </w:tcBorders>
            <w:shd w:val="clear" w:color="auto" w:fill="auto"/>
            <w:noWrap/>
            <w:vAlign w:val="center"/>
          </w:tcPr>
          <w:p w14:paraId="7A9AB8DC" w14:textId="64443F15"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42 356 005</w:t>
            </w:r>
          </w:p>
        </w:tc>
        <w:tc>
          <w:tcPr>
            <w:tcW w:w="1734" w:type="dxa"/>
            <w:tcBorders>
              <w:top w:val="single" w:sz="4" w:space="0" w:color="auto"/>
              <w:left w:val="nil"/>
              <w:bottom w:val="single" w:sz="4" w:space="0" w:color="auto"/>
              <w:right w:val="nil"/>
            </w:tcBorders>
            <w:shd w:val="clear" w:color="auto" w:fill="auto"/>
            <w:noWrap/>
            <w:vAlign w:val="center"/>
          </w:tcPr>
          <w:p w14:paraId="1CB2B6BA" w14:textId="2934EEFC"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5 314</w:t>
            </w:r>
          </w:p>
        </w:tc>
      </w:tr>
      <w:tr w:rsidR="005F3250" w:rsidRPr="00A27896" w14:paraId="76138958"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2835D10" w14:textId="35BB03AA" w:rsidR="005F3250" w:rsidRPr="00A27896" w:rsidRDefault="005F3250" w:rsidP="005F3250">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Aizdevumi un prasības</w:t>
            </w:r>
          </w:p>
        </w:tc>
        <w:tc>
          <w:tcPr>
            <w:tcW w:w="1701" w:type="dxa"/>
            <w:gridSpan w:val="2"/>
            <w:tcBorders>
              <w:top w:val="single" w:sz="4" w:space="0" w:color="auto"/>
              <w:left w:val="nil"/>
              <w:bottom w:val="single" w:sz="4" w:space="0" w:color="auto"/>
              <w:right w:val="nil"/>
            </w:tcBorders>
            <w:shd w:val="clear" w:color="auto" w:fill="auto"/>
            <w:noWrap/>
            <w:vAlign w:val="center"/>
          </w:tcPr>
          <w:p w14:paraId="4496177D" w14:textId="6EC0F1AA"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451 743 956</w:t>
            </w:r>
          </w:p>
        </w:tc>
        <w:tc>
          <w:tcPr>
            <w:tcW w:w="1734" w:type="dxa"/>
            <w:tcBorders>
              <w:top w:val="single" w:sz="4" w:space="0" w:color="auto"/>
              <w:left w:val="nil"/>
              <w:bottom w:val="single" w:sz="4" w:space="0" w:color="auto"/>
              <w:right w:val="nil"/>
            </w:tcBorders>
            <w:shd w:val="clear" w:color="auto" w:fill="auto"/>
            <w:noWrap/>
            <w:vAlign w:val="center"/>
          </w:tcPr>
          <w:p w14:paraId="4D0FE6BC" w14:textId="7B0408D4"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385 694 221</w:t>
            </w:r>
          </w:p>
        </w:tc>
      </w:tr>
      <w:tr w:rsidR="005F3250" w:rsidRPr="00A27896" w14:paraId="66DE02EA"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688E702" w14:textId="7EF26595" w:rsidR="005F3250" w:rsidRPr="00A27896" w:rsidRDefault="005F3250" w:rsidP="005F3250">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Aizdevumi</w:t>
            </w:r>
          </w:p>
        </w:tc>
        <w:tc>
          <w:tcPr>
            <w:tcW w:w="1701" w:type="dxa"/>
            <w:gridSpan w:val="2"/>
            <w:tcBorders>
              <w:top w:val="single" w:sz="4" w:space="0" w:color="auto"/>
              <w:left w:val="nil"/>
              <w:bottom w:val="single" w:sz="4" w:space="0" w:color="auto"/>
              <w:right w:val="nil"/>
            </w:tcBorders>
            <w:shd w:val="clear" w:color="auto" w:fill="auto"/>
            <w:noWrap/>
            <w:vAlign w:val="center"/>
          </w:tcPr>
          <w:p w14:paraId="2D132340" w14:textId="64D3B9CE"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446 940 721</w:t>
            </w:r>
          </w:p>
        </w:tc>
        <w:tc>
          <w:tcPr>
            <w:tcW w:w="1734" w:type="dxa"/>
            <w:tcBorders>
              <w:top w:val="single" w:sz="4" w:space="0" w:color="auto"/>
              <w:left w:val="nil"/>
              <w:bottom w:val="single" w:sz="4" w:space="0" w:color="auto"/>
              <w:right w:val="nil"/>
            </w:tcBorders>
            <w:shd w:val="clear" w:color="auto" w:fill="auto"/>
            <w:noWrap/>
            <w:vAlign w:val="center"/>
          </w:tcPr>
          <w:p w14:paraId="523C1AD3" w14:textId="298BF95E"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382 058 989</w:t>
            </w:r>
          </w:p>
        </w:tc>
      </w:tr>
      <w:tr w:rsidR="005F3250" w:rsidRPr="00A27896" w14:paraId="346E93BB"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E22CB48" w14:textId="37DD7622" w:rsidR="005F3250" w:rsidRPr="00A27896" w:rsidRDefault="005F3250" w:rsidP="005F3250">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Prasības, kas ir finanšu instrumenti</w:t>
            </w:r>
          </w:p>
        </w:tc>
        <w:tc>
          <w:tcPr>
            <w:tcW w:w="1701" w:type="dxa"/>
            <w:gridSpan w:val="2"/>
            <w:tcBorders>
              <w:top w:val="single" w:sz="4" w:space="0" w:color="auto"/>
              <w:left w:val="nil"/>
              <w:bottom w:val="single" w:sz="4" w:space="0" w:color="auto"/>
              <w:right w:val="nil"/>
            </w:tcBorders>
            <w:shd w:val="clear" w:color="auto" w:fill="auto"/>
            <w:noWrap/>
            <w:vAlign w:val="center"/>
          </w:tcPr>
          <w:p w14:paraId="47DD8829" w14:textId="79EA4357"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4 801 922</w:t>
            </w:r>
          </w:p>
        </w:tc>
        <w:tc>
          <w:tcPr>
            <w:tcW w:w="1734" w:type="dxa"/>
            <w:tcBorders>
              <w:top w:val="single" w:sz="4" w:space="0" w:color="auto"/>
              <w:left w:val="nil"/>
              <w:bottom w:val="single" w:sz="4" w:space="0" w:color="auto"/>
              <w:right w:val="nil"/>
            </w:tcBorders>
            <w:shd w:val="clear" w:color="auto" w:fill="auto"/>
            <w:noWrap/>
            <w:vAlign w:val="center"/>
          </w:tcPr>
          <w:p w14:paraId="18BD623E" w14:textId="2B2669A7"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3 633 328</w:t>
            </w:r>
          </w:p>
        </w:tc>
      </w:tr>
      <w:tr w:rsidR="005F3250" w:rsidRPr="00A27896" w14:paraId="73F672AA"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1126310C" w14:textId="56BC76AE" w:rsidR="005F3250" w:rsidRPr="00A27896" w:rsidRDefault="005F3250" w:rsidP="005F3250">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Pārējie finanšu instrumenti</w:t>
            </w:r>
          </w:p>
        </w:tc>
        <w:tc>
          <w:tcPr>
            <w:tcW w:w="1701" w:type="dxa"/>
            <w:gridSpan w:val="2"/>
            <w:tcBorders>
              <w:top w:val="single" w:sz="4" w:space="0" w:color="auto"/>
              <w:left w:val="nil"/>
              <w:bottom w:val="single" w:sz="4" w:space="0" w:color="auto"/>
              <w:right w:val="nil"/>
            </w:tcBorders>
            <w:shd w:val="clear" w:color="auto" w:fill="auto"/>
            <w:noWrap/>
            <w:vAlign w:val="center"/>
          </w:tcPr>
          <w:p w14:paraId="0134511C" w14:textId="7BAFE7AF"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1 313</w:t>
            </w:r>
          </w:p>
        </w:tc>
        <w:tc>
          <w:tcPr>
            <w:tcW w:w="1734" w:type="dxa"/>
            <w:tcBorders>
              <w:top w:val="single" w:sz="4" w:space="0" w:color="auto"/>
              <w:left w:val="nil"/>
              <w:bottom w:val="single" w:sz="4" w:space="0" w:color="auto"/>
              <w:right w:val="nil"/>
            </w:tcBorders>
            <w:shd w:val="clear" w:color="auto" w:fill="auto"/>
            <w:noWrap/>
            <w:vAlign w:val="center"/>
          </w:tcPr>
          <w:p w14:paraId="4F18580B" w14:textId="2658115F"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1 904</w:t>
            </w:r>
          </w:p>
        </w:tc>
      </w:tr>
      <w:tr w:rsidR="005F3250" w:rsidRPr="00A27896" w14:paraId="7851F4C0"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5099D2CD" w14:textId="74F770EF" w:rsidR="005F3250" w:rsidRPr="00A27896" w:rsidRDefault="005F3250" w:rsidP="005F3250">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Pārdošanai pieejami finanšu aktīvi</w:t>
            </w:r>
          </w:p>
        </w:tc>
        <w:tc>
          <w:tcPr>
            <w:tcW w:w="1701" w:type="dxa"/>
            <w:gridSpan w:val="2"/>
            <w:tcBorders>
              <w:top w:val="single" w:sz="4" w:space="0" w:color="auto"/>
              <w:left w:val="nil"/>
              <w:bottom w:val="single" w:sz="4" w:space="0" w:color="auto"/>
              <w:right w:val="nil"/>
            </w:tcBorders>
            <w:shd w:val="clear" w:color="auto" w:fill="auto"/>
            <w:noWrap/>
            <w:vAlign w:val="center"/>
          </w:tcPr>
          <w:p w14:paraId="3838E3CE" w14:textId="1B9F3976"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759 172 979</w:t>
            </w:r>
          </w:p>
        </w:tc>
        <w:tc>
          <w:tcPr>
            <w:tcW w:w="1734" w:type="dxa"/>
            <w:tcBorders>
              <w:top w:val="single" w:sz="4" w:space="0" w:color="auto"/>
              <w:left w:val="nil"/>
              <w:bottom w:val="single" w:sz="4" w:space="0" w:color="auto"/>
              <w:right w:val="nil"/>
            </w:tcBorders>
            <w:shd w:val="clear" w:color="auto" w:fill="auto"/>
            <w:noWrap/>
            <w:vAlign w:val="center"/>
          </w:tcPr>
          <w:p w14:paraId="79882DCC" w14:textId="466C3670"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768 172 361</w:t>
            </w:r>
          </w:p>
        </w:tc>
      </w:tr>
      <w:tr w:rsidR="005F3250" w:rsidRPr="00A27896" w14:paraId="17A23578"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7B275D83" w14:textId="0FD8B99F" w:rsidR="005F3250" w:rsidRPr="00A27896" w:rsidRDefault="005F3250" w:rsidP="005F3250">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Pārējie finanšu instrumenti</w:t>
            </w:r>
          </w:p>
        </w:tc>
        <w:tc>
          <w:tcPr>
            <w:tcW w:w="1701" w:type="dxa"/>
            <w:gridSpan w:val="2"/>
            <w:tcBorders>
              <w:top w:val="single" w:sz="4" w:space="0" w:color="auto"/>
              <w:left w:val="nil"/>
              <w:bottom w:val="single" w:sz="4" w:space="0" w:color="auto"/>
              <w:right w:val="nil"/>
            </w:tcBorders>
            <w:shd w:val="clear" w:color="auto" w:fill="auto"/>
            <w:noWrap/>
            <w:vAlign w:val="center"/>
          </w:tcPr>
          <w:p w14:paraId="303B5CDB" w14:textId="407146F8"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759 172 979</w:t>
            </w:r>
          </w:p>
        </w:tc>
        <w:tc>
          <w:tcPr>
            <w:tcW w:w="1734" w:type="dxa"/>
            <w:tcBorders>
              <w:top w:val="single" w:sz="4" w:space="0" w:color="auto"/>
              <w:left w:val="nil"/>
              <w:bottom w:val="single" w:sz="4" w:space="0" w:color="auto"/>
              <w:right w:val="nil"/>
            </w:tcBorders>
            <w:shd w:val="clear" w:color="auto" w:fill="auto"/>
            <w:noWrap/>
            <w:vAlign w:val="center"/>
          </w:tcPr>
          <w:p w14:paraId="7066178B" w14:textId="54BC8198" w:rsidR="005F3250" w:rsidRPr="00A27896" w:rsidRDefault="005F3250" w:rsidP="005F3250">
            <w:pPr>
              <w:spacing w:after="0" w:line="240" w:lineRule="auto"/>
              <w:ind w:right="57"/>
              <w:jc w:val="right"/>
              <w:rPr>
                <w:rFonts w:cs="Times New Roman"/>
                <w:color w:val="17365D"/>
                <w:sz w:val="18"/>
                <w:szCs w:val="18"/>
              </w:rPr>
            </w:pPr>
            <w:r>
              <w:rPr>
                <w:color w:val="17365D"/>
                <w:sz w:val="18"/>
                <w:szCs w:val="18"/>
              </w:rPr>
              <w:t>768 172 361</w:t>
            </w:r>
          </w:p>
        </w:tc>
      </w:tr>
      <w:tr w:rsidR="000E5B2C" w:rsidRPr="00A27896" w14:paraId="432F0C3F"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44EA0DBE" w14:textId="50D50A9D" w:rsidR="000E5B2C" w:rsidRPr="00A27896" w:rsidRDefault="000E5B2C" w:rsidP="000E5B2C">
            <w:pPr>
              <w:spacing w:after="0" w:line="240" w:lineRule="auto"/>
              <w:ind w:right="57"/>
              <w:rPr>
                <w:rFonts w:eastAsia="Times New Roman" w:cs="Times New Roman"/>
                <w:b/>
                <w:color w:val="17365D"/>
                <w:sz w:val="18"/>
                <w:szCs w:val="18"/>
                <w:lang w:eastAsia="lv-LV"/>
              </w:rPr>
            </w:pPr>
            <w:r w:rsidRPr="00A27896">
              <w:rPr>
                <w:rFonts w:cs="Times New Roman"/>
                <w:b/>
                <w:bCs/>
                <w:color w:val="17365D"/>
                <w:sz w:val="18"/>
                <w:szCs w:val="18"/>
              </w:rPr>
              <w:t>Finanšu saistības</w:t>
            </w:r>
          </w:p>
        </w:tc>
        <w:tc>
          <w:tcPr>
            <w:tcW w:w="1701" w:type="dxa"/>
            <w:gridSpan w:val="2"/>
            <w:tcBorders>
              <w:top w:val="single" w:sz="4" w:space="0" w:color="auto"/>
              <w:left w:val="nil"/>
              <w:bottom w:val="single" w:sz="4" w:space="0" w:color="auto"/>
              <w:right w:val="nil"/>
            </w:tcBorders>
            <w:shd w:val="clear" w:color="auto" w:fill="auto"/>
            <w:noWrap/>
            <w:vAlign w:val="center"/>
          </w:tcPr>
          <w:p w14:paraId="621E00FF" w14:textId="59AC83C8" w:rsidR="000E5B2C" w:rsidRPr="00A27896" w:rsidRDefault="000E5B2C" w:rsidP="000E5B2C">
            <w:pPr>
              <w:spacing w:after="0" w:line="240" w:lineRule="auto"/>
              <w:ind w:right="57"/>
              <w:jc w:val="right"/>
              <w:rPr>
                <w:rFonts w:cs="Times New Roman"/>
                <w:b/>
                <w:color w:val="17365D"/>
                <w:sz w:val="18"/>
                <w:szCs w:val="18"/>
              </w:rPr>
            </w:pPr>
            <w:r>
              <w:rPr>
                <w:b/>
                <w:bCs/>
                <w:color w:val="17365D"/>
                <w:sz w:val="18"/>
                <w:szCs w:val="18"/>
              </w:rPr>
              <w:t>17 788 808 952</w:t>
            </w:r>
          </w:p>
        </w:tc>
        <w:tc>
          <w:tcPr>
            <w:tcW w:w="1734" w:type="dxa"/>
            <w:tcBorders>
              <w:top w:val="single" w:sz="4" w:space="0" w:color="auto"/>
              <w:left w:val="nil"/>
              <w:bottom w:val="single" w:sz="4" w:space="0" w:color="auto"/>
              <w:right w:val="nil"/>
            </w:tcBorders>
            <w:shd w:val="clear" w:color="auto" w:fill="auto"/>
            <w:vAlign w:val="center"/>
          </w:tcPr>
          <w:p w14:paraId="341921B6" w14:textId="4A487303" w:rsidR="000E5B2C" w:rsidRPr="00A27896" w:rsidRDefault="000E5B2C" w:rsidP="000E5B2C">
            <w:pPr>
              <w:spacing w:after="0" w:line="240" w:lineRule="auto"/>
              <w:ind w:right="57"/>
              <w:jc w:val="right"/>
              <w:rPr>
                <w:rFonts w:cs="Times New Roman"/>
                <w:b/>
                <w:color w:val="17365D"/>
                <w:sz w:val="18"/>
                <w:szCs w:val="18"/>
              </w:rPr>
            </w:pPr>
            <w:r>
              <w:rPr>
                <w:b/>
                <w:bCs/>
                <w:color w:val="17365D"/>
                <w:sz w:val="18"/>
                <w:szCs w:val="18"/>
              </w:rPr>
              <w:t>15 872 374 788</w:t>
            </w:r>
          </w:p>
        </w:tc>
      </w:tr>
      <w:tr w:rsidR="000E5B2C" w:rsidRPr="00A27896" w14:paraId="397BAA2C"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7EF5B183" w14:textId="62296447" w:rsidR="000E5B2C" w:rsidRPr="00A27896" w:rsidRDefault="000E5B2C" w:rsidP="000E5B2C">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Patiesajā vērtībā novērtētas finanšu saistības</w:t>
            </w:r>
          </w:p>
        </w:tc>
        <w:tc>
          <w:tcPr>
            <w:tcW w:w="1701" w:type="dxa"/>
            <w:gridSpan w:val="2"/>
            <w:tcBorders>
              <w:top w:val="single" w:sz="4" w:space="0" w:color="auto"/>
              <w:left w:val="nil"/>
              <w:bottom w:val="single" w:sz="4" w:space="0" w:color="auto"/>
              <w:right w:val="nil"/>
            </w:tcBorders>
            <w:shd w:val="clear" w:color="auto" w:fill="auto"/>
            <w:noWrap/>
            <w:vAlign w:val="center"/>
          </w:tcPr>
          <w:p w14:paraId="32A7EC9F" w14:textId="58710E62"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606 361 912</w:t>
            </w:r>
          </w:p>
        </w:tc>
        <w:tc>
          <w:tcPr>
            <w:tcW w:w="1734" w:type="dxa"/>
            <w:tcBorders>
              <w:top w:val="single" w:sz="4" w:space="0" w:color="auto"/>
              <w:left w:val="nil"/>
              <w:bottom w:val="single" w:sz="4" w:space="0" w:color="auto"/>
              <w:right w:val="nil"/>
            </w:tcBorders>
            <w:shd w:val="clear" w:color="auto" w:fill="auto"/>
            <w:noWrap/>
            <w:vAlign w:val="center"/>
          </w:tcPr>
          <w:p w14:paraId="6F2D5751" w14:textId="0441ACB5"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79 174 840</w:t>
            </w:r>
          </w:p>
        </w:tc>
      </w:tr>
      <w:tr w:rsidR="000E5B2C" w:rsidRPr="00A27896" w14:paraId="09C0ABD0"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583C3B9D" w14:textId="5CAA6E02" w:rsidR="000E5B2C" w:rsidRPr="00A27896" w:rsidRDefault="000E5B2C" w:rsidP="000E5B2C">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Atvasinātie finanšu instrumenti</w:t>
            </w:r>
          </w:p>
        </w:tc>
        <w:tc>
          <w:tcPr>
            <w:tcW w:w="1701" w:type="dxa"/>
            <w:gridSpan w:val="2"/>
            <w:tcBorders>
              <w:top w:val="single" w:sz="4" w:space="0" w:color="auto"/>
              <w:left w:val="nil"/>
              <w:bottom w:val="single" w:sz="4" w:space="0" w:color="auto"/>
              <w:right w:val="nil"/>
            </w:tcBorders>
            <w:shd w:val="clear" w:color="auto" w:fill="auto"/>
            <w:noWrap/>
            <w:vAlign w:val="center"/>
          </w:tcPr>
          <w:p w14:paraId="19C7E9E0" w14:textId="668B4CD4"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67 391 020</w:t>
            </w:r>
          </w:p>
        </w:tc>
        <w:tc>
          <w:tcPr>
            <w:tcW w:w="1734" w:type="dxa"/>
            <w:tcBorders>
              <w:top w:val="single" w:sz="4" w:space="0" w:color="auto"/>
              <w:left w:val="nil"/>
              <w:bottom w:val="single" w:sz="4" w:space="0" w:color="auto"/>
              <w:right w:val="nil"/>
            </w:tcBorders>
            <w:shd w:val="clear" w:color="auto" w:fill="auto"/>
            <w:noWrap/>
            <w:vAlign w:val="center"/>
          </w:tcPr>
          <w:p w14:paraId="2564092C" w14:textId="090F603F"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79 174 840</w:t>
            </w:r>
          </w:p>
        </w:tc>
      </w:tr>
      <w:tr w:rsidR="000E5B2C" w:rsidRPr="00A27896" w14:paraId="409BD5FA"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tcPr>
          <w:p w14:paraId="1ACF15B5" w14:textId="24590790" w:rsidR="000E5B2C" w:rsidRPr="00A27896" w:rsidRDefault="000E5B2C" w:rsidP="000E5B2C">
            <w:pPr>
              <w:spacing w:after="0" w:line="240" w:lineRule="auto"/>
              <w:ind w:right="57"/>
              <w:rPr>
                <w:rFonts w:cs="Times New Roman"/>
                <w:color w:val="17365D"/>
                <w:sz w:val="18"/>
                <w:szCs w:val="18"/>
              </w:rPr>
            </w:pPr>
            <w:r w:rsidRPr="000E5B2C">
              <w:rPr>
                <w:rFonts w:cs="Times New Roman"/>
                <w:color w:val="17365D"/>
                <w:sz w:val="18"/>
                <w:szCs w:val="18"/>
              </w:rPr>
              <w:t xml:space="preserve">  Pārējie finanšu instrumenti</w:t>
            </w:r>
          </w:p>
        </w:tc>
        <w:tc>
          <w:tcPr>
            <w:tcW w:w="1701" w:type="dxa"/>
            <w:gridSpan w:val="2"/>
            <w:tcBorders>
              <w:top w:val="single" w:sz="4" w:space="0" w:color="auto"/>
              <w:left w:val="nil"/>
              <w:bottom w:val="single" w:sz="4" w:space="0" w:color="auto"/>
              <w:right w:val="nil"/>
            </w:tcBorders>
            <w:shd w:val="clear" w:color="auto" w:fill="auto"/>
            <w:noWrap/>
            <w:vAlign w:val="center"/>
          </w:tcPr>
          <w:p w14:paraId="15808BAF" w14:textId="2DEC14B3"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538 970 892</w:t>
            </w:r>
          </w:p>
        </w:tc>
        <w:tc>
          <w:tcPr>
            <w:tcW w:w="1734" w:type="dxa"/>
            <w:tcBorders>
              <w:top w:val="single" w:sz="4" w:space="0" w:color="auto"/>
              <w:left w:val="nil"/>
              <w:bottom w:val="single" w:sz="4" w:space="0" w:color="auto"/>
              <w:right w:val="nil"/>
            </w:tcBorders>
            <w:shd w:val="clear" w:color="auto" w:fill="auto"/>
            <w:noWrap/>
            <w:vAlign w:val="center"/>
          </w:tcPr>
          <w:p w14:paraId="7F7B849F" w14:textId="54E2D943"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0</w:t>
            </w:r>
          </w:p>
        </w:tc>
      </w:tr>
      <w:tr w:rsidR="000E5B2C" w:rsidRPr="00A27896" w14:paraId="5DBCCACA"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3F8C0156" w14:textId="0E6A0222" w:rsidR="000E5B2C" w:rsidRPr="00A27896" w:rsidRDefault="000E5B2C" w:rsidP="000E5B2C">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Pārējās finanšu saistības</w:t>
            </w:r>
          </w:p>
        </w:tc>
        <w:tc>
          <w:tcPr>
            <w:tcW w:w="1701" w:type="dxa"/>
            <w:gridSpan w:val="2"/>
            <w:tcBorders>
              <w:top w:val="single" w:sz="4" w:space="0" w:color="auto"/>
              <w:left w:val="nil"/>
              <w:bottom w:val="single" w:sz="4" w:space="0" w:color="auto"/>
              <w:right w:val="nil"/>
            </w:tcBorders>
            <w:shd w:val="clear" w:color="auto" w:fill="auto"/>
            <w:noWrap/>
            <w:vAlign w:val="center"/>
          </w:tcPr>
          <w:p w14:paraId="791C119C" w14:textId="1DB5CF0F"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17 182 447 040</w:t>
            </w:r>
          </w:p>
        </w:tc>
        <w:tc>
          <w:tcPr>
            <w:tcW w:w="1734" w:type="dxa"/>
            <w:tcBorders>
              <w:top w:val="single" w:sz="4" w:space="0" w:color="auto"/>
              <w:left w:val="nil"/>
              <w:bottom w:val="single" w:sz="4" w:space="0" w:color="auto"/>
              <w:right w:val="nil"/>
            </w:tcBorders>
            <w:shd w:val="clear" w:color="auto" w:fill="auto"/>
            <w:noWrap/>
            <w:vAlign w:val="center"/>
          </w:tcPr>
          <w:p w14:paraId="44DC97EA" w14:textId="62D5459E"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15 793 199 948</w:t>
            </w:r>
          </w:p>
        </w:tc>
      </w:tr>
      <w:tr w:rsidR="000E5B2C" w:rsidRPr="00A27896" w14:paraId="5023AA36"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2EBC9EF8" w14:textId="44371343" w:rsidR="000E5B2C" w:rsidRPr="00A27896" w:rsidRDefault="000E5B2C" w:rsidP="000E5B2C">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Emitētie vērtspapīri</w:t>
            </w:r>
          </w:p>
        </w:tc>
        <w:tc>
          <w:tcPr>
            <w:tcW w:w="1701" w:type="dxa"/>
            <w:gridSpan w:val="2"/>
            <w:tcBorders>
              <w:top w:val="single" w:sz="4" w:space="0" w:color="auto"/>
              <w:left w:val="nil"/>
              <w:bottom w:val="single" w:sz="4" w:space="0" w:color="auto"/>
              <w:right w:val="nil"/>
            </w:tcBorders>
            <w:shd w:val="clear" w:color="auto" w:fill="auto"/>
            <w:noWrap/>
            <w:vAlign w:val="center"/>
          </w:tcPr>
          <w:p w14:paraId="152B660A" w14:textId="2ADCB011"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15 373 784 449</w:t>
            </w:r>
          </w:p>
        </w:tc>
        <w:tc>
          <w:tcPr>
            <w:tcW w:w="1734" w:type="dxa"/>
            <w:tcBorders>
              <w:top w:val="single" w:sz="4" w:space="0" w:color="auto"/>
              <w:left w:val="nil"/>
              <w:bottom w:val="single" w:sz="4" w:space="0" w:color="auto"/>
              <w:right w:val="nil"/>
            </w:tcBorders>
            <w:shd w:val="clear" w:color="auto" w:fill="auto"/>
            <w:noWrap/>
            <w:vAlign w:val="center"/>
          </w:tcPr>
          <w:p w14:paraId="3CF64E39" w14:textId="6F5B44B4"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13 494 605 009</w:t>
            </w:r>
          </w:p>
        </w:tc>
      </w:tr>
      <w:tr w:rsidR="000E5B2C" w:rsidRPr="00A27896" w14:paraId="00169F90"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0345BABA" w14:textId="4A7F54EB" w:rsidR="000E5B2C" w:rsidRPr="00A27896" w:rsidRDefault="000E5B2C" w:rsidP="000E5B2C">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Aizņēmumi</w:t>
            </w:r>
          </w:p>
        </w:tc>
        <w:tc>
          <w:tcPr>
            <w:tcW w:w="1701" w:type="dxa"/>
            <w:gridSpan w:val="2"/>
            <w:tcBorders>
              <w:top w:val="single" w:sz="4" w:space="0" w:color="auto"/>
              <w:left w:val="nil"/>
              <w:bottom w:val="single" w:sz="4" w:space="0" w:color="auto"/>
              <w:right w:val="nil"/>
            </w:tcBorders>
            <w:shd w:val="clear" w:color="auto" w:fill="auto"/>
            <w:noWrap/>
            <w:vAlign w:val="center"/>
          </w:tcPr>
          <w:p w14:paraId="251934A2" w14:textId="1B67A700"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1 382 890 991</w:t>
            </w:r>
          </w:p>
        </w:tc>
        <w:tc>
          <w:tcPr>
            <w:tcW w:w="1734" w:type="dxa"/>
            <w:tcBorders>
              <w:top w:val="single" w:sz="4" w:space="0" w:color="auto"/>
              <w:left w:val="nil"/>
              <w:bottom w:val="single" w:sz="4" w:space="0" w:color="auto"/>
              <w:right w:val="nil"/>
            </w:tcBorders>
            <w:shd w:val="clear" w:color="auto" w:fill="auto"/>
            <w:noWrap/>
            <w:vAlign w:val="center"/>
          </w:tcPr>
          <w:p w14:paraId="5304F422" w14:textId="727E7D58"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2 294 595 246</w:t>
            </w:r>
          </w:p>
        </w:tc>
      </w:tr>
      <w:tr w:rsidR="000E5B2C" w:rsidRPr="00A27896" w14:paraId="7E45ED1E"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tcPr>
          <w:p w14:paraId="6D284048" w14:textId="2F504CC3" w:rsidR="000E5B2C" w:rsidRPr="00A27896" w:rsidRDefault="000E5B2C" w:rsidP="000E5B2C">
            <w:pPr>
              <w:spacing w:after="0" w:line="240" w:lineRule="auto"/>
              <w:ind w:right="57"/>
              <w:rPr>
                <w:rFonts w:cs="Times New Roman"/>
                <w:color w:val="17365D"/>
                <w:sz w:val="18"/>
                <w:szCs w:val="18"/>
              </w:rPr>
            </w:pPr>
            <w:r>
              <w:rPr>
                <w:rFonts w:cs="Times New Roman"/>
                <w:color w:val="17365D"/>
                <w:sz w:val="18"/>
                <w:szCs w:val="18"/>
              </w:rPr>
              <w:t xml:space="preserve">  </w:t>
            </w:r>
            <w:r w:rsidRPr="000E5B2C">
              <w:rPr>
                <w:rFonts w:cs="Times New Roman"/>
                <w:color w:val="17365D"/>
                <w:sz w:val="18"/>
                <w:szCs w:val="18"/>
              </w:rPr>
              <w:t>Pieņemtie noguldījumi</w:t>
            </w:r>
          </w:p>
        </w:tc>
        <w:tc>
          <w:tcPr>
            <w:tcW w:w="1701" w:type="dxa"/>
            <w:gridSpan w:val="2"/>
            <w:tcBorders>
              <w:top w:val="single" w:sz="4" w:space="0" w:color="auto"/>
              <w:left w:val="nil"/>
              <w:bottom w:val="single" w:sz="4" w:space="0" w:color="auto"/>
              <w:right w:val="nil"/>
            </w:tcBorders>
            <w:shd w:val="clear" w:color="auto" w:fill="auto"/>
            <w:noWrap/>
            <w:vAlign w:val="center"/>
          </w:tcPr>
          <w:p w14:paraId="3C36EABD" w14:textId="799B8AB5"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45 426 401</w:t>
            </w:r>
          </w:p>
        </w:tc>
        <w:tc>
          <w:tcPr>
            <w:tcW w:w="1734" w:type="dxa"/>
            <w:tcBorders>
              <w:top w:val="single" w:sz="4" w:space="0" w:color="auto"/>
              <w:left w:val="nil"/>
              <w:bottom w:val="single" w:sz="4" w:space="0" w:color="auto"/>
              <w:right w:val="nil"/>
            </w:tcBorders>
            <w:shd w:val="clear" w:color="auto" w:fill="auto"/>
            <w:noWrap/>
            <w:vAlign w:val="center"/>
          </w:tcPr>
          <w:p w14:paraId="21D833BF" w14:textId="5F2537C4"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0</w:t>
            </w:r>
          </w:p>
        </w:tc>
      </w:tr>
      <w:tr w:rsidR="000E5B2C" w:rsidRPr="00A27896" w14:paraId="7E6CB51A"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7EF3F74E" w14:textId="30D99418" w:rsidR="000E5B2C" w:rsidRPr="00A27896" w:rsidRDefault="000E5B2C" w:rsidP="000E5B2C">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 xml:space="preserve">  Pārējie finanšu instrumenti</w:t>
            </w:r>
          </w:p>
        </w:tc>
        <w:tc>
          <w:tcPr>
            <w:tcW w:w="1701" w:type="dxa"/>
            <w:gridSpan w:val="2"/>
            <w:tcBorders>
              <w:top w:val="single" w:sz="4" w:space="0" w:color="auto"/>
              <w:left w:val="nil"/>
              <w:bottom w:val="single" w:sz="4" w:space="0" w:color="auto"/>
              <w:right w:val="nil"/>
            </w:tcBorders>
            <w:shd w:val="clear" w:color="auto" w:fill="auto"/>
            <w:noWrap/>
            <w:vAlign w:val="center"/>
          </w:tcPr>
          <w:p w14:paraId="70635AAE" w14:textId="31D93757"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380 345 199</w:t>
            </w:r>
          </w:p>
        </w:tc>
        <w:tc>
          <w:tcPr>
            <w:tcW w:w="1734" w:type="dxa"/>
            <w:tcBorders>
              <w:top w:val="single" w:sz="4" w:space="0" w:color="auto"/>
              <w:left w:val="nil"/>
              <w:bottom w:val="single" w:sz="4" w:space="0" w:color="auto"/>
              <w:right w:val="nil"/>
            </w:tcBorders>
            <w:shd w:val="clear" w:color="auto" w:fill="auto"/>
            <w:noWrap/>
            <w:vAlign w:val="center"/>
          </w:tcPr>
          <w:p w14:paraId="2E9AA9B1" w14:textId="752CD5FA"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3 999 693</w:t>
            </w:r>
          </w:p>
        </w:tc>
      </w:tr>
      <w:tr w:rsidR="000E5B2C" w:rsidRPr="00A27896" w14:paraId="267EB421"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2B6CA36D" w14:textId="0109BCA0" w:rsidR="000E5B2C" w:rsidRPr="00A27896" w:rsidRDefault="000E5B2C" w:rsidP="000E5B2C">
            <w:pPr>
              <w:spacing w:after="0" w:line="240" w:lineRule="auto"/>
              <w:ind w:right="57"/>
              <w:rPr>
                <w:rFonts w:eastAsia="Times New Roman" w:cs="Times New Roman"/>
                <w:b/>
                <w:color w:val="17365D"/>
                <w:sz w:val="18"/>
                <w:szCs w:val="18"/>
                <w:lang w:eastAsia="lv-LV"/>
              </w:rPr>
            </w:pPr>
            <w:r w:rsidRPr="00A27896">
              <w:rPr>
                <w:rFonts w:cs="Times New Roman"/>
                <w:b/>
                <w:bCs/>
                <w:color w:val="17365D"/>
                <w:sz w:val="18"/>
                <w:szCs w:val="18"/>
              </w:rPr>
              <w:t>Zembilances posteņos iekļautie finanšu instrumenti</w:t>
            </w:r>
          </w:p>
        </w:tc>
        <w:tc>
          <w:tcPr>
            <w:tcW w:w="1701" w:type="dxa"/>
            <w:gridSpan w:val="2"/>
            <w:tcBorders>
              <w:top w:val="single" w:sz="4" w:space="0" w:color="auto"/>
              <w:left w:val="nil"/>
              <w:bottom w:val="single" w:sz="4" w:space="0" w:color="auto"/>
              <w:right w:val="nil"/>
            </w:tcBorders>
            <w:shd w:val="clear" w:color="auto" w:fill="auto"/>
            <w:noWrap/>
            <w:vAlign w:val="center"/>
          </w:tcPr>
          <w:p w14:paraId="01C6658B" w14:textId="5419BBB3" w:rsidR="000E5B2C" w:rsidRPr="00A27896" w:rsidRDefault="000E5B2C" w:rsidP="000E5B2C">
            <w:pPr>
              <w:spacing w:after="0" w:line="240" w:lineRule="auto"/>
              <w:ind w:right="57"/>
              <w:jc w:val="right"/>
              <w:rPr>
                <w:rFonts w:cs="Times New Roman"/>
                <w:b/>
                <w:color w:val="17365D"/>
                <w:sz w:val="18"/>
                <w:szCs w:val="18"/>
              </w:rPr>
            </w:pPr>
            <w:r>
              <w:rPr>
                <w:b/>
                <w:bCs/>
                <w:color w:val="17365D"/>
                <w:sz w:val="18"/>
                <w:szCs w:val="18"/>
              </w:rPr>
              <w:t>36 922 165</w:t>
            </w:r>
          </w:p>
        </w:tc>
        <w:tc>
          <w:tcPr>
            <w:tcW w:w="1734" w:type="dxa"/>
            <w:tcBorders>
              <w:top w:val="single" w:sz="4" w:space="0" w:color="auto"/>
              <w:left w:val="nil"/>
              <w:bottom w:val="single" w:sz="4" w:space="0" w:color="auto"/>
              <w:right w:val="nil"/>
            </w:tcBorders>
            <w:shd w:val="clear" w:color="auto" w:fill="auto"/>
            <w:vAlign w:val="center"/>
          </w:tcPr>
          <w:p w14:paraId="333229EA" w14:textId="7A42A0CF" w:rsidR="000E5B2C" w:rsidRPr="00A27896" w:rsidRDefault="000E5B2C" w:rsidP="000E5B2C">
            <w:pPr>
              <w:spacing w:after="0" w:line="240" w:lineRule="auto"/>
              <w:ind w:right="57"/>
              <w:jc w:val="right"/>
              <w:rPr>
                <w:rFonts w:cs="Times New Roman"/>
                <w:b/>
                <w:color w:val="17365D"/>
                <w:sz w:val="18"/>
                <w:szCs w:val="18"/>
              </w:rPr>
            </w:pPr>
            <w:r>
              <w:rPr>
                <w:b/>
                <w:bCs/>
                <w:color w:val="17365D"/>
                <w:sz w:val="18"/>
                <w:szCs w:val="18"/>
              </w:rPr>
              <w:t>57 161 623</w:t>
            </w:r>
          </w:p>
        </w:tc>
      </w:tr>
      <w:tr w:rsidR="000E5B2C" w:rsidRPr="00A27896" w14:paraId="33293594" w14:textId="77777777" w:rsidTr="00D356BB">
        <w:trPr>
          <w:trHeight w:val="266"/>
        </w:trPr>
        <w:tc>
          <w:tcPr>
            <w:tcW w:w="5954" w:type="dxa"/>
            <w:gridSpan w:val="2"/>
            <w:tcBorders>
              <w:top w:val="single" w:sz="4" w:space="0" w:color="17365D"/>
              <w:left w:val="nil"/>
              <w:bottom w:val="single" w:sz="4" w:space="0" w:color="17365D"/>
              <w:right w:val="nil"/>
            </w:tcBorders>
            <w:shd w:val="clear" w:color="auto" w:fill="auto"/>
            <w:vAlign w:val="center"/>
            <w:hideMark/>
          </w:tcPr>
          <w:p w14:paraId="65D1105B" w14:textId="0EFB0913" w:rsidR="000E5B2C" w:rsidRPr="00A27896" w:rsidRDefault="000E5B2C" w:rsidP="000E5B2C">
            <w:pPr>
              <w:spacing w:after="0" w:line="240" w:lineRule="auto"/>
              <w:ind w:right="57"/>
              <w:rPr>
                <w:rFonts w:eastAsia="Times New Roman" w:cs="Times New Roman"/>
                <w:color w:val="17365D"/>
                <w:sz w:val="18"/>
                <w:szCs w:val="18"/>
                <w:lang w:eastAsia="lv-LV"/>
              </w:rPr>
            </w:pPr>
            <w:r w:rsidRPr="00A27896">
              <w:rPr>
                <w:rFonts w:cs="Times New Roman"/>
                <w:color w:val="17365D"/>
                <w:sz w:val="18"/>
                <w:szCs w:val="18"/>
              </w:rPr>
              <w:t>Garantijas</w:t>
            </w:r>
          </w:p>
        </w:tc>
        <w:tc>
          <w:tcPr>
            <w:tcW w:w="1701" w:type="dxa"/>
            <w:gridSpan w:val="2"/>
            <w:tcBorders>
              <w:top w:val="single" w:sz="4" w:space="0" w:color="auto"/>
              <w:left w:val="nil"/>
              <w:bottom w:val="single" w:sz="4" w:space="0" w:color="auto"/>
              <w:right w:val="nil"/>
            </w:tcBorders>
            <w:shd w:val="clear" w:color="auto" w:fill="auto"/>
            <w:noWrap/>
            <w:vAlign w:val="center"/>
          </w:tcPr>
          <w:p w14:paraId="206D6002" w14:textId="69201CC8"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36 922 165</w:t>
            </w:r>
          </w:p>
        </w:tc>
        <w:tc>
          <w:tcPr>
            <w:tcW w:w="1734" w:type="dxa"/>
            <w:tcBorders>
              <w:top w:val="single" w:sz="4" w:space="0" w:color="auto"/>
              <w:left w:val="nil"/>
              <w:bottom w:val="single" w:sz="4" w:space="0" w:color="auto"/>
              <w:right w:val="nil"/>
            </w:tcBorders>
            <w:shd w:val="clear" w:color="auto" w:fill="auto"/>
            <w:vAlign w:val="center"/>
          </w:tcPr>
          <w:p w14:paraId="1F08E440" w14:textId="0FFD20F7" w:rsidR="000E5B2C" w:rsidRPr="00A27896" w:rsidRDefault="000E5B2C" w:rsidP="000E5B2C">
            <w:pPr>
              <w:spacing w:after="0" w:line="240" w:lineRule="auto"/>
              <w:ind w:right="57"/>
              <w:jc w:val="right"/>
              <w:rPr>
                <w:rFonts w:cs="Times New Roman"/>
                <w:color w:val="17365D"/>
                <w:sz w:val="18"/>
                <w:szCs w:val="18"/>
              </w:rPr>
            </w:pPr>
            <w:r>
              <w:rPr>
                <w:color w:val="17365D"/>
                <w:sz w:val="18"/>
                <w:szCs w:val="18"/>
              </w:rPr>
              <w:t>57 161 623</w:t>
            </w:r>
          </w:p>
        </w:tc>
      </w:tr>
      <w:tr w:rsidR="000C1009" w:rsidRPr="00A27896" w14:paraId="7A23D217" w14:textId="77777777" w:rsidTr="00B62824">
        <w:trPr>
          <w:trHeight w:val="184"/>
        </w:trPr>
        <w:tc>
          <w:tcPr>
            <w:tcW w:w="2520" w:type="dxa"/>
            <w:tcBorders>
              <w:top w:val="single" w:sz="4" w:space="0" w:color="17365D"/>
            </w:tcBorders>
            <w:shd w:val="clear" w:color="000000" w:fill="B9CDE5"/>
            <w:noWrap/>
            <w:vAlign w:val="center"/>
            <w:hideMark/>
          </w:tcPr>
          <w:p w14:paraId="4EF94FCC" w14:textId="77777777" w:rsidR="00413E6B" w:rsidRPr="00A27896" w:rsidRDefault="00413E6B" w:rsidP="00960410">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4960" w:type="dxa"/>
            <w:gridSpan w:val="2"/>
            <w:tcBorders>
              <w:top w:val="single" w:sz="4" w:space="0" w:color="17365D"/>
            </w:tcBorders>
            <w:shd w:val="clear" w:color="000000" w:fill="B9CDE5"/>
            <w:noWrap/>
            <w:vAlign w:val="center"/>
            <w:hideMark/>
          </w:tcPr>
          <w:p w14:paraId="4D772791" w14:textId="77777777" w:rsidR="00413E6B" w:rsidRPr="00A27896" w:rsidRDefault="00413E6B" w:rsidP="0096041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909" w:type="dxa"/>
            <w:gridSpan w:val="2"/>
            <w:tcBorders>
              <w:top w:val="single" w:sz="4" w:space="0" w:color="17365D"/>
            </w:tcBorders>
            <w:shd w:val="clear" w:color="000000" w:fill="B9CDE5"/>
            <w:vAlign w:val="center"/>
            <w:hideMark/>
          </w:tcPr>
          <w:p w14:paraId="6F35B313" w14:textId="77777777" w:rsidR="00413E6B" w:rsidRPr="00A27896" w:rsidRDefault="00413E6B" w:rsidP="0096041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667F2D76" w14:textId="78747E9D" w:rsidR="0022056B" w:rsidRPr="00A27896" w:rsidRDefault="0022056B" w:rsidP="000E5463">
      <w:pPr>
        <w:pStyle w:val="Pamatteksts1"/>
        <w:spacing w:before="120"/>
        <w:rPr>
          <w:rFonts w:eastAsiaTheme="minorHAnsi"/>
          <w:noProof w:val="0"/>
          <w:color w:val="17365D"/>
          <w:lang w:eastAsia="en-US"/>
        </w:rPr>
      </w:pPr>
      <w:r w:rsidRPr="00A27896">
        <w:rPr>
          <w:rFonts w:eastAsiaTheme="minorHAnsi"/>
          <w:noProof w:val="0"/>
          <w:color w:val="17365D"/>
          <w:lang w:eastAsia="en-US"/>
        </w:rPr>
        <w:t>Ministru kabineta 2018.gada 13.februāra noteikumi Nr.87 “Budžeta iestāžu grāmatvedības uzskaite” nosaka finanšu instrumentu patiesās vērtības vērtēšanas metodes:</w:t>
      </w:r>
    </w:p>
    <w:p w14:paraId="37FFEFCB" w14:textId="6AB75582" w:rsidR="0022056B" w:rsidRPr="00A27896" w:rsidRDefault="0022056B" w:rsidP="00146A16">
      <w:pPr>
        <w:pStyle w:val="Pamatteksts1"/>
        <w:numPr>
          <w:ilvl w:val="0"/>
          <w:numId w:val="25"/>
        </w:numPr>
        <w:ind w:left="851"/>
        <w:rPr>
          <w:rFonts w:eastAsiaTheme="minorHAnsi"/>
          <w:noProof w:val="0"/>
          <w:color w:val="17365D"/>
          <w:lang w:eastAsia="en-US"/>
        </w:rPr>
      </w:pPr>
      <w:r w:rsidRPr="00A27896">
        <w:rPr>
          <w:rFonts w:eastAsiaTheme="minorHAnsi"/>
          <w:noProof w:val="0"/>
          <w:color w:val="17365D"/>
          <w:lang w:eastAsia="en-US"/>
        </w:rPr>
        <w:t>konkrētā finanšu instrumenta darījuma cena vai identisku aktīvu vai saistību kotētās cenas aktīvos tirgos (patiesās vērtības hierarhijas 1. līmenis);</w:t>
      </w:r>
    </w:p>
    <w:p w14:paraId="709F161C" w14:textId="5C292454" w:rsidR="0022056B" w:rsidRPr="00A27896" w:rsidRDefault="0022056B" w:rsidP="00146A16">
      <w:pPr>
        <w:pStyle w:val="Pamatteksts1"/>
        <w:numPr>
          <w:ilvl w:val="0"/>
          <w:numId w:val="25"/>
        </w:numPr>
        <w:ind w:left="851"/>
        <w:rPr>
          <w:rFonts w:eastAsiaTheme="minorHAnsi"/>
          <w:noProof w:val="0"/>
          <w:color w:val="17365D"/>
          <w:lang w:eastAsia="en-US"/>
        </w:rPr>
      </w:pPr>
      <w:r w:rsidRPr="00A27896">
        <w:rPr>
          <w:rFonts w:eastAsiaTheme="minorHAnsi"/>
          <w:noProof w:val="0"/>
          <w:color w:val="17365D"/>
          <w:lang w:eastAsia="en-US"/>
        </w:rPr>
        <w:t>ja finanšu instrumentam nav tirgus cenas, bet šāda cena ir atsevišķām tā komponentēm vai līdzīgiem finanšu instrumentiem, šī instrumenta tirgus cenu var noteikt, ņemot vērā tā komponenšu vai līdzīgo finanšu instrumentu tirgus cenu (patiesās vērtības hierarhijas 2.</w:t>
      </w:r>
      <w:r w:rsidR="00603FE0" w:rsidRPr="00A27896">
        <w:rPr>
          <w:rFonts w:eastAsiaTheme="minorHAnsi"/>
          <w:noProof w:val="0"/>
          <w:color w:val="17365D"/>
          <w:lang w:eastAsia="en-US"/>
        </w:rPr>
        <w:t> </w:t>
      </w:r>
      <w:r w:rsidRPr="00A27896">
        <w:rPr>
          <w:rFonts w:eastAsiaTheme="minorHAnsi"/>
          <w:noProof w:val="0"/>
          <w:color w:val="17365D"/>
          <w:lang w:eastAsia="en-US"/>
        </w:rPr>
        <w:t>līmenis);</w:t>
      </w:r>
    </w:p>
    <w:p w14:paraId="3EDF0346" w14:textId="1BC13678" w:rsidR="0022056B" w:rsidRPr="00A27896" w:rsidRDefault="0022056B" w:rsidP="00146A16">
      <w:pPr>
        <w:pStyle w:val="Pamatteksts1"/>
        <w:numPr>
          <w:ilvl w:val="0"/>
          <w:numId w:val="25"/>
        </w:numPr>
        <w:ind w:left="851"/>
        <w:rPr>
          <w:rFonts w:eastAsiaTheme="minorHAnsi"/>
          <w:noProof w:val="0"/>
          <w:color w:val="17365D"/>
          <w:lang w:eastAsia="en-US"/>
        </w:rPr>
      </w:pPr>
      <w:r w:rsidRPr="00A27896">
        <w:rPr>
          <w:rFonts w:eastAsiaTheme="minorHAnsi"/>
          <w:noProof w:val="0"/>
          <w:color w:val="17365D"/>
          <w:lang w:eastAsia="en-US"/>
        </w:rPr>
        <w:t>ja nav iespējams noteikt finanšu instrumenta tirgus cenu, tā patieso vērtību nosaka, pamatojoties uz vērtību, kas aprēķināta, izmantojot vispāratzītas un piemērotas novērtēšanas metodes, ja aprēķinātā vērtība parāda šī instrumenta iespējamo tirgus cenu. Patiesās vērtības novērtēšanas metodi izstrādā komisija vai speciālists. Novērtēšanas metodes aktualitāti pārskata ne retāk kā reizi pārskata gadā (patiesās vērtības hierarhijas 3. līmenis).</w:t>
      </w:r>
    </w:p>
    <w:p w14:paraId="2D82B112" w14:textId="39458D16" w:rsidR="00D65E28" w:rsidRPr="00A27896" w:rsidRDefault="0022056B" w:rsidP="00D65E28">
      <w:pPr>
        <w:pStyle w:val="Pamatteksts1"/>
        <w:rPr>
          <w:rFonts w:eastAsiaTheme="minorHAnsi"/>
          <w:noProof w:val="0"/>
          <w:color w:val="17365D"/>
          <w:lang w:eastAsia="en-US"/>
        </w:rPr>
      </w:pPr>
      <w:r w:rsidRPr="00A27896">
        <w:rPr>
          <w:rFonts w:eastAsiaTheme="minorHAnsi"/>
          <w:noProof w:val="0"/>
          <w:color w:val="17365D"/>
          <w:lang w:eastAsia="en-US"/>
        </w:rPr>
        <w:t>Saimnieciskā gada pārskatā patiesajā vērtībā novērtētie finanšu instrumenti, kas ir finanšu aktīvi</w:t>
      </w:r>
      <w:r w:rsidR="00F3520D" w:rsidRPr="00A27896">
        <w:rPr>
          <w:rFonts w:eastAsiaTheme="minorHAnsi"/>
          <w:noProof w:val="0"/>
          <w:color w:val="17365D"/>
          <w:lang w:eastAsia="en-US"/>
        </w:rPr>
        <w:t xml:space="preserve">, </w:t>
      </w:r>
      <w:r w:rsidR="00172635">
        <w:rPr>
          <w:rFonts w:eastAsiaTheme="minorHAnsi"/>
          <w:bCs/>
          <w:noProof w:val="0"/>
          <w:color w:val="17365D"/>
          <w:lang w:eastAsia="en-US"/>
        </w:rPr>
        <w:t>1 786 </w:t>
      </w:r>
      <w:r w:rsidR="00172635" w:rsidRPr="00172635">
        <w:rPr>
          <w:rFonts w:eastAsiaTheme="minorHAnsi"/>
          <w:bCs/>
          <w:noProof w:val="0"/>
          <w:color w:val="17365D"/>
          <w:lang w:eastAsia="en-US"/>
        </w:rPr>
        <w:t xml:space="preserve">235 </w:t>
      </w:r>
      <w:r w:rsidR="00F3520D" w:rsidRPr="00A27896">
        <w:rPr>
          <w:rFonts w:eastAsiaTheme="minorHAnsi"/>
          <w:bCs/>
          <w:i/>
          <w:noProof w:val="0"/>
          <w:color w:val="17365D"/>
          <w:lang w:eastAsia="en-US"/>
        </w:rPr>
        <w:t>euro</w:t>
      </w:r>
      <w:r w:rsidR="00F3520D" w:rsidRPr="00A27896">
        <w:rPr>
          <w:rFonts w:eastAsiaTheme="minorHAnsi"/>
          <w:bCs/>
          <w:noProof w:val="0"/>
          <w:color w:val="17365D"/>
          <w:lang w:eastAsia="en-US"/>
        </w:rPr>
        <w:t xml:space="preserve"> vērtībā</w:t>
      </w:r>
      <w:r w:rsidRPr="00A27896">
        <w:rPr>
          <w:rFonts w:eastAsiaTheme="minorHAnsi"/>
          <w:noProof w:val="0"/>
          <w:color w:val="17365D"/>
          <w:lang w:eastAsia="en-US"/>
        </w:rPr>
        <w:t xml:space="preserve"> uzrādīti patiesās vērtības hierarhijas 1. līmenī, savukārt finanšu saistībās uzrādīti</w:t>
      </w:r>
      <w:r w:rsidR="00F3520D" w:rsidRPr="00A27896">
        <w:rPr>
          <w:rFonts w:eastAsiaTheme="minorHAnsi"/>
          <w:noProof w:val="0"/>
          <w:color w:val="17365D"/>
          <w:lang w:eastAsia="en-US"/>
        </w:rPr>
        <w:t xml:space="preserve">e </w:t>
      </w:r>
      <w:r w:rsidR="005C239B" w:rsidRPr="00A27896">
        <w:rPr>
          <w:rFonts w:eastAsiaTheme="minorHAnsi"/>
          <w:noProof w:val="0"/>
          <w:color w:val="17365D"/>
          <w:lang w:eastAsia="en-US"/>
        </w:rPr>
        <w:t xml:space="preserve">finanšu instrumenti </w:t>
      </w:r>
      <w:r w:rsidR="00172635">
        <w:rPr>
          <w:rFonts w:eastAsiaTheme="minorHAnsi"/>
          <w:noProof w:val="0"/>
          <w:color w:val="17365D"/>
          <w:lang w:eastAsia="en-US"/>
        </w:rPr>
        <w:t>67 391 </w:t>
      </w:r>
      <w:r w:rsidR="00172635" w:rsidRPr="00172635">
        <w:rPr>
          <w:rFonts w:eastAsiaTheme="minorHAnsi"/>
          <w:noProof w:val="0"/>
          <w:color w:val="17365D"/>
          <w:lang w:eastAsia="en-US"/>
        </w:rPr>
        <w:t xml:space="preserve">020 </w:t>
      </w:r>
      <w:r w:rsidR="00F3520D" w:rsidRPr="00A27896">
        <w:rPr>
          <w:rFonts w:eastAsiaTheme="minorHAnsi"/>
          <w:bCs/>
          <w:i/>
          <w:noProof w:val="0"/>
          <w:color w:val="17365D"/>
          <w:lang w:eastAsia="en-US"/>
        </w:rPr>
        <w:t>euro</w:t>
      </w:r>
      <w:r w:rsidR="00F3520D" w:rsidRPr="00A27896">
        <w:rPr>
          <w:rFonts w:eastAsiaTheme="minorHAnsi"/>
          <w:bCs/>
          <w:noProof w:val="0"/>
          <w:color w:val="17365D"/>
          <w:lang w:eastAsia="en-US"/>
        </w:rPr>
        <w:t xml:space="preserve"> vērtībā</w:t>
      </w:r>
      <w:r w:rsidR="00F3520D" w:rsidRPr="00A27896">
        <w:rPr>
          <w:rFonts w:eastAsiaTheme="minorHAnsi"/>
          <w:noProof w:val="0"/>
          <w:color w:val="17365D"/>
          <w:lang w:eastAsia="en-US"/>
        </w:rPr>
        <w:t xml:space="preserve"> </w:t>
      </w:r>
      <w:r w:rsidRPr="00A27896">
        <w:rPr>
          <w:rFonts w:eastAsiaTheme="minorHAnsi"/>
          <w:noProof w:val="0"/>
          <w:color w:val="17365D"/>
          <w:lang w:eastAsia="en-US"/>
        </w:rPr>
        <w:t>– patiesās vērtības hierarhijas 3.</w:t>
      </w:r>
      <w:r w:rsidR="00603FE0" w:rsidRPr="00A27896">
        <w:rPr>
          <w:rFonts w:eastAsiaTheme="minorHAnsi"/>
          <w:noProof w:val="0"/>
          <w:color w:val="17365D"/>
          <w:lang w:eastAsia="en-US"/>
        </w:rPr>
        <w:t> </w:t>
      </w:r>
      <w:r w:rsidRPr="00A27896">
        <w:rPr>
          <w:rFonts w:eastAsiaTheme="minorHAnsi"/>
          <w:noProof w:val="0"/>
          <w:color w:val="17365D"/>
          <w:lang w:eastAsia="en-US"/>
        </w:rPr>
        <w:t xml:space="preserve">līmenī. </w:t>
      </w:r>
      <w:r w:rsidR="008A7804" w:rsidRPr="00A27896">
        <w:rPr>
          <w:rFonts w:eastAsiaTheme="minorHAnsi"/>
          <w:noProof w:val="0"/>
          <w:color w:val="17365D"/>
          <w:lang w:eastAsia="en-US"/>
        </w:rPr>
        <w:t>Finanšu ministrija</w:t>
      </w:r>
      <w:r w:rsidR="00B9767C">
        <w:rPr>
          <w:rFonts w:eastAsiaTheme="minorHAnsi"/>
          <w:noProof w:val="0"/>
          <w:color w:val="17365D"/>
          <w:lang w:eastAsia="en-US"/>
        </w:rPr>
        <w:t>s</w:t>
      </w:r>
      <w:r w:rsidR="008A7804" w:rsidRPr="00A27896">
        <w:rPr>
          <w:rFonts w:eastAsiaTheme="minorHAnsi"/>
          <w:noProof w:val="0"/>
          <w:color w:val="17365D"/>
          <w:lang w:eastAsia="en-US"/>
        </w:rPr>
        <w:t xml:space="preserve"> pārdošanai</w:t>
      </w:r>
      <w:r w:rsidR="00B9767C">
        <w:rPr>
          <w:rFonts w:eastAsiaTheme="minorHAnsi"/>
          <w:noProof w:val="0"/>
          <w:color w:val="17365D"/>
          <w:lang w:eastAsia="en-US"/>
        </w:rPr>
        <w:t xml:space="preserve"> pieejamie finanšu aktīvi</w:t>
      </w:r>
      <w:r w:rsidR="008A7804" w:rsidRPr="00A27896">
        <w:rPr>
          <w:rFonts w:eastAsiaTheme="minorHAnsi"/>
          <w:noProof w:val="0"/>
          <w:color w:val="17365D"/>
          <w:lang w:eastAsia="en-US"/>
        </w:rPr>
        <w:t xml:space="preserve"> </w:t>
      </w:r>
      <w:r w:rsidR="00172635" w:rsidRPr="00172635">
        <w:rPr>
          <w:rFonts w:eastAsiaTheme="minorHAnsi"/>
          <w:noProof w:val="0"/>
          <w:color w:val="17365D"/>
          <w:lang w:eastAsia="en-US"/>
        </w:rPr>
        <w:t>757</w:t>
      </w:r>
      <w:r w:rsidR="00172635">
        <w:rPr>
          <w:rFonts w:eastAsiaTheme="minorHAnsi"/>
          <w:noProof w:val="0"/>
          <w:color w:val="17365D"/>
          <w:lang w:eastAsia="en-US"/>
        </w:rPr>
        <w:t> </w:t>
      </w:r>
      <w:r w:rsidR="00172635" w:rsidRPr="00172635">
        <w:rPr>
          <w:rFonts w:eastAsiaTheme="minorHAnsi"/>
          <w:noProof w:val="0"/>
          <w:color w:val="17365D"/>
          <w:lang w:eastAsia="en-US"/>
        </w:rPr>
        <w:t>242</w:t>
      </w:r>
      <w:r w:rsidR="00172635">
        <w:rPr>
          <w:rFonts w:eastAsiaTheme="minorHAnsi"/>
          <w:noProof w:val="0"/>
          <w:color w:val="17365D"/>
          <w:lang w:eastAsia="en-US"/>
        </w:rPr>
        <w:t> </w:t>
      </w:r>
      <w:r w:rsidR="00172635" w:rsidRPr="00172635">
        <w:rPr>
          <w:rFonts w:eastAsiaTheme="minorHAnsi"/>
          <w:noProof w:val="0"/>
          <w:color w:val="17365D"/>
          <w:lang w:eastAsia="en-US"/>
        </w:rPr>
        <w:t xml:space="preserve">333 </w:t>
      </w:r>
      <w:r w:rsidR="008A7804" w:rsidRPr="00A27896">
        <w:rPr>
          <w:rFonts w:eastAsiaTheme="minorHAnsi"/>
          <w:bCs/>
          <w:i/>
          <w:noProof w:val="0"/>
          <w:color w:val="17365D"/>
          <w:lang w:eastAsia="en-US"/>
        </w:rPr>
        <w:t>euro</w:t>
      </w:r>
      <w:r w:rsidR="008A7804" w:rsidRPr="00A27896">
        <w:rPr>
          <w:rFonts w:eastAsiaTheme="minorHAnsi"/>
          <w:bCs/>
          <w:noProof w:val="0"/>
          <w:color w:val="17365D"/>
          <w:lang w:eastAsia="en-US"/>
        </w:rPr>
        <w:t xml:space="preserve"> vērtībā</w:t>
      </w:r>
      <w:r w:rsidR="008A7804" w:rsidRPr="00A27896">
        <w:rPr>
          <w:rFonts w:eastAsiaTheme="minorHAnsi"/>
          <w:noProof w:val="0"/>
          <w:color w:val="17365D"/>
          <w:lang w:eastAsia="en-US"/>
        </w:rPr>
        <w:t xml:space="preserve"> novērtē</w:t>
      </w:r>
      <w:r w:rsidR="00B9767C">
        <w:rPr>
          <w:rFonts w:eastAsiaTheme="minorHAnsi"/>
          <w:noProof w:val="0"/>
          <w:color w:val="17365D"/>
          <w:lang w:eastAsia="en-US"/>
        </w:rPr>
        <w:t>ti</w:t>
      </w:r>
      <w:r w:rsidR="008A7804" w:rsidRPr="00A27896">
        <w:rPr>
          <w:rFonts w:eastAsiaTheme="minorHAnsi"/>
          <w:noProof w:val="0"/>
          <w:color w:val="17365D"/>
          <w:lang w:eastAsia="en-US"/>
        </w:rPr>
        <w:t xml:space="preserve"> izmaksu vērtībā, jo patieso vērtību nevar noteikt.</w:t>
      </w:r>
    </w:p>
    <w:p w14:paraId="40310A61" w14:textId="41BA0D68" w:rsidR="005A010F" w:rsidRPr="00A27896" w:rsidRDefault="00715EF2" w:rsidP="00300AF5">
      <w:pPr>
        <w:pStyle w:val="Heading5"/>
        <w:spacing w:before="240"/>
        <w:rPr>
          <w:rFonts w:cs="Times New Roman"/>
        </w:rPr>
      </w:pPr>
      <w:r w:rsidRPr="00A27896">
        <w:rPr>
          <w:rFonts w:cs="Times New Roman"/>
        </w:rPr>
        <w:lastRenderedPageBreak/>
        <w:t xml:space="preserve">Piezīme Nr. </w:t>
      </w:r>
      <w:r w:rsidR="000B381D" w:rsidRPr="00A27896">
        <w:rPr>
          <w:rFonts w:cs="Times New Roman"/>
        </w:rPr>
        <w:t>V9. Informācija par ieķīlātajiem aktīviem saistību vai iespējamo saistību nodrošinājumam sadalījumā pa finanšu instrumentiem</w:t>
      </w:r>
    </w:p>
    <w:p w14:paraId="71134E20" w14:textId="6926E974" w:rsidR="0019458D" w:rsidRPr="00A27896" w:rsidRDefault="0019458D" w:rsidP="0019458D">
      <w:pPr>
        <w:spacing w:before="120" w:after="120" w:line="240" w:lineRule="auto"/>
        <w:ind w:firstLine="284"/>
        <w:jc w:val="both"/>
        <w:rPr>
          <w:rFonts w:cs="Times New Roman"/>
          <w:color w:val="17365D"/>
          <w:szCs w:val="24"/>
        </w:rPr>
      </w:pPr>
      <w:r w:rsidRPr="00A27896">
        <w:rPr>
          <w:rFonts w:cs="Times New Roman"/>
          <w:color w:val="17365D"/>
          <w:szCs w:val="24"/>
        </w:rPr>
        <w:t>Saskaņā ar budžeta iestāžu sniegto informāciju (</w:t>
      </w:r>
      <w:r w:rsidR="009E4ABD">
        <w:rPr>
          <w:rFonts w:cs="Times New Roman"/>
          <w:color w:val="17365D"/>
          <w:szCs w:val="24"/>
        </w:rPr>
        <w:t>1.</w:t>
      </w:r>
      <w:r w:rsidRPr="00A27896">
        <w:rPr>
          <w:rFonts w:cs="Times New Roman"/>
          <w:color w:val="17365D"/>
          <w:szCs w:val="24"/>
        </w:rPr>
        <w:t>3</w:t>
      </w:r>
      <w:r w:rsidR="00EA50D1" w:rsidRPr="00A27896">
        <w:rPr>
          <w:rFonts w:cs="Times New Roman"/>
          <w:color w:val="17365D"/>
          <w:szCs w:val="24"/>
        </w:rPr>
        <w:t>3</w:t>
      </w:r>
      <w:r w:rsidRPr="00A27896">
        <w:rPr>
          <w:rFonts w:cs="Times New Roman"/>
          <w:color w:val="17365D"/>
          <w:szCs w:val="24"/>
        </w:rPr>
        <w:t>.tabulā) lielāko nekustamā īpašuma nodrošinājumu par saņemtajiem aizņēmumiem sniegušas Rīgas</w:t>
      </w:r>
      <w:r w:rsidR="00827CF2" w:rsidRPr="00A27896">
        <w:rPr>
          <w:rFonts w:cs="Times New Roman"/>
          <w:color w:val="17365D"/>
          <w:szCs w:val="24"/>
        </w:rPr>
        <w:t xml:space="preserve"> pilsētas pašvaldība </w:t>
      </w:r>
      <w:r w:rsidR="00AB019B">
        <w:rPr>
          <w:rFonts w:cs="Times New Roman"/>
          <w:color w:val="17365D"/>
          <w:szCs w:val="24"/>
        </w:rPr>
        <w:t>41 031 203</w:t>
      </w:r>
      <w:r w:rsidR="00827CF2" w:rsidRPr="00A27896">
        <w:rPr>
          <w:rFonts w:cs="Times New Roman"/>
          <w:color w:val="17365D"/>
          <w:szCs w:val="24"/>
        </w:rPr>
        <w:t> </w:t>
      </w:r>
      <w:r w:rsidRPr="00A27896">
        <w:rPr>
          <w:rFonts w:cs="Times New Roman"/>
          <w:i/>
          <w:color w:val="17365D"/>
          <w:szCs w:val="24"/>
        </w:rPr>
        <w:t>euro</w:t>
      </w:r>
      <w:r w:rsidR="001C6602" w:rsidRPr="00A27896">
        <w:rPr>
          <w:rFonts w:cs="Times New Roman"/>
          <w:i/>
          <w:color w:val="17365D"/>
          <w:szCs w:val="24"/>
        </w:rPr>
        <w:t>,</w:t>
      </w:r>
      <w:r w:rsidRPr="00A27896">
        <w:rPr>
          <w:rFonts w:cs="Times New Roman"/>
          <w:color w:val="17365D"/>
          <w:szCs w:val="24"/>
        </w:rPr>
        <w:t xml:space="preserve"> Izglītības un zinātnes ministrija</w:t>
      </w:r>
      <w:r w:rsidR="00777F3F" w:rsidRPr="00A27896">
        <w:rPr>
          <w:rFonts w:cs="Times New Roman"/>
          <w:color w:val="17365D"/>
          <w:szCs w:val="24"/>
        </w:rPr>
        <w:t xml:space="preserve"> –</w:t>
      </w:r>
      <w:r w:rsidRPr="00A27896">
        <w:rPr>
          <w:rFonts w:cs="Times New Roman"/>
          <w:color w:val="17365D"/>
          <w:szCs w:val="24"/>
        </w:rPr>
        <w:t xml:space="preserve"> </w:t>
      </w:r>
      <w:r w:rsidR="00777F3F" w:rsidRPr="00A27896">
        <w:rPr>
          <w:rFonts w:cs="Times New Roman"/>
          <w:color w:val="17365D"/>
          <w:szCs w:val="24"/>
        </w:rPr>
        <w:t xml:space="preserve">Rēzeknes Tehnoloģiju akadēmija </w:t>
      </w:r>
      <w:r w:rsidR="00AB019B">
        <w:rPr>
          <w:rFonts w:cs="Times New Roman"/>
          <w:color w:val="17365D"/>
          <w:szCs w:val="24"/>
        </w:rPr>
        <w:t>16 049 236</w:t>
      </w:r>
      <w:r w:rsidR="0033533F" w:rsidRPr="00A27896">
        <w:rPr>
          <w:rFonts w:cs="Times New Roman"/>
          <w:color w:val="17365D"/>
          <w:szCs w:val="24"/>
        </w:rPr>
        <w:t> </w:t>
      </w:r>
      <w:r w:rsidRPr="00A27896">
        <w:rPr>
          <w:rFonts w:cs="Times New Roman"/>
          <w:i/>
          <w:color w:val="17365D"/>
          <w:szCs w:val="24"/>
        </w:rPr>
        <w:t>euro</w:t>
      </w:r>
      <w:r w:rsidR="00AB019B">
        <w:rPr>
          <w:rFonts w:cs="Times New Roman"/>
          <w:color w:val="17365D"/>
          <w:szCs w:val="24"/>
        </w:rPr>
        <w:t xml:space="preserve"> un</w:t>
      </w:r>
      <w:r w:rsidR="00451C29" w:rsidRPr="00A27896">
        <w:rPr>
          <w:rFonts w:cs="Times New Roman"/>
          <w:color w:val="17365D"/>
          <w:szCs w:val="24"/>
        </w:rPr>
        <w:t xml:space="preserve"> </w:t>
      </w:r>
      <w:r w:rsidR="00896BD2" w:rsidRPr="00A27896">
        <w:rPr>
          <w:rFonts w:cs="Times New Roman"/>
          <w:color w:val="17365D"/>
          <w:szCs w:val="24"/>
        </w:rPr>
        <w:t>Latvijas Universitā</w:t>
      </w:r>
      <w:r w:rsidR="00300AF5" w:rsidRPr="00A27896">
        <w:rPr>
          <w:rFonts w:cs="Times New Roman"/>
          <w:color w:val="17365D"/>
          <w:szCs w:val="24"/>
        </w:rPr>
        <w:t xml:space="preserve">te </w:t>
      </w:r>
      <w:r w:rsidR="00AB019B">
        <w:rPr>
          <w:rFonts w:cs="Times New Roman"/>
          <w:color w:val="17365D"/>
          <w:szCs w:val="24"/>
        </w:rPr>
        <w:t>4 081 844</w:t>
      </w:r>
      <w:r w:rsidR="001C6602" w:rsidRPr="00A27896">
        <w:rPr>
          <w:rFonts w:cs="Times New Roman"/>
          <w:color w:val="17365D"/>
          <w:szCs w:val="24"/>
        </w:rPr>
        <w:t xml:space="preserve"> </w:t>
      </w:r>
      <w:r w:rsidR="00300AF5" w:rsidRPr="00A27896">
        <w:rPr>
          <w:rFonts w:cs="Times New Roman"/>
          <w:i/>
          <w:color w:val="17365D"/>
          <w:szCs w:val="24"/>
        </w:rPr>
        <w:t>euro</w:t>
      </w:r>
      <w:r w:rsidR="00451C29" w:rsidRPr="00A27896">
        <w:rPr>
          <w:rFonts w:cs="Times New Roman"/>
          <w:i/>
          <w:color w:val="17365D"/>
          <w:szCs w:val="24"/>
        </w:rPr>
        <w:t xml:space="preserve"> </w:t>
      </w:r>
      <w:r w:rsidR="00300AF5" w:rsidRPr="00A27896">
        <w:rPr>
          <w:rFonts w:cs="Times New Roman"/>
          <w:color w:val="17365D"/>
          <w:szCs w:val="24"/>
        </w:rPr>
        <w:t>vērtībā</w:t>
      </w:r>
      <w:r w:rsidRPr="00A27896">
        <w:rPr>
          <w:rFonts w:cs="Times New Roman"/>
          <w:color w:val="17365D"/>
          <w:szCs w:val="24"/>
        </w:rPr>
        <w:t xml:space="preserve">. </w:t>
      </w:r>
    </w:p>
    <w:p w14:paraId="58C75A9C" w14:textId="1869CAD5" w:rsidR="007519C4" w:rsidRPr="00A27896" w:rsidRDefault="009E4ABD" w:rsidP="008F26E5">
      <w:pPr>
        <w:pStyle w:val="Tabulasnosaukums1"/>
        <w:spacing w:before="120" w:line="240" w:lineRule="auto"/>
        <w:rPr>
          <w:rFonts w:cs="Times New Roman"/>
          <w:i/>
          <w:color w:val="17365D"/>
          <w:szCs w:val="22"/>
        </w:rPr>
      </w:pPr>
      <w:r>
        <w:rPr>
          <w:rFonts w:cs="Times New Roman"/>
          <w:i/>
          <w:color w:val="17365D"/>
          <w:szCs w:val="22"/>
        </w:rPr>
        <w:t>1.</w:t>
      </w:r>
      <w:r w:rsidR="007519C4" w:rsidRPr="00AD344E">
        <w:rPr>
          <w:rFonts w:cs="Times New Roman"/>
          <w:i/>
          <w:color w:val="17365D"/>
          <w:szCs w:val="22"/>
        </w:rPr>
        <w:t>3</w:t>
      </w:r>
      <w:r w:rsidR="00EA50D1" w:rsidRPr="00AD344E">
        <w:rPr>
          <w:rFonts w:cs="Times New Roman"/>
          <w:i/>
          <w:color w:val="17365D"/>
          <w:szCs w:val="22"/>
        </w:rPr>
        <w:t>3</w:t>
      </w:r>
      <w:r w:rsidR="007519C4" w:rsidRPr="00AD344E">
        <w:rPr>
          <w:rFonts w:cs="Times New Roman"/>
          <w:i/>
          <w:color w:val="17365D"/>
          <w:szCs w:val="22"/>
        </w:rPr>
        <w:t>. tabula</w:t>
      </w:r>
      <w:r w:rsidR="003877C0" w:rsidRPr="00AD344E">
        <w:rPr>
          <w:rFonts w:cs="Times New Roman"/>
          <w:i/>
          <w:color w:val="17365D"/>
          <w:szCs w:val="22"/>
        </w:rPr>
        <w:t>.</w:t>
      </w:r>
      <w:r w:rsidR="007519C4" w:rsidRPr="00AD344E">
        <w:rPr>
          <w:rFonts w:cs="Times New Roman"/>
          <w:i/>
          <w:color w:val="17365D"/>
          <w:szCs w:val="22"/>
        </w:rPr>
        <w:t xml:space="preserve"> Informācija</w:t>
      </w:r>
      <w:r w:rsidR="007519C4" w:rsidRPr="00A27896">
        <w:rPr>
          <w:rFonts w:cs="Times New Roman"/>
          <w:i/>
          <w:color w:val="17365D"/>
          <w:szCs w:val="22"/>
        </w:rPr>
        <w:t xml:space="preserve"> par ieķīlātajiem aktīviem saistību vai iespējamo saistību</w:t>
      </w:r>
    </w:p>
    <w:p w14:paraId="01B3F14E" w14:textId="32E00FB5" w:rsidR="007519C4" w:rsidRPr="00A27896" w:rsidRDefault="007519C4" w:rsidP="007519C4">
      <w:pPr>
        <w:pStyle w:val="Tabulasnosaukums1"/>
        <w:spacing w:before="0" w:line="240" w:lineRule="auto"/>
        <w:rPr>
          <w:rFonts w:cs="Times New Roman"/>
          <w:i/>
          <w:color w:val="17365D"/>
          <w:szCs w:val="22"/>
        </w:rPr>
      </w:pPr>
      <w:r w:rsidRPr="00A27896">
        <w:rPr>
          <w:rFonts w:cs="Times New Roman"/>
          <w:i/>
          <w:color w:val="17365D"/>
          <w:szCs w:val="22"/>
        </w:rPr>
        <w:t xml:space="preserve"> nodrošinājumam sadalījumā pa finanšu instrumentiem (euro)</w:t>
      </w:r>
    </w:p>
    <w:tbl>
      <w:tblPr>
        <w:tblW w:w="5007" w:type="pct"/>
        <w:tblLayout w:type="fixed"/>
        <w:tblLook w:val="04A0" w:firstRow="1" w:lastRow="0" w:firstColumn="1" w:lastColumn="0" w:noHBand="0" w:noVBand="1"/>
      </w:tblPr>
      <w:tblGrid>
        <w:gridCol w:w="3519"/>
        <w:gridCol w:w="1301"/>
        <w:gridCol w:w="2268"/>
        <w:gridCol w:w="2279"/>
      </w:tblGrid>
      <w:tr w:rsidR="000C1009" w:rsidRPr="00A27896" w14:paraId="17987407" w14:textId="2E677A8C" w:rsidTr="008E472F">
        <w:trPr>
          <w:trHeight w:val="343"/>
          <w:tblHeader/>
        </w:trPr>
        <w:tc>
          <w:tcPr>
            <w:tcW w:w="4820" w:type="dxa"/>
            <w:gridSpan w:val="2"/>
            <w:vMerge w:val="restart"/>
            <w:tcBorders>
              <w:top w:val="nil"/>
              <w:left w:val="nil"/>
              <w:right w:val="nil"/>
            </w:tcBorders>
            <w:shd w:val="clear" w:color="000000" w:fill="B9CDE5"/>
            <w:vAlign w:val="center"/>
          </w:tcPr>
          <w:p w14:paraId="1877E3C7" w14:textId="77777777" w:rsidR="00662660" w:rsidRPr="00A27896" w:rsidRDefault="00662660" w:rsidP="000B381D">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instrumenta/</w:t>
            </w:r>
          </w:p>
          <w:p w14:paraId="42FB7884" w14:textId="4A6A0B9B" w:rsidR="00662660" w:rsidRPr="00A27896" w:rsidRDefault="00662660" w:rsidP="000B381D">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konta nosaukums</w:t>
            </w:r>
          </w:p>
        </w:tc>
        <w:tc>
          <w:tcPr>
            <w:tcW w:w="4547" w:type="dxa"/>
            <w:gridSpan w:val="2"/>
            <w:tcBorders>
              <w:top w:val="nil"/>
              <w:left w:val="nil"/>
              <w:bottom w:val="single" w:sz="4" w:space="0" w:color="17365D"/>
              <w:right w:val="nil"/>
            </w:tcBorders>
            <w:shd w:val="clear" w:color="000000" w:fill="B9CDE5"/>
            <w:vAlign w:val="center"/>
          </w:tcPr>
          <w:p w14:paraId="52D50FFF" w14:textId="75713D47" w:rsidR="00662660" w:rsidRPr="00A27896" w:rsidRDefault="00662660" w:rsidP="00651A01">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Aktīva uzskaites (atlikusī) vērtība</w:t>
            </w:r>
          </w:p>
        </w:tc>
      </w:tr>
      <w:tr w:rsidR="000C1009" w:rsidRPr="00A27896" w14:paraId="37D7AC27" w14:textId="52D379E2" w:rsidTr="008E472F">
        <w:trPr>
          <w:trHeight w:val="267"/>
          <w:tblHeader/>
        </w:trPr>
        <w:tc>
          <w:tcPr>
            <w:tcW w:w="4820" w:type="dxa"/>
            <w:gridSpan w:val="2"/>
            <w:vMerge/>
            <w:tcBorders>
              <w:left w:val="nil"/>
              <w:bottom w:val="single" w:sz="4" w:space="0" w:color="17365D"/>
              <w:right w:val="nil"/>
            </w:tcBorders>
            <w:shd w:val="clear" w:color="000000" w:fill="B9CDE5"/>
            <w:vAlign w:val="center"/>
            <w:hideMark/>
          </w:tcPr>
          <w:p w14:paraId="4ADA0477" w14:textId="525EC351" w:rsidR="001C1C3A" w:rsidRPr="00A27896" w:rsidRDefault="001C1C3A" w:rsidP="000B381D">
            <w:pPr>
              <w:spacing w:after="0" w:line="240" w:lineRule="auto"/>
              <w:jc w:val="center"/>
              <w:rPr>
                <w:rFonts w:eastAsia="Times New Roman" w:cs="Times New Roman"/>
                <w:b/>
                <w:bCs/>
                <w:color w:val="17365D"/>
                <w:sz w:val="18"/>
                <w:szCs w:val="18"/>
                <w:lang w:eastAsia="lv-LV"/>
              </w:rPr>
            </w:pPr>
          </w:p>
        </w:tc>
        <w:tc>
          <w:tcPr>
            <w:tcW w:w="2268" w:type="dxa"/>
            <w:tcBorders>
              <w:top w:val="single" w:sz="4" w:space="0" w:color="17365D"/>
              <w:left w:val="nil"/>
              <w:bottom w:val="single" w:sz="4" w:space="0" w:color="17365D"/>
              <w:right w:val="nil"/>
            </w:tcBorders>
            <w:shd w:val="clear" w:color="000000" w:fill="B9CDE5"/>
            <w:vAlign w:val="center"/>
            <w:hideMark/>
          </w:tcPr>
          <w:p w14:paraId="28EA1941" w14:textId="60F8F61B" w:rsidR="001C1C3A" w:rsidRPr="00A27896" w:rsidRDefault="00662660" w:rsidP="0066266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2279" w:type="dxa"/>
            <w:tcBorders>
              <w:top w:val="single" w:sz="4" w:space="0" w:color="17365D"/>
              <w:left w:val="nil"/>
              <w:bottom w:val="single" w:sz="4" w:space="0" w:color="17365D"/>
              <w:right w:val="nil"/>
            </w:tcBorders>
            <w:shd w:val="clear" w:color="000000" w:fill="B9CDE5"/>
            <w:vAlign w:val="center"/>
          </w:tcPr>
          <w:p w14:paraId="15F7C18C" w14:textId="44E2C72A" w:rsidR="001C1C3A" w:rsidRPr="00A27896" w:rsidDel="001C1C3A" w:rsidRDefault="00662660" w:rsidP="0066266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0BC767EE" w14:textId="5CC8E7A8" w:rsidTr="00821FBA">
        <w:trPr>
          <w:trHeight w:val="266"/>
          <w:tblHeader/>
        </w:trPr>
        <w:tc>
          <w:tcPr>
            <w:tcW w:w="4820" w:type="dxa"/>
            <w:gridSpan w:val="2"/>
            <w:tcBorders>
              <w:top w:val="single" w:sz="4" w:space="0" w:color="17365D"/>
              <w:left w:val="nil"/>
              <w:bottom w:val="single" w:sz="4" w:space="0" w:color="17365D"/>
              <w:right w:val="nil"/>
            </w:tcBorders>
            <w:shd w:val="clear" w:color="auto" w:fill="auto"/>
            <w:vAlign w:val="center"/>
            <w:hideMark/>
          </w:tcPr>
          <w:p w14:paraId="1DEEF064" w14:textId="066A3CE3" w:rsidR="001C1C3A" w:rsidRPr="00A27896" w:rsidRDefault="001C1C3A" w:rsidP="0006089E">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2268" w:type="dxa"/>
            <w:tcBorders>
              <w:top w:val="single" w:sz="4" w:space="0" w:color="17365D"/>
              <w:left w:val="nil"/>
              <w:bottom w:val="single" w:sz="4" w:space="0" w:color="17365D"/>
              <w:right w:val="nil"/>
            </w:tcBorders>
            <w:shd w:val="clear" w:color="auto" w:fill="auto"/>
            <w:vAlign w:val="center"/>
            <w:hideMark/>
          </w:tcPr>
          <w:p w14:paraId="7288F90D" w14:textId="77777777" w:rsidR="001C1C3A" w:rsidRPr="00A27896" w:rsidRDefault="001C1C3A" w:rsidP="0006089E">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2279" w:type="dxa"/>
            <w:tcBorders>
              <w:top w:val="single" w:sz="4" w:space="0" w:color="17365D"/>
              <w:left w:val="nil"/>
              <w:bottom w:val="single" w:sz="4" w:space="0" w:color="17365D"/>
              <w:right w:val="nil"/>
            </w:tcBorders>
            <w:vAlign w:val="center"/>
          </w:tcPr>
          <w:p w14:paraId="226C0308" w14:textId="58A4B51C" w:rsidR="001C1C3A" w:rsidRPr="00A27896" w:rsidRDefault="00662660" w:rsidP="00821FBA">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r>
      <w:tr w:rsidR="000410AE" w:rsidRPr="00A27896" w14:paraId="28629235" w14:textId="24BD0C12" w:rsidTr="00481BCD">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77F4FED3" w14:textId="303D389D" w:rsidR="000410AE" w:rsidRPr="00A27896" w:rsidRDefault="000410AE" w:rsidP="000410AE">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saistību nodrošinājums</w:t>
            </w:r>
          </w:p>
        </w:tc>
        <w:tc>
          <w:tcPr>
            <w:tcW w:w="2268" w:type="dxa"/>
            <w:tcBorders>
              <w:top w:val="single" w:sz="4" w:space="0" w:color="17365D"/>
              <w:left w:val="nil"/>
              <w:bottom w:val="single" w:sz="4" w:space="0" w:color="17365D"/>
              <w:right w:val="nil"/>
            </w:tcBorders>
            <w:shd w:val="clear" w:color="auto" w:fill="auto"/>
            <w:noWrap/>
            <w:vAlign w:val="center"/>
          </w:tcPr>
          <w:p w14:paraId="0CE0D546" w14:textId="1635E417" w:rsidR="000410AE" w:rsidRPr="00A27896" w:rsidRDefault="000410AE" w:rsidP="000410AE">
            <w:pPr>
              <w:spacing w:after="0" w:line="240" w:lineRule="auto"/>
              <w:jc w:val="right"/>
              <w:rPr>
                <w:rFonts w:eastAsia="Times New Roman" w:cs="Times New Roman"/>
                <w:b/>
                <w:color w:val="17365D"/>
                <w:sz w:val="18"/>
                <w:szCs w:val="18"/>
                <w:lang w:eastAsia="lv-LV"/>
              </w:rPr>
            </w:pPr>
            <w:r w:rsidRPr="00E552FD">
              <w:rPr>
                <w:rFonts w:cs="Times New Roman"/>
                <w:b/>
                <w:bCs/>
                <w:color w:val="17365D"/>
                <w:sz w:val="18"/>
                <w:szCs w:val="18"/>
              </w:rPr>
              <w:t>62 390 724</w:t>
            </w:r>
          </w:p>
        </w:tc>
        <w:tc>
          <w:tcPr>
            <w:tcW w:w="2279" w:type="dxa"/>
            <w:tcBorders>
              <w:top w:val="single" w:sz="4" w:space="0" w:color="17365D"/>
              <w:left w:val="nil"/>
              <w:bottom w:val="single" w:sz="4" w:space="0" w:color="17365D"/>
              <w:right w:val="nil"/>
            </w:tcBorders>
            <w:shd w:val="clear" w:color="auto" w:fill="auto"/>
            <w:vAlign w:val="center"/>
          </w:tcPr>
          <w:p w14:paraId="0384D0EE" w14:textId="2C7C078B" w:rsidR="000410AE" w:rsidRPr="00A27896" w:rsidRDefault="000410AE" w:rsidP="000410AE">
            <w:pPr>
              <w:spacing w:after="0" w:line="240" w:lineRule="auto"/>
              <w:jc w:val="right"/>
              <w:rPr>
                <w:rFonts w:eastAsia="Times New Roman" w:cs="Times New Roman"/>
                <w:b/>
                <w:color w:val="17365D"/>
                <w:sz w:val="18"/>
                <w:szCs w:val="18"/>
                <w:lang w:eastAsia="lv-LV"/>
              </w:rPr>
            </w:pPr>
            <w:r w:rsidRPr="00A27896">
              <w:rPr>
                <w:rFonts w:cs="Times New Roman"/>
                <w:b/>
                <w:bCs/>
                <w:color w:val="17365D"/>
                <w:sz w:val="18"/>
                <w:szCs w:val="18"/>
              </w:rPr>
              <w:t>68 508 975</w:t>
            </w:r>
          </w:p>
        </w:tc>
      </w:tr>
      <w:tr w:rsidR="000410AE" w:rsidRPr="00A27896" w14:paraId="4D052294" w14:textId="194FEB64" w:rsidTr="00481BCD">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6E230B97" w14:textId="232CA087" w:rsidR="000410AE" w:rsidRPr="00A27896" w:rsidRDefault="000410AE" w:rsidP="00475A10">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Aizņēmumu nodrošinājums </w:t>
            </w:r>
          </w:p>
        </w:tc>
        <w:tc>
          <w:tcPr>
            <w:tcW w:w="2268" w:type="dxa"/>
            <w:tcBorders>
              <w:top w:val="single" w:sz="4" w:space="0" w:color="17365D"/>
              <w:left w:val="nil"/>
              <w:bottom w:val="single" w:sz="4" w:space="0" w:color="17365D"/>
              <w:right w:val="nil"/>
            </w:tcBorders>
            <w:shd w:val="clear" w:color="auto" w:fill="auto"/>
            <w:noWrap/>
            <w:vAlign w:val="center"/>
          </w:tcPr>
          <w:p w14:paraId="518095F1" w14:textId="2D3A3A63" w:rsidR="000410AE" w:rsidRPr="00A27896" w:rsidRDefault="000410AE" w:rsidP="000410AE">
            <w:pPr>
              <w:spacing w:after="0" w:line="240" w:lineRule="auto"/>
              <w:jc w:val="right"/>
              <w:rPr>
                <w:rFonts w:eastAsia="Times New Roman" w:cs="Times New Roman"/>
                <w:color w:val="17365D"/>
                <w:sz w:val="18"/>
                <w:szCs w:val="18"/>
                <w:lang w:eastAsia="lv-LV"/>
              </w:rPr>
            </w:pPr>
            <w:r w:rsidRPr="00E552FD">
              <w:rPr>
                <w:rFonts w:cs="Times New Roman"/>
                <w:color w:val="17365D"/>
                <w:sz w:val="18"/>
                <w:szCs w:val="18"/>
              </w:rPr>
              <w:t>62 390 724</w:t>
            </w:r>
          </w:p>
        </w:tc>
        <w:tc>
          <w:tcPr>
            <w:tcW w:w="2279" w:type="dxa"/>
            <w:tcBorders>
              <w:top w:val="single" w:sz="4" w:space="0" w:color="17365D"/>
              <w:left w:val="nil"/>
              <w:bottom w:val="single" w:sz="4" w:space="0" w:color="17365D"/>
              <w:right w:val="nil"/>
            </w:tcBorders>
            <w:shd w:val="clear" w:color="auto" w:fill="auto"/>
            <w:vAlign w:val="center"/>
          </w:tcPr>
          <w:p w14:paraId="2A062642" w14:textId="2DDEA81B" w:rsidR="000410AE" w:rsidRPr="00A27896" w:rsidRDefault="000410AE" w:rsidP="000410AE">
            <w:pPr>
              <w:spacing w:after="0" w:line="240" w:lineRule="auto"/>
              <w:jc w:val="right"/>
              <w:rPr>
                <w:rFonts w:eastAsia="Times New Roman" w:cs="Times New Roman"/>
                <w:color w:val="17365D"/>
                <w:sz w:val="18"/>
                <w:szCs w:val="18"/>
                <w:lang w:eastAsia="lv-LV"/>
              </w:rPr>
            </w:pPr>
            <w:r w:rsidRPr="00A27896">
              <w:rPr>
                <w:rFonts w:cs="Times New Roman"/>
                <w:color w:val="17365D"/>
                <w:sz w:val="18"/>
                <w:szCs w:val="18"/>
              </w:rPr>
              <w:t>68 508 975</w:t>
            </w:r>
          </w:p>
        </w:tc>
      </w:tr>
      <w:tr w:rsidR="000410AE" w:rsidRPr="00A27896" w14:paraId="323FDE86" w14:textId="48F67E07" w:rsidTr="00481BCD">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4DDAC885" w14:textId="45D91774" w:rsidR="000410AE" w:rsidRPr="00A27896" w:rsidRDefault="000410AE" w:rsidP="000410AE">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Zeme un būves </w:t>
            </w:r>
          </w:p>
        </w:tc>
        <w:tc>
          <w:tcPr>
            <w:tcW w:w="2268" w:type="dxa"/>
            <w:tcBorders>
              <w:top w:val="single" w:sz="4" w:space="0" w:color="17365D"/>
              <w:left w:val="nil"/>
              <w:bottom w:val="single" w:sz="4" w:space="0" w:color="17365D"/>
              <w:right w:val="nil"/>
            </w:tcBorders>
            <w:shd w:val="clear" w:color="auto" w:fill="auto"/>
            <w:noWrap/>
            <w:vAlign w:val="center"/>
          </w:tcPr>
          <w:p w14:paraId="5D4B7121" w14:textId="51E3D9DE" w:rsidR="000410AE" w:rsidRPr="00A27896" w:rsidRDefault="000410AE" w:rsidP="000410AE">
            <w:pPr>
              <w:spacing w:after="0" w:line="240" w:lineRule="auto"/>
              <w:jc w:val="right"/>
              <w:rPr>
                <w:rFonts w:cs="Times New Roman"/>
                <w:color w:val="17365D"/>
                <w:sz w:val="18"/>
                <w:szCs w:val="18"/>
              </w:rPr>
            </w:pPr>
            <w:r w:rsidRPr="00EA0031">
              <w:rPr>
                <w:rFonts w:cs="Times New Roman"/>
                <w:color w:val="17365D"/>
                <w:sz w:val="18"/>
                <w:szCs w:val="18"/>
              </w:rPr>
              <w:t>17 277 677</w:t>
            </w:r>
          </w:p>
        </w:tc>
        <w:tc>
          <w:tcPr>
            <w:tcW w:w="2279" w:type="dxa"/>
            <w:tcBorders>
              <w:top w:val="single" w:sz="4" w:space="0" w:color="17365D"/>
              <w:left w:val="nil"/>
              <w:bottom w:val="single" w:sz="4" w:space="0" w:color="17365D"/>
              <w:right w:val="nil"/>
            </w:tcBorders>
            <w:shd w:val="clear" w:color="auto" w:fill="auto"/>
            <w:vAlign w:val="center"/>
          </w:tcPr>
          <w:p w14:paraId="334DBA65" w14:textId="2D29ED1F" w:rsidR="000410AE" w:rsidRPr="00A27896" w:rsidRDefault="000410AE" w:rsidP="000410AE">
            <w:pPr>
              <w:spacing w:after="0" w:line="240" w:lineRule="auto"/>
              <w:jc w:val="right"/>
              <w:rPr>
                <w:rFonts w:cs="Times New Roman"/>
                <w:color w:val="17365D"/>
                <w:sz w:val="18"/>
                <w:szCs w:val="18"/>
              </w:rPr>
            </w:pPr>
            <w:r w:rsidRPr="00A27896">
              <w:rPr>
                <w:rFonts w:cs="Times New Roman"/>
                <w:color w:val="17365D"/>
                <w:sz w:val="18"/>
                <w:szCs w:val="18"/>
              </w:rPr>
              <w:t>22 312 701</w:t>
            </w:r>
          </w:p>
        </w:tc>
      </w:tr>
      <w:tr w:rsidR="000410AE" w:rsidRPr="00A27896" w14:paraId="3C61C41B" w14:textId="77777777" w:rsidTr="00481BCD">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6B9B9BD1" w14:textId="39918CA8" w:rsidR="000410AE" w:rsidRPr="00A27896" w:rsidRDefault="000410AE" w:rsidP="000410AE">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Tehnoloģiskās iekārtas un mašīnas</w:t>
            </w:r>
          </w:p>
        </w:tc>
        <w:tc>
          <w:tcPr>
            <w:tcW w:w="2268" w:type="dxa"/>
            <w:tcBorders>
              <w:top w:val="single" w:sz="4" w:space="0" w:color="17365D"/>
              <w:left w:val="nil"/>
              <w:bottom w:val="single" w:sz="4" w:space="0" w:color="17365D"/>
              <w:right w:val="nil"/>
            </w:tcBorders>
            <w:shd w:val="clear" w:color="auto" w:fill="auto"/>
            <w:noWrap/>
            <w:vAlign w:val="center"/>
          </w:tcPr>
          <w:p w14:paraId="4BB59284" w14:textId="3C7A7F13" w:rsidR="000410AE" w:rsidRPr="00A27896" w:rsidRDefault="000410AE" w:rsidP="000410AE">
            <w:pPr>
              <w:spacing w:after="0" w:line="240" w:lineRule="auto"/>
              <w:jc w:val="right"/>
              <w:rPr>
                <w:rFonts w:cs="Times New Roman"/>
                <w:color w:val="17365D"/>
                <w:sz w:val="18"/>
                <w:szCs w:val="18"/>
              </w:rPr>
            </w:pPr>
            <w:r w:rsidRPr="00EA0031">
              <w:rPr>
                <w:rFonts w:cs="Times New Roman"/>
                <w:color w:val="17365D"/>
                <w:sz w:val="18"/>
                <w:szCs w:val="18"/>
              </w:rPr>
              <w:t>4 081 844</w:t>
            </w:r>
          </w:p>
        </w:tc>
        <w:tc>
          <w:tcPr>
            <w:tcW w:w="2279" w:type="dxa"/>
            <w:tcBorders>
              <w:top w:val="single" w:sz="4" w:space="0" w:color="17365D"/>
              <w:left w:val="nil"/>
              <w:bottom w:val="single" w:sz="4" w:space="0" w:color="17365D"/>
              <w:right w:val="nil"/>
            </w:tcBorders>
            <w:shd w:val="clear" w:color="auto" w:fill="auto"/>
            <w:vAlign w:val="center"/>
          </w:tcPr>
          <w:p w14:paraId="0FC2B9E2" w14:textId="4269DA50" w:rsidR="000410AE" w:rsidRPr="00A27896" w:rsidRDefault="000410AE" w:rsidP="000410AE">
            <w:pPr>
              <w:spacing w:after="0" w:line="240" w:lineRule="auto"/>
              <w:jc w:val="right"/>
              <w:rPr>
                <w:rFonts w:cs="Times New Roman"/>
                <w:color w:val="17365D"/>
                <w:sz w:val="18"/>
                <w:szCs w:val="18"/>
              </w:rPr>
            </w:pPr>
            <w:r w:rsidRPr="00A27896">
              <w:rPr>
                <w:rFonts w:cs="Times New Roman"/>
                <w:color w:val="17365D"/>
                <w:sz w:val="18"/>
                <w:szCs w:val="18"/>
              </w:rPr>
              <w:t>4 819 794</w:t>
            </w:r>
          </w:p>
        </w:tc>
      </w:tr>
      <w:tr w:rsidR="000410AE" w:rsidRPr="00A27896" w14:paraId="7D36DFAD" w14:textId="47F48517" w:rsidTr="00481BCD">
        <w:trPr>
          <w:trHeight w:val="266"/>
        </w:trPr>
        <w:tc>
          <w:tcPr>
            <w:tcW w:w="4820" w:type="dxa"/>
            <w:gridSpan w:val="2"/>
            <w:tcBorders>
              <w:top w:val="single" w:sz="4" w:space="0" w:color="17365D"/>
              <w:left w:val="nil"/>
              <w:bottom w:val="single" w:sz="4" w:space="0" w:color="17365D"/>
              <w:right w:val="nil"/>
            </w:tcBorders>
            <w:shd w:val="clear" w:color="auto" w:fill="auto"/>
            <w:vAlign w:val="center"/>
          </w:tcPr>
          <w:p w14:paraId="610F9C86" w14:textId="35F3144D" w:rsidR="000410AE" w:rsidRPr="00A27896" w:rsidRDefault="000410AE" w:rsidP="000410AE">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 Turējumā nodotie valsts un pašvaldību īpašumi</w:t>
            </w:r>
          </w:p>
        </w:tc>
        <w:tc>
          <w:tcPr>
            <w:tcW w:w="2268" w:type="dxa"/>
            <w:tcBorders>
              <w:top w:val="single" w:sz="4" w:space="0" w:color="17365D"/>
              <w:left w:val="nil"/>
              <w:bottom w:val="single" w:sz="4" w:space="0" w:color="17365D"/>
              <w:right w:val="nil"/>
            </w:tcBorders>
            <w:shd w:val="clear" w:color="auto" w:fill="auto"/>
            <w:noWrap/>
            <w:vAlign w:val="center"/>
          </w:tcPr>
          <w:p w14:paraId="2EF4B7AB" w14:textId="71E903CE" w:rsidR="000410AE" w:rsidRPr="00A27896" w:rsidRDefault="000410AE" w:rsidP="000410AE">
            <w:pPr>
              <w:spacing w:after="0" w:line="240" w:lineRule="auto"/>
              <w:jc w:val="right"/>
              <w:rPr>
                <w:rFonts w:cs="Times New Roman"/>
                <w:color w:val="17365D"/>
                <w:sz w:val="18"/>
                <w:szCs w:val="18"/>
              </w:rPr>
            </w:pPr>
            <w:r w:rsidRPr="00EA0031">
              <w:rPr>
                <w:rFonts w:cs="Times New Roman"/>
                <w:color w:val="17365D"/>
                <w:sz w:val="18"/>
                <w:szCs w:val="18"/>
              </w:rPr>
              <w:t>41 031 203</w:t>
            </w:r>
          </w:p>
        </w:tc>
        <w:tc>
          <w:tcPr>
            <w:tcW w:w="2279" w:type="dxa"/>
            <w:tcBorders>
              <w:top w:val="single" w:sz="4" w:space="0" w:color="17365D"/>
              <w:left w:val="nil"/>
              <w:bottom w:val="single" w:sz="4" w:space="0" w:color="17365D"/>
              <w:right w:val="nil"/>
            </w:tcBorders>
            <w:shd w:val="clear" w:color="auto" w:fill="auto"/>
            <w:vAlign w:val="center"/>
          </w:tcPr>
          <w:p w14:paraId="0AA29960" w14:textId="1343E063" w:rsidR="000410AE" w:rsidRPr="00A27896" w:rsidRDefault="000410AE" w:rsidP="000410AE">
            <w:pPr>
              <w:spacing w:after="0" w:line="240" w:lineRule="auto"/>
              <w:jc w:val="right"/>
              <w:rPr>
                <w:rFonts w:cs="Times New Roman"/>
                <w:color w:val="17365D"/>
                <w:sz w:val="18"/>
                <w:szCs w:val="18"/>
              </w:rPr>
            </w:pPr>
            <w:r w:rsidRPr="00A27896">
              <w:rPr>
                <w:rFonts w:cs="Times New Roman"/>
                <w:color w:val="17365D"/>
                <w:sz w:val="18"/>
                <w:szCs w:val="18"/>
              </w:rPr>
              <w:t>41 376 480</w:t>
            </w:r>
          </w:p>
        </w:tc>
      </w:tr>
      <w:tr w:rsidR="000C1009" w:rsidRPr="00A27896" w14:paraId="538B40BE" w14:textId="1AE2BF6F" w:rsidTr="0085170B">
        <w:trPr>
          <w:trHeight w:val="234"/>
        </w:trPr>
        <w:tc>
          <w:tcPr>
            <w:tcW w:w="3519" w:type="dxa"/>
            <w:tcBorders>
              <w:top w:val="single" w:sz="4" w:space="0" w:color="17365D"/>
              <w:left w:val="nil"/>
              <w:bottom w:val="nil"/>
              <w:right w:val="nil"/>
            </w:tcBorders>
            <w:shd w:val="clear" w:color="000000" w:fill="B9CDE5"/>
            <w:noWrap/>
            <w:vAlign w:val="center"/>
            <w:hideMark/>
          </w:tcPr>
          <w:p w14:paraId="200C0658" w14:textId="77777777" w:rsidR="001C1C3A" w:rsidRPr="00A27896" w:rsidRDefault="001C1C3A" w:rsidP="0006089E">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3569" w:type="dxa"/>
            <w:gridSpan w:val="2"/>
            <w:tcBorders>
              <w:top w:val="single" w:sz="4" w:space="0" w:color="17365D"/>
              <w:left w:val="nil"/>
              <w:bottom w:val="nil"/>
              <w:right w:val="nil"/>
            </w:tcBorders>
            <w:shd w:val="clear" w:color="000000" w:fill="B9CDE5"/>
            <w:noWrap/>
            <w:vAlign w:val="center"/>
            <w:hideMark/>
          </w:tcPr>
          <w:p w14:paraId="085C2F32" w14:textId="77777777" w:rsidR="001C1C3A" w:rsidRPr="00A27896" w:rsidRDefault="001C1C3A" w:rsidP="0006089E">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279" w:type="dxa"/>
            <w:tcBorders>
              <w:top w:val="single" w:sz="4" w:space="0" w:color="17365D"/>
              <w:left w:val="nil"/>
              <w:bottom w:val="nil"/>
              <w:right w:val="nil"/>
            </w:tcBorders>
            <w:shd w:val="clear" w:color="000000" w:fill="B9CDE5"/>
          </w:tcPr>
          <w:p w14:paraId="07D6CAB6" w14:textId="77777777" w:rsidR="001C1C3A" w:rsidRPr="00A27896" w:rsidRDefault="001C1C3A" w:rsidP="0006089E">
            <w:pPr>
              <w:spacing w:after="0" w:line="240" w:lineRule="auto"/>
              <w:jc w:val="right"/>
              <w:rPr>
                <w:rFonts w:eastAsia="Times New Roman" w:cs="Times New Roman"/>
                <w:color w:val="17365D"/>
                <w:sz w:val="18"/>
                <w:szCs w:val="18"/>
                <w:lang w:eastAsia="lv-LV"/>
              </w:rPr>
            </w:pPr>
          </w:p>
        </w:tc>
      </w:tr>
    </w:tbl>
    <w:p w14:paraId="602F17C6" w14:textId="497E5255" w:rsidR="005A010F" w:rsidRPr="00A27896" w:rsidRDefault="00715EF2" w:rsidP="004E3E0B">
      <w:pPr>
        <w:pStyle w:val="Heading5"/>
        <w:spacing w:before="240"/>
        <w:rPr>
          <w:rFonts w:cs="Times New Roman"/>
        </w:rPr>
      </w:pPr>
      <w:r w:rsidRPr="00A27896">
        <w:rPr>
          <w:rFonts w:cs="Times New Roman"/>
        </w:rPr>
        <w:t xml:space="preserve">Piezīme Nr. </w:t>
      </w:r>
      <w:r w:rsidR="005C2FC0" w:rsidRPr="00A27896">
        <w:rPr>
          <w:rFonts w:cs="Times New Roman"/>
        </w:rPr>
        <w:t>V9. Informācija par finanšu instrumentu maksimālo pakļautību kredītriskam un to kredītkvalitāti, sadalījumā pa termiņa kavējuma dienām</w:t>
      </w:r>
    </w:p>
    <w:p w14:paraId="3E78B4D6" w14:textId="17D18329" w:rsidR="00147E18" w:rsidRPr="00A27896" w:rsidRDefault="00147E18" w:rsidP="00147E18">
      <w:pPr>
        <w:spacing w:after="120" w:line="240" w:lineRule="auto"/>
        <w:ind w:firstLine="284"/>
        <w:jc w:val="both"/>
        <w:rPr>
          <w:rFonts w:cs="Times New Roman"/>
          <w:color w:val="17365D"/>
          <w:szCs w:val="24"/>
        </w:rPr>
      </w:pPr>
      <w:r w:rsidRPr="00A27896">
        <w:rPr>
          <w:rFonts w:cs="Times New Roman"/>
          <w:color w:val="17365D"/>
          <w:szCs w:val="24"/>
        </w:rPr>
        <w:t>Informācija par minist</w:t>
      </w:r>
      <w:r w:rsidR="000C1009" w:rsidRPr="00A27896">
        <w:rPr>
          <w:rFonts w:cs="Times New Roman"/>
          <w:color w:val="17365D"/>
          <w:szCs w:val="24"/>
        </w:rPr>
        <w:t>r</w:t>
      </w:r>
      <w:r w:rsidRPr="00A27896">
        <w:rPr>
          <w:rFonts w:cs="Times New Roman"/>
          <w:color w:val="17365D"/>
          <w:szCs w:val="24"/>
        </w:rPr>
        <w:t>iju un pašvaldību</w:t>
      </w:r>
      <w:r w:rsidR="00DB637B" w:rsidRPr="00A27896">
        <w:rPr>
          <w:rFonts w:cs="Times New Roman"/>
          <w:color w:val="17365D"/>
          <w:szCs w:val="24"/>
        </w:rPr>
        <w:t>, kā arī valsts budžeta finanšu uzskaitē atzīto</w:t>
      </w:r>
      <w:r w:rsidRPr="00A27896">
        <w:rPr>
          <w:rFonts w:cs="Times New Roman"/>
          <w:color w:val="17365D"/>
          <w:szCs w:val="24"/>
        </w:rPr>
        <w:t xml:space="preserve"> finanšu aktīvu apmaksas vai izpildes te</w:t>
      </w:r>
      <w:r w:rsidR="00CE213D" w:rsidRPr="00A27896">
        <w:rPr>
          <w:rFonts w:cs="Times New Roman"/>
          <w:color w:val="17365D"/>
          <w:szCs w:val="24"/>
        </w:rPr>
        <w:t>r</w:t>
      </w:r>
      <w:r w:rsidRPr="00A27896">
        <w:rPr>
          <w:rFonts w:cs="Times New Roman"/>
          <w:color w:val="17365D"/>
          <w:szCs w:val="24"/>
        </w:rPr>
        <w:t>miņu kavējumu un izveidoto vērtības samazinājumu sadalījumā pa finanš</w:t>
      </w:r>
      <w:r w:rsidR="00777F3F" w:rsidRPr="00A27896">
        <w:rPr>
          <w:rFonts w:cs="Times New Roman"/>
          <w:color w:val="17365D"/>
          <w:szCs w:val="24"/>
        </w:rPr>
        <w:t xml:space="preserve">u instrumentu veidiem sniegta </w:t>
      </w:r>
      <w:r w:rsidR="009E4ABD">
        <w:rPr>
          <w:rFonts w:cs="Times New Roman"/>
          <w:color w:val="17365D"/>
          <w:szCs w:val="24"/>
        </w:rPr>
        <w:t>1.</w:t>
      </w:r>
      <w:r w:rsidR="00777F3F" w:rsidRPr="00A27896">
        <w:rPr>
          <w:rFonts w:cs="Times New Roman"/>
          <w:color w:val="17365D"/>
          <w:szCs w:val="24"/>
        </w:rPr>
        <w:t>3</w:t>
      </w:r>
      <w:r w:rsidR="00EA50D1" w:rsidRPr="00A27896">
        <w:rPr>
          <w:rFonts w:cs="Times New Roman"/>
          <w:color w:val="17365D"/>
          <w:szCs w:val="24"/>
        </w:rPr>
        <w:t>4</w:t>
      </w:r>
      <w:r w:rsidRPr="00A27896">
        <w:rPr>
          <w:rFonts w:cs="Times New Roman"/>
          <w:color w:val="17365D"/>
          <w:szCs w:val="24"/>
        </w:rPr>
        <w:t>.tabulā.</w:t>
      </w:r>
    </w:p>
    <w:p w14:paraId="3C609CF3" w14:textId="5D3A0A29" w:rsidR="005C2FC0" w:rsidRPr="00A27896" w:rsidRDefault="009E4ABD" w:rsidP="005C2FC0">
      <w:pPr>
        <w:pStyle w:val="Tabulasnosaukums1"/>
        <w:spacing w:before="0" w:line="240" w:lineRule="auto"/>
        <w:rPr>
          <w:rFonts w:cs="Times New Roman"/>
          <w:i/>
          <w:color w:val="17365D"/>
          <w:szCs w:val="22"/>
        </w:rPr>
      </w:pPr>
      <w:r>
        <w:rPr>
          <w:rFonts w:cs="Times New Roman"/>
          <w:i/>
          <w:color w:val="17365D"/>
          <w:szCs w:val="22"/>
        </w:rPr>
        <w:t>1.</w:t>
      </w:r>
      <w:r w:rsidR="005C2FC0" w:rsidRPr="00A27896">
        <w:rPr>
          <w:rFonts w:cs="Times New Roman"/>
          <w:i/>
          <w:color w:val="17365D"/>
          <w:szCs w:val="22"/>
        </w:rPr>
        <w:t>3</w:t>
      </w:r>
      <w:r w:rsidR="00EA50D1" w:rsidRPr="00A27896">
        <w:rPr>
          <w:rFonts w:cs="Times New Roman"/>
          <w:i/>
          <w:color w:val="17365D"/>
          <w:szCs w:val="22"/>
        </w:rPr>
        <w:t>4</w:t>
      </w:r>
      <w:r w:rsidR="005C2FC0" w:rsidRPr="00A27896">
        <w:rPr>
          <w:rFonts w:cs="Times New Roman"/>
          <w:i/>
          <w:color w:val="17365D"/>
          <w:szCs w:val="22"/>
        </w:rPr>
        <w:t>. tabula</w:t>
      </w:r>
      <w:r w:rsidR="003877C0" w:rsidRPr="00A27896">
        <w:rPr>
          <w:rFonts w:cs="Times New Roman"/>
          <w:i/>
          <w:color w:val="17365D"/>
          <w:szCs w:val="22"/>
        </w:rPr>
        <w:t>.</w:t>
      </w:r>
      <w:r w:rsidR="005C2FC0" w:rsidRPr="00A27896">
        <w:rPr>
          <w:rFonts w:cs="Times New Roman"/>
          <w:i/>
          <w:color w:val="17365D"/>
          <w:szCs w:val="22"/>
        </w:rPr>
        <w:t xml:space="preserve"> Informācija par finanšu instrumentu maksimālo pakļautību kredītriskam</w:t>
      </w:r>
    </w:p>
    <w:p w14:paraId="62170AB8" w14:textId="5203B58D" w:rsidR="005C2FC0" w:rsidRPr="00A27896" w:rsidRDefault="005C2FC0" w:rsidP="005C2FC0">
      <w:pPr>
        <w:pStyle w:val="Tabulasnosaukums1"/>
        <w:spacing w:before="0" w:line="240" w:lineRule="auto"/>
        <w:rPr>
          <w:rFonts w:cs="Times New Roman"/>
          <w:i/>
          <w:color w:val="17365D"/>
          <w:szCs w:val="22"/>
        </w:rPr>
      </w:pPr>
      <w:r w:rsidRPr="00A27896">
        <w:rPr>
          <w:rFonts w:cs="Times New Roman"/>
          <w:i/>
          <w:color w:val="17365D"/>
          <w:szCs w:val="22"/>
        </w:rPr>
        <w:t xml:space="preserve"> un to kredītkvalitāti, sadalījumā pa termiņa kavējuma dienām (euro)</w:t>
      </w:r>
    </w:p>
    <w:tbl>
      <w:tblPr>
        <w:tblW w:w="5001" w:type="pct"/>
        <w:tblBorders>
          <w:insideH w:val="single" w:sz="4" w:space="0" w:color="17365D"/>
        </w:tblBorders>
        <w:tblLayout w:type="fixed"/>
        <w:tblCellMar>
          <w:top w:w="28" w:type="dxa"/>
          <w:left w:w="28" w:type="dxa"/>
          <w:bottom w:w="28" w:type="dxa"/>
          <w:right w:w="28" w:type="dxa"/>
        </w:tblCellMar>
        <w:tblLook w:val="04A0" w:firstRow="1" w:lastRow="0" w:firstColumn="1" w:lastColumn="0" w:noHBand="0" w:noVBand="1"/>
      </w:tblPr>
      <w:tblGrid>
        <w:gridCol w:w="1980"/>
        <w:gridCol w:w="676"/>
        <w:gridCol w:w="597"/>
        <w:gridCol w:w="1132"/>
        <w:gridCol w:w="1276"/>
        <w:gridCol w:w="1272"/>
        <w:gridCol w:w="668"/>
        <w:gridCol w:w="455"/>
        <w:gridCol w:w="1300"/>
      </w:tblGrid>
      <w:tr w:rsidR="000C1009" w:rsidRPr="00A27896" w14:paraId="404EECA4" w14:textId="21232F36" w:rsidTr="00751780">
        <w:trPr>
          <w:trHeight w:val="32"/>
          <w:tblHeader/>
        </w:trPr>
        <w:tc>
          <w:tcPr>
            <w:tcW w:w="1058" w:type="pct"/>
            <w:vMerge w:val="restart"/>
            <w:shd w:val="clear" w:color="auto" w:fill="B9CDE5"/>
            <w:vAlign w:val="center"/>
          </w:tcPr>
          <w:p w14:paraId="28DCDDC4" w14:textId="0AED708E" w:rsidR="00D8776B" w:rsidRPr="00A27896" w:rsidRDefault="00D8776B" w:rsidP="000C73B4">
            <w:pPr>
              <w:spacing w:after="0"/>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Finanšu instrumenta nosaukums, maksimālās pakļautības kredītriskam apraksts, termiņa kavējuma sadalījums</w:t>
            </w:r>
          </w:p>
        </w:tc>
        <w:tc>
          <w:tcPr>
            <w:tcW w:w="1967" w:type="pct"/>
            <w:gridSpan w:val="4"/>
            <w:tcBorders>
              <w:bottom w:val="single" w:sz="4" w:space="0" w:color="17365D"/>
            </w:tcBorders>
            <w:shd w:val="clear" w:color="auto" w:fill="B9CDE5"/>
            <w:vAlign w:val="center"/>
          </w:tcPr>
          <w:p w14:paraId="3C345FE0" w14:textId="4A0665D1" w:rsidR="00D8776B" w:rsidRPr="00A27896" w:rsidRDefault="00D8776B" w:rsidP="000C73B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975" w:type="pct"/>
            <w:gridSpan w:val="4"/>
            <w:tcBorders>
              <w:bottom w:val="single" w:sz="4" w:space="0" w:color="17365D"/>
            </w:tcBorders>
            <w:shd w:val="clear" w:color="auto" w:fill="B9CDE5"/>
          </w:tcPr>
          <w:p w14:paraId="5DD6F206" w14:textId="764836D4" w:rsidR="00D8776B" w:rsidRPr="00A27896" w:rsidRDefault="00D8776B" w:rsidP="000C73B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12F43860" w14:textId="1A0FADFE" w:rsidTr="00751780">
        <w:trPr>
          <w:trHeight w:val="416"/>
          <w:tblHeader/>
        </w:trPr>
        <w:tc>
          <w:tcPr>
            <w:tcW w:w="1058" w:type="pct"/>
            <w:vMerge/>
            <w:tcBorders>
              <w:bottom w:val="single" w:sz="4" w:space="0" w:color="17365D"/>
            </w:tcBorders>
            <w:shd w:val="clear" w:color="auto" w:fill="B9CDE5"/>
            <w:vAlign w:val="center"/>
            <w:hideMark/>
          </w:tcPr>
          <w:p w14:paraId="2ED9285F" w14:textId="4E756D43" w:rsidR="00D8776B" w:rsidRPr="00A27896" w:rsidRDefault="00D8776B" w:rsidP="00D8776B">
            <w:pPr>
              <w:spacing w:after="0"/>
              <w:jc w:val="center"/>
              <w:rPr>
                <w:rFonts w:eastAsia="Times New Roman" w:cs="Times New Roman"/>
                <w:b/>
                <w:color w:val="17365D"/>
                <w:sz w:val="18"/>
                <w:szCs w:val="18"/>
                <w:lang w:eastAsia="lv-LV"/>
              </w:rPr>
            </w:pPr>
          </w:p>
        </w:tc>
        <w:tc>
          <w:tcPr>
            <w:tcW w:w="680" w:type="pct"/>
            <w:gridSpan w:val="2"/>
            <w:tcBorders>
              <w:top w:val="single" w:sz="4" w:space="0" w:color="17365D"/>
              <w:bottom w:val="single" w:sz="4" w:space="0" w:color="17365D"/>
            </w:tcBorders>
            <w:shd w:val="clear" w:color="auto" w:fill="B9CDE5"/>
            <w:vAlign w:val="center"/>
            <w:hideMark/>
          </w:tcPr>
          <w:p w14:paraId="67E5466A" w14:textId="38F7D65A" w:rsidR="00D8776B" w:rsidRPr="00A27896" w:rsidRDefault="00D8776B" w:rsidP="00D8776B">
            <w:pPr>
              <w:spacing w:after="0"/>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bruto</w:t>
            </w:r>
            <w:r w:rsidRPr="00A27896">
              <w:rPr>
                <w:rFonts w:eastAsia="Times New Roman" w:cs="Times New Roman"/>
                <w:b/>
                <w:color w:val="17365D"/>
                <w:sz w:val="18"/>
                <w:szCs w:val="18"/>
                <w:lang w:eastAsia="lv-LV"/>
              </w:rPr>
              <w:br/>
              <w:t>(+)</w:t>
            </w:r>
          </w:p>
        </w:tc>
        <w:tc>
          <w:tcPr>
            <w:tcW w:w="605" w:type="pct"/>
            <w:tcBorders>
              <w:top w:val="single" w:sz="4" w:space="0" w:color="17365D"/>
              <w:bottom w:val="single" w:sz="4" w:space="0" w:color="17365D"/>
            </w:tcBorders>
            <w:shd w:val="clear" w:color="auto" w:fill="B9CDE5"/>
            <w:vAlign w:val="center"/>
            <w:hideMark/>
          </w:tcPr>
          <w:p w14:paraId="61CB3FD9" w14:textId="77777777" w:rsidR="00D8776B" w:rsidRPr="00A27896" w:rsidRDefault="00D8776B" w:rsidP="00AF5BFF">
            <w:pPr>
              <w:spacing w:after="0"/>
              <w:ind w:right="-28"/>
              <w:jc w:val="center"/>
              <w:rPr>
                <w:rFonts w:eastAsia="Times New Roman" w:cs="Times New Roman"/>
                <w:b/>
                <w:color w:val="17365D"/>
                <w:sz w:val="18"/>
                <w:szCs w:val="18"/>
                <w:lang w:eastAsia="lv-LV"/>
              </w:rPr>
            </w:pPr>
            <w:r w:rsidRPr="00A27896">
              <w:rPr>
                <w:rFonts w:eastAsia="Times New Roman" w:cs="Times New Roman"/>
                <w:b/>
                <w:bCs/>
                <w:color w:val="17365D"/>
                <w:sz w:val="18"/>
                <w:szCs w:val="18"/>
                <w:lang w:eastAsia="lv-LV"/>
              </w:rPr>
              <w:t>vērtības samazinājums (+,-)</w:t>
            </w:r>
          </w:p>
        </w:tc>
        <w:tc>
          <w:tcPr>
            <w:tcW w:w="682" w:type="pct"/>
            <w:tcBorders>
              <w:top w:val="single" w:sz="4" w:space="0" w:color="17365D"/>
              <w:bottom w:val="single" w:sz="4" w:space="0" w:color="17365D"/>
            </w:tcBorders>
            <w:shd w:val="clear" w:color="auto" w:fill="B9CDE5"/>
            <w:vAlign w:val="center"/>
          </w:tcPr>
          <w:p w14:paraId="4D5D64E3" w14:textId="16E71A62"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vērtība</w:t>
            </w:r>
          </w:p>
        </w:tc>
        <w:tc>
          <w:tcPr>
            <w:tcW w:w="680" w:type="pct"/>
            <w:tcBorders>
              <w:top w:val="single" w:sz="4" w:space="0" w:color="17365D"/>
              <w:bottom w:val="single" w:sz="4" w:space="0" w:color="17365D"/>
            </w:tcBorders>
            <w:shd w:val="clear" w:color="auto" w:fill="B9CDE5"/>
            <w:vAlign w:val="center"/>
          </w:tcPr>
          <w:p w14:paraId="0F6BC827" w14:textId="05CB1FE3"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color w:val="17365D"/>
                <w:sz w:val="18"/>
                <w:szCs w:val="18"/>
                <w:lang w:eastAsia="lv-LV"/>
              </w:rPr>
              <w:t>bruto</w:t>
            </w:r>
            <w:r w:rsidRPr="00A27896">
              <w:rPr>
                <w:rFonts w:eastAsia="Times New Roman" w:cs="Times New Roman"/>
                <w:b/>
                <w:color w:val="17365D"/>
                <w:sz w:val="18"/>
                <w:szCs w:val="18"/>
                <w:lang w:eastAsia="lv-LV"/>
              </w:rPr>
              <w:br/>
              <w:t>(+)</w:t>
            </w:r>
          </w:p>
        </w:tc>
        <w:tc>
          <w:tcPr>
            <w:tcW w:w="600" w:type="pct"/>
            <w:gridSpan w:val="2"/>
            <w:tcBorders>
              <w:top w:val="single" w:sz="4" w:space="0" w:color="17365D"/>
              <w:bottom w:val="single" w:sz="4" w:space="0" w:color="17365D"/>
            </w:tcBorders>
            <w:shd w:val="clear" w:color="auto" w:fill="B9CDE5"/>
            <w:vAlign w:val="center"/>
          </w:tcPr>
          <w:p w14:paraId="789F0995" w14:textId="77777777" w:rsidR="00100EA1" w:rsidRPr="00A27896" w:rsidRDefault="00D8776B" w:rsidP="00100EA1">
            <w:pPr>
              <w:spacing w:after="0"/>
              <w:ind w:left="-33" w:right="-24"/>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 xml:space="preserve">vērtības samazinājums </w:t>
            </w:r>
          </w:p>
          <w:p w14:paraId="49E04132" w14:textId="3D657750"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w:t>
            </w:r>
          </w:p>
        </w:tc>
        <w:tc>
          <w:tcPr>
            <w:tcW w:w="695" w:type="pct"/>
            <w:tcBorders>
              <w:top w:val="single" w:sz="4" w:space="0" w:color="17365D"/>
              <w:bottom w:val="single" w:sz="4" w:space="0" w:color="17365D"/>
            </w:tcBorders>
            <w:shd w:val="clear" w:color="auto" w:fill="B9CDE5"/>
            <w:vAlign w:val="center"/>
          </w:tcPr>
          <w:p w14:paraId="6692ACA2" w14:textId="0BBD97BB" w:rsidR="00D8776B" w:rsidRPr="00A27896" w:rsidRDefault="00D8776B" w:rsidP="00D8776B">
            <w:pPr>
              <w:spacing w:after="0"/>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vērtība</w:t>
            </w:r>
          </w:p>
        </w:tc>
      </w:tr>
      <w:tr w:rsidR="000C1009" w:rsidRPr="00A27896" w14:paraId="18E88844" w14:textId="23F5A802" w:rsidTr="00751780">
        <w:trPr>
          <w:trHeight w:val="26"/>
          <w:tblHeader/>
        </w:trPr>
        <w:tc>
          <w:tcPr>
            <w:tcW w:w="1058" w:type="pct"/>
            <w:tcBorders>
              <w:top w:val="single" w:sz="4" w:space="0" w:color="17365D"/>
              <w:bottom w:val="single" w:sz="4" w:space="0" w:color="auto"/>
            </w:tcBorders>
            <w:shd w:val="clear" w:color="auto" w:fill="auto"/>
            <w:vAlign w:val="center"/>
            <w:hideMark/>
          </w:tcPr>
          <w:p w14:paraId="3E238188" w14:textId="74E2B6A9"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680" w:type="pct"/>
            <w:gridSpan w:val="2"/>
            <w:tcBorders>
              <w:top w:val="single" w:sz="4" w:space="0" w:color="17365D"/>
              <w:bottom w:val="single" w:sz="4" w:space="0" w:color="auto"/>
            </w:tcBorders>
            <w:shd w:val="clear" w:color="auto" w:fill="auto"/>
            <w:vAlign w:val="center"/>
            <w:hideMark/>
          </w:tcPr>
          <w:p w14:paraId="25AE878D" w14:textId="2F4966BF"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605" w:type="pct"/>
            <w:tcBorders>
              <w:top w:val="single" w:sz="4" w:space="0" w:color="17365D"/>
              <w:bottom w:val="single" w:sz="4" w:space="0" w:color="auto"/>
            </w:tcBorders>
            <w:shd w:val="clear" w:color="auto" w:fill="auto"/>
            <w:vAlign w:val="center"/>
            <w:hideMark/>
          </w:tcPr>
          <w:p w14:paraId="3392E758" w14:textId="777E8C6D"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682" w:type="pct"/>
            <w:tcBorders>
              <w:top w:val="single" w:sz="4" w:space="0" w:color="17365D"/>
              <w:bottom w:val="single" w:sz="4" w:space="0" w:color="auto"/>
            </w:tcBorders>
          </w:tcPr>
          <w:p w14:paraId="25C1DA83" w14:textId="1454478E" w:rsidR="00D8776B" w:rsidRPr="00A27896" w:rsidRDefault="00D8776B"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680" w:type="pct"/>
            <w:tcBorders>
              <w:top w:val="single" w:sz="4" w:space="0" w:color="17365D"/>
              <w:bottom w:val="single" w:sz="4" w:space="0" w:color="auto"/>
            </w:tcBorders>
          </w:tcPr>
          <w:p w14:paraId="1AD9EF70" w14:textId="10D930F0" w:rsidR="00D8776B" w:rsidRPr="00A27896" w:rsidRDefault="000C3468"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c>
          <w:tcPr>
            <w:tcW w:w="600" w:type="pct"/>
            <w:gridSpan w:val="2"/>
            <w:tcBorders>
              <w:top w:val="single" w:sz="4" w:space="0" w:color="17365D"/>
              <w:bottom w:val="single" w:sz="4" w:space="0" w:color="auto"/>
            </w:tcBorders>
          </w:tcPr>
          <w:p w14:paraId="048E7030" w14:textId="2FFF1AB7" w:rsidR="00D8776B" w:rsidRPr="00A27896" w:rsidRDefault="000C3468"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5</w:t>
            </w:r>
          </w:p>
        </w:tc>
        <w:tc>
          <w:tcPr>
            <w:tcW w:w="695" w:type="pct"/>
            <w:tcBorders>
              <w:top w:val="single" w:sz="4" w:space="0" w:color="17365D"/>
              <w:bottom w:val="single" w:sz="4" w:space="0" w:color="auto"/>
            </w:tcBorders>
          </w:tcPr>
          <w:p w14:paraId="223B1072" w14:textId="390F09A6" w:rsidR="00D8776B" w:rsidRPr="00A27896" w:rsidRDefault="000C3468" w:rsidP="00D8776B">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6</w:t>
            </w:r>
          </w:p>
        </w:tc>
      </w:tr>
      <w:tr w:rsidR="00CA7E3C" w:rsidRPr="00A27896" w14:paraId="71670B86" w14:textId="4EF2B656" w:rsidTr="00751780">
        <w:trPr>
          <w:trHeight w:val="221"/>
        </w:trPr>
        <w:tc>
          <w:tcPr>
            <w:tcW w:w="1058" w:type="pct"/>
            <w:tcBorders>
              <w:top w:val="single" w:sz="4" w:space="0" w:color="auto"/>
              <w:bottom w:val="single" w:sz="4" w:space="0" w:color="auto"/>
            </w:tcBorders>
            <w:vAlign w:val="center"/>
          </w:tcPr>
          <w:p w14:paraId="2BC066C8" w14:textId="03CD3D8C" w:rsidR="00CA7E3C" w:rsidRPr="00A27896" w:rsidRDefault="00CA7E3C" w:rsidP="00CA7E3C">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aktīvi</w:t>
            </w:r>
          </w:p>
        </w:tc>
        <w:tc>
          <w:tcPr>
            <w:tcW w:w="680" w:type="pct"/>
            <w:gridSpan w:val="2"/>
            <w:tcBorders>
              <w:top w:val="single" w:sz="4" w:space="0" w:color="auto"/>
              <w:left w:val="nil"/>
              <w:bottom w:val="single" w:sz="4" w:space="0" w:color="auto"/>
              <w:right w:val="nil"/>
            </w:tcBorders>
            <w:shd w:val="clear" w:color="auto" w:fill="auto"/>
            <w:vAlign w:val="center"/>
          </w:tcPr>
          <w:p w14:paraId="50052A2D" w14:textId="0C93F485" w:rsidR="00CA7E3C" w:rsidRPr="00CA7E3C" w:rsidRDefault="00CA7E3C" w:rsidP="009677AB">
            <w:pPr>
              <w:spacing w:after="0" w:line="240" w:lineRule="auto"/>
              <w:ind w:right="57"/>
              <w:jc w:val="right"/>
              <w:rPr>
                <w:rFonts w:eastAsia="Times New Roman" w:cs="Times New Roman"/>
                <w:b/>
                <w:color w:val="17365D"/>
                <w:sz w:val="18"/>
                <w:szCs w:val="18"/>
                <w:lang w:eastAsia="lv-LV"/>
              </w:rPr>
            </w:pPr>
            <w:r w:rsidRPr="00CA7E3C">
              <w:rPr>
                <w:rFonts w:eastAsia="Times New Roman" w:cs="Times New Roman"/>
                <w:b/>
                <w:color w:val="17365D"/>
                <w:sz w:val="18"/>
                <w:szCs w:val="18"/>
                <w:lang w:eastAsia="lv-LV"/>
              </w:rPr>
              <w:t>1 674 429 260</w:t>
            </w:r>
          </w:p>
        </w:tc>
        <w:tc>
          <w:tcPr>
            <w:tcW w:w="605" w:type="pct"/>
            <w:tcBorders>
              <w:top w:val="single" w:sz="4" w:space="0" w:color="auto"/>
              <w:left w:val="nil"/>
              <w:bottom w:val="single" w:sz="4" w:space="0" w:color="auto"/>
              <w:right w:val="nil"/>
            </w:tcBorders>
            <w:shd w:val="clear" w:color="auto" w:fill="auto"/>
            <w:vAlign w:val="center"/>
          </w:tcPr>
          <w:p w14:paraId="712FE07A" w14:textId="78174D70" w:rsidR="00CA7E3C" w:rsidRPr="00CA7E3C" w:rsidRDefault="00CA7E3C" w:rsidP="009677AB">
            <w:pPr>
              <w:spacing w:after="0" w:line="240" w:lineRule="auto"/>
              <w:ind w:right="57"/>
              <w:jc w:val="right"/>
              <w:rPr>
                <w:rFonts w:eastAsia="Times New Roman" w:cs="Times New Roman"/>
                <w:b/>
                <w:color w:val="17365D"/>
                <w:sz w:val="18"/>
                <w:szCs w:val="18"/>
                <w:lang w:eastAsia="lv-LV"/>
              </w:rPr>
            </w:pPr>
            <w:r w:rsidRPr="00CA7E3C">
              <w:rPr>
                <w:rFonts w:eastAsia="Times New Roman" w:cs="Times New Roman"/>
                <w:b/>
                <w:color w:val="17365D"/>
                <w:sz w:val="18"/>
                <w:szCs w:val="18"/>
                <w:lang w:eastAsia="lv-LV"/>
              </w:rPr>
              <w:t>-421 150 126</w:t>
            </w:r>
          </w:p>
        </w:tc>
        <w:tc>
          <w:tcPr>
            <w:tcW w:w="682" w:type="pct"/>
            <w:tcBorders>
              <w:top w:val="single" w:sz="4" w:space="0" w:color="auto"/>
              <w:left w:val="nil"/>
              <w:bottom w:val="single" w:sz="4" w:space="0" w:color="auto"/>
              <w:right w:val="nil"/>
            </w:tcBorders>
            <w:shd w:val="clear" w:color="auto" w:fill="auto"/>
            <w:vAlign w:val="center"/>
          </w:tcPr>
          <w:p w14:paraId="54C3AA3F" w14:textId="4F821445" w:rsidR="00CA7E3C" w:rsidRPr="00CA7E3C" w:rsidRDefault="00CA7E3C" w:rsidP="009677AB">
            <w:pPr>
              <w:spacing w:after="0" w:line="240" w:lineRule="auto"/>
              <w:ind w:right="57"/>
              <w:jc w:val="right"/>
              <w:rPr>
                <w:rFonts w:eastAsia="Times New Roman" w:cs="Times New Roman"/>
                <w:b/>
                <w:color w:val="17365D"/>
                <w:sz w:val="18"/>
                <w:szCs w:val="18"/>
                <w:lang w:eastAsia="lv-LV"/>
              </w:rPr>
            </w:pPr>
            <w:r w:rsidRPr="00CA7E3C">
              <w:rPr>
                <w:rFonts w:eastAsia="Times New Roman" w:cs="Times New Roman"/>
                <w:b/>
                <w:color w:val="17365D"/>
                <w:sz w:val="18"/>
                <w:szCs w:val="18"/>
                <w:lang w:eastAsia="lv-LV"/>
              </w:rPr>
              <w:t>1 253 279 134</w:t>
            </w:r>
          </w:p>
        </w:tc>
        <w:tc>
          <w:tcPr>
            <w:tcW w:w="680" w:type="pct"/>
            <w:tcBorders>
              <w:top w:val="single" w:sz="4" w:space="0" w:color="auto"/>
              <w:left w:val="nil"/>
              <w:bottom w:val="single" w:sz="4" w:space="0" w:color="auto"/>
              <w:right w:val="nil"/>
            </w:tcBorders>
            <w:shd w:val="clear" w:color="auto" w:fill="auto"/>
            <w:vAlign w:val="center"/>
          </w:tcPr>
          <w:p w14:paraId="252D5CFA" w14:textId="46EC4B15" w:rsidR="00CA7E3C" w:rsidRPr="00CA7E3C" w:rsidRDefault="00CA7E3C" w:rsidP="009677AB">
            <w:pPr>
              <w:spacing w:after="0" w:line="240" w:lineRule="auto"/>
              <w:ind w:right="57"/>
              <w:jc w:val="right"/>
              <w:rPr>
                <w:rFonts w:eastAsia="Times New Roman" w:cs="Times New Roman"/>
                <w:b/>
                <w:color w:val="17365D"/>
                <w:sz w:val="18"/>
                <w:szCs w:val="18"/>
                <w:lang w:eastAsia="lv-LV"/>
              </w:rPr>
            </w:pPr>
            <w:r w:rsidRPr="00CA7E3C">
              <w:rPr>
                <w:rFonts w:eastAsia="Times New Roman" w:cs="Times New Roman"/>
                <w:b/>
                <w:color w:val="17365D"/>
                <w:sz w:val="18"/>
                <w:szCs w:val="18"/>
                <w:lang w:eastAsia="lv-LV"/>
              </w:rPr>
              <w:t>1 595 294 769</w:t>
            </w:r>
          </w:p>
        </w:tc>
        <w:tc>
          <w:tcPr>
            <w:tcW w:w="600" w:type="pct"/>
            <w:gridSpan w:val="2"/>
            <w:tcBorders>
              <w:top w:val="single" w:sz="4" w:space="0" w:color="auto"/>
              <w:left w:val="nil"/>
              <w:bottom w:val="single" w:sz="4" w:space="0" w:color="auto"/>
              <w:right w:val="nil"/>
            </w:tcBorders>
            <w:shd w:val="clear" w:color="auto" w:fill="auto"/>
            <w:vAlign w:val="center"/>
          </w:tcPr>
          <w:p w14:paraId="3306B853" w14:textId="6594CB73" w:rsidR="00CA7E3C" w:rsidRPr="00CA7E3C" w:rsidRDefault="00CA7E3C" w:rsidP="009677AB">
            <w:pPr>
              <w:spacing w:after="0" w:line="240" w:lineRule="auto"/>
              <w:ind w:right="57"/>
              <w:jc w:val="right"/>
              <w:rPr>
                <w:rFonts w:eastAsia="Times New Roman" w:cs="Times New Roman"/>
                <w:b/>
                <w:color w:val="17365D"/>
                <w:sz w:val="18"/>
                <w:szCs w:val="18"/>
                <w:lang w:eastAsia="lv-LV"/>
              </w:rPr>
            </w:pPr>
            <w:r w:rsidRPr="00CA7E3C">
              <w:rPr>
                <w:rFonts w:eastAsia="Times New Roman" w:cs="Times New Roman"/>
                <w:b/>
                <w:color w:val="17365D"/>
                <w:sz w:val="18"/>
                <w:szCs w:val="18"/>
                <w:lang w:eastAsia="lv-LV"/>
              </w:rPr>
              <w:t>-441 416 740</w:t>
            </w:r>
          </w:p>
        </w:tc>
        <w:tc>
          <w:tcPr>
            <w:tcW w:w="695" w:type="pct"/>
            <w:tcBorders>
              <w:top w:val="single" w:sz="4" w:space="0" w:color="auto"/>
              <w:left w:val="nil"/>
              <w:bottom w:val="single" w:sz="4" w:space="0" w:color="auto"/>
              <w:right w:val="nil"/>
            </w:tcBorders>
            <w:shd w:val="clear" w:color="auto" w:fill="auto"/>
            <w:vAlign w:val="center"/>
          </w:tcPr>
          <w:p w14:paraId="5049E1AD" w14:textId="7D557DE5" w:rsidR="00CA7E3C" w:rsidRPr="00CA7E3C" w:rsidRDefault="00CA7E3C" w:rsidP="009677AB">
            <w:pPr>
              <w:spacing w:after="0" w:line="240" w:lineRule="auto"/>
              <w:ind w:right="57"/>
              <w:jc w:val="right"/>
              <w:rPr>
                <w:rFonts w:eastAsia="Times New Roman" w:cs="Times New Roman"/>
                <w:b/>
                <w:color w:val="17365D"/>
                <w:sz w:val="18"/>
                <w:szCs w:val="18"/>
                <w:lang w:eastAsia="lv-LV"/>
              </w:rPr>
            </w:pPr>
            <w:r w:rsidRPr="00CA7E3C">
              <w:rPr>
                <w:rFonts w:eastAsia="Times New Roman" w:cs="Times New Roman"/>
                <w:b/>
                <w:color w:val="17365D"/>
                <w:sz w:val="18"/>
                <w:szCs w:val="18"/>
                <w:lang w:eastAsia="lv-LV"/>
              </w:rPr>
              <w:t>1 153 878 029</w:t>
            </w:r>
          </w:p>
        </w:tc>
      </w:tr>
      <w:tr w:rsidR="00CA7E3C" w:rsidRPr="00A27896" w14:paraId="29D212AE" w14:textId="3D637AEC" w:rsidTr="00751780">
        <w:trPr>
          <w:trHeight w:val="964"/>
        </w:trPr>
        <w:tc>
          <w:tcPr>
            <w:tcW w:w="1058" w:type="pct"/>
            <w:tcBorders>
              <w:top w:val="single" w:sz="4" w:space="0" w:color="auto"/>
              <w:bottom w:val="single" w:sz="4" w:space="0" w:color="auto"/>
            </w:tcBorders>
            <w:vAlign w:val="center"/>
          </w:tcPr>
          <w:p w14:paraId="19320F50" w14:textId="54CDF08D" w:rsidR="00CA7E3C" w:rsidRPr="00A27896" w:rsidRDefault="00CA7E3C" w:rsidP="00CA7E3C">
            <w:pPr>
              <w:spacing w:after="0" w:line="240" w:lineRule="auto"/>
              <w:ind w:right="57"/>
              <w:rPr>
                <w:rFonts w:eastAsia="Times New Roman" w:cs="Times New Roman"/>
                <w:b/>
                <w:i/>
                <w:color w:val="17365D"/>
                <w:sz w:val="18"/>
                <w:szCs w:val="18"/>
                <w:lang w:eastAsia="lv-LV"/>
              </w:rPr>
            </w:pPr>
            <w:r w:rsidRPr="00A27896">
              <w:rPr>
                <w:rFonts w:eastAsia="Times New Roman" w:cs="Times New Roman"/>
                <w:b/>
                <w:i/>
                <w:color w:val="17365D"/>
                <w:sz w:val="18"/>
                <w:szCs w:val="18"/>
                <w:lang w:eastAsia="lv-LV"/>
              </w:rPr>
              <w:t>termiņš nav kavēts, bet finanšu instrumentiem gan ir, gan arī nav aprēķināts vērtības samazinājums;</w:t>
            </w:r>
          </w:p>
        </w:tc>
        <w:tc>
          <w:tcPr>
            <w:tcW w:w="680" w:type="pct"/>
            <w:gridSpan w:val="2"/>
            <w:tcBorders>
              <w:top w:val="single" w:sz="4" w:space="0" w:color="auto"/>
              <w:left w:val="nil"/>
              <w:bottom w:val="single" w:sz="4" w:space="0" w:color="auto"/>
              <w:right w:val="nil"/>
            </w:tcBorders>
            <w:shd w:val="clear" w:color="auto" w:fill="auto"/>
            <w:vAlign w:val="center"/>
          </w:tcPr>
          <w:p w14:paraId="0FB087BC" w14:textId="47F45ADF" w:rsidR="00CA7E3C" w:rsidRPr="00CA7E3C" w:rsidRDefault="00CA7E3C" w:rsidP="009677AB">
            <w:pPr>
              <w:spacing w:after="0" w:line="240" w:lineRule="auto"/>
              <w:ind w:right="57"/>
              <w:jc w:val="right"/>
              <w:rPr>
                <w:rFonts w:eastAsia="Times New Roman" w:cs="Times New Roman"/>
                <w:b/>
                <w:color w:val="17365D"/>
                <w:sz w:val="18"/>
                <w:szCs w:val="18"/>
                <w:lang w:eastAsia="lv-LV"/>
              </w:rPr>
            </w:pPr>
            <w:r w:rsidRPr="00CA7E3C">
              <w:rPr>
                <w:rFonts w:eastAsia="Times New Roman" w:cs="Times New Roman"/>
                <w:b/>
                <w:color w:val="17365D"/>
                <w:sz w:val="18"/>
                <w:szCs w:val="18"/>
                <w:lang w:eastAsia="lv-LV"/>
              </w:rPr>
              <w:t>1 254 944 914</w:t>
            </w:r>
          </w:p>
        </w:tc>
        <w:tc>
          <w:tcPr>
            <w:tcW w:w="605" w:type="pct"/>
            <w:tcBorders>
              <w:top w:val="single" w:sz="4" w:space="0" w:color="auto"/>
              <w:left w:val="nil"/>
              <w:bottom w:val="single" w:sz="4" w:space="0" w:color="auto"/>
              <w:right w:val="nil"/>
            </w:tcBorders>
            <w:shd w:val="clear" w:color="auto" w:fill="auto"/>
            <w:vAlign w:val="center"/>
          </w:tcPr>
          <w:p w14:paraId="0253E66E" w14:textId="6532B16D" w:rsidR="00CA7E3C" w:rsidRPr="00CA7E3C" w:rsidRDefault="00CA7E3C" w:rsidP="009677AB">
            <w:pPr>
              <w:spacing w:after="0" w:line="240" w:lineRule="auto"/>
              <w:ind w:right="57"/>
              <w:jc w:val="right"/>
              <w:rPr>
                <w:rFonts w:eastAsia="Times New Roman" w:cs="Times New Roman"/>
                <w:b/>
                <w:color w:val="17365D"/>
                <w:sz w:val="18"/>
                <w:szCs w:val="18"/>
                <w:lang w:eastAsia="lv-LV"/>
              </w:rPr>
            </w:pPr>
            <w:r w:rsidRPr="00CA7E3C">
              <w:rPr>
                <w:rFonts w:eastAsia="Times New Roman" w:cs="Times New Roman"/>
                <w:b/>
                <w:color w:val="17365D"/>
                <w:sz w:val="18"/>
                <w:szCs w:val="18"/>
                <w:lang w:eastAsia="lv-LV"/>
              </w:rPr>
              <w:t>-2 373 101</w:t>
            </w:r>
          </w:p>
        </w:tc>
        <w:tc>
          <w:tcPr>
            <w:tcW w:w="682" w:type="pct"/>
            <w:tcBorders>
              <w:top w:val="single" w:sz="4" w:space="0" w:color="auto"/>
              <w:left w:val="nil"/>
              <w:bottom w:val="single" w:sz="4" w:space="0" w:color="auto"/>
              <w:right w:val="nil"/>
            </w:tcBorders>
            <w:shd w:val="clear" w:color="auto" w:fill="auto"/>
            <w:vAlign w:val="center"/>
          </w:tcPr>
          <w:p w14:paraId="67BBC71A" w14:textId="3B033CA9" w:rsidR="00CA7E3C" w:rsidRPr="00CA7E3C" w:rsidRDefault="00CA7E3C" w:rsidP="009677AB">
            <w:pPr>
              <w:spacing w:after="0" w:line="240" w:lineRule="auto"/>
              <w:ind w:right="57"/>
              <w:jc w:val="right"/>
              <w:rPr>
                <w:rFonts w:eastAsia="Times New Roman" w:cs="Times New Roman"/>
                <w:b/>
                <w:color w:val="17365D"/>
                <w:sz w:val="18"/>
                <w:szCs w:val="18"/>
                <w:lang w:eastAsia="lv-LV"/>
              </w:rPr>
            </w:pPr>
            <w:r w:rsidRPr="00CA7E3C">
              <w:rPr>
                <w:rFonts w:eastAsia="Times New Roman" w:cs="Times New Roman"/>
                <w:b/>
                <w:color w:val="17365D"/>
                <w:sz w:val="18"/>
                <w:szCs w:val="18"/>
                <w:lang w:eastAsia="lv-LV"/>
              </w:rPr>
              <w:t>1 252 571 813</w:t>
            </w:r>
          </w:p>
        </w:tc>
        <w:tc>
          <w:tcPr>
            <w:tcW w:w="680" w:type="pct"/>
            <w:tcBorders>
              <w:top w:val="single" w:sz="4" w:space="0" w:color="auto"/>
              <w:left w:val="nil"/>
              <w:bottom w:val="single" w:sz="4" w:space="0" w:color="auto"/>
              <w:right w:val="nil"/>
            </w:tcBorders>
            <w:shd w:val="clear" w:color="auto" w:fill="auto"/>
            <w:vAlign w:val="center"/>
          </w:tcPr>
          <w:p w14:paraId="43E8074F" w14:textId="1F13A8FF" w:rsidR="00CA7E3C" w:rsidRPr="00CA7E3C" w:rsidRDefault="00CA7E3C" w:rsidP="009677AB">
            <w:pPr>
              <w:spacing w:after="0" w:line="240" w:lineRule="auto"/>
              <w:ind w:right="57"/>
              <w:jc w:val="right"/>
              <w:rPr>
                <w:rFonts w:eastAsia="Times New Roman" w:cs="Times New Roman"/>
                <w:b/>
                <w:color w:val="17365D"/>
                <w:sz w:val="18"/>
                <w:szCs w:val="18"/>
                <w:lang w:eastAsia="lv-LV"/>
              </w:rPr>
            </w:pPr>
            <w:r w:rsidRPr="00CA7E3C">
              <w:rPr>
                <w:rFonts w:eastAsia="Times New Roman" w:cs="Times New Roman"/>
                <w:b/>
                <w:color w:val="17365D"/>
                <w:sz w:val="18"/>
                <w:szCs w:val="18"/>
                <w:lang w:eastAsia="lv-LV"/>
              </w:rPr>
              <w:t>1 165 136 083</w:t>
            </w:r>
          </w:p>
        </w:tc>
        <w:tc>
          <w:tcPr>
            <w:tcW w:w="600" w:type="pct"/>
            <w:gridSpan w:val="2"/>
            <w:tcBorders>
              <w:top w:val="single" w:sz="4" w:space="0" w:color="auto"/>
              <w:left w:val="nil"/>
              <w:bottom w:val="single" w:sz="4" w:space="0" w:color="auto"/>
              <w:right w:val="nil"/>
            </w:tcBorders>
            <w:shd w:val="clear" w:color="auto" w:fill="auto"/>
            <w:vAlign w:val="center"/>
          </w:tcPr>
          <w:p w14:paraId="02B5BAAE" w14:textId="511002AD" w:rsidR="00CA7E3C" w:rsidRPr="00CA7E3C" w:rsidRDefault="00CA7E3C" w:rsidP="009677AB">
            <w:pPr>
              <w:spacing w:after="0" w:line="240" w:lineRule="auto"/>
              <w:ind w:right="57"/>
              <w:jc w:val="right"/>
              <w:rPr>
                <w:rFonts w:eastAsia="Times New Roman" w:cs="Times New Roman"/>
                <w:b/>
                <w:color w:val="17365D"/>
                <w:sz w:val="18"/>
                <w:szCs w:val="18"/>
                <w:lang w:eastAsia="lv-LV"/>
              </w:rPr>
            </w:pPr>
            <w:r w:rsidRPr="00CA7E3C">
              <w:rPr>
                <w:rFonts w:eastAsia="Times New Roman" w:cs="Times New Roman"/>
                <w:b/>
                <w:color w:val="17365D"/>
                <w:sz w:val="18"/>
                <w:szCs w:val="18"/>
                <w:lang w:eastAsia="lv-LV"/>
              </w:rPr>
              <w:t>-11 666 132</w:t>
            </w:r>
          </w:p>
        </w:tc>
        <w:tc>
          <w:tcPr>
            <w:tcW w:w="695" w:type="pct"/>
            <w:tcBorders>
              <w:top w:val="single" w:sz="4" w:space="0" w:color="auto"/>
              <w:left w:val="nil"/>
              <w:bottom w:val="single" w:sz="4" w:space="0" w:color="auto"/>
              <w:right w:val="nil"/>
            </w:tcBorders>
            <w:shd w:val="clear" w:color="auto" w:fill="auto"/>
            <w:vAlign w:val="center"/>
          </w:tcPr>
          <w:p w14:paraId="2C6F77BE" w14:textId="2DC99BD4" w:rsidR="00CA7E3C" w:rsidRPr="00CA7E3C" w:rsidRDefault="00CA7E3C" w:rsidP="009677AB">
            <w:pPr>
              <w:spacing w:after="0" w:line="240" w:lineRule="auto"/>
              <w:ind w:right="57"/>
              <w:jc w:val="right"/>
              <w:rPr>
                <w:rFonts w:eastAsia="Times New Roman" w:cs="Times New Roman"/>
                <w:b/>
                <w:color w:val="17365D"/>
                <w:sz w:val="18"/>
                <w:szCs w:val="18"/>
                <w:lang w:eastAsia="lv-LV"/>
              </w:rPr>
            </w:pPr>
            <w:r w:rsidRPr="00CA7E3C">
              <w:rPr>
                <w:rFonts w:eastAsia="Times New Roman" w:cs="Times New Roman"/>
                <w:b/>
                <w:color w:val="17365D"/>
                <w:sz w:val="18"/>
                <w:szCs w:val="18"/>
                <w:lang w:eastAsia="lv-LV"/>
              </w:rPr>
              <w:t>1 153 469 951</w:t>
            </w:r>
          </w:p>
        </w:tc>
      </w:tr>
      <w:tr w:rsidR="00CA7E3C" w:rsidRPr="00A27896" w14:paraId="1954A6F4" w14:textId="4B517CDA" w:rsidTr="00751780">
        <w:trPr>
          <w:trHeight w:val="204"/>
        </w:trPr>
        <w:tc>
          <w:tcPr>
            <w:tcW w:w="1058" w:type="pct"/>
            <w:tcBorders>
              <w:top w:val="single" w:sz="4" w:space="0" w:color="auto"/>
              <w:bottom w:val="single" w:sz="4" w:space="0" w:color="auto"/>
            </w:tcBorders>
            <w:vAlign w:val="center"/>
          </w:tcPr>
          <w:p w14:paraId="7B236CB5" w14:textId="6CDB0E14" w:rsidR="00CA7E3C" w:rsidRPr="00A27896" w:rsidRDefault="00CA7E3C" w:rsidP="00CA7E3C">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680" w:type="pct"/>
            <w:gridSpan w:val="2"/>
            <w:tcBorders>
              <w:top w:val="single" w:sz="4" w:space="0" w:color="auto"/>
              <w:left w:val="nil"/>
              <w:bottom w:val="single" w:sz="4" w:space="0" w:color="auto"/>
              <w:right w:val="nil"/>
            </w:tcBorders>
            <w:shd w:val="clear" w:color="auto" w:fill="auto"/>
            <w:vAlign w:val="center"/>
          </w:tcPr>
          <w:p w14:paraId="554F8A2B" w14:textId="3A4670C8"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1 093</w:t>
            </w:r>
          </w:p>
        </w:tc>
        <w:tc>
          <w:tcPr>
            <w:tcW w:w="605" w:type="pct"/>
            <w:tcBorders>
              <w:top w:val="single" w:sz="4" w:space="0" w:color="auto"/>
              <w:left w:val="nil"/>
              <w:bottom w:val="single" w:sz="4" w:space="0" w:color="auto"/>
              <w:right w:val="nil"/>
            </w:tcBorders>
            <w:shd w:val="clear" w:color="auto" w:fill="auto"/>
            <w:vAlign w:val="center"/>
          </w:tcPr>
          <w:p w14:paraId="67747ADF" w14:textId="2334BDB6"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0</w:t>
            </w:r>
          </w:p>
        </w:tc>
        <w:tc>
          <w:tcPr>
            <w:tcW w:w="682" w:type="pct"/>
            <w:tcBorders>
              <w:top w:val="single" w:sz="4" w:space="0" w:color="auto"/>
              <w:left w:val="nil"/>
              <w:bottom w:val="single" w:sz="4" w:space="0" w:color="auto"/>
              <w:right w:val="nil"/>
            </w:tcBorders>
            <w:shd w:val="clear" w:color="auto" w:fill="auto"/>
            <w:vAlign w:val="center"/>
          </w:tcPr>
          <w:p w14:paraId="7A9AA263" w14:textId="031F7E63"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1 093</w:t>
            </w:r>
          </w:p>
        </w:tc>
        <w:tc>
          <w:tcPr>
            <w:tcW w:w="680" w:type="pct"/>
            <w:tcBorders>
              <w:top w:val="single" w:sz="4" w:space="0" w:color="auto"/>
              <w:left w:val="nil"/>
              <w:bottom w:val="single" w:sz="4" w:space="0" w:color="auto"/>
              <w:right w:val="nil"/>
            </w:tcBorders>
            <w:shd w:val="clear" w:color="auto" w:fill="auto"/>
            <w:vAlign w:val="center"/>
          </w:tcPr>
          <w:p w14:paraId="773E1006" w14:textId="425C5AE5"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1 252</w:t>
            </w:r>
          </w:p>
        </w:tc>
        <w:tc>
          <w:tcPr>
            <w:tcW w:w="600" w:type="pct"/>
            <w:gridSpan w:val="2"/>
            <w:tcBorders>
              <w:top w:val="single" w:sz="4" w:space="0" w:color="auto"/>
              <w:left w:val="nil"/>
              <w:bottom w:val="single" w:sz="4" w:space="0" w:color="auto"/>
              <w:right w:val="nil"/>
            </w:tcBorders>
            <w:shd w:val="clear" w:color="auto" w:fill="auto"/>
            <w:vAlign w:val="center"/>
          </w:tcPr>
          <w:p w14:paraId="4D2EAC41" w14:textId="6A50B008"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-220</w:t>
            </w:r>
          </w:p>
        </w:tc>
        <w:tc>
          <w:tcPr>
            <w:tcW w:w="695" w:type="pct"/>
            <w:tcBorders>
              <w:top w:val="single" w:sz="4" w:space="0" w:color="auto"/>
              <w:left w:val="nil"/>
              <w:bottom w:val="single" w:sz="4" w:space="0" w:color="auto"/>
              <w:right w:val="nil"/>
            </w:tcBorders>
            <w:shd w:val="clear" w:color="auto" w:fill="auto"/>
            <w:vAlign w:val="center"/>
          </w:tcPr>
          <w:p w14:paraId="102FA651" w14:textId="6643B8C6"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1 032</w:t>
            </w:r>
          </w:p>
        </w:tc>
      </w:tr>
      <w:tr w:rsidR="00CA7E3C" w:rsidRPr="00A27896" w14:paraId="1B99D973" w14:textId="0F0C3337" w:rsidTr="00751780">
        <w:trPr>
          <w:trHeight w:val="204"/>
        </w:trPr>
        <w:tc>
          <w:tcPr>
            <w:tcW w:w="1058" w:type="pct"/>
            <w:tcBorders>
              <w:top w:val="single" w:sz="4" w:space="0" w:color="auto"/>
              <w:bottom w:val="single" w:sz="4" w:space="0" w:color="auto"/>
            </w:tcBorders>
            <w:vAlign w:val="center"/>
          </w:tcPr>
          <w:p w14:paraId="5F95A333" w14:textId="54703A29" w:rsidR="00CA7E3C" w:rsidRPr="00A27896" w:rsidRDefault="00CA7E3C" w:rsidP="00CA7E3C">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Noguldījumi</w:t>
            </w:r>
          </w:p>
        </w:tc>
        <w:tc>
          <w:tcPr>
            <w:tcW w:w="680" w:type="pct"/>
            <w:gridSpan w:val="2"/>
            <w:tcBorders>
              <w:top w:val="single" w:sz="4" w:space="0" w:color="auto"/>
              <w:left w:val="nil"/>
              <w:bottom w:val="single" w:sz="4" w:space="0" w:color="auto"/>
              <w:right w:val="nil"/>
            </w:tcBorders>
            <w:shd w:val="clear" w:color="auto" w:fill="auto"/>
            <w:vAlign w:val="center"/>
          </w:tcPr>
          <w:p w14:paraId="203CBB81" w14:textId="5CEACE64"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42 356 005</w:t>
            </w:r>
          </w:p>
        </w:tc>
        <w:tc>
          <w:tcPr>
            <w:tcW w:w="605" w:type="pct"/>
            <w:tcBorders>
              <w:top w:val="single" w:sz="4" w:space="0" w:color="auto"/>
              <w:left w:val="nil"/>
              <w:bottom w:val="single" w:sz="4" w:space="0" w:color="auto"/>
              <w:right w:val="nil"/>
            </w:tcBorders>
            <w:shd w:val="clear" w:color="auto" w:fill="auto"/>
            <w:vAlign w:val="center"/>
          </w:tcPr>
          <w:p w14:paraId="54F1F46A" w14:textId="1757346F"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0</w:t>
            </w:r>
          </w:p>
        </w:tc>
        <w:tc>
          <w:tcPr>
            <w:tcW w:w="682" w:type="pct"/>
            <w:tcBorders>
              <w:top w:val="single" w:sz="4" w:space="0" w:color="auto"/>
              <w:left w:val="nil"/>
              <w:bottom w:val="single" w:sz="4" w:space="0" w:color="auto"/>
              <w:right w:val="nil"/>
            </w:tcBorders>
            <w:shd w:val="clear" w:color="auto" w:fill="auto"/>
            <w:vAlign w:val="center"/>
          </w:tcPr>
          <w:p w14:paraId="613A7B52" w14:textId="50198179"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42 356 005</w:t>
            </w:r>
          </w:p>
        </w:tc>
        <w:tc>
          <w:tcPr>
            <w:tcW w:w="680" w:type="pct"/>
            <w:tcBorders>
              <w:top w:val="single" w:sz="4" w:space="0" w:color="auto"/>
              <w:left w:val="nil"/>
              <w:bottom w:val="single" w:sz="4" w:space="0" w:color="auto"/>
              <w:right w:val="nil"/>
            </w:tcBorders>
            <w:shd w:val="clear" w:color="auto" w:fill="auto"/>
            <w:vAlign w:val="center"/>
          </w:tcPr>
          <w:p w14:paraId="5D83C5A1" w14:textId="057EE0F5"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5 314</w:t>
            </w:r>
          </w:p>
        </w:tc>
        <w:tc>
          <w:tcPr>
            <w:tcW w:w="600" w:type="pct"/>
            <w:gridSpan w:val="2"/>
            <w:tcBorders>
              <w:top w:val="single" w:sz="4" w:space="0" w:color="auto"/>
              <w:left w:val="nil"/>
              <w:bottom w:val="single" w:sz="4" w:space="0" w:color="auto"/>
              <w:right w:val="nil"/>
            </w:tcBorders>
            <w:shd w:val="clear" w:color="auto" w:fill="auto"/>
            <w:vAlign w:val="center"/>
          </w:tcPr>
          <w:p w14:paraId="30890D5D" w14:textId="6F760F36"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0</w:t>
            </w:r>
          </w:p>
        </w:tc>
        <w:tc>
          <w:tcPr>
            <w:tcW w:w="695" w:type="pct"/>
            <w:tcBorders>
              <w:top w:val="single" w:sz="4" w:space="0" w:color="auto"/>
              <w:left w:val="nil"/>
              <w:bottom w:val="single" w:sz="4" w:space="0" w:color="auto"/>
              <w:right w:val="nil"/>
            </w:tcBorders>
            <w:shd w:val="clear" w:color="auto" w:fill="auto"/>
            <w:vAlign w:val="center"/>
          </w:tcPr>
          <w:p w14:paraId="62158AE3" w14:textId="718E65D3"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5 314</w:t>
            </w:r>
          </w:p>
        </w:tc>
      </w:tr>
      <w:tr w:rsidR="00CA7E3C" w:rsidRPr="00A27896" w14:paraId="5300B806" w14:textId="6F7E125C" w:rsidTr="00751780">
        <w:trPr>
          <w:trHeight w:val="204"/>
        </w:trPr>
        <w:tc>
          <w:tcPr>
            <w:tcW w:w="1058" w:type="pct"/>
            <w:tcBorders>
              <w:top w:val="single" w:sz="4" w:space="0" w:color="auto"/>
              <w:bottom w:val="single" w:sz="4" w:space="0" w:color="auto"/>
            </w:tcBorders>
            <w:vAlign w:val="center"/>
          </w:tcPr>
          <w:p w14:paraId="7837D063" w14:textId="2B9427AB" w:rsidR="00CA7E3C" w:rsidRPr="00A27896" w:rsidRDefault="00CA7E3C" w:rsidP="00CA7E3C">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Aizdevumi</w:t>
            </w:r>
          </w:p>
        </w:tc>
        <w:tc>
          <w:tcPr>
            <w:tcW w:w="680" w:type="pct"/>
            <w:gridSpan w:val="2"/>
            <w:tcBorders>
              <w:top w:val="single" w:sz="4" w:space="0" w:color="auto"/>
              <w:left w:val="nil"/>
              <w:bottom w:val="single" w:sz="4" w:space="0" w:color="auto"/>
              <w:right w:val="nil"/>
            </w:tcBorders>
            <w:shd w:val="clear" w:color="auto" w:fill="auto"/>
            <w:vAlign w:val="center"/>
          </w:tcPr>
          <w:p w14:paraId="5F8FA332" w14:textId="3E49757A"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447 950 261</w:t>
            </w:r>
          </w:p>
        </w:tc>
        <w:tc>
          <w:tcPr>
            <w:tcW w:w="605" w:type="pct"/>
            <w:tcBorders>
              <w:top w:val="single" w:sz="4" w:space="0" w:color="auto"/>
              <w:left w:val="nil"/>
              <w:bottom w:val="single" w:sz="4" w:space="0" w:color="auto"/>
              <w:right w:val="nil"/>
            </w:tcBorders>
            <w:shd w:val="clear" w:color="auto" w:fill="auto"/>
            <w:vAlign w:val="center"/>
          </w:tcPr>
          <w:p w14:paraId="247499B8" w14:textId="0031C7F4"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-1 016 343</w:t>
            </w:r>
          </w:p>
        </w:tc>
        <w:tc>
          <w:tcPr>
            <w:tcW w:w="682" w:type="pct"/>
            <w:tcBorders>
              <w:top w:val="single" w:sz="4" w:space="0" w:color="auto"/>
              <w:left w:val="nil"/>
              <w:bottom w:val="single" w:sz="4" w:space="0" w:color="auto"/>
              <w:right w:val="nil"/>
            </w:tcBorders>
            <w:shd w:val="clear" w:color="auto" w:fill="auto"/>
            <w:vAlign w:val="center"/>
          </w:tcPr>
          <w:p w14:paraId="2839F88B" w14:textId="2B7F8A0A"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446 933 918</w:t>
            </w:r>
          </w:p>
        </w:tc>
        <w:tc>
          <w:tcPr>
            <w:tcW w:w="680" w:type="pct"/>
            <w:tcBorders>
              <w:top w:val="single" w:sz="4" w:space="0" w:color="auto"/>
              <w:left w:val="nil"/>
              <w:bottom w:val="single" w:sz="4" w:space="0" w:color="auto"/>
              <w:right w:val="nil"/>
            </w:tcBorders>
            <w:shd w:val="clear" w:color="auto" w:fill="auto"/>
            <w:vAlign w:val="center"/>
          </w:tcPr>
          <w:p w14:paraId="245A0963" w14:textId="5508FC44"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392 187 418</w:t>
            </w:r>
          </w:p>
        </w:tc>
        <w:tc>
          <w:tcPr>
            <w:tcW w:w="600" w:type="pct"/>
            <w:gridSpan w:val="2"/>
            <w:tcBorders>
              <w:top w:val="single" w:sz="4" w:space="0" w:color="auto"/>
              <w:left w:val="nil"/>
              <w:bottom w:val="single" w:sz="4" w:space="0" w:color="auto"/>
              <w:right w:val="nil"/>
            </w:tcBorders>
            <w:shd w:val="clear" w:color="auto" w:fill="auto"/>
            <w:vAlign w:val="center"/>
          </w:tcPr>
          <w:p w14:paraId="69DBD1F4" w14:textId="4BF017CF"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-10 156 699</w:t>
            </w:r>
          </w:p>
        </w:tc>
        <w:tc>
          <w:tcPr>
            <w:tcW w:w="695" w:type="pct"/>
            <w:tcBorders>
              <w:top w:val="single" w:sz="4" w:space="0" w:color="auto"/>
              <w:left w:val="nil"/>
              <w:bottom w:val="single" w:sz="4" w:space="0" w:color="auto"/>
              <w:right w:val="nil"/>
            </w:tcBorders>
            <w:shd w:val="clear" w:color="auto" w:fill="auto"/>
            <w:vAlign w:val="center"/>
          </w:tcPr>
          <w:p w14:paraId="529342D7" w14:textId="076739DE"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382 030 719</w:t>
            </w:r>
          </w:p>
        </w:tc>
      </w:tr>
      <w:tr w:rsidR="00CA7E3C" w:rsidRPr="00A27896" w14:paraId="14855309" w14:textId="76780FD6" w:rsidTr="00751780">
        <w:trPr>
          <w:trHeight w:val="204"/>
        </w:trPr>
        <w:tc>
          <w:tcPr>
            <w:tcW w:w="1058" w:type="pct"/>
            <w:tcBorders>
              <w:top w:val="single" w:sz="4" w:space="0" w:color="auto"/>
              <w:bottom w:val="single" w:sz="4" w:space="0" w:color="auto"/>
            </w:tcBorders>
            <w:vAlign w:val="center"/>
          </w:tcPr>
          <w:p w14:paraId="5DA09B9D" w14:textId="2F122F2C" w:rsidR="00CA7E3C" w:rsidRPr="00A27896" w:rsidRDefault="00CA7E3C" w:rsidP="00CA7E3C">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1B16748E" w14:textId="5A8D0C99"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5 309 779</w:t>
            </w:r>
          </w:p>
        </w:tc>
        <w:tc>
          <w:tcPr>
            <w:tcW w:w="605" w:type="pct"/>
            <w:tcBorders>
              <w:top w:val="single" w:sz="4" w:space="0" w:color="auto"/>
              <w:left w:val="nil"/>
              <w:bottom w:val="single" w:sz="4" w:space="0" w:color="auto"/>
              <w:right w:val="nil"/>
            </w:tcBorders>
            <w:shd w:val="clear" w:color="auto" w:fill="auto"/>
            <w:vAlign w:val="center"/>
          </w:tcPr>
          <w:p w14:paraId="47822581" w14:textId="74DC1C6E"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-1 203 274</w:t>
            </w:r>
          </w:p>
        </w:tc>
        <w:tc>
          <w:tcPr>
            <w:tcW w:w="682" w:type="pct"/>
            <w:tcBorders>
              <w:top w:val="single" w:sz="4" w:space="0" w:color="auto"/>
              <w:left w:val="nil"/>
              <w:bottom w:val="single" w:sz="4" w:space="0" w:color="auto"/>
              <w:right w:val="nil"/>
            </w:tcBorders>
            <w:shd w:val="clear" w:color="auto" w:fill="auto"/>
            <w:vAlign w:val="center"/>
          </w:tcPr>
          <w:p w14:paraId="66E5AF5C" w14:textId="793F358E"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4 106 505</w:t>
            </w:r>
          </w:p>
        </w:tc>
        <w:tc>
          <w:tcPr>
            <w:tcW w:w="680" w:type="pct"/>
            <w:tcBorders>
              <w:top w:val="single" w:sz="4" w:space="0" w:color="auto"/>
              <w:left w:val="nil"/>
              <w:bottom w:val="single" w:sz="4" w:space="0" w:color="auto"/>
              <w:right w:val="nil"/>
            </w:tcBorders>
            <w:shd w:val="clear" w:color="auto" w:fill="auto"/>
            <w:vAlign w:val="center"/>
          </w:tcPr>
          <w:p w14:paraId="497940CB" w14:textId="7474A481"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4 617 302</w:t>
            </w:r>
          </w:p>
        </w:tc>
        <w:tc>
          <w:tcPr>
            <w:tcW w:w="600" w:type="pct"/>
            <w:gridSpan w:val="2"/>
            <w:tcBorders>
              <w:top w:val="single" w:sz="4" w:space="0" w:color="auto"/>
              <w:left w:val="nil"/>
              <w:bottom w:val="single" w:sz="4" w:space="0" w:color="auto"/>
              <w:right w:val="nil"/>
            </w:tcBorders>
            <w:shd w:val="clear" w:color="auto" w:fill="auto"/>
            <w:vAlign w:val="center"/>
          </w:tcPr>
          <w:p w14:paraId="283155AB" w14:textId="29ADB32A"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-1 358 681</w:t>
            </w:r>
          </w:p>
        </w:tc>
        <w:tc>
          <w:tcPr>
            <w:tcW w:w="695" w:type="pct"/>
            <w:tcBorders>
              <w:top w:val="single" w:sz="4" w:space="0" w:color="auto"/>
              <w:left w:val="nil"/>
              <w:bottom w:val="single" w:sz="4" w:space="0" w:color="auto"/>
              <w:right w:val="nil"/>
            </w:tcBorders>
            <w:shd w:val="clear" w:color="auto" w:fill="auto"/>
            <w:vAlign w:val="center"/>
          </w:tcPr>
          <w:p w14:paraId="77048DDC" w14:textId="4AC6BB5E"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3 258 621</w:t>
            </w:r>
          </w:p>
        </w:tc>
      </w:tr>
      <w:tr w:rsidR="00CA7E3C" w:rsidRPr="00A27896" w14:paraId="1EE62891" w14:textId="04C31A5A" w:rsidTr="00751780">
        <w:trPr>
          <w:trHeight w:val="204"/>
        </w:trPr>
        <w:tc>
          <w:tcPr>
            <w:tcW w:w="1058" w:type="pct"/>
            <w:tcBorders>
              <w:top w:val="single" w:sz="4" w:space="0" w:color="auto"/>
              <w:bottom w:val="single" w:sz="4" w:space="0" w:color="auto"/>
            </w:tcBorders>
            <w:vAlign w:val="center"/>
          </w:tcPr>
          <w:p w14:paraId="59CF4859" w14:textId="64D68E49" w:rsidR="00CA7E3C" w:rsidRPr="00A27896" w:rsidRDefault="00CA7E3C" w:rsidP="00CA7E3C">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1EDCF0C6" w14:textId="6748392C"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759 327 776</w:t>
            </w:r>
          </w:p>
        </w:tc>
        <w:tc>
          <w:tcPr>
            <w:tcW w:w="605" w:type="pct"/>
            <w:tcBorders>
              <w:top w:val="single" w:sz="4" w:space="0" w:color="auto"/>
              <w:left w:val="nil"/>
              <w:bottom w:val="single" w:sz="4" w:space="0" w:color="auto"/>
              <w:right w:val="nil"/>
            </w:tcBorders>
            <w:shd w:val="clear" w:color="auto" w:fill="auto"/>
            <w:vAlign w:val="center"/>
          </w:tcPr>
          <w:p w14:paraId="1D0D9E18" w14:textId="4A949BB9"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-153 484</w:t>
            </w:r>
          </w:p>
        </w:tc>
        <w:tc>
          <w:tcPr>
            <w:tcW w:w="682" w:type="pct"/>
            <w:tcBorders>
              <w:top w:val="single" w:sz="4" w:space="0" w:color="auto"/>
              <w:left w:val="nil"/>
              <w:bottom w:val="single" w:sz="4" w:space="0" w:color="auto"/>
              <w:right w:val="nil"/>
            </w:tcBorders>
            <w:shd w:val="clear" w:color="auto" w:fill="auto"/>
            <w:vAlign w:val="center"/>
          </w:tcPr>
          <w:p w14:paraId="2E76CEBE" w14:textId="66CF2E25"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759 174 292</w:t>
            </w:r>
          </w:p>
        </w:tc>
        <w:tc>
          <w:tcPr>
            <w:tcW w:w="680" w:type="pct"/>
            <w:tcBorders>
              <w:top w:val="single" w:sz="4" w:space="0" w:color="auto"/>
              <w:left w:val="nil"/>
              <w:bottom w:val="single" w:sz="4" w:space="0" w:color="auto"/>
              <w:right w:val="nil"/>
            </w:tcBorders>
            <w:shd w:val="clear" w:color="auto" w:fill="auto"/>
            <w:vAlign w:val="center"/>
          </w:tcPr>
          <w:p w14:paraId="5BA9305C" w14:textId="2D73732A"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768 324 797</w:t>
            </w:r>
          </w:p>
        </w:tc>
        <w:tc>
          <w:tcPr>
            <w:tcW w:w="600" w:type="pct"/>
            <w:gridSpan w:val="2"/>
            <w:tcBorders>
              <w:top w:val="single" w:sz="4" w:space="0" w:color="auto"/>
              <w:left w:val="nil"/>
              <w:bottom w:val="single" w:sz="4" w:space="0" w:color="auto"/>
              <w:right w:val="nil"/>
            </w:tcBorders>
            <w:shd w:val="clear" w:color="auto" w:fill="auto"/>
            <w:vAlign w:val="center"/>
          </w:tcPr>
          <w:p w14:paraId="0F5FD1ED" w14:textId="7D35591C"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-150 532</w:t>
            </w:r>
          </w:p>
        </w:tc>
        <w:tc>
          <w:tcPr>
            <w:tcW w:w="695" w:type="pct"/>
            <w:tcBorders>
              <w:top w:val="single" w:sz="4" w:space="0" w:color="auto"/>
              <w:left w:val="nil"/>
              <w:bottom w:val="single" w:sz="4" w:space="0" w:color="auto"/>
              <w:right w:val="nil"/>
            </w:tcBorders>
            <w:shd w:val="clear" w:color="auto" w:fill="auto"/>
            <w:vAlign w:val="center"/>
          </w:tcPr>
          <w:p w14:paraId="4BD691B0" w14:textId="1569EAB1"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768 174 265</w:t>
            </w:r>
          </w:p>
        </w:tc>
      </w:tr>
      <w:tr w:rsidR="00CA7E3C" w:rsidRPr="00A27896" w14:paraId="174FDE37" w14:textId="019FE01D" w:rsidTr="00751780">
        <w:trPr>
          <w:trHeight w:val="204"/>
        </w:trPr>
        <w:tc>
          <w:tcPr>
            <w:tcW w:w="1058" w:type="pct"/>
            <w:tcBorders>
              <w:top w:val="single" w:sz="4" w:space="0" w:color="auto"/>
              <w:bottom w:val="single" w:sz="4" w:space="0" w:color="auto"/>
            </w:tcBorders>
            <w:vAlign w:val="center"/>
          </w:tcPr>
          <w:p w14:paraId="197F23D5" w14:textId="05861707" w:rsidR="00CA7E3C" w:rsidRPr="00A27896" w:rsidRDefault="00CA7E3C" w:rsidP="00CA7E3C">
            <w:pPr>
              <w:spacing w:after="0" w:line="240" w:lineRule="auto"/>
              <w:ind w:right="57"/>
              <w:rPr>
                <w:rFonts w:eastAsia="Times New Roman" w:cs="Times New Roman"/>
                <w:b/>
                <w:i/>
                <w:color w:val="17365D"/>
                <w:sz w:val="18"/>
                <w:szCs w:val="18"/>
                <w:lang w:eastAsia="lv-LV"/>
              </w:rPr>
            </w:pPr>
            <w:r w:rsidRPr="00A27896">
              <w:rPr>
                <w:rFonts w:eastAsia="Times New Roman" w:cs="Times New Roman"/>
                <w:b/>
                <w:i/>
                <w:color w:val="17365D"/>
                <w:sz w:val="18"/>
                <w:szCs w:val="18"/>
                <w:lang w:eastAsia="lv-LV"/>
              </w:rPr>
              <w:t>termiņš ir kavēts, bet finanšu instrumentu vērtība nav samazinājusies, sadalījumā pa kavējuma termiņiem;</w:t>
            </w:r>
          </w:p>
        </w:tc>
        <w:tc>
          <w:tcPr>
            <w:tcW w:w="680" w:type="pct"/>
            <w:gridSpan w:val="2"/>
            <w:tcBorders>
              <w:top w:val="single" w:sz="4" w:space="0" w:color="auto"/>
              <w:left w:val="nil"/>
              <w:bottom w:val="single" w:sz="4" w:space="0" w:color="auto"/>
              <w:right w:val="nil"/>
            </w:tcBorders>
            <w:shd w:val="clear" w:color="auto" w:fill="auto"/>
            <w:vAlign w:val="center"/>
          </w:tcPr>
          <w:p w14:paraId="1C4C1885" w14:textId="1E354ED2" w:rsidR="00CA7E3C" w:rsidRPr="0006157D" w:rsidRDefault="00CA7E3C" w:rsidP="00CA7E3C">
            <w:pPr>
              <w:spacing w:after="0" w:line="240" w:lineRule="auto"/>
              <w:ind w:right="57"/>
              <w:jc w:val="right"/>
              <w:rPr>
                <w:rFonts w:eastAsia="Times New Roman" w:cs="Times New Roman"/>
                <w:b/>
                <w:color w:val="17365D"/>
                <w:sz w:val="18"/>
                <w:szCs w:val="18"/>
                <w:lang w:eastAsia="lv-LV"/>
              </w:rPr>
            </w:pPr>
            <w:r w:rsidRPr="0006157D">
              <w:rPr>
                <w:rFonts w:eastAsia="Times New Roman" w:cs="Times New Roman"/>
                <w:b/>
                <w:color w:val="17365D"/>
                <w:sz w:val="18"/>
                <w:szCs w:val="18"/>
                <w:lang w:eastAsia="lv-LV"/>
              </w:rPr>
              <w:t>609 793</w:t>
            </w:r>
          </w:p>
        </w:tc>
        <w:tc>
          <w:tcPr>
            <w:tcW w:w="605" w:type="pct"/>
            <w:tcBorders>
              <w:top w:val="single" w:sz="4" w:space="0" w:color="auto"/>
              <w:left w:val="nil"/>
              <w:bottom w:val="single" w:sz="4" w:space="0" w:color="auto"/>
              <w:right w:val="nil"/>
            </w:tcBorders>
            <w:shd w:val="clear" w:color="auto" w:fill="auto"/>
            <w:vAlign w:val="center"/>
          </w:tcPr>
          <w:p w14:paraId="2E5573DE" w14:textId="4F0A96BA" w:rsidR="00CA7E3C" w:rsidRPr="0006157D" w:rsidRDefault="00CA7E3C" w:rsidP="00CA7E3C">
            <w:pPr>
              <w:spacing w:after="0" w:line="240" w:lineRule="auto"/>
              <w:ind w:right="57"/>
              <w:jc w:val="right"/>
              <w:rPr>
                <w:rFonts w:eastAsia="Times New Roman" w:cs="Times New Roman"/>
                <w:b/>
                <w:color w:val="17365D"/>
                <w:sz w:val="18"/>
                <w:szCs w:val="18"/>
                <w:lang w:eastAsia="lv-LV"/>
              </w:rPr>
            </w:pPr>
            <w:r w:rsidRPr="0006157D">
              <w:rPr>
                <w:rFonts w:eastAsia="Times New Roman" w:cs="Times New Roman"/>
                <w:b/>
                <w:color w:val="17365D"/>
                <w:sz w:val="18"/>
                <w:szCs w:val="18"/>
                <w:lang w:eastAsia="lv-LV"/>
              </w:rPr>
              <w:t>x</w:t>
            </w:r>
          </w:p>
        </w:tc>
        <w:tc>
          <w:tcPr>
            <w:tcW w:w="682" w:type="pct"/>
            <w:tcBorders>
              <w:top w:val="single" w:sz="4" w:space="0" w:color="auto"/>
              <w:left w:val="nil"/>
              <w:bottom w:val="single" w:sz="4" w:space="0" w:color="auto"/>
              <w:right w:val="nil"/>
            </w:tcBorders>
            <w:shd w:val="clear" w:color="auto" w:fill="auto"/>
            <w:vAlign w:val="center"/>
          </w:tcPr>
          <w:p w14:paraId="1F4AE56A" w14:textId="4D0CD898" w:rsidR="00CA7E3C" w:rsidRPr="0006157D" w:rsidRDefault="00CA7E3C" w:rsidP="00CA7E3C">
            <w:pPr>
              <w:spacing w:after="0" w:line="240" w:lineRule="auto"/>
              <w:ind w:right="57"/>
              <w:jc w:val="right"/>
              <w:rPr>
                <w:rFonts w:eastAsia="Times New Roman" w:cs="Times New Roman"/>
                <w:b/>
                <w:color w:val="17365D"/>
                <w:sz w:val="18"/>
                <w:szCs w:val="18"/>
                <w:lang w:eastAsia="lv-LV"/>
              </w:rPr>
            </w:pPr>
            <w:r w:rsidRPr="0006157D">
              <w:rPr>
                <w:rFonts w:eastAsia="Times New Roman" w:cs="Times New Roman"/>
                <w:b/>
                <w:color w:val="17365D"/>
                <w:sz w:val="18"/>
                <w:szCs w:val="18"/>
                <w:lang w:eastAsia="lv-LV"/>
              </w:rPr>
              <w:t>609 793</w:t>
            </w:r>
          </w:p>
        </w:tc>
        <w:tc>
          <w:tcPr>
            <w:tcW w:w="680" w:type="pct"/>
            <w:tcBorders>
              <w:top w:val="single" w:sz="4" w:space="0" w:color="auto"/>
              <w:left w:val="nil"/>
              <w:bottom w:val="single" w:sz="4" w:space="0" w:color="auto"/>
              <w:right w:val="nil"/>
            </w:tcBorders>
            <w:shd w:val="clear" w:color="auto" w:fill="auto"/>
            <w:vAlign w:val="center"/>
          </w:tcPr>
          <w:p w14:paraId="1A450B9B" w14:textId="63FE1FE9" w:rsidR="00CA7E3C" w:rsidRPr="0006157D" w:rsidRDefault="00CA7E3C" w:rsidP="00CA7E3C">
            <w:pPr>
              <w:spacing w:after="0" w:line="240" w:lineRule="auto"/>
              <w:ind w:right="57"/>
              <w:jc w:val="right"/>
              <w:rPr>
                <w:rFonts w:eastAsia="Times New Roman" w:cs="Times New Roman"/>
                <w:b/>
                <w:color w:val="17365D"/>
                <w:sz w:val="18"/>
                <w:szCs w:val="18"/>
                <w:lang w:eastAsia="lv-LV"/>
              </w:rPr>
            </w:pPr>
            <w:r w:rsidRPr="0006157D">
              <w:rPr>
                <w:rFonts w:eastAsia="Times New Roman" w:cs="Times New Roman"/>
                <w:b/>
                <w:color w:val="17365D"/>
                <w:sz w:val="18"/>
                <w:szCs w:val="18"/>
                <w:lang w:eastAsia="lv-LV"/>
              </w:rPr>
              <w:t>363 499</w:t>
            </w:r>
          </w:p>
        </w:tc>
        <w:tc>
          <w:tcPr>
            <w:tcW w:w="600" w:type="pct"/>
            <w:gridSpan w:val="2"/>
            <w:tcBorders>
              <w:top w:val="single" w:sz="4" w:space="0" w:color="auto"/>
              <w:left w:val="nil"/>
              <w:bottom w:val="single" w:sz="4" w:space="0" w:color="auto"/>
              <w:right w:val="nil"/>
            </w:tcBorders>
            <w:shd w:val="clear" w:color="auto" w:fill="auto"/>
            <w:vAlign w:val="center"/>
          </w:tcPr>
          <w:p w14:paraId="65C2C5C2" w14:textId="57C38617" w:rsidR="00CA7E3C" w:rsidRPr="0006157D" w:rsidRDefault="00CA7E3C" w:rsidP="00CA7E3C">
            <w:pPr>
              <w:spacing w:after="0" w:line="240" w:lineRule="auto"/>
              <w:ind w:right="57"/>
              <w:jc w:val="right"/>
              <w:rPr>
                <w:rFonts w:eastAsia="Times New Roman" w:cs="Times New Roman"/>
                <w:b/>
                <w:color w:val="17365D"/>
                <w:sz w:val="18"/>
                <w:szCs w:val="18"/>
                <w:lang w:eastAsia="lv-LV"/>
              </w:rPr>
            </w:pPr>
            <w:r w:rsidRPr="0006157D">
              <w:rPr>
                <w:rFonts w:eastAsia="Times New Roman" w:cs="Times New Roman"/>
                <w:b/>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vAlign w:val="center"/>
          </w:tcPr>
          <w:p w14:paraId="6D655D79" w14:textId="17D400AD" w:rsidR="00CA7E3C" w:rsidRPr="0006157D" w:rsidRDefault="00CA7E3C" w:rsidP="00CA7E3C">
            <w:pPr>
              <w:spacing w:after="0" w:line="240" w:lineRule="auto"/>
              <w:ind w:right="57"/>
              <w:jc w:val="right"/>
              <w:rPr>
                <w:rFonts w:eastAsia="Times New Roman" w:cs="Times New Roman"/>
                <w:b/>
                <w:color w:val="17365D"/>
                <w:sz w:val="18"/>
                <w:szCs w:val="18"/>
                <w:lang w:eastAsia="lv-LV"/>
              </w:rPr>
            </w:pPr>
            <w:r w:rsidRPr="0006157D">
              <w:rPr>
                <w:rFonts w:eastAsia="Times New Roman" w:cs="Times New Roman"/>
                <w:b/>
                <w:color w:val="17365D"/>
                <w:sz w:val="18"/>
                <w:szCs w:val="18"/>
                <w:lang w:eastAsia="lv-LV"/>
              </w:rPr>
              <w:t>363 499</w:t>
            </w:r>
          </w:p>
        </w:tc>
      </w:tr>
      <w:tr w:rsidR="00CA7E3C" w:rsidRPr="00A27896" w14:paraId="71EC80B3" w14:textId="64BFD9DA" w:rsidTr="00751780">
        <w:trPr>
          <w:trHeight w:val="204"/>
        </w:trPr>
        <w:tc>
          <w:tcPr>
            <w:tcW w:w="1058" w:type="pct"/>
            <w:tcBorders>
              <w:top w:val="single" w:sz="4" w:space="0" w:color="auto"/>
              <w:bottom w:val="single" w:sz="4" w:space="0" w:color="auto"/>
            </w:tcBorders>
            <w:vAlign w:val="center"/>
          </w:tcPr>
          <w:p w14:paraId="6E0C9B20" w14:textId="586750FD" w:rsidR="00CA7E3C" w:rsidRPr="00A27896" w:rsidRDefault="00CA7E3C" w:rsidP="00CA7E3C">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tcPr>
          <w:p w14:paraId="6E4E1D74" w14:textId="0177FA9D"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591 692</w:t>
            </w:r>
          </w:p>
        </w:tc>
        <w:tc>
          <w:tcPr>
            <w:tcW w:w="605" w:type="pct"/>
            <w:tcBorders>
              <w:top w:val="single" w:sz="4" w:space="0" w:color="auto"/>
              <w:left w:val="nil"/>
              <w:bottom w:val="single" w:sz="4" w:space="0" w:color="auto"/>
              <w:right w:val="nil"/>
            </w:tcBorders>
            <w:shd w:val="clear" w:color="auto" w:fill="auto"/>
          </w:tcPr>
          <w:p w14:paraId="45CCD2C4" w14:textId="72D60E75"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x</w:t>
            </w:r>
          </w:p>
        </w:tc>
        <w:tc>
          <w:tcPr>
            <w:tcW w:w="682" w:type="pct"/>
            <w:tcBorders>
              <w:top w:val="single" w:sz="4" w:space="0" w:color="auto"/>
              <w:left w:val="nil"/>
              <w:bottom w:val="single" w:sz="4" w:space="0" w:color="auto"/>
              <w:right w:val="nil"/>
            </w:tcBorders>
            <w:shd w:val="clear" w:color="auto" w:fill="auto"/>
          </w:tcPr>
          <w:p w14:paraId="5DBE8B22" w14:textId="18F58BE7"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591 692</w:t>
            </w:r>
          </w:p>
        </w:tc>
        <w:tc>
          <w:tcPr>
            <w:tcW w:w="680" w:type="pct"/>
            <w:tcBorders>
              <w:top w:val="single" w:sz="4" w:space="0" w:color="auto"/>
              <w:left w:val="nil"/>
              <w:bottom w:val="single" w:sz="4" w:space="0" w:color="auto"/>
              <w:right w:val="nil"/>
            </w:tcBorders>
            <w:shd w:val="clear" w:color="auto" w:fill="auto"/>
          </w:tcPr>
          <w:p w14:paraId="1DDCA89D" w14:textId="1F04E36E"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339 506</w:t>
            </w:r>
          </w:p>
        </w:tc>
        <w:tc>
          <w:tcPr>
            <w:tcW w:w="600" w:type="pct"/>
            <w:gridSpan w:val="2"/>
            <w:tcBorders>
              <w:top w:val="single" w:sz="4" w:space="0" w:color="auto"/>
              <w:left w:val="nil"/>
              <w:bottom w:val="single" w:sz="4" w:space="0" w:color="auto"/>
              <w:right w:val="nil"/>
            </w:tcBorders>
            <w:shd w:val="clear" w:color="auto" w:fill="auto"/>
          </w:tcPr>
          <w:p w14:paraId="60A2081C" w14:textId="1995A384"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tcPr>
          <w:p w14:paraId="2F155EFB" w14:textId="1CAECD68"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339 506</w:t>
            </w:r>
          </w:p>
        </w:tc>
      </w:tr>
      <w:tr w:rsidR="00CA7E3C" w:rsidRPr="00A27896" w14:paraId="4EBF1D5F" w14:textId="61E99467" w:rsidTr="00751780">
        <w:trPr>
          <w:trHeight w:val="204"/>
        </w:trPr>
        <w:tc>
          <w:tcPr>
            <w:tcW w:w="1058" w:type="pct"/>
            <w:tcBorders>
              <w:top w:val="single" w:sz="4" w:space="0" w:color="auto"/>
              <w:bottom w:val="single" w:sz="4" w:space="0" w:color="auto"/>
            </w:tcBorders>
            <w:vAlign w:val="center"/>
          </w:tcPr>
          <w:p w14:paraId="19123BB4" w14:textId="263B4E34" w:rsidR="00CA7E3C" w:rsidRPr="00A27896" w:rsidRDefault="00CA7E3C" w:rsidP="00CA7E3C">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tcPr>
          <w:p w14:paraId="0A547367" w14:textId="790AC913"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2 178</w:t>
            </w:r>
          </w:p>
        </w:tc>
        <w:tc>
          <w:tcPr>
            <w:tcW w:w="605" w:type="pct"/>
            <w:tcBorders>
              <w:top w:val="single" w:sz="4" w:space="0" w:color="auto"/>
              <w:left w:val="nil"/>
              <w:bottom w:val="single" w:sz="4" w:space="0" w:color="auto"/>
              <w:right w:val="nil"/>
            </w:tcBorders>
            <w:shd w:val="clear" w:color="auto" w:fill="auto"/>
          </w:tcPr>
          <w:p w14:paraId="64DBFDF9" w14:textId="2DD0C3E2"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x</w:t>
            </w:r>
          </w:p>
        </w:tc>
        <w:tc>
          <w:tcPr>
            <w:tcW w:w="682" w:type="pct"/>
            <w:tcBorders>
              <w:top w:val="single" w:sz="4" w:space="0" w:color="auto"/>
              <w:left w:val="nil"/>
              <w:bottom w:val="single" w:sz="4" w:space="0" w:color="auto"/>
              <w:right w:val="nil"/>
            </w:tcBorders>
            <w:shd w:val="clear" w:color="auto" w:fill="auto"/>
          </w:tcPr>
          <w:p w14:paraId="66AB2534" w14:textId="3CF770D2"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2 178</w:t>
            </w:r>
          </w:p>
        </w:tc>
        <w:tc>
          <w:tcPr>
            <w:tcW w:w="680" w:type="pct"/>
            <w:tcBorders>
              <w:top w:val="single" w:sz="4" w:space="0" w:color="auto"/>
              <w:left w:val="nil"/>
              <w:bottom w:val="single" w:sz="4" w:space="0" w:color="auto"/>
              <w:right w:val="nil"/>
            </w:tcBorders>
            <w:shd w:val="clear" w:color="auto" w:fill="auto"/>
          </w:tcPr>
          <w:p w14:paraId="0A474C1A" w14:textId="7BAFF935"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1 796</w:t>
            </w:r>
          </w:p>
        </w:tc>
        <w:tc>
          <w:tcPr>
            <w:tcW w:w="600" w:type="pct"/>
            <w:gridSpan w:val="2"/>
            <w:tcBorders>
              <w:top w:val="single" w:sz="4" w:space="0" w:color="auto"/>
              <w:left w:val="nil"/>
              <w:bottom w:val="single" w:sz="4" w:space="0" w:color="auto"/>
              <w:right w:val="nil"/>
            </w:tcBorders>
            <w:shd w:val="clear" w:color="auto" w:fill="auto"/>
          </w:tcPr>
          <w:p w14:paraId="735438A6" w14:textId="28F86D0D"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tcPr>
          <w:p w14:paraId="58EF2FB9" w14:textId="5D7C5CDE"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1 796</w:t>
            </w:r>
          </w:p>
        </w:tc>
      </w:tr>
      <w:tr w:rsidR="00CA7E3C" w:rsidRPr="00A27896" w14:paraId="5E4F4130" w14:textId="77777777" w:rsidTr="00751780">
        <w:trPr>
          <w:trHeight w:val="204"/>
        </w:trPr>
        <w:tc>
          <w:tcPr>
            <w:tcW w:w="1058" w:type="pct"/>
            <w:tcBorders>
              <w:top w:val="single" w:sz="4" w:space="0" w:color="auto"/>
              <w:bottom w:val="single" w:sz="4" w:space="0" w:color="auto"/>
            </w:tcBorders>
            <w:vAlign w:val="center"/>
          </w:tcPr>
          <w:p w14:paraId="7CD7414B" w14:textId="7805EDDE" w:rsidR="00CA7E3C" w:rsidRPr="00A27896" w:rsidRDefault="00CA7E3C" w:rsidP="00CA7E3C">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tcPr>
          <w:p w14:paraId="68F0E3D0" w14:textId="0703A5FD"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3 009</w:t>
            </w:r>
          </w:p>
        </w:tc>
        <w:tc>
          <w:tcPr>
            <w:tcW w:w="605" w:type="pct"/>
            <w:tcBorders>
              <w:top w:val="single" w:sz="4" w:space="0" w:color="auto"/>
              <w:left w:val="nil"/>
              <w:bottom w:val="single" w:sz="4" w:space="0" w:color="auto"/>
              <w:right w:val="nil"/>
            </w:tcBorders>
            <w:shd w:val="clear" w:color="auto" w:fill="auto"/>
          </w:tcPr>
          <w:p w14:paraId="7C608F48" w14:textId="32039F9F"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x</w:t>
            </w:r>
          </w:p>
        </w:tc>
        <w:tc>
          <w:tcPr>
            <w:tcW w:w="682" w:type="pct"/>
            <w:tcBorders>
              <w:top w:val="single" w:sz="4" w:space="0" w:color="auto"/>
              <w:left w:val="nil"/>
              <w:bottom w:val="single" w:sz="4" w:space="0" w:color="auto"/>
              <w:right w:val="nil"/>
            </w:tcBorders>
            <w:shd w:val="clear" w:color="auto" w:fill="auto"/>
          </w:tcPr>
          <w:p w14:paraId="1F65AC81" w14:textId="500F5FE4"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3 009</w:t>
            </w:r>
          </w:p>
        </w:tc>
        <w:tc>
          <w:tcPr>
            <w:tcW w:w="680" w:type="pct"/>
            <w:tcBorders>
              <w:top w:val="single" w:sz="4" w:space="0" w:color="auto"/>
              <w:left w:val="nil"/>
              <w:bottom w:val="single" w:sz="4" w:space="0" w:color="auto"/>
              <w:right w:val="nil"/>
            </w:tcBorders>
            <w:shd w:val="clear" w:color="auto" w:fill="auto"/>
          </w:tcPr>
          <w:p w14:paraId="1A978158" w14:textId="78DE9274"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1 505</w:t>
            </w:r>
          </w:p>
        </w:tc>
        <w:tc>
          <w:tcPr>
            <w:tcW w:w="600" w:type="pct"/>
            <w:gridSpan w:val="2"/>
            <w:tcBorders>
              <w:top w:val="single" w:sz="4" w:space="0" w:color="auto"/>
              <w:left w:val="nil"/>
              <w:bottom w:val="single" w:sz="4" w:space="0" w:color="auto"/>
              <w:right w:val="nil"/>
            </w:tcBorders>
            <w:shd w:val="clear" w:color="auto" w:fill="auto"/>
          </w:tcPr>
          <w:p w14:paraId="4149D473" w14:textId="0DA56A2C"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tcPr>
          <w:p w14:paraId="4868248E" w14:textId="1DE6E18B" w:rsidR="00CA7E3C" w:rsidRPr="00CA7E3C" w:rsidRDefault="00CA7E3C" w:rsidP="00CA7E3C">
            <w:pPr>
              <w:spacing w:after="0" w:line="240" w:lineRule="auto"/>
              <w:ind w:right="57"/>
              <w:jc w:val="right"/>
              <w:rPr>
                <w:rFonts w:eastAsia="Times New Roman" w:cs="Times New Roman"/>
                <w:color w:val="17365D"/>
                <w:sz w:val="18"/>
                <w:szCs w:val="18"/>
                <w:lang w:eastAsia="lv-LV"/>
              </w:rPr>
            </w:pPr>
            <w:r w:rsidRPr="00CA7E3C">
              <w:rPr>
                <w:rFonts w:eastAsia="Times New Roman" w:cs="Times New Roman"/>
                <w:color w:val="17365D"/>
                <w:sz w:val="18"/>
                <w:szCs w:val="18"/>
                <w:lang w:eastAsia="lv-LV"/>
              </w:rPr>
              <w:t>1 505</w:t>
            </w:r>
          </w:p>
        </w:tc>
      </w:tr>
      <w:tr w:rsidR="00256258" w:rsidRPr="00A27896" w14:paraId="2172A14E" w14:textId="47BA2B3D" w:rsidTr="00751780">
        <w:trPr>
          <w:trHeight w:val="204"/>
        </w:trPr>
        <w:tc>
          <w:tcPr>
            <w:tcW w:w="1058" w:type="pct"/>
            <w:tcBorders>
              <w:top w:val="single" w:sz="4" w:space="0" w:color="auto"/>
              <w:bottom w:val="single" w:sz="4" w:space="0" w:color="auto"/>
            </w:tcBorders>
            <w:vAlign w:val="center"/>
          </w:tcPr>
          <w:p w14:paraId="01BD2323" w14:textId="059227B7" w:rsidR="00256258" w:rsidRPr="00A27896" w:rsidRDefault="00256258" w:rsidP="00256258">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tcPr>
          <w:p w14:paraId="4FF99A34" w14:textId="5C47BC17"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12 914</w:t>
            </w:r>
          </w:p>
        </w:tc>
        <w:tc>
          <w:tcPr>
            <w:tcW w:w="605" w:type="pct"/>
            <w:tcBorders>
              <w:top w:val="single" w:sz="4" w:space="0" w:color="auto"/>
              <w:left w:val="nil"/>
              <w:bottom w:val="single" w:sz="4" w:space="0" w:color="auto"/>
              <w:right w:val="nil"/>
            </w:tcBorders>
            <w:shd w:val="clear" w:color="auto" w:fill="auto"/>
          </w:tcPr>
          <w:p w14:paraId="359DA857" w14:textId="0D7CD8C4"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x</w:t>
            </w:r>
          </w:p>
        </w:tc>
        <w:tc>
          <w:tcPr>
            <w:tcW w:w="682" w:type="pct"/>
            <w:tcBorders>
              <w:top w:val="single" w:sz="4" w:space="0" w:color="auto"/>
              <w:left w:val="nil"/>
              <w:bottom w:val="single" w:sz="4" w:space="0" w:color="auto"/>
              <w:right w:val="nil"/>
            </w:tcBorders>
            <w:shd w:val="clear" w:color="auto" w:fill="auto"/>
          </w:tcPr>
          <w:p w14:paraId="7C4FEE37" w14:textId="21F24E63"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12 914</w:t>
            </w:r>
          </w:p>
        </w:tc>
        <w:tc>
          <w:tcPr>
            <w:tcW w:w="680" w:type="pct"/>
            <w:tcBorders>
              <w:top w:val="single" w:sz="4" w:space="0" w:color="auto"/>
              <w:left w:val="nil"/>
              <w:bottom w:val="single" w:sz="4" w:space="0" w:color="auto"/>
              <w:right w:val="nil"/>
            </w:tcBorders>
            <w:shd w:val="clear" w:color="auto" w:fill="auto"/>
          </w:tcPr>
          <w:p w14:paraId="278FF650" w14:textId="488BB53D"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20 692</w:t>
            </w:r>
          </w:p>
        </w:tc>
        <w:tc>
          <w:tcPr>
            <w:tcW w:w="600" w:type="pct"/>
            <w:gridSpan w:val="2"/>
            <w:tcBorders>
              <w:top w:val="single" w:sz="4" w:space="0" w:color="auto"/>
              <w:left w:val="nil"/>
              <w:bottom w:val="single" w:sz="4" w:space="0" w:color="auto"/>
              <w:right w:val="nil"/>
            </w:tcBorders>
            <w:shd w:val="clear" w:color="auto" w:fill="auto"/>
          </w:tcPr>
          <w:p w14:paraId="3F32BE5F" w14:textId="5AD0F784"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tcPr>
          <w:p w14:paraId="4C198D44" w14:textId="2D5E1224"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20 692</w:t>
            </w:r>
          </w:p>
        </w:tc>
      </w:tr>
      <w:tr w:rsidR="00256258" w:rsidRPr="00A27896" w14:paraId="4CD5401D" w14:textId="0B4D35D5" w:rsidTr="00751780">
        <w:trPr>
          <w:trHeight w:val="204"/>
        </w:trPr>
        <w:tc>
          <w:tcPr>
            <w:tcW w:w="1058" w:type="pct"/>
            <w:tcBorders>
              <w:top w:val="single" w:sz="4" w:space="0" w:color="auto"/>
              <w:bottom w:val="single" w:sz="4" w:space="0" w:color="auto"/>
            </w:tcBorders>
            <w:vAlign w:val="center"/>
          </w:tcPr>
          <w:p w14:paraId="56BC4929" w14:textId="17935F46" w:rsidR="00256258" w:rsidRPr="00A27896" w:rsidRDefault="00256258" w:rsidP="00256258">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lastRenderedPageBreak/>
              <w:t>Vērtspapīri</w:t>
            </w:r>
          </w:p>
        </w:tc>
        <w:tc>
          <w:tcPr>
            <w:tcW w:w="680" w:type="pct"/>
            <w:gridSpan w:val="2"/>
            <w:tcBorders>
              <w:top w:val="single" w:sz="4" w:space="0" w:color="auto"/>
              <w:left w:val="nil"/>
              <w:bottom w:val="single" w:sz="4" w:space="0" w:color="auto"/>
              <w:right w:val="nil"/>
            </w:tcBorders>
            <w:shd w:val="clear" w:color="auto" w:fill="auto"/>
          </w:tcPr>
          <w:p w14:paraId="104F8A55" w14:textId="242B0811"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5 101</w:t>
            </w:r>
          </w:p>
        </w:tc>
        <w:tc>
          <w:tcPr>
            <w:tcW w:w="605" w:type="pct"/>
            <w:tcBorders>
              <w:top w:val="single" w:sz="4" w:space="0" w:color="auto"/>
              <w:left w:val="nil"/>
              <w:bottom w:val="single" w:sz="4" w:space="0" w:color="auto"/>
              <w:right w:val="nil"/>
            </w:tcBorders>
            <w:shd w:val="clear" w:color="auto" w:fill="auto"/>
          </w:tcPr>
          <w:p w14:paraId="567A8996" w14:textId="565BFC19"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x</w:t>
            </w:r>
          </w:p>
        </w:tc>
        <w:tc>
          <w:tcPr>
            <w:tcW w:w="682" w:type="pct"/>
            <w:tcBorders>
              <w:top w:val="single" w:sz="4" w:space="0" w:color="auto"/>
              <w:left w:val="nil"/>
              <w:bottom w:val="single" w:sz="4" w:space="0" w:color="auto"/>
              <w:right w:val="nil"/>
            </w:tcBorders>
            <w:shd w:val="clear" w:color="auto" w:fill="auto"/>
          </w:tcPr>
          <w:p w14:paraId="35FD2DDD" w14:textId="21E40538"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5 101</w:t>
            </w:r>
          </w:p>
        </w:tc>
        <w:tc>
          <w:tcPr>
            <w:tcW w:w="680" w:type="pct"/>
            <w:tcBorders>
              <w:top w:val="single" w:sz="4" w:space="0" w:color="auto"/>
              <w:left w:val="nil"/>
              <w:bottom w:val="single" w:sz="4" w:space="0" w:color="auto"/>
              <w:right w:val="nil"/>
            </w:tcBorders>
            <w:shd w:val="clear" w:color="auto" w:fill="auto"/>
          </w:tcPr>
          <w:p w14:paraId="02D673AB" w14:textId="44CCF15F"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5 101</w:t>
            </w:r>
          </w:p>
        </w:tc>
        <w:tc>
          <w:tcPr>
            <w:tcW w:w="600" w:type="pct"/>
            <w:gridSpan w:val="2"/>
            <w:tcBorders>
              <w:top w:val="single" w:sz="4" w:space="0" w:color="auto"/>
              <w:left w:val="nil"/>
              <w:bottom w:val="single" w:sz="4" w:space="0" w:color="auto"/>
              <w:right w:val="nil"/>
            </w:tcBorders>
            <w:shd w:val="clear" w:color="auto" w:fill="auto"/>
          </w:tcPr>
          <w:p w14:paraId="4ED42B91" w14:textId="1A92CACD"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tcPr>
          <w:p w14:paraId="2C16F4D6" w14:textId="611B93D7"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5 101</w:t>
            </w:r>
          </w:p>
        </w:tc>
      </w:tr>
      <w:tr w:rsidR="00256258" w:rsidRPr="00A27896" w14:paraId="3BFFFBE5" w14:textId="07BB8206" w:rsidTr="00751780">
        <w:trPr>
          <w:trHeight w:val="204"/>
        </w:trPr>
        <w:tc>
          <w:tcPr>
            <w:tcW w:w="1058" w:type="pct"/>
            <w:tcBorders>
              <w:top w:val="single" w:sz="4" w:space="0" w:color="auto"/>
              <w:bottom w:val="single" w:sz="4" w:space="0" w:color="auto"/>
            </w:tcBorders>
            <w:vAlign w:val="center"/>
          </w:tcPr>
          <w:p w14:paraId="1D2A1141" w14:textId="41B88195" w:rsidR="00256258" w:rsidRPr="00A27896" w:rsidRDefault="00256258" w:rsidP="00256258">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tcPr>
          <w:p w14:paraId="71E4B670" w14:textId="75124D40"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5 101</w:t>
            </w:r>
          </w:p>
        </w:tc>
        <w:tc>
          <w:tcPr>
            <w:tcW w:w="605" w:type="pct"/>
            <w:tcBorders>
              <w:top w:val="single" w:sz="4" w:space="0" w:color="auto"/>
              <w:left w:val="nil"/>
              <w:bottom w:val="single" w:sz="4" w:space="0" w:color="auto"/>
              <w:right w:val="nil"/>
            </w:tcBorders>
            <w:shd w:val="clear" w:color="auto" w:fill="auto"/>
          </w:tcPr>
          <w:p w14:paraId="6E37DFFE" w14:textId="2EB7FB18"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x</w:t>
            </w:r>
          </w:p>
        </w:tc>
        <w:tc>
          <w:tcPr>
            <w:tcW w:w="682" w:type="pct"/>
            <w:tcBorders>
              <w:top w:val="single" w:sz="4" w:space="0" w:color="auto"/>
              <w:left w:val="nil"/>
              <w:bottom w:val="single" w:sz="4" w:space="0" w:color="auto"/>
              <w:right w:val="nil"/>
            </w:tcBorders>
            <w:shd w:val="clear" w:color="auto" w:fill="auto"/>
          </w:tcPr>
          <w:p w14:paraId="70991678" w14:textId="2804658C"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5 101</w:t>
            </w:r>
          </w:p>
        </w:tc>
        <w:tc>
          <w:tcPr>
            <w:tcW w:w="680" w:type="pct"/>
            <w:tcBorders>
              <w:top w:val="single" w:sz="4" w:space="0" w:color="auto"/>
              <w:left w:val="nil"/>
              <w:bottom w:val="single" w:sz="4" w:space="0" w:color="auto"/>
              <w:right w:val="nil"/>
            </w:tcBorders>
            <w:shd w:val="clear" w:color="auto" w:fill="auto"/>
          </w:tcPr>
          <w:p w14:paraId="008709D5" w14:textId="7D7B7D66"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5 101</w:t>
            </w:r>
          </w:p>
        </w:tc>
        <w:tc>
          <w:tcPr>
            <w:tcW w:w="600" w:type="pct"/>
            <w:gridSpan w:val="2"/>
            <w:tcBorders>
              <w:top w:val="single" w:sz="4" w:space="0" w:color="auto"/>
              <w:left w:val="nil"/>
              <w:bottom w:val="single" w:sz="4" w:space="0" w:color="auto"/>
              <w:right w:val="nil"/>
            </w:tcBorders>
            <w:shd w:val="clear" w:color="auto" w:fill="auto"/>
          </w:tcPr>
          <w:p w14:paraId="37926E64" w14:textId="1B408200"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tcPr>
          <w:p w14:paraId="3F77D036" w14:textId="55F3C739" w:rsidR="00256258" w:rsidRPr="00256258" w:rsidRDefault="00256258" w:rsidP="00256258">
            <w:pPr>
              <w:spacing w:after="0" w:line="240" w:lineRule="auto"/>
              <w:ind w:right="57"/>
              <w:jc w:val="right"/>
              <w:rPr>
                <w:rFonts w:eastAsia="Times New Roman" w:cs="Times New Roman"/>
                <w:color w:val="17365D"/>
                <w:sz w:val="18"/>
                <w:szCs w:val="18"/>
                <w:lang w:eastAsia="lv-LV"/>
              </w:rPr>
            </w:pPr>
            <w:r w:rsidRPr="00256258">
              <w:rPr>
                <w:rFonts w:eastAsia="Times New Roman" w:cs="Times New Roman"/>
                <w:color w:val="17365D"/>
                <w:sz w:val="18"/>
                <w:szCs w:val="18"/>
                <w:lang w:eastAsia="lv-LV"/>
              </w:rPr>
              <w:t>5 101</w:t>
            </w:r>
          </w:p>
        </w:tc>
      </w:tr>
      <w:tr w:rsidR="000D0DBD" w:rsidRPr="00A27896" w14:paraId="5223C503" w14:textId="727B6BA6" w:rsidTr="00751780">
        <w:trPr>
          <w:trHeight w:val="204"/>
        </w:trPr>
        <w:tc>
          <w:tcPr>
            <w:tcW w:w="1058" w:type="pct"/>
            <w:tcBorders>
              <w:top w:val="single" w:sz="4" w:space="0" w:color="auto"/>
              <w:bottom w:val="single" w:sz="4" w:space="0" w:color="auto"/>
            </w:tcBorders>
            <w:vAlign w:val="center"/>
          </w:tcPr>
          <w:p w14:paraId="27345C25" w14:textId="3857FF71" w:rsidR="000D0DBD" w:rsidRPr="00A27896" w:rsidRDefault="000D0DBD" w:rsidP="000D0DBD">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680" w:type="pct"/>
            <w:gridSpan w:val="2"/>
            <w:tcBorders>
              <w:top w:val="single" w:sz="4" w:space="0" w:color="auto"/>
              <w:left w:val="nil"/>
              <w:bottom w:val="single" w:sz="4" w:space="0" w:color="auto"/>
              <w:right w:val="nil"/>
            </w:tcBorders>
            <w:shd w:val="clear" w:color="auto" w:fill="auto"/>
          </w:tcPr>
          <w:p w14:paraId="1EBFC691" w14:textId="1E34FEFE"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604 692</w:t>
            </w:r>
          </w:p>
        </w:tc>
        <w:tc>
          <w:tcPr>
            <w:tcW w:w="605" w:type="pct"/>
            <w:tcBorders>
              <w:top w:val="single" w:sz="4" w:space="0" w:color="auto"/>
              <w:left w:val="nil"/>
              <w:bottom w:val="single" w:sz="4" w:space="0" w:color="auto"/>
              <w:right w:val="nil"/>
            </w:tcBorders>
            <w:shd w:val="clear" w:color="auto" w:fill="auto"/>
          </w:tcPr>
          <w:p w14:paraId="3E317B52" w14:textId="72270E64"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x</w:t>
            </w:r>
          </w:p>
        </w:tc>
        <w:tc>
          <w:tcPr>
            <w:tcW w:w="682" w:type="pct"/>
            <w:tcBorders>
              <w:top w:val="single" w:sz="4" w:space="0" w:color="auto"/>
              <w:left w:val="nil"/>
              <w:bottom w:val="single" w:sz="4" w:space="0" w:color="auto"/>
              <w:right w:val="nil"/>
            </w:tcBorders>
            <w:shd w:val="clear" w:color="auto" w:fill="auto"/>
          </w:tcPr>
          <w:p w14:paraId="0B54E00B" w14:textId="5F601467"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604 692</w:t>
            </w:r>
          </w:p>
        </w:tc>
        <w:tc>
          <w:tcPr>
            <w:tcW w:w="680" w:type="pct"/>
            <w:tcBorders>
              <w:top w:val="single" w:sz="4" w:space="0" w:color="auto"/>
              <w:left w:val="nil"/>
              <w:bottom w:val="single" w:sz="4" w:space="0" w:color="auto"/>
              <w:right w:val="nil"/>
            </w:tcBorders>
            <w:shd w:val="clear" w:color="auto" w:fill="auto"/>
          </w:tcPr>
          <w:p w14:paraId="6C821A3B" w14:textId="03FB99D9"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358 398</w:t>
            </w:r>
          </w:p>
        </w:tc>
        <w:tc>
          <w:tcPr>
            <w:tcW w:w="600" w:type="pct"/>
            <w:gridSpan w:val="2"/>
            <w:tcBorders>
              <w:top w:val="single" w:sz="4" w:space="0" w:color="auto"/>
              <w:left w:val="nil"/>
              <w:bottom w:val="single" w:sz="4" w:space="0" w:color="auto"/>
              <w:right w:val="nil"/>
            </w:tcBorders>
            <w:shd w:val="clear" w:color="auto" w:fill="auto"/>
          </w:tcPr>
          <w:p w14:paraId="643989C4" w14:textId="6649D8EB"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tcPr>
          <w:p w14:paraId="03DDBCD0" w14:textId="3A13AD54"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358 398</w:t>
            </w:r>
          </w:p>
        </w:tc>
      </w:tr>
      <w:tr w:rsidR="000D0DBD" w:rsidRPr="00A27896" w14:paraId="61C8199F" w14:textId="6CA134A0" w:rsidTr="00751780">
        <w:trPr>
          <w:trHeight w:val="204"/>
        </w:trPr>
        <w:tc>
          <w:tcPr>
            <w:tcW w:w="1058" w:type="pct"/>
            <w:tcBorders>
              <w:top w:val="single" w:sz="4" w:space="0" w:color="auto"/>
              <w:bottom w:val="single" w:sz="4" w:space="0" w:color="auto"/>
            </w:tcBorders>
            <w:vAlign w:val="center"/>
          </w:tcPr>
          <w:p w14:paraId="57D1E4A8" w14:textId="6BA533C0" w:rsidR="000D0DBD" w:rsidRPr="00A27896" w:rsidRDefault="000D0DBD" w:rsidP="000D0DBD">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tcPr>
          <w:p w14:paraId="2A3DF266" w14:textId="1FED2FF5"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591 692</w:t>
            </w:r>
          </w:p>
        </w:tc>
        <w:tc>
          <w:tcPr>
            <w:tcW w:w="605" w:type="pct"/>
            <w:tcBorders>
              <w:top w:val="single" w:sz="4" w:space="0" w:color="auto"/>
              <w:left w:val="nil"/>
              <w:bottom w:val="single" w:sz="4" w:space="0" w:color="auto"/>
              <w:right w:val="nil"/>
            </w:tcBorders>
            <w:shd w:val="clear" w:color="auto" w:fill="auto"/>
          </w:tcPr>
          <w:p w14:paraId="25890614" w14:textId="69558592"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x</w:t>
            </w:r>
          </w:p>
        </w:tc>
        <w:tc>
          <w:tcPr>
            <w:tcW w:w="682" w:type="pct"/>
            <w:tcBorders>
              <w:top w:val="single" w:sz="4" w:space="0" w:color="auto"/>
              <w:left w:val="nil"/>
              <w:bottom w:val="single" w:sz="4" w:space="0" w:color="auto"/>
              <w:right w:val="nil"/>
            </w:tcBorders>
            <w:shd w:val="clear" w:color="auto" w:fill="auto"/>
          </w:tcPr>
          <w:p w14:paraId="14BAEAA3" w14:textId="10F21B64"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591 692</w:t>
            </w:r>
          </w:p>
        </w:tc>
        <w:tc>
          <w:tcPr>
            <w:tcW w:w="680" w:type="pct"/>
            <w:tcBorders>
              <w:top w:val="single" w:sz="4" w:space="0" w:color="auto"/>
              <w:left w:val="nil"/>
              <w:bottom w:val="single" w:sz="4" w:space="0" w:color="auto"/>
              <w:right w:val="nil"/>
            </w:tcBorders>
            <w:shd w:val="clear" w:color="auto" w:fill="auto"/>
          </w:tcPr>
          <w:p w14:paraId="513D933D" w14:textId="33118DA4"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339 506</w:t>
            </w:r>
          </w:p>
        </w:tc>
        <w:tc>
          <w:tcPr>
            <w:tcW w:w="600" w:type="pct"/>
            <w:gridSpan w:val="2"/>
            <w:tcBorders>
              <w:top w:val="single" w:sz="4" w:space="0" w:color="auto"/>
              <w:left w:val="nil"/>
              <w:bottom w:val="single" w:sz="4" w:space="0" w:color="auto"/>
              <w:right w:val="nil"/>
            </w:tcBorders>
            <w:shd w:val="clear" w:color="auto" w:fill="auto"/>
          </w:tcPr>
          <w:p w14:paraId="24237005" w14:textId="43739CE7"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tcPr>
          <w:p w14:paraId="7F6CDFBF" w14:textId="455718F8"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339 506</w:t>
            </w:r>
          </w:p>
        </w:tc>
      </w:tr>
      <w:tr w:rsidR="000D0DBD" w:rsidRPr="00A27896" w14:paraId="619ACBF3" w14:textId="0ED0ABE2" w:rsidTr="00751780">
        <w:trPr>
          <w:trHeight w:val="204"/>
        </w:trPr>
        <w:tc>
          <w:tcPr>
            <w:tcW w:w="1058" w:type="pct"/>
            <w:tcBorders>
              <w:top w:val="single" w:sz="4" w:space="0" w:color="auto"/>
              <w:bottom w:val="single" w:sz="4" w:space="0" w:color="auto"/>
            </w:tcBorders>
            <w:vAlign w:val="center"/>
          </w:tcPr>
          <w:p w14:paraId="3D4DB815" w14:textId="6572AA41" w:rsidR="000D0DBD" w:rsidRPr="00A27896" w:rsidRDefault="000D0DBD" w:rsidP="000D0DBD">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tcPr>
          <w:p w14:paraId="180266A9" w14:textId="3965ADC6"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2 178</w:t>
            </w:r>
          </w:p>
        </w:tc>
        <w:tc>
          <w:tcPr>
            <w:tcW w:w="605" w:type="pct"/>
            <w:tcBorders>
              <w:top w:val="single" w:sz="4" w:space="0" w:color="auto"/>
              <w:left w:val="nil"/>
              <w:bottom w:val="single" w:sz="4" w:space="0" w:color="auto"/>
              <w:right w:val="nil"/>
            </w:tcBorders>
            <w:shd w:val="clear" w:color="auto" w:fill="auto"/>
          </w:tcPr>
          <w:p w14:paraId="2F291DCA" w14:textId="0CC849F1"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x</w:t>
            </w:r>
          </w:p>
        </w:tc>
        <w:tc>
          <w:tcPr>
            <w:tcW w:w="682" w:type="pct"/>
            <w:tcBorders>
              <w:top w:val="single" w:sz="4" w:space="0" w:color="auto"/>
              <w:left w:val="nil"/>
              <w:bottom w:val="single" w:sz="4" w:space="0" w:color="auto"/>
              <w:right w:val="nil"/>
            </w:tcBorders>
            <w:shd w:val="clear" w:color="auto" w:fill="auto"/>
          </w:tcPr>
          <w:p w14:paraId="5768914B" w14:textId="7AC96130"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2 178</w:t>
            </w:r>
          </w:p>
        </w:tc>
        <w:tc>
          <w:tcPr>
            <w:tcW w:w="680" w:type="pct"/>
            <w:tcBorders>
              <w:top w:val="single" w:sz="4" w:space="0" w:color="auto"/>
              <w:left w:val="nil"/>
              <w:bottom w:val="single" w:sz="4" w:space="0" w:color="auto"/>
              <w:right w:val="nil"/>
            </w:tcBorders>
            <w:shd w:val="clear" w:color="auto" w:fill="auto"/>
          </w:tcPr>
          <w:p w14:paraId="24D67D8F" w14:textId="1AA268F3"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1 796</w:t>
            </w:r>
          </w:p>
        </w:tc>
        <w:tc>
          <w:tcPr>
            <w:tcW w:w="600" w:type="pct"/>
            <w:gridSpan w:val="2"/>
            <w:tcBorders>
              <w:top w:val="single" w:sz="4" w:space="0" w:color="auto"/>
              <w:left w:val="nil"/>
              <w:bottom w:val="single" w:sz="4" w:space="0" w:color="auto"/>
              <w:right w:val="nil"/>
            </w:tcBorders>
            <w:shd w:val="clear" w:color="auto" w:fill="auto"/>
          </w:tcPr>
          <w:p w14:paraId="07F46165" w14:textId="63A0E527"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tcPr>
          <w:p w14:paraId="765EBC90" w14:textId="2E83EFD2"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1 796</w:t>
            </w:r>
          </w:p>
        </w:tc>
      </w:tr>
      <w:tr w:rsidR="000D0DBD" w:rsidRPr="00A27896" w14:paraId="4AE85435" w14:textId="77777777" w:rsidTr="00751780">
        <w:trPr>
          <w:trHeight w:val="204"/>
        </w:trPr>
        <w:tc>
          <w:tcPr>
            <w:tcW w:w="1058" w:type="pct"/>
            <w:tcBorders>
              <w:top w:val="single" w:sz="4" w:space="0" w:color="auto"/>
              <w:bottom w:val="single" w:sz="4" w:space="0" w:color="auto"/>
            </w:tcBorders>
            <w:vAlign w:val="center"/>
          </w:tcPr>
          <w:p w14:paraId="73E8F4F7" w14:textId="0311C78C" w:rsidR="000D0DBD" w:rsidRPr="00A27896" w:rsidRDefault="000D0DBD" w:rsidP="000D0DBD">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tcPr>
          <w:p w14:paraId="4B0AA17D" w14:textId="16941F49"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3 009</w:t>
            </w:r>
          </w:p>
        </w:tc>
        <w:tc>
          <w:tcPr>
            <w:tcW w:w="605" w:type="pct"/>
            <w:tcBorders>
              <w:top w:val="single" w:sz="4" w:space="0" w:color="auto"/>
              <w:left w:val="nil"/>
              <w:bottom w:val="single" w:sz="4" w:space="0" w:color="auto"/>
              <w:right w:val="nil"/>
            </w:tcBorders>
            <w:shd w:val="clear" w:color="auto" w:fill="auto"/>
          </w:tcPr>
          <w:p w14:paraId="71E218B1" w14:textId="4B80FEBF"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x</w:t>
            </w:r>
          </w:p>
        </w:tc>
        <w:tc>
          <w:tcPr>
            <w:tcW w:w="682" w:type="pct"/>
            <w:tcBorders>
              <w:top w:val="single" w:sz="4" w:space="0" w:color="auto"/>
              <w:left w:val="nil"/>
              <w:bottom w:val="single" w:sz="4" w:space="0" w:color="auto"/>
              <w:right w:val="nil"/>
            </w:tcBorders>
            <w:shd w:val="clear" w:color="auto" w:fill="auto"/>
          </w:tcPr>
          <w:p w14:paraId="09DA27CE" w14:textId="2EB9CD50"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3 009</w:t>
            </w:r>
          </w:p>
        </w:tc>
        <w:tc>
          <w:tcPr>
            <w:tcW w:w="680" w:type="pct"/>
            <w:tcBorders>
              <w:top w:val="single" w:sz="4" w:space="0" w:color="auto"/>
              <w:left w:val="nil"/>
              <w:bottom w:val="single" w:sz="4" w:space="0" w:color="auto"/>
              <w:right w:val="nil"/>
            </w:tcBorders>
            <w:shd w:val="clear" w:color="auto" w:fill="auto"/>
          </w:tcPr>
          <w:p w14:paraId="1135B3B9" w14:textId="29064D6E"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1 505</w:t>
            </w:r>
          </w:p>
        </w:tc>
        <w:tc>
          <w:tcPr>
            <w:tcW w:w="600" w:type="pct"/>
            <w:gridSpan w:val="2"/>
            <w:tcBorders>
              <w:top w:val="single" w:sz="4" w:space="0" w:color="auto"/>
              <w:left w:val="nil"/>
              <w:bottom w:val="single" w:sz="4" w:space="0" w:color="auto"/>
              <w:right w:val="nil"/>
            </w:tcBorders>
            <w:shd w:val="clear" w:color="auto" w:fill="auto"/>
          </w:tcPr>
          <w:p w14:paraId="543C884A" w14:textId="71D546DB"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tcPr>
          <w:p w14:paraId="31454EAF" w14:textId="1E0C2DDB"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1 505</w:t>
            </w:r>
          </w:p>
        </w:tc>
      </w:tr>
      <w:tr w:rsidR="000D0DBD" w:rsidRPr="00A27896" w14:paraId="3BA1E883" w14:textId="29AE2EAD" w:rsidTr="00751780">
        <w:trPr>
          <w:trHeight w:val="204"/>
        </w:trPr>
        <w:tc>
          <w:tcPr>
            <w:tcW w:w="1058" w:type="pct"/>
            <w:tcBorders>
              <w:top w:val="single" w:sz="4" w:space="0" w:color="auto"/>
              <w:bottom w:val="single" w:sz="4" w:space="0" w:color="auto"/>
            </w:tcBorders>
            <w:vAlign w:val="center"/>
          </w:tcPr>
          <w:p w14:paraId="3042D545" w14:textId="0609DBE2" w:rsidR="000D0DBD" w:rsidRPr="00A27896" w:rsidRDefault="000D0DBD" w:rsidP="000D0DBD">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tcPr>
          <w:p w14:paraId="0720895E" w14:textId="6445B3F7"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7 813</w:t>
            </w:r>
          </w:p>
        </w:tc>
        <w:tc>
          <w:tcPr>
            <w:tcW w:w="605" w:type="pct"/>
            <w:tcBorders>
              <w:top w:val="single" w:sz="4" w:space="0" w:color="auto"/>
              <w:left w:val="nil"/>
              <w:bottom w:val="single" w:sz="4" w:space="0" w:color="auto"/>
              <w:right w:val="nil"/>
            </w:tcBorders>
            <w:shd w:val="clear" w:color="auto" w:fill="auto"/>
          </w:tcPr>
          <w:p w14:paraId="06428A82" w14:textId="6115F07B"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x</w:t>
            </w:r>
          </w:p>
        </w:tc>
        <w:tc>
          <w:tcPr>
            <w:tcW w:w="682" w:type="pct"/>
            <w:tcBorders>
              <w:top w:val="single" w:sz="4" w:space="0" w:color="auto"/>
              <w:left w:val="nil"/>
              <w:bottom w:val="single" w:sz="4" w:space="0" w:color="auto"/>
              <w:right w:val="nil"/>
            </w:tcBorders>
            <w:shd w:val="clear" w:color="auto" w:fill="auto"/>
          </w:tcPr>
          <w:p w14:paraId="41C848E9" w14:textId="21B79226"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7 813</w:t>
            </w:r>
          </w:p>
        </w:tc>
        <w:tc>
          <w:tcPr>
            <w:tcW w:w="680" w:type="pct"/>
            <w:tcBorders>
              <w:top w:val="single" w:sz="4" w:space="0" w:color="auto"/>
              <w:left w:val="nil"/>
              <w:bottom w:val="single" w:sz="4" w:space="0" w:color="auto"/>
              <w:right w:val="nil"/>
            </w:tcBorders>
            <w:shd w:val="clear" w:color="auto" w:fill="auto"/>
          </w:tcPr>
          <w:p w14:paraId="3B587827" w14:textId="1A6E9220"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15 591</w:t>
            </w:r>
          </w:p>
        </w:tc>
        <w:tc>
          <w:tcPr>
            <w:tcW w:w="600" w:type="pct"/>
            <w:gridSpan w:val="2"/>
            <w:tcBorders>
              <w:top w:val="single" w:sz="4" w:space="0" w:color="auto"/>
              <w:left w:val="nil"/>
              <w:bottom w:val="single" w:sz="4" w:space="0" w:color="auto"/>
              <w:right w:val="nil"/>
            </w:tcBorders>
            <w:shd w:val="clear" w:color="auto" w:fill="auto"/>
          </w:tcPr>
          <w:p w14:paraId="1D322B5E" w14:textId="1EE892B2"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x</w:t>
            </w:r>
          </w:p>
        </w:tc>
        <w:tc>
          <w:tcPr>
            <w:tcW w:w="695" w:type="pct"/>
            <w:tcBorders>
              <w:top w:val="single" w:sz="4" w:space="0" w:color="auto"/>
              <w:left w:val="nil"/>
              <w:bottom w:val="single" w:sz="4" w:space="0" w:color="auto"/>
              <w:right w:val="nil"/>
            </w:tcBorders>
            <w:shd w:val="clear" w:color="auto" w:fill="auto"/>
          </w:tcPr>
          <w:p w14:paraId="1A417259" w14:textId="5B506B90" w:rsidR="000D0DBD" w:rsidRPr="000D0DBD" w:rsidRDefault="000D0DBD" w:rsidP="000D0DBD">
            <w:pPr>
              <w:spacing w:after="0" w:line="240" w:lineRule="auto"/>
              <w:ind w:right="57"/>
              <w:jc w:val="right"/>
              <w:rPr>
                <w:rFonts w:eastAsia="Times New Roman" w:cs="Times New Roman"/>
                <w:color w:val="17365D"/>
                <w:sz w:val="18"/>
                <w:szCs w:val="18"/>
                <w:lang w:eastAsia="lv-LV"/>
              </w:rPr>
            </w:pPr>
            <w:r w:rsidRPr="000D0DBD">
              <w:rPr>
                <w:rFonts w:eastAsia="Times New Roman" w:cs="Times New Roman"/>
                <w:color w:val="17365D"/>
                <w:sz w:val="18"/>
                <w:szCs w:val="18"/>
                <w:lang w:eastAsia="lv-LV"/>
              </w:rPr>
              <w:t>15 591</w:t>
            </w:r>
          </w:p>
        </w:tc>
      </w:tr>
      <w:tr w:rsidR="00C113C1" w:rsidRPr="00A27896" w14:paraId="0D6D5B09" w14:textId="2C0D92DB" w:rsidTr="00751780">
        <w:trPr>
          <w:trHeight w:val="204"/>
        </w:trPr>
        <w:tc>
          <w:tcPr>
            <w:tcW w:w="1058" w:type="pct"/>
            <w:tcBorders>
              <w:top w:val="single" w:sz="4" w:space="0" w:color="auto"/>
              <w:bottom w:val="single" w:sz="4" w:space="0" w:color="auto"/>
            </w:tcBorders>
            <w:vAlign w:val="center"/>
          </w:tcPr>
          <w:p w14:paraId="35F19A4D" w14:textId="6134FBD9" w:rsidR="00C113C1" w:rsidRPr="00A27896" w:rsidRDefault="00C113C1" w:rsidP="00C113C1">
            <w:pPr>
              <w:spacing w:after="0" w:line="240" w:lineRule="auto"/>
              <w:ind w:right="57"/>
              <w:rPr>
                <w:rFonts w:eastAsia="Times New Roman" w:cs="Times New Roman"/>
                <w:b/>
                <w:i/>
                <w:color w:val="17365D"/>
                <w:sz w:val="18"/>
                <w:szCs w:val="18"/>
                <w:lang w:eastAsia="lv-LV"/>
              </w:rPr>
            </w:pPr>
            <w:r w:rsidRPr="00A27896">
              <w:rPr>
                <w:rFonts w:eastAsia="Times New Roman" w:cs="Times New Roman"/>
                <w:b/>
                <w:i/>
                <w:color w:val="17365D"/>
                <w:sz w:val="18"/>
                <w:szCs w:val="18"/>
                <w:lang w:eastAsia="lv-LV"/>
              </w:rPr>
              <w:t>termiņš ir kavēts un finanšu instrumentu vērtība ir samazinājusies, sadalījumā pa kavējuma termiņiem;</w:t>
            </w:r>
          </w:p>
        </w:tc>
        <w:tc>
          <w:tcPr>
            <w:tcW w:w="680" w:type="pct"/>
            <w:gridSpan w:val="2"/>
            <w:tcBorders>
              <w:top w:val="single" w:sz="4" w:space="0" w:color="auto"/>
              <w:left w:val="nil"/>
              <w:bottom w:val="single" w:sz="4" w:space="0" w:color="auto"/>
              <w:right w:val="nil"/>
            </w:tcBorders>
            <w:shd w:val="clear" w:color="auto" w:fill="auto"/>
            <w:vAlign w:val="center"/>
          </w:tcPr>
          <w:p w14:paraId="3203D3E4" w14:textId="7B6B1062" w:rsidR="00C113C1" w:rsidRPr="00C113C1" w:rsidRDefault="00C113C1" w:rsidP="00C113C1">
            <w:pPr>
              <w:spacing w:after="0" w:line="240" w:lineRule="auto"/>
              <w:ind w:right="57"/>
              <w:jc w:val="right"/>
              <w:rPr>
                <w:rFonts w:eastAsia="Times New Roman" w:cs="Times New Roman"/>
                <w:b/>
                <w:color w:val="17365D"/>
                <w:sz w:val="18"/>
                <w:szCs w:val="18"/>
                <w:lang w:eastAsia="lv-LV"/>
              </w:rPr>
            </w:pPr>
            <w:r w:rsidRPr="00C113C1">
              <w:rPr>
                <w:rFonts w:eastAsia="Times New Roman" w:cs="Times New Roman"/>
                <w:b/>
                <w:color w:val="17365D"/>
                <w:sz w:val="18"/>
                <w:szCs w:val="18"/>
                <w:lang w:eastAsia="lv-LV"/>
              </w:rPr>
              <w:t>418 874 553</w:t>
            </w:r>
          </w:p>
        </w:tc>
        <w:tc>
          <w:tcPr>
            <w:tcW w:w="605" w:type="pct"/>
            <w:tcBorders>
              <w:top w:val="single" w:sz="4" w:space="0" w:color="auto"/>
              <w:left w:val="nil"/>
              <w:bottom w:val="single" w:sz="4" w:space="0" w:color="auto"/>
              <w:right w:val="nil"/>
            </w:tcBorders>
            <w:shd w:val="clear" w:color="auto" w:fill="auto"/>
            <w:vAlign w:val="center"/>
          </w:tcPr>
          <w:p w14:paraId="57E49470" w14:textId="556073D0" w:rsidR="00C113C1" w:rsidRPr="00C113C1" w:rsidRDefault="00C113C1" w:rsidP="00C113C1">
            <w:pPr>
              <w:spacing w:after="0" w:line="240" w:lineRule="auto"/>
              <w:ind w:right="57"/>
              <w:jc w:val="right"/>
              <w:rPr>
                <w:rFonts w:eastAsia="Times New Roman" w:cs="Times New Roman"/>
                <w:b/>
                <w:color w:val="17365D"/>
                <w:sz w:val="18"/>
                <w:szCs w:val="18"/>
                <w:lang w:eastAsia="lv-LV"/>
              </w:rPr>
            </w:pPr>
            <w:r w:rsidRPr="00C113C1">
              <w:rPr>
                <w:rFonts w:eastAsia="Times New Roman" w:cs="Times New Roman"/>
                <w:b/>
                <w:color w:val="17365D"/>
                <w:sz w:val="18"/>
                <w:szCs w:val="18"/>
                <w:lang w:eastAsia="lv-LV"/>
              </w:rPr>
              <w:t>-418 777 025</w:t>
            </w:r>
          </w:p>
        </w:tc>
        <w:tc>
          <w:tcPr>
            <w:tcW w:w="682" w:type="pct"/>
            <w:tcBorders>
              <w:top w:val="single" w:sz="4" w:space="0" w:color="auto"/>
              <w:left w:val="nil"/>
              <w:bottom w:val="single" w:sz="4" w:space="0" w:color="auto"/>
              <w:right w:val="nil"/>
            </w:tcBorders>
            <w:shd w:val="clear" w:color="auto" w:fill="auto"/>
            <w:vAlign w:val="center"/>
          </w:tcPr>
          <w:p w14:paraId="771F78E2" w14:textId="7047E846" w:rsidR="00C113C1" w:rsidRPr="00C113C1" w:rsidRDefault="00C113C1" w:rsidP="00C113C1">
            <w:pPr>
              <w:spacing w:after="0" w:line="240" w:lineRule="auto"/>
              <w:ind w:right="57"/>
              <w:jc w:val="right"/>
              <w:rPr>
                <w:rFonts w:eastAsia="Times New Roman" w:cs="Times New Roman"/>
                <w:b/>
                <w:color w:val="17365D"/>
                <w:sz w:val="18"/>
                <w:szCs w:val="18"/>
                <w:lang w:eastAsia="lv-LV"/>
              </w:rPr>
            </w:pPr>
            <w:r w:rsidRPr="00C113C1">
              <w:rPr>
                <w:rFonts w:eastAsia="Times New Roman" w:cs="Times New Roman"/>
                <w:b/>
                <w:color w:val="17365D"/>
                <w:sz w:val="18"/>
                <w:szCs w:val="18"/>
                <w:lang w:eastAsia="lv-LV"/>
              </w:rPr>
              <w:t>97 528</w:t>
            </w:r>
          </w:p>
        </w:tc>
        <w:tc>
          <w:tcPr>
            <w:tcW w:w="680" w:type="pct"/>
            <w:tcBorders>
              <w:top w:val="single" w:sz="4" w:space="0" w:color="auto"/>
              <w:left w:val="nil"/>
              <w:bottom w:val="single" w:sz="4" w:space="0" w:color="auto"/>
              <w:right w:val="nil"/>
            </w:tcBorders>
            <w:shd w:val="clear" w:color="auto" w:fill="auto"/>
            <w:vAlign w:val="center"/>
          </w:tcPr>
          <w:p w14:paraId="3D3F3647" w14:textId="11A6ACFC" w:rsidR="00C113C1" w:rsidRPr="00C113C1" w:rsidRDefault="00C113C1" w:rsidP="00C113C1">
            <w:pPr>
              <w:spacing w:after="0" w:line="240" w:lineRule="auto"/>
              <w:ind w:right="57"/>
              <w:jc w:val="right"/>
              <w:rPr>
                <w:rFonts w:eastAsia="Times New Roman" w:cs="Times New Roman"/>
                <w:b/>
                <w:color w:val="17365D"/>
                <w:sz w:val="18"/>
                <w:szCs w:val="18"/>
                <w:lang w:eastAsia="lv-LV"/>
              </w:rPr>
            </w:pPr>
            <w:r w:rsidRPr="00C113C1">
              <w:rPr>
                <w:rFonts w:eastAsia="Times New Roman" w:cs="Times New Roman"/>
                <w:b/>
                <w:color w:val="17365D"/>
                <w:sz w:val="18"/>
                <w:szCs w:val="18"/>
                <w:lang w:eastAsia="lv-LV"/>
              </w:rPr>
              <w:t>429 795 187</w:t>
            </w:r>
          </w:p>
        </w:tc>
        <w:tc>
          <w:tcPr>
            <w:tcW w:w="600" w:type="pct"/>
            <w:gridSpan w:val="2"/>
            <w:tcBorders>
              <w:top w:val="single" w:sz="4" w:space="0" w:color="auto"/>
              <w:left w:val="nil"/>
              <w:bottom w:val="single" w:sz="4" w:space="0" w:color="auto"/>
              <w:right w:val="nil"/>
            </w:tcBorders>
            <w:shd w:val="clear" w:color="auto" w:fill="auto"/>
            <w:vAlign w:val="center"/>
          </w:tcPr>
          <w:p w14:paraId="21DDE2AA" w14:textId="4246F439" w:rsidR="00C113C1" w:rsidRPr="00C113C1" w:rsidRDefault="00C113C1" w:rsidP="00C113C1">
            <w:pPr>
              <w:spacing w:after="0" w:line="240" w:lineRule="auto"/>
              <w:ind w:right="57"/>
              <w:jc w:val="right"/>
              <w:rPr>
                <w:rFonts w:eastAsia="Times New Roman" w:cs="Times New Roman"/>
                <w:b/>
                <w:color w:val="17365D"/>
                <w:sz w:val="18"/>
                <w:szCs w:val="18"/>
                <w:lang w:eastAsia="lv-LV"/>
              </w:rPr>
            </w:pPr>
            <w:r w:rsidRPr="00C113C1">
              <w:rPr>
                <w:rFonts w:eastAsia="Times New Roman" w:cs="Times New Roman"/>
                <w:b/>
                <w:color w:val="17365D"/>
                <w:sz w:val="18"/>
                <w:szCs w:val="18"/>
                <w:lang w:eastAsia="lv-LV"/>
              </w:rPr>
              <w:t>-429 750 608</w:t>
            </w:r>
          </w:p>
        </w:tc>
        <w:tc>
          <w:tcPr>
            <w:tcW w:w="695" w:type="pct"/>
            <w:tcBorders>
              <w:top w:val="single" w:sz="4" w:space="0" w:color="auto"/>
              <w:left w:val="nil"/>
              <w:bottom w:val="single" w:sz="4" w:space="0" w:color="auto"/>
              <w:right w:val="nil"/>
            </w:tcBorders>
            <w:shd w:val="clear" w:color="auto" w:fill="auto"/>
            <w:vAlign w:val="center"/>
          </w:tcPr>
          <w:p w14:paraId="1FC7A01F" w14:textId="3713FCC8" w:rsidR="00C113C1" w:rsidRPr="00C113C1" w:rsidRDefault="00C113C1" w:rsidP="00C113C1">
            <w:pPr>
              <w:spacing w:after="0" w:line="240" w:lineRule="auto"/>
              <w:ind w:right="57"/>
              <w:jc w:val="right"/>
              <w:rPr>
                <w:rFonts w:eastAsia="Times New Roman" w:cs="Times New Roman"/>
                <w:b/>
                <w:color w:val="17365D"/>
                <w:sz w:val="18"/>
                <w:szCs w:val="18"/>
                <w:lang w:eastAsia="lv-LV"/>
              </w:rPr>
            </w:pPr>
            <w:r w:rsidRPr="00C113C1">
              <w:rPr>
                <w:rFonts w:eastAsia="Times New Roman" w:cs="Times New Roman"/>
                <w:b/>
                <w:color w:val="17365D"/>
                <w:sz w:val="18"/>
                <w:szCs w:val="18"/>
                <w:lang w:eastAsia="lv-LV"/>
              </w:rPr>
              <w:t>44 579</w:t>
            </w:r>
          </w:p>
        </w:tc>
      </w:tr>
      <w:tr w:rsidR="00C113C1" w:rsidRPr="00C113C1" w14:paraId="213AB3E6" w14:textId="48568074" w:rsidTr="00751780">
        <w:trPr>
          <w:trHeight w:val="204"/>
        </w:trPr>
        <w:tc>
          <w:tcPr>
            <w:tcW w:w="1058" w:type="pct"/>
            <w:tcBorders>
              <w:top w:val="single" w:sz="4" w:space="0" w:color="auto"/>
              <w:bottom w:val="single" w:sz="4" w:space="0" w:color="auto"/>
            </w:tcBorders>
            <w:vAlign w:val="center"/>
          </w:tcPr>
          <w:p w14:paraId="2F3455C9" w14:textId="2D268E0C"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tcPr>
          <w:p w14:paraId="78A55C43" w14:textId="259939E1"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8 586</w:t>
            </w:r>
          </w:p>
        </w:tc>
        <w:tc>
          <w:tcPr>
            <w:tcW w:w="605" w:type="pct"/>
            <w:tcBorders>
              <w:top w:val="single" w:sz="4" w:space="0" w:color="auto"/>
              <w:left w:val="nil"/>
              <w:bottom w:val="single" w:sz="4" w:space="0" w:color="auto"/>
              <w:right w:val="nil"/>
            </w:tcBorders>
            <w:shd w:val="clear" w:color="auto" w:fill="auto"/>
          </w:tcPr>
          <w:p w14:paraId="7AD178A3" w14:textId="024E320D"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-5 631</w:t>
            </w:r>
          </w:p>
        </w:tc>
        <w:tc>
          <w:tcPr>
            <w:tcW w:w="682" w:type="pct"/>
            <w:tcBorders>
              <w:top w:val="single" w:sz="4" w:space="0" w:color="auto"/>
              <w:left w:val="nil"/>
              <w:bottom w:val="single" w:sz="4" w:space="0" w:color="auto"/>
              <w:right w:val="nil"/>
            </w:tcBorders>
            <w:shd w:val="clear" w:color="auto" w:fill="auto"/>
          </w:tcPr>
          <w:p w14:paraId="510E009F" w14:textId="0CE2D0E0"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2 955</w:t>
            </w:r>
          </w:p>
        </w:tc>
        <w:tc>
          <w:tcPr>
            <w:tcW w:w="680" w:type="pct"/>
            <w:tcBorders>
              <w:top w:val="single" w:sz="4" w:space="0" w:color="auto"/>
              <w:left w:val="nil"/>
              <w:bottom w:val="single" w:sz="4" w:space="0" w:color="auto"/>
              <w:right w:val="nil"/>
            </w:tcBorders>
            <w:shd w:val="clear" w:color="auto" w:fill="auto"/>
          </w:tcPr>
          <w:p w14:paraId="7AC66701" w14:textId="7473E509"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6 947</w:t>
            </w:r>
          </w:p>
        </w:tc>
        <w:tc>
          <w:tcPr>
            <w:tcW w:w="600" w:type="pct"/>
            <w:gridSpan w:val="2"/>
            <w:tcBorders>
              <w:top w:val="single" w:sz="4" w:space="0" w:color="auto"/>
              <w:left w:val="nil"/>
              <w:bottom w:val="single" w:sz="4" w:space="0" w:color="auto"/>
              <w:right w:val="nil"/>
            </w:tcBorders>
            <w:shd w:val="clear" w:color="auto" w:fill="auto"/>
          </w:tcPr>
          <w:p w14:paraId="28EBEC60" w14:textId="1D267BEE"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-5 469</w:t>
            </w:r>
          </w:p>
        </w:tc>
        <w:tc>
          <w:tcPr>
            <w:tcW w:w="695" w:type="pct"/>
            <w:tcBorders>
              <w:top w:val="single" w:sz="4" w:space="0" w:color="auto"/>
              <w:left w:val="nil"/>
              <w:bottom w:val="single" w:sz="4" w:space="0" w:color="auto"/>
              <w:right w:val="nil"/>
            </w:tcBorders>
            <w:shd w:val="clear" w:color="auto" w:fill="auto"/>
          </w:tcPr>
          <w:p w14:paraId="398ACF03" w14:textId="686D12C7"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1 478</w:t>
            </w:r>
          </w:p>
        </w:tc>
      </w:tr>
      <w:tr w:rsidR="00C113C1" w:rsidRPr="00C113C1" w14:paraId="477D6E52" w14:textId="1D347D02" w:rsidTr="00751780">
        <w:trPr>
          <w:trHeight w:val="204"/>
        </w:trPr>
        <w:tc>
          <w:tcPr>
            <w:tcW w:w="1058" w:type="pct"/>
            <w:tcBorders>
              <w:top w:val="single" w:sz="4" w:space="0" w:color="auto"/>
              <w:bottom w:val="single" w:sz="4" w:space="0" w:color="auto"/>
            </w:tcBorders>
            <w:vAlign w:val="center"/>
          </w:tcPr>
          <w:p w14:paraId="76124B9A" w14:textId="449950D1"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tcPr>
          <w:p w14:paraId="7A1BAA6B" w14:textId="3B765AC6"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16 577</w:t>
            </w:r>
          </w:p>
        </w:tc>
        <w:tc>
          <w:tcPr>
            <w:tcW w:w="605" w:type="pct"/>
            <w:tcBorders>
              <w:top w:val="single" w:sz="4" w:space="0" w:color="auto"/>
              <w:left w:val="nil"/>
              <w:bottom w:val="single" w:sz="4" w:space="0" w:color="auto"/>
              <w:right w:val="nil"/>
            </w:tcBorders>
            <w:shd w:val="clear" w:color="auto" w:fill="auto"/>
          </w:tcPr>
          <w:p w14:paraId="1265B8B8" w14:textId="468528C8"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-10 590</w:t>
            </w:r>
          </w:p>
        </w:tc>
        <w:tc>
          <w:tcPr>
            <w:tcW w:w="682" w:type="pct"/>
            <w:tcBorders>
              <w:top w:val="single" w:sz="4" w:space="0" w:color="auto"/>
              <w:left w:val="nil"/>
              <w:bottom w:val="single" w:sz="4" w:space="0" w:color="auto"/>
              <w:right w:val="nil"/>
            </w:tcBorders>
            <w:shd w:val="clear" w:color="auto" w:fill="auto"/>
          </w:tcPr>
          <w:p w14:paraId="636C2968" w14:textId="7D7A6C1A"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5 987</w:t>
            </w:r>
          </w:p>
        </w:tc>
        <w:tc>
          <w:tcPr>
            <w:tcW w:w="680" w:type="pct"/>
            <w:tcBorders>
              <w:top w:val="single" w:sz="4" w:space="0" w:color="auto"/>
              <w:left w:val="nil"/>
              <w:bottom w:val="single" w:sz="4" w:space="0" w:color="auto"/>
              <w:right w:val="nil"/>
            </w:tcBorders>
            <w:shd w:val="clear" w:color="auto" w:fill="auto"/>
          </w:tcPr>
          <w:p w14:paraId="18D596A7" w14:textId="5C920D6A"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24 849</w:t>
            </w:r>
          </w:p>
        </w:tc>
        <w:tc>
          <w:tcPr>
            <w:tcW w:w="600" w:type="pct"/>
            <w:gridSpan w:val="2"/>
            <w:tcBorders>
              <w:top w:val="single" w:sz="4" w:space="0" w:color="auto"/>
              <w:left w:val="nil"/>
              <w:bottom w:val="single" w:sz="4" w:space="0" w:color="auto"/>
              <w:right w:val="nil"/>
            </w:tcBorders>
            <w:shd w:val="clear" w:color="auto" w:fill="auto"/>
          </w:tcPr>
          <w:p w14:paraId="5D48A5DF" w14:textId="6A1991F8"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-4 339</w:t>
            </w:r>
          </w:p>
        </w:tc>
        <w:tc>
          <w:tcPr>
            <w:tcW w:w="695" w:type="pct"/>
            <w:tcBorders>
              <w:top w:val="single" w:sz="4" w:space="0" w:color="auto"/>
              <w:left w:val="nil"/>
              <w:bottom w:val="single" w:sz="4" w:space="0" w:color="auto"/>
              <w:right w:val="nil"/>
            </w:tcBorders>
            <w:shd w:val="clear" w:color="auto" w:fill="auto"/>
          </w:tcPr>
          <w:p w14:paraId="01AC842E" w14:textId="7201B799"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20 510</w:t>
            </w:r>
          </w:p>
        </w:tc>
      </w:tr>
      <w:tr w:rsidR="00C113C1" w:rsidRPr="00C113C1" w14:paraId="4022305A" w14:textId="52579301" w:rsidTr="00751780">
        <w:trPr>
          <w:trHeight w:val="204"/>
        </w:trPr>
        <w:tc>
          <w:tcPr>
            <w:tcW w:w="1058" w:type="pct"/>
            <w:tcBorders>
              <w:top w:val="single" w:sz="4" w:space="0" w:color="auto"/>
              <w:bottom w:val="single" w:sz="4" w:space="0" w:color="auto"/>
            </w:tcBorders>
            <w:vAlign w:val="center"/>
          </w:tcPr>
          <w:p w14:paraId="7CAE4135" w14:textId="201D131F"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tcPr>
          <w:p w14:paraId="1792ED26" w14:textId="46ED66FC"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98 890</w:t>
            </w:r>
          </w:p>
        </w:tc>
        <w:tc>
          <w:tcPr>
            <w:tcW w:w="605" w:type="pct"/>
            <w:tcBorders>
              <w:top w:val="single" w:sz="4" w:space="0" w:color="auto"/>
              <w:left w:val="nil"/>
              <w:bottom w:val="single" w:sz="4" w:space="0" w:color="auto"/>
              <w:right w:val="nil"/>
            </w:tcBorders>
            <w:shd w:val="clear" w:color="auto" w:fill="auto"/>
          </w:tcPr>
          <w:p w14:paraId="7AA094FB" w14:textId="1C94BBDF"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-24 600</w:t>
            </w:r>
          </w:p>
        </w:tc>
        <w:tc>
          <w:tcPr>
            <w:tcW w:w="682" w:type="pct"/>
            <w:tcBorders>
              <w:top w:val="single" w:sz="4" w:space="0" w:color="auto"/>
              <w:left w:val="nil"/>
              <w:bottom w:val="single" w:sz="4" w:space="0" w:color="auto"/>
              <w:right w:val="nil"/>
            </w:tcBorders>
            <w:shd w:val="clear" w:color="auto" w:fill="auto"/>
          </w:tcPr>
          <w:p w14:paraId="7D805AA4" w14:textId="10F82A30"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74 290</w:t>
            </w:r>
          </w:p>
        </w:tc>
        <w:tc>
          <w:tcPr>
            <w:tcW w:w="680" w:type="pct"/>
            <w:tcBorders>
              <w:top w:val="single" w:sz="4" w:space="0" w:color="auto"/>
              <w:left w:val="nil"/>
              <w:bottom w:val="single" w:sz="4" w:space="0" w:color="auto"/>
              <w:right w:val="nil"/>
            </w:tcBorders>
            <w:shd w:val="clear" w:color="auto" w:fill="auto"/>
          </w:tcPr>
          <w:p w14:paraId="2D65F780" w14:textId="1B77348E"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4 048</w:t>
            </w:r>
          </w:p>
        </w:tc>
        <w:tc>
          <w:tcPr>
            <w:tcW w:w="600" w:type="pct"/>
            <w:gridSpan w:val="2"/>
            <w:tcBorders>
              <w:top w:val="single" w:sz="4" w:space="0" w:color="auto"/>
              <w:left w:val="nil"/>
              <w:bottom w:val="single" w:sz="4" w:space="0" w:color="auto"/>
              <w:right w:val="nil"/>
            </w:tcBorders>
            <w:shd w:val="clear" w:color="auto" w:fill="auto"/>
          </w:tcPr>
          <w:p w14:paraId="578C5439" w14:textId="4727D924"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-953</w:t>
            </w:r>
          </w:p>
        </w:tc>
        <w:tc>
          <w:tcPr>
            <w:tcW w:w="695" w:type="pct"/>
            <w:tcBorders>
              <w:top w:val="single" w:sz="4" w:space="0" w:color="auto"/>
              <w:left w:val="nil"/>
              <w:bottom w:val="single" w:sz="4" w:space="0" w:color="auto"/>
              <w:right w:val="nil"/>
            </w:tcBorders>
            <w:shd w:val="clear" w:color="auto" w:fill="auto"/>
          </w:tcPr>
          <w:p w14:paraId="04AF7359" w14:textId="5EC224B3"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3 095</w:t>
            </w:r>
          </w:p>
        </w:tc>
      </w:tr>
      <w:tr w:rsidR="00C113C1" w:rsidRPr="00C113C1" w14:paraId="3E021621" w14:textId="59E8C99D" w:rsidTr="00751780">
        <w:trPr>
          <w:trHeight w:val="204"/>
        </w:trPr>
        <w:tc>
          <w:tcPr>
            <w:tcW w:w="1058" w:type="pct"/>
            <w:tcBorders>
              <w:top w:val="single" w:sz="4" w:space="0" w:color="auto"/>
              <w:bottom w:val="single" w:sz="4" w:space="0" w:color="auto"/>
            </w:tcBorders>
            <w:vAlign w:val="center"/>
          </w:tcPr>
          <w:p w14:paraId="43D2920C" w14:textId="0427A729"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181 līdz 360 dienām</w:t>
            </w:r>
          </w:p>
        </w:tc>
        <w:tc>
          <w:tcPr>
            <w:tcW w:w="680" w:type="pct"/>
            <w:gridSpan w:val="2"/>
            <w:tcBorders>
              <w:top w:val="single" w:sz="4" w:space="0" w:color="auto"/>
              <w:left w:val="nil"/>
              <w:bottom w:val="single" w:sz="4" w:space="0" w:color="auto"/>
              <w:right w:val="nil"/>
            </w:tcBorders>
            <w:shd w:val="clear" w:color="auto" w:fill="auto"/>
          </w:tcPr>
          <w:p w14:paraId="3EFE73A6" w14:textId="5906D313"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22 566</w:t>
            </w:r>
          </w:p>
        </w:tc>
        <w:tc>
          <w:tcPr>
            <w:tcW w:w="605" w:type="pct"/>
            <w:tcBorders>
              <w:top w:val="single" w:sz="4" w:space="0" w:color="auto"/>
              <w:left w:val="nil"/>
              <w:bottom w:val="single" w:sz="4" w:space="0" w:color="auto"/>
              <w:right w:val="nil"/>
            </w:tcBorders>
            <w:shd w:val="clear" w:color="auto" w:fill="auto"/>
          </w:tcPr>
          <w:p w14:paraId="42A7874A" w14:textId="75DC56E4"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-20 697</w:t>
            </w:r>
          </w:p>
        </w:tc>
        <w:tc>
          <w:tcPr>
            <w:tcW w:w="682" w:type="pct"/>
            <w:tcBorders>
              <w:top w:val="single" w:sz="4" w:space="0" w:color="auto"/>
              <w:left w:val="nil"/>
              <w:bottom w:val="single" w:sz="4" w:space="0" w:color="auto"/>
              <w:right w:val="nil"/>
            </w:tcBorders>
            <w:shd w:val="clear" w:color="auto" w:fill="auto"/>
          </w:tcPr>
          <w:p w14:paraId="2FFDFDE5" w14:textId="20FE649D"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1 869</w:t>
            </w:r>
          </w:p>
        </w:tc>
        <w:tc>
          <w:tcPr>
            <w:tcW w:w="680" w:type="pct"/>
            <w:tcBorders>
              <w:top w:val="single" w:sz="4" w:space="0" w:color="auto"/>
              <w:left w:val="nil"/>
              <w:bottom w:val="single" w:sz="4" w:space="0" w:color="auto"/>
              <w:right w:val="nil"/>
            </w:tcBorders>
            <w:shd w:val="clear" w:color="auto" w:fill="auto"/>
          </w:tcPr>
          <w:p w14:paraId="68D2FAC1" w14:textId="5A669135"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28 209</w:t>
            </w:r>
          </w:p>
        </w:tc>
        <w:tc>
          <w:tcPr>
            <w:tcW w:w="600" w:type="pct"/>
            <w:gridSpan w:val="2"/>
            <w:tcBorders>
              <w:top w:val="single" w:sz="4" w:space="0" w:color="auto"/>
              <w:left w:val="nil"/>
              <w:bottom w:val="single" w:sz="4" w:space="0" w:color="auto"/>
              <w:right w:val="nil"/>
            </w:tcBorders>
            <w:shd w:val="clear" w:color="auto" w:fill="auto"/>
          </w:tcPr>
          <w:p w14:paraId="243B7A27" w14:textId="2BDD849C"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-25 727</w:t>
            </w:r>
          </w:p>
        </w:tc>
        <w:tc>
          <w:tcPr>
            <w:tcW w:w="695" w:type="pct"/>
            <w:tcBorders>
              <w:top w:val="single" w:sz="4" w:space="0" w:color="auto"/>
              <w:left w:val="nil"/>
              <w:bottom w:val="single" w:sz="4" w:space="0" w:color="auto"/>
              <w:right w:val="nil"/>
            </w:tcBorders>
            <w:shd w:val="clear" w:color="auto" w:fill="auto"/>
          </w:tcPr>
          <w:p w14:paraId="528B7349" w14:textId="6C350CCA"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2 482</w:t>
            </w:r>
          </w:p>
        </w:tc>
      </w:tr>
      <w:tr w:rsidR="00C113C1" w:rsidRPr="00C113C1" w14:paraId="1CA20B48" w14:textId="4AD29CE6" w:rsidTr="00751780">
        <w:trPr>
          <w:trHeight w:val="204"/>
        </w:trPr>
        <w:tc>
          <w:tcPr>
            <w:tcW w:w="1058" w:type="pct"/>
            <w:tcBorders>
              <w:top w:val="single" w:sz="4" w:space="0" w:color="auto"/>
              <w:bottom w:val="single" w:sz="4" w:space="0" w:color="auto"/>
            </w:tcBorders>
            <w:vAlign w:val="center"/>
          </w:tcPr>
          <w:p w14:paraId="37EBC418" w14:textId="6F07FF73"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tcPr>
          <w:p w14:paraId="14B04F6F" w14:textId="4A38A375"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418 727 934</w:t>
            </w:r>
          </w:p>
        </w:tc>
        <w:tc>
          <w:tcPr>
            <w:tcW w:w="605" w:type="pct"/>
            <w:tcBorders>
              <w:top w:val="single" w:sz="4" w:space="0" w:color="auto"/>
              <w:left w:val="nil"/>
              <w:bottom w:val="single" w:sz="4" w:space="0" w:color="auto"/>
              <w:right w:val="nil"/>
            </w:tcBorders>
            <w:shd w:val="clear" w:color="auto" w:fill="auto"/>
          </w:tcPr>
          <w:p w14:paraId="4AE41BAE" w14:textId="79E3A5ED"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-418 715 507</w:t>
            </w:r>
          </w:p>
        </w:tc>
        <w:tc>
          <w:tcPr>
            <w:tcW w:w="682" w:type="pct"/>
            <w:tcBorders>
              <w:top w:val="single" w:sz="4" w:space="0" w:color="auto"/>
              <w:left w:val="nil"/>
              <w:bottom w:val="single" w:sz="4" w:space="0" w:color="auto"/>
              <w:right w:val="nil"/>
            </w:tcBorders>
            <w:shd w:val="clear" w:color="auto" w:fill="auto"/>
          </w:tcPr>
          <w:p w14:paraId="2C06D18E" w14:textId="2D6180EA"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12 427</w:t>
            </w:r>
          </w:p>
        </w:tc>
        <w:tc>
          <w:tcPr>
            <w:tcW w:w="680" w:type="pct"/>
            <w:tcBorders>
              <w:top w:val="single" w:sz="4" w:space="0" w:color="auto"/>
              <w:left w:val="nil"/>
              <w:bottom w:val="single" w:sz="4" w:space="0" w:color="auto"/>
              <w:right w:val="nil"/>
            </w:tcBorders>
            <w:shd w:val="clear" w:color="auto" w:fill="auto"/>
          </w:tcPr>
          <w:p w14:paraId="4657F4D5" w14:textId="109B68C1"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429 731 134</w:t>
            </w:r>
          </w:p>
        </w:tc>
        <w:tc>
          <w:tcPr>
            <w:tcW w:w="600" w:type="pct"/>
            <w:gridSpan w:val="2"/>
            <w:tcBorders>
              <w:top w:val="single" w:sz="4" w:space="0" w:color="auto"/>
              <w:left w:val="nil"/>
              <w:bottom w:val="single" w:sz="4" w:space="0" w:color="auto"/>
              <w:right w:val="nil"/>
            </w:tcBorders>
            <w:shd w:val="clear" w:color="auto" w:fill="auto"/>
          </w:tcPr>
          <w:p w14:paraId="13B60FB4" w14:textId="350E5C20"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-429 714 120</w:t>
            </w:r>
          </w:p>
        </w:tc>
        <w:tc>
          <w:tcPr>
            <w:tcW w:w="695" w:type="pct"/>
            <w:tcBorders>
              <w:top w:val="single" w:sz="4" w:space="0" w:color="auto"/>
              <w:left w:val="nil"/>
              <w:bottom w:val="single" w:sz="4" w:space="0" w:color="auto"/>
              <w:right w:val="nil"/>
            </w:tcBorders>
            <w:shd w:val="clear" w:color="auto" w:fill="auto"/>
          </w:tcPr>
          <w:p w14:paraId="0CD9F42E" w14:textId="02F11151"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17 014</w:t>
            </w:r>
          </w:p>
        </w:tc>
      </w:tr>
      <w:tr w:rsidR="00C113C1" w:rsidRPr="00A27896" w14:paraId="744C2B7A" w14:textId="20794D46" w:rsidTr="00751780">
        <w:trPr>
          <w:trHeight w:val="204"/>
        </w:trPr>
        <w:tc>
          <w:tcPr>
            <w:tcW w:w="1058" w:type="pct"/>
            <w:tcBorders>
              <w:top w:val="single" w:sz="4" w:space="0" w:color="auto"/>
              <w:left w:val="nil"/>
              <w:bottom w:val="single" w:sz="4" w:space="0" w:color="auto"/>
              <w:right w:val="nil"/>
            </w:tcBorders>
          </w:tcPr>
          <w:p w14:paraId="6A459F79" w14:textId="135F9501"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680" w:type="pct"/>
            <w:gridSpan w:val="2"/>
            <w:tcBorders>
              <w:top w:val="single" w:sz="4" w:space="0" w:color="auto"/>
              <w:left w:val="nil"/>
              <w:bottom w:val="single" w:sz="4" w:space="0" w:color="auto"/>
              <w:right w:val="nil"/>
            </w:tcBorders>
          </w:tcPr>
          <w:p w14:paraId="0739E418" w14:textId="03B096E2"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05" w:type="pct"/>
            <w:tcBorders>
              <w:top w:val="single" w:sz="4" w:space="0" w:color="auto"/>
              <w:left w:val="nil"/>
              <w:bottom w:val="single" w:sz="4" w:space="0" w:color="auto"/>
              <w:right w:val="nil"/>
            </w:tcBorders>
          </w:tcPr>
          <w:p w14:paraId="52F02A3C" w14:textId="28991114"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82" w:type="pct"/>
            <w:tcBorders>
              <w:top w:val="single" w:sz="4" w:space="0" w:color="auto"/>
              <w:left w:val="nil"/>
              <w:bottom w:val="single" w:sz="4" w:space="0" w:color="auto"/>
              <w:right w:val="nil"/>
            </w:tcBorders>
          </w:tcPr>
          <w:p w14:paraId="62911E81" w14:textId="1330EFDB"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c>
          <w:tcPr>
            <w:tcW w:w="680" w:type="pct"/>
            <w:tcBorders>
              <w:top w:val="single" w:sz="4" w:space="0" w:color="auto"/>
              <w:left w:val="nil"/>
              <w:bottom w:val="single" w:sz="4" w:space="0" w:color="auto"/>
              <w:right w:val="nil"/>
            </w:tcBorders>
          </w:tcPr>
          <w:p w14:paraId="57E2EE4B" w14:textId="576E51E4"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00" w:type="pct"/>
            <w:gridSpan w:val="2"/>
            <w:tcBorders>
              <w:top w:val="single" w:sz="4" w:space="0" w:color="auto"/>
              <w:left w:val="nil"/>
              <w:bottom w:val="single" w:sz="4" w:space="0" w:color="auto"/>
              <w:right w:val="nil"/>
            </w:tcBorders>
          </w:tcPr>
          <w:p w14:paraId="6F9A5F86" w14:textId="3E486D8C"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95" w:type="pct"/>
            <w:tcBorders>
              <w:top w:val="single" w:sz="4" w:space="0" w:color="auto"/>
              <w:left w:val="nil"/>
              <w:bottom w:val="single" w:sz="4" w:space="0" w:color="auto"/>
              <w:right w:val="nil"/>
            </w:tcBorders>
          </w:tcPr>
          <w:p w14:paraId="6896319F" w14:textId="7B9F65E7"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r>
      <w:tr w:rsidR="00C113C1" w:rsidRPr="00A27896" w14:paraId="2E41B480" w14:textId="64FA8DA1" w:rsidTr="00751780">
        <w:trPr>
          <w:trHeight w:val="204"/>
        </w:trPr>
        <w:tc>
          <w:tcPr>
            <w:tcW w:w="1058" w:type="pct"/>
            <w:tcBorders>
              <w:top w:val="single" w:sz="4" w:space="0" w:color="auto"/>
              <w:left w:val="nil"/>
              <w:bottom w:val="single" w:sz="4" w:space="0" w:color="auto"/>
              <w:right w:val="nil"/>
            </w:tcBorders>
          </w:tcPr>
          <w:p w14:paraId="3AC3711D" w14:textId="3197A9A9"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tcPr>
          <w:p w14:paraId="3AD2359C" w14:textId="2D154B27"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05" w:type="pct"/>
            <w:tcBorders>
              <w:top w:val="single" w:sz="4" w:space="0" w:color="auto"/>
              <w:left w:val="nil"/>
              <w:bottom w:val="single" w:sz="4" w:space="0" w:color="auto"/>
              <w:right w:val="nil"/>
            </w:tcBorders>
          </w:tcPr>
          <w:p w14:paraId="2D5F63AF" w14:textId="24F0D0F1"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82" w:type="pct"/>
            <w:tcBorders>
              <w:top w:val="single" w:sz="4" w:space="0" w:color="auto"/>
              <w:left w:val="nil"/>
              <w:bottom w:val="single" w:sz="4" w:space="0" w:color="auto"/>
              <w:right w:val="nil"/>
            </w:tcBorders>
          </w:tcPr>
          <w:p w14:paraId="3F800B63" w14:textId="458C62C0"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c>
          <w:tcPr>
            <w:tcW w:w="680" w:type="pct"/>
            <w:tcBorders>
              <w:top w:val="single" w:sz="4" w:space="0" w:color="auto"/>
              <w:left w:val="nil"/>
              <w:bottom w:val="single" w:sz="4" w:space="0" w:color="auto"/>
              <w:right w:val="nil"/>
            </w:tcBorders>
          </w:tcPr>
          <w:p w14:paraId="2716E8E2" w14:textId="35B5383E"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00" w:type="pct"/>
            <w:gridSpan w:val="2"/>
            <w:tcBorders>
              <w:top w:val="single" w:sz="4" w:space="0" w:color="auto"/>
              <w:left w:val="nil"/>
              <w:bottom w:val="single" w:sz="4" w:space="0" w:color="auto"/>
              <w:right w:val="nil"/>
            </w:tcBorders>
          </w:tcPr>
          <w:p w14:paraId="59574147" w14:textId="043B69DC"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-22 457 000</w:t>
            </w:r>
          </w:p>
        </w:tc>
        <w:tc>
          <w:tcPr>
            <w:tcW w:w="695" w:type="pct"/>
            <w:tcBorders>
              <w:top w:val="single" w:sz="4" w:space="0" w:color="auto"/>
              <w:left w:val="nil"/>
              <w:bottom w:val="single" w:sz="4" w:space="0" w:color="auto"/>
              <w:right w:val="nil"/>
            </w:tcBorders>
          </w:tcPr>
          <w:p w14:paraId="7B1856C4" w14:textId="7658CD66"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r>
      <w:tr w:rsidR="00C113C1" w:rsidRPr="00A27896" w14:paraId="17EC6C77" w14:textId="6FC59204" w:rsidTr="00751780">
        <w:trPr>
          <w:trHeight w:val="204"/>
        </w:trPr>
        <w:tc>
          <w:tcPr>
            <w:tcW w:w="1058" w:type="pct"/>
            <w:tcBorders>
              <w:top w:val="single" w:sz="4" w:space="0" w:color="auto"/>
              <w:left w:val="nil"/>
              <w:bottom w:val="single" w:sz="4" w:space="0" w:color="auto"/>
              <w:right w:val="nil"/>
            </w:tcBorders>
          </w:tcPr>
          <w:p w14:paraId="540E524E" w14:textId="4FBC5133"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Aizdevumi</w:t>
            </w:r>
          </w:p>
        </w:tc>
        <w:tc>
          <w:tcPr>
            <w:tcW w:w="680" w:type="pct"/>
            <w:gridSpan w:val="2"/>
            <w:tcBorders>
              <w:top w:val="single" w:sz="4" w:space="0" w:color="auto"/>
              <w:left w:val="nil"/>
              <w:bottom w:val="single" w:sz="4" w:space="0" w:color="auto"/>
              <w:right w:val="nil"/>
            </w:tcBorders>
          </w:tcPr>
          <w:p w14:paraId="59C8D6EC" w14:textId="47CCAFE6"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1 000 500</w:t>
            </w:r>
          </w:p>
        </w:tc>
        <w:tc>
          <w:tcPr>
            <w:tcW w:w="605" w:type="pct"/>
            <w:tcBorders>
              <w:top w:val="single" w:sz="4" w:space="0" w:color="auto"/>
              <w:left w:val="nil"/>
              <w:bottom w:val="single" w:sz="4" w:space="0" w:color="auto"/>
              <w:right w:val="nil"/>
            </w:tcBorders>
          </w:tcPr>
          <w:p w14:paraId="08E9EE9C" w14:textId="1284EF7C"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-993 697</w:t>
            </w:r>
          </w:p>
        </w:tc>
        <w:tc>
          <w:tcPr>
            <w:tcW w:w="682" w:type="pct"/>
            <w:tcBorders>
              <w:top w:val="single" w:sz="4" w:space="0" w:color="auto"/>
              <w:left w:val="nil"/>
              <w:bottom w:val="single" w:sz="4" w:space="0" w:color="auto"/>
              <w:right w:val="nil"/>
            </w:tcBorders>
          </w:tcPr>
          <w:p w14:paraId="1173861B" w14:textId="10E4353A"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6 803</w:t>
            </w:r>
          </w:p>
        </w:tc>
        <w:tc>
          <w:tcPr>
            <w:tcW w:w="680" w:type="pct"/>
            <w:tcBorders>
              <w:top w:val="single" w:sz="4" w:space="0" w:color="auto"/>
              <w:left w:val="nil"/>
              <w:bottom w:val="single" w:sz="4" w:space="0" w:color="auto"/>
              <w:right w:val="nil"/>
            </w:tcBorders>
          </w:tcPr>
          <w:p w14:paraId="1C5E14D0" w14:textId="1DDAA8FF"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1 051 029</w:t>
            </w:r>
          </w:p>
        </w:tc>
        <w:tc>
          <w:tcPr>
            <w:tcW w:w="600" w:type="pct"/>
            <w:gridSpan w:val="2"/>
            <w:tcBorders>
              <w:top w:val="single" w:sz="4" w:space="0" w:color="auto"/>
              <w:left w:val="nil"/>
              <w:bottom w:val="single" w:sz="4" w:space="0" w:color="auto"/>
              <w:right w:val="nil"/>
            </w:tcBorders>
          </w:tcPr>
          <w:p w14:paraId="7FFF5BE8" w14:textId="6891F794"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-1 022 759</w:t>
            </w:r>
          </w:p>
        </w:tc>
        <w:tc>
          <w:tcPr>
            <w:tcW w:w="695" w:type="pct"/>
            <w:tcBorders>
              <w:top w:val="single" w:sz="4" w:space="0" w:color="auto"/>
              <w:left w:val="nil"/>
              <w:bottom w:val="single" w:sz="4" w:space="0" w:color="auto"/>
              <w:right w:val="nil"/>
            </w:tcBorders>
          </w:tcPr>
          <w:p w14:paraId="097F8430" w14:textId="42D3EAC4"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28 270</w:t>
            </w:r>
          </w:p>
        </w:tc>
      </w:tr>
      <w:tr w:rsidR="00C113C1" w:rsidRPr="00A27896" w14:paraId="1587E8BD" w14:textId="77777777" w:rsidTr="00751780">
        <w:trPr>
          <w:trHeight w:val="204"/>
        </w:trPr>
        <w:tc>
          <w:tcPr>
            <w:tcW w:w="1058" w:type="pct"/>
            <w:tcBorders>
              <w:top w:val="single" w:sz="4" w:space="0" w:color="auto"/>
              <w:left w:val="nil"/>
              <w:bottom w:val="single" w:sz="4" w:space="0" w:color="auto"/>
              <w:right w:val="nil"/>
            </w:tcBorders>
          </w:tcPr>
          <w:p w14:paraId="6A96793B" w14:textId="4C058C3C"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tcPr>
          <w:p w14:paraId="29B5C718" w14:textId="56E240A9"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c>
          <w:tcPr>
            <w:tcW w:w="605" w:type="pct"/>
            <w:tcBorders>
              <w:top w:val="single" w:sz="4" w:space="0" w:color="auto"/>
              <w:left w:val="nil"/>
              <w:bottom w:val="single" w:sz="4" w:space="0" w:color="auto"/>
              <w:right w:val="nil"/>
            </w:tcBorders>
          </w:tcPr>
          <w:p w14:paraId="3DA3A475" w14:textId="40D77CF8"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c>
          <w:tcPr>
            <w:tcW w:w="682" w:type="pct"/>
            <w:tcBorders>
              <w:top w:val="single" w:sz="4" w:space="0" w:color="auto"/>
              <w:left w:val="nil"/>
              <w:bottom w:val="single" w:sz="4" w:space="0" w:color="auto"/>
              <w:right w:val="nil"/>
            </w:tcBorders>
          </w:tcPr>
          <w:p w14:paraId="49E8F3F2" w14:textId="25E20D50"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c>
          <w:tcPr>
            <w:tcW w:w="680" w:type="pct"/>
            <w:tcBorders>
              <w:top w:val="single" w:sz="4" w:space="0" w:color="auto"/>
              <w:left w:val="nil"/>
              <w:bottom w:val="single" w:sz="4" w:space="0" w:color="auto"/>
              <w:right w:val="nil"/>
            </w:tcBorders>
          </w:tcPr>
          <w:p w14:paraId="08E363C8" w14:textId="6C257A05"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22 621</w:t>
            </w:r>
          </w:p>
        </w:tc>
        <w:tc>
          <w:tcPr>
            <w:tcW w:w="600" w:type="pct"/>
            <w:gridSpan w:val="2"/>
            <w:tcBorders>
              <w:top w:val="single" w:sz="4" w:space="0" w:color="auto"/>
              <w:left w:val="nil"/>
              <w:bottom w:val="single" w:sz="4" w:space="0" w:color="auto"/>
              <w:right w:val="nil"/>
            </w:tcBorders>
          </w:tcPr>
          <w:p w14:paraId="1677B378" w14:textId="74C7085A"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-4 339</w:t>
            </w:r>
          </w:p>
        </w:tc>
        <w:tc>
          <w:tcPr>
            <w:tcW w:w="695" w:type="pct"/>
            <w:tcBorders>
              <w:top w:val="single" w:sz="4" w:space="0" w:color="auto"/>
              <w:left w:val="nil"/>
              <w:bottom w:val="single" w:sz="4" w:space="0" w:color="auto"/>
              <w:right w:val="nil"/>
            </w:tcBorders>
          </w:tcPr>
          <w:p w14:paraId="092CC4D6" w14:textId="12984C53"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18 282</w:t>
            </w:r>
          </w:p>
        </w:tc>
      </w:tr>
      <w:tr w:rsidR="00C113C1" w:rsidRPr="00A27896" w14:paraId="61E23D3D" w14:textId="7BFEEC17" w:rsidTr="00751780">
        <w:trPr>
          <w:trHeight w:val="204"/>
        </w:trPr>
        <w:tc>
          <w:tcPr>
            <w:tcW w:w="1058" w:type="pct"/>
            <w:tcBorders>
              <w:top w:val="single" w:sz="4" w:space="0" w:color="auto"/>
              <w:left w:val="nil"/>
              <w:bottom w:val="single" w:sz="4" w:space="0" w:color="auto"/>
              <w:right w:val="nil"/>
            </w:tcBorders>
          </w:tcPr>
          <w:p w14:paraId="6495B364" w14:textId="10A64C36"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tcPr>
          <w:p w14:paraId="2508A53D" w14:textId="77B4C7B8"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1 000 500</w:t>
            </w:r>
          </w:p>
        </w:tc>
        <w:tc>
          <w:tcPr>
            <w:tcW w:w="605" w:type="pct"/>
            <w:tcBorders>
              <w:top w:val="single" w:sz="4" w:space="0" w:color="auto"/>
              <w:left w:val="nil"/>
              <w:bottom w:val="single" w:sz="4" w:space="0" w:color="auto"/>
              <w:right w:val="nil"/>
            </w:tcBorders>
          </w:tcPr>
          <w:p w14:paraId="57B7DD9D" w14:textId="6D5EC731"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-993 697</w:t>
            </w:r>
          </w:p>
        </w:tc>
        <w:tc>
          <w:tcPr>
            <w:tcW w:w="682" w:type="pct"/>
            <w:tcBorders>
              <w:top w:val="single" w:sz="4" w:space="0" w:color="auto"/>
              <w:left w:val="nil"/>
              <w:bottom w:val="single" w:sz="4" w:space="0" w:color="auto"/>
              <w:right w:val="nil"/>
            </w:tcBorders>
          </w:tcPr>
          <w:p w14:paraId="43BDC2AD" w14:textId="680C8BA0"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6 803</w:t>
            </w:r>
          </w:p>
        </w:tc>
        <w:tc>
          <w:tcPr>
            <w:tcW w:w="680" w:type="pct"/>
            <w:tcBorders>
              <w:top w:val="single" w:sz="4" w:space="0" w:color="auto"/>
              <w:left w:val="nil"/>
              <w:bottom w:val="single" w:sz="4" w:space="0" w:color="auto"/>
              <w:right w:val="nil"/>
            </w:tcBorders>
          </w:tcPr>
          <w:p w14:paraId="24833F41" w14:textId="44555776"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1 028 408</w:t>
            </w:r>
          </w:p>
        </w:tc>
        <w:tc>
          <w:tcPr>
            <w:tcW w:w="600" w:type="pct"/>
            <w:gridSpan w:val="2"/>
            <w:tcBorders>
              <w:top w:val="single" w:sz="4" w:space="0" w:color="auto"/>
              <w:left w:val="nil"/>
              <w:bottom w:val="single" w:sz="4" w:space="0" w:color="auto"/>
              <w:right w:val="nil"/>
            </w:tcBorders>
          </w:tcPr>
          <w:p w14:paraId="7C61B7D3" w14:textId="190917A5"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-1 018 420</w:t>
            </w:r>
          </w:p>
        </w:tc>
        <w:tc>
          <w:tcPr>
            <w:tcW w:w="695" w:type="pct"/>
            <w:tcBorders>
              <w:top w:val="single" w:sz="4" w:space="0" w:color="auto"/>
              <w:left w:val="nil"/>
              <w:bottom w:val="single" w:sz="4" w:space="0" w:color="auto"/>
              <w:right w:val="nil"/>
            </w:tcBorders>
          </w:tcPr>
          <w:p w14:paraId="7DB43992" w14:textId="0CDCDD40"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9 988</w:t>
            </w:r>
          </w:p>
        </w:tc>
      </w:tr>
      <w:tr w:rsidR="00C113C1" w:rsidRPr="00A27896" w14:paraId="2CEB2346" w14:textId="061182C4" w:rsidTr="00751780">
        <w:trPr>
          <w:trHeight w:val="204"/>
        </w:trPr>
        <w:tc>
          <w:tcPr>
            <w:tcW w:w="1058" w:type="pct"/>
            <w:tcBorders>
              <w:top w:val="single" w:sz="4" w:space="0" w:color="auto"/>
              <w:bottom w:val="single" w:sz="4" w:space="0" w:color="auto"/>
            </w:tcBorders>
            <w:vAlign w:val="center"/>
          </w:tcPr>
          <w:p w14:paraId="1CE44018" w14:textId="1C92AC99"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680" w:type="pct"/>
            <w:gridSpan w:val="2"/>
            <w:tcBorders>
              <w:top w:val="single" w:sz="4" w:space="0" w:color="auto"/>
              <w:left w:val="nil"/>
              <w:bottom w:val="single" w:sz="4" w:space="0" w:color="auto"/>
              <w:right w:val="nil"/>
            </w:tcBorders>
            <w:vAlign w:val="center"/>
          </w:tcPr>
          <w:p w14:paraId="4F2B3B69" w14:textId="2B794061"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395 417 053</w:t>
            </w:r>
          </w:p>
        </w:tc>
        <w:tc>
          <w:tcPr>
            <w:tcW w:w="605" w:type="pct"/>
            <w:tcBorders>
              <w:top w:val="single" w:sz="4" w:space="0" w:color="auto"/>
              <w:left w:val="nil"/>
              <w:bottom w:val="single" w:sz="4" w:space="0" w:color="auto"/>
              <w:right w:val="nil"/>
            </w:tcBorders>
            <w:vAlign w:val="center"/>
          </w:tcPr>
          <w:p w14:paraId="48931252" w14:textId="65A793CA"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-395 326 328</w:t>
            </w:r>
          </w:p>
        </w:tc>
        <w:tc>
          <w:tcPr>
            <w:tcW w:w="682" w:type="pct"/>
            <w:tcBorders>
              <w:top w:val="single" w:sz="4" w:space="0" w:color="auto"/>
              <w:left w:val="nil"/>
              <w:bottom w:val="single" w:sz="4" w:space="0" w:color="auto"/>
              <w:right w:val="nil"/>
            </w:tcBorders>
            <w:vAlign w:val="center"/>
          </w:tcPr>
          <w:p w14:paraId="4D32B233" w14:textId="68DDA251"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90 725</w:t>
            </w:r>
          </w:p>
        </w:tc>
        <w:tc>
          <w:tcPr>
            <w:tcW w:w="680" w:type="pct"/>
            <w:tcBorders>
              <w:top w:val="single" w:sz="4" w:space="0" w:color="auto"/>
              <w:left w:val="nil"/>
              <w:bottom w:val="single" w:sz="4" w:space="0" w:color="auto"/>
              <w:right w:val="nil"/>
            </w:tcBorders>
            <w:vAlign w:val="center"/>
          </w:tcPr>
          <w:p w14:paraId="5B3EA8FD" w14:textId="19A8F9E2"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406 287 158</w:t>
            </w:r>
          </w:p>
        </w:tc>
        <w:tc>
          <w:tcPr>
            <w:tcW w:w="600" w:type="pct"/>
            <w:gridSpan w:val="2"/>
            <w:tcBorders>
              <w:top w:val="single" w:sz="4" w:space="0" w:color="auto"/>
              <w:left w:val="nil"/>
              <w:bottom w:val="single" w:sz="4" w:space="0" w:color="auto"/>
              <w:right w:val="nil"/>
            </w:tcBorders>
            <w:vAlign w:val="center"/>
          </w:tcPr>
          <w:p w14:paraId="6D800844" w14:textId="028721A1"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-406 270 849</w:t>
            </w:r>
          </w:p>
        </w:tc>
        <w:tc>
          <w:tcPr>
            <w:tcW w:w="695" w:type="pct"/>
            <w:tcBorders>
              <w:top w:val="single" w:sz="4" w:space="0" w:color="auto"/>
              <w:left w:val="nil"/>
              <w:bottom w:val="single" w:sz="4" w:space="0" w:color="auto"/>
              <w:right w:val="nil"/>
            </w:tcBorders>
            <w:vAlign w:val="center"/>
          </w:tcPr>
          <w:p w14:paraId="68D23BE5" w14:textId="1521DEC1"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16 309</w:t>
            </w:r>
          </w:p>
        </w:tc>
      </w:tr>
      <w:tr w:rsidR="00C113C1" w:rsidRPr="00A27896" w14:paraId="377CDCF1" w14:textId="64509DDA" w:rsidTr="00751780">
        <w:trPr>
          <w:trHeight w:val="204"/>
        </w:trPr>
        <w:tc>
          <w:tcPr>
            <w:tcW w:w="1058" w:type="pct"/>
            <w:tcBorders>
              <w:top w:val="single" w:sz="4" w:space="0" w:color="auto"/>
              <w:left w:val="nil"/>
              <w:bottom w:val="single" w:sz="4" w:space="0" w:color="auto"/>
              <w:right w:val="nil"/>
            </w:tcBorders>
          </w:tcPr>
          <w:p w14:paraId="7E3C309A" w14:textId="3448E009"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līdz 30 dienām</w:t>
            </w:r>
          </w:p>
        </w:tc>
        <w:tc>
          <w:tcPr>
            <w:tcW w:w="680" w:type="pct"/>
            <w:gridSpan w:val="2"/>
            <w:tcBorders>
              <w:top w:val="single" w:sz="4" w:space="0" w:color="auto"/>
              <w:left w:val="nil"/>
              <w:bottom w:val="single" w:sz="4" w:space="0" w:color="auto"/>
              <w:right w:val="nil"/>
            </w:tcBorders>
            <w:shd w:val="clear" w:color="auto" w:fill="auto"/>
            <w:vAlign w:val="center"/>
          </w:tcPr>
          <w:p w14:paraId="30D160CB" w14:textId="4F6B4D9C"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8 586</w:t>
            </w:r>
          </w:p>
        </w:tc>
        <w:tc>
          <w:tcPr>
            <w:tcW w:w="605" w:type="pct"/>
            <w:tcBorders>
              <w:top w:val="single" w:sz="4" w:space="0" w:color="auto"/>
              <w:left w:val="nil"/>
              <w:bottom w:val="single" w:sz="4" w:space="0" w:color="auto"/>
              <w:right w:val="nil"/>
            </w:tcBorders>
            <w:shd w:val="clear" w:color="auto" w:fill="auto"/>
            <w:vAlign w:val="center"/>
          </w:tcPr>
          <w:p w14:paraId="6B7B0956" w14:textId="628D2CB1"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-5 631</w:t>
            </w:r>
          </w:p>
        </w:tc>
        <w:tc>
          <w:tcPr>
            <w:tcW w:w="682" w:type="pct"/>
            <w:tcBorders>
              <w:top w:val="single" w:sz="4" w:space="0" w:color="auto"/>
              <w:left w:val="nil"/>
              <w:bottom w:val="single" w:sz="4" w:space="0" w:color="auto"/>
              <w:right w:val="nil"/>
            </w:tcBorders>
            <w:shd w:val="clear" w:color="auto" w:fill="auto"/>
            <w:vAlign w:val="center"/>
          </w:tcPr>
          <w:p w14:paraId="6A220DEB" w14:textId="5CF86607"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2 955</w:t>
            </w:r>
          </w:p>
        </w:tc>
        <w:tc>
          <w:tcPr>
            <w:tcW w:w="680" w:type="pct"/>
            <w:tcBorders>
              <w:top w:val="single" w:sz="4" w:space="0" w:color="auto"/>
              <w:left w:val="nil"/>
              <w:bottom w:val="single" w:sz="4" w:space="0" w:color="auto"/>
              <w:right w:val="nil"/>
            </w:tcBorders>
            <w:shd w:val="clear" w:color="auto" w:fill="auto"/>
            <w:vAlign w:val="center"/>
          </w:tcPr>
          <w:p w14:paraId="44F708B7" w14:textId="406F11AE"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6 947</w:t>
            </w:r>
          </w:p>
        </w:tc>
        <w:tc>
          <w:tcPr>
            <w:tcW w:w="600" w:type="pct"/>
            <w:gridSpan w:val="2"/>
            <w:tcBorders>
              <w:top w:val="single" w:sz="4" w:space="0" w:color="auto"/>
              <w:left w:val="nil"/>
              <w:bottom w:val="single" w:sz="4" w:space="0" w:color="auto"/>
              <w:right w:val="nil"/>
            </w:tcBorders>
            <w:shd w:val="clear" w:color="auto" w:fill="auto"/>
            <w:vAlign w:val="center"/>
          </w:tcPr>
          <w:p w14:paraId="593EC411" w14:textId="000612B6"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-5 469</w:t>
            </w:r>
          </w:p>
        </w:tc>
        <w:tc>
          <w:tcPr>
            <w:tcW w:w="695" w:type="pct"/>
            <w:tcBorders>
              <w:top w:val="single" w:sz="4" w:space="0" w:color="auto"/>
              <w:left w:val="nil"/>
              <w:bottom w:val="single" w:sz="4" w:space="0" w:color="auto"/>
              <w:right w:val="nil"/>
            </w:tcBorders>
            <w:shd w:val="clear" w:color="auto" w:fill="auto"/>
            <w:vAlign w:val="center"/>
          </w:tcPr>
          <w:p w14:paraId="03C48FFD" w14:textId="04088313"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1 478</w:t>
            </w:r>
          </w:p>
        </w:tc>
      </w:tr>
      <w:tr w:rsidR="00C113C1" w:rsidRPr="00A27896" w14:paraId="77E24C9C" w14:textId="26D47D95" w:rsidTr="00751780">
        <w:trPr>
          <w:trHeight w:val="204"/>
        </w:trPr>
        <w:tc>
          <w:tcPr>
            <w:tcW w:w="1058" w:type="pct"/>
            <w:tcBorders>
              <w:top w:val="single" w:sz="4" w:space="0" w:color="auto"/>
              <w:left w:val="nil"/>
              <w:bottom w:val="single" w:sz="4" w:space="0" w:color="auto"/>
              <w:right w:val="nil"/>
            </w:tcBorders>
          </w:tcPr>
          <w:p w14:paraId="252697F1" w14:textId="375D9C97"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31 līdz 90 dienām</w:t>
            </w:r>
          </w:p>
        </w:tc>
        <w:tc>
          <w:tcPr>
            <w:tcW w:w="680" w:type="pct"/>
            <w:gridSpan w:val="2"/>
            <w:tcBorders>
              <w:top w:val="single" w:sz="4" w:space="0" w:color="auto"/>
              <w:left w:val="nil"/>
              <w:bottom w:val="single" w:sz="4" w:space="0" w:color="auto"/>
              <w:right w:val="nil"/>
            </w:tcBorders>
            <w:shd w:val="clear" w:color="auto" w:fill="auto"/>
            <w:vAlign w:val="center"/>
          </w:tcPr>
          <w:p w14:paraId="0D637109" w14:textId="559910CC"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16 577</w:t>
            </w:r>
          </w:p>
        </w:tc>
        <w:tc>
          <w:tcPr>
            <w:tcW w:w="605" w:type="pct"/>
            <w:tcBorders>
              <w:top w:val="single" w:sz="4" w:space="0" w:color="auto"/>
              <w:left w:val="nil"/>
              <w:bottom w:val="single" w:sz="4" w:space="0" w:color="auto"/>
              <w:right w:val="nil"/>
            </w:tcBorders>
            <w:shd w:val="clear" w:color="auto" w:fill="auto"/>
            <w:vAlign w:val="center"/>
          </w:tcPr>
          <w:p w14:paraId="3AF4279C" w14:textId="6C263FA3"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-10 590</w:t>
            </w:r>
          </w:p>
        </w:tc>
        <w:tc>
          <w:tcPr>
            <w:tcW w:w="682" w:type="pct"/>
            <w:tcBorders>
              <w:top w:val="single" w:sz="4" w:space="0" w:color="auto"/>
              <w:left w:val="nil"/>
              <w:bottom w:val="single" w:sz="4" w:space="0" w:color="auto"/>
              <w:right w:val="nil"/>
            </w:tcBorders>
            <w:shd w:val="clear" w:color="auto" w:fill="auto"/>
            <w:vAlign w:val="center"/>
          </w:tcPr>
          <w:p w14:paraId="43A04E22" w14:textId="12643C90"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5 987</w:t>
            </w:r>
          </w:p>
        </w:tc>
        <w:tc>
          <w:tcPr>
            <w:tcW w:w="680" w:type="pct"/>
            <w:tcBorders>
              <w:top w:val="single" w:sz="4" w:space="0" w:color="auto"/>
              <w:left w:val="nil"/>
              <w:bottom w:val="single" w:sz="4" w:space="0" w:color="auto"/>
              <w:right w:val="nil"/>
            </w:tcBorders>
            <w:shd w:val="clear" w:color="auto" w:fill="auto"/>
            <w:vAlign w:val="center"/>
          </w:tcPr>
          <w:p w14:paraId="6FB16BD7" w14:textId="2A742CF7"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2 228</w:t>
            </w:r>
          </w:p>
        </w:tc>
        <w:tc>
          <w:tcPr>
            <w:tcW w:w="600" w:type="pct"/>
            <w:gridSpan w:val="2"/>
            <w:tcBorders>
              <w:top w:val="single" w:sz="4" w:space="0" w:color="auto"/>
              <w:left w:val="nil"/>
              <w:bottom w:val="single" w:sz="4" w:space="0" w:color="auto"/>
              <w:right w:val="nil"/>
            </w:tcBorders>
            <w:shd w:val="clear" w:color="auto" w:fill="auto"/>
            <w:vAlign w:val="center"/>
          </w:tcPr>
          <w:p w14:paraId="5FD36575" w14:textId="45EDD29A"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0</w:t>
            </w:r>
          </w:p>
        </w:tc>
        <w:tc>
          <w:tcPr>
            <w:tcW w:w="695" w:type="pct"/>
            <w:tcBorders>
              <w:top w:val="single" w:sz="4" w:space="0" w:color="auto"/>
              <w:left w:val="nil"/>
              <w:bottom w:val="single" w:sz="4" w:space="0" w:color="auto"/>
              <w:right w:val="nil"/>
            </w:tcBorders>
            <w:shd w:val="clear" w:color="auto" w:fill="auto"/>
            <w:vAlign w:val="center"/>
          </w:tcPr>
          <w:p w14:paraId="40E27819" w14:textId="4FB533BD"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2 228</w:t>
            </w:r>
          </w:p>
        </w:tc>
      </w:tr>
      <w:tr w:rsidR="00C113C1" w:rsidRPr="00A27896" w14:paraId="0A4A55CC" w14:textId="4B262F0C" w:rsidTr="00751780">
        <w:trPr>
          <w:trHeight w:val="204"/>
        </w:trPr>
        <w:tc>
          <w:tcPr>
            <w:tcW w:w="1058" w:type="pct"/>
            <w:tcBorders>
              <w:top w:val="single" w:sz="4" w:space="0" w:color="auto"/>
              <w:left w:val="nil"/>
              <w:bottom w:val="single" w:sz="4" w:space="0" w:color="auto"/>
              <w:right w:val="nil"/>
            </w:tcBorders>
          </w:tcPr>
          <w:p w14:paraId="4194CFF9" w14:textId="0BBA2B03"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91 līdz 180 dienām</w:t>
            </w:r>
          </w:p>
        </w:tc>
        <w:tc>
          <w:tcPr>
            <w:tcW w:w="680" w:type="pct"/>
            <w:gridSpan w:val="2"/>
            <w:tcBorders>
              <w:top w:val="single" w:sz="4" w:space="0" w:color="auto"/>
              <w:left w:val="nil"/>
              <w:bottom w:val="single" w:sz="4" w:space="0" w:color="auto"/>
              <w:right w:val="nil"/>
            </w:tcBorders>
            <w:shd w:val="clear" w:color="auto" w:fill="auto"/>
            <w:vAlign w:val="center"/>
          </w:tcPr>
          <w:p w14:paraId="3715025D" w14:textId="758EB2AC"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98 890</w:t>
            </w:r>
          </w:p>
        </w:tc>
        <w:tc>
          <w:tcPr>
            <w:tcW w:w="605" w:type="pct"/>
            <w:tcBorders>
              <w:top w:val="single" w:sz="4" w:space="0" w:color="auto"/>
              <w:left w:val="nil"/>
              <w:bottom w:val="single" w:sz="4" w:space="0" w:color="auto"/>
              <w:right w:val="nil"/>
            </w:tcBorders>
            <w:shd w:val="clear" w:color="auto" w:fill="auto"/>
            <w:vAlign w:val="center"/>
          </w:tcPr>
          <w:p w14:paraId="3C08820D" w14:textId="7E696897"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-24 600</w:t>
            </w:r>
          </w:p>
        </w:tc>
        <w:tc>
          <w:tcPr>
            <w:tcW w:w="682" w:type="pct"/>
            <w:tcBorders>
              <w:top w:val="single" w:sz="4" w:space="0" w:color="auto"/>
              <w:left w:val="nil"/>
              <w:bottom w:val="single" w:sz="4" w:space="0" w:color="auto"/>
              <w:right w:val="nil"/>
            </w:tcBorders>
            <w:shd w:val="clear" w:color="auto" w:fill="auto"/>
            <w:vAlign w:val="center"/>
          </w:tcPr>
          <w:p w14:paraId="2D720584" w14:textId="2CDE6FA7"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74 290</w:t>
            </w:r>
          </w:p>
        </w:tc>
        <w:tc>
          <w:tcPr>
            <w:tcW w:w="680" w:type="pct"/>
            <w:tcBorders>
              <w:top w:val="single" w:sz="4" w:space="0" w:color="auto"/>
              <w:left w:val="nil"/>
              <w:bottom w:val="single" w:sz="4" w:space="0" w:color="auto"/>
              <w:right w:val="nil"/>
            </w:tcBorders>
            <w:shd w:val="clear" w:color="auto" w:fill="auto"/>
            <w:vAlign w:val="center"/>
          </w:tcPr>
          <w:p w14:paraId="339249EA" w14:textId="6C6E2AD0"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4 048</w:t>
            </w:r>
          </w:p>
        </w:tc>
        <w:tc>
          <w:tcPr>
            <w:tcW w:w="600" w:type="pct"/>
            <w:gridSpan w:val="2"/>
            <w:tcBorders>
              <w:top w:val="single" w:sz="4" w:space="0" w:color="auto"/>
              <w:left w:val="nil"/>
              <w:bottom w:val="single" w:sz="4" w:space="0" w:color="auto"/>
              <w:right w:val="nil"/>
            </w:tcBorders>
            <w:shd w:val="clear" w:color="auto" w:fill="auto"/>
            <w:vAlign w:val="center"/>
          </w:tcPr>
          <w:p w14:paraId="2320B2C9" w14:textId="596D62E6"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-953</w:t>
            </w:r>
          </w:p>
        </w:tc>
        <w:tc>
          <w:tcPr>
            <w:tcW w:w="695" w:type="pct"/>
            <w:tcBorders>
              <w:top w:val="single" w:sz="4" w:space="0" w:color="auto"/>
              <w:left w:val="nil"/>
              <w:bottom w:val="single" w:sz="4" w:space="0" w:color="auto"/>
              <w:right w:val="nil"/>
            </w:tcBorders>
            <w:shd w:val="clear" w:color="auto" w:fill="auto"/>
            <w:vAlign w:val="center"/>
          </w:tcPr>
          <w:p w14:paraId="12E7C2A4" w14:textId="5477FCC7"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3 095</w:t>
            </w:r>
          </w:p>
        </w:tc>
      </w:tr>
      <w:tr w:rsidR="00C113C1" w:rsidRPr="00A27896" w14:paraId="334419D4" w14:textId="77777777" w:rsidTr="00751780">
        <w:trPr>
          <w:trHeight w:val="204"/>
        </w:trPr>
        <w:tc>
          <w:tcPr>
            <w:tcW w:w="1058" w:type="pct"/>
            <w:tcBorders>
              <w:top w:val="single" w:sz="4" w:space="0" w:color="auto"/>
              <w:left w:val="nil"/>
              <w:bottom w:val="single" w:sz="4" w:space="0" w:color="auto"/>
              <w:right w:val="nil"/>
            </w:tcBorders>
          </w:tcPr>
          <w:p w14:paraId="7CFEBA80" w14:textId="02E77825"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 181 līdz 360 dienām</w:t>
            </w:r>
          </w:p>
        </w:tc>
        <w:tc>
          <w:tcPr>
            <w:tcW w:w="680" w:type="pct"/>
            <w:gridSpan w:val="2"/>
            <w:tcBorders>
              <w:top w:val="single" w:sz="4" w:space="0" w:color="auto"/>
              <w:left w:val="nil"/>
              <w:bottom w:val="single" w:sz="4" w:space="0" w:color="auto"/>
              <w:right w:val="nil"/>
            </w:tcBorders>
            <w:shd w:val="clear" w:color="auto" w:fill="auto"/>
            <w:vAlign w:val="center"/>
          </w:tcPr>
          <w:p w14:paraId="5345AF78" w14:textId="1A29355D"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22 566</w:t>
            </w:r>
          </w:p>
        </w:tc>
        <w:tc>
          <w:tcPr>
            <w:tcW w:w="605" w:type="pct"/>
            <w:tcBorders>
              <w:top w:val="single" w:sz="4" w:space="0" w:color="auto"/>
              <w:left w:val="nil"/>
              <w:bottom w:val="single" w:sz="4" w:space="0" w:color="auto"/>
              <w:right w:val="nil"/>
            </w:tcBorders>
            <w:shd w:val="clear" w:color="auto" w:fill="auto"/>
            <w:vAlign w:val="center"/>
          </w:tcPr>
          <w:p w14:paraId="336976AC" w14:textId="39F0E6CF"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-20 697</w:t>
            </w:r>
          </w:p>
        </w:tc>
        <w:tc>
          <w:tcPr>
            <w:tcW w:w="682" w:type="pct"/>
            <w:tcBorders>
              <w:top w:val="single" w:sz="4" w:space="0" w:color="auto"/>
              <w:left w:val="nil"/>
              <w:bottom w:val="single" w:sz="4" w:space="0" w:color="auto"/>
              <w:right w:val="nil"/>
            </w:tcBorders>
            <w:shd w:val="clear" w:color="auto" w:fill="auto"/>
            <w:vAlign w:val="center"/>
          </w:tcPr>
          <w:p w14:paraId="6FFA636C" w14:textId="69D36B9D"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1 869</w:t>
            </w:r>
          </w:p>
        </w:tc>
        <w:tc>
          <w:tcPr>
            <w:tcW w:w="680" w:type="pct"/>
            <w:tcBorders>
              <w:top w:val="single" w:sz="4" w:space="0" w:color="auto"/>
              <w:left w:val="nil"/>
              <w:bottom w:val="single" w:sz="4" w:space="0" w:color="auto"/>
              <w:right w:val="nil"/>
            </w:tcBorders>
            <w:shd w:val="clear" w:color="auto" w:fill="auto"/>
            <w:vAlign w:val="center"/>
          </w:tcPr>
          <w:p w14:paraId="73C51640" w14:textId="6ED44CC2"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28 209</w:t>
            </w:r>
          </w:p>
        </w:tc>
        <w:tc>
          <w:tcPr>
            <w:tcW w:w="600" w:type="pct"/>
            <w:gridSpan w:val="2"/>
            <w:tcBorders>
              <w:top w:val="single" w:sz="4" w:space="0" w:color="auto"/>
              <w:left w:val="nil"/>
              <w:bottom w:val="single" w:sz="4" w:space="0" w:color="auto"/>
              <w:right w:val="nil"/>
            </w:tcBorders>
            <w:shd w:val="clear" w:color="auto" w:fill="auto"/>
            <w:vAlign w:val="center"/>
          </w:tcPr>
          <w:p w14:paraId="6AF3845E" w14:textId="6191AFCD"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-25 727</w:t>
            </w:r>
          </w:p>
        </w:tc>
        <w:tc>
          <w:tcPr>
            <w:tcW w:w="695" w:type="pct"/>
            <w:tcBorders>
              <w:top w:val="single" w:sz="4" w:space="0" w:color="auto"/>
              <w:left w:val="nil"/>
              <w:bottom w:val="single" w:sz="4" w:space="0" w:color="auto"/>
              <w:right w:val="nil"/>
            </w:tcBorders>
            <w:shd w:val="clear" w:color="auto" w:fill="auto"/>
            <w:vAlign w:val="center"/>
          </w:tcPr>
          <w:p w14:paraId="1B29F260" w14:textId="2D123918"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2 482</w:t>
            </w:r>
          </w:p>
        </w:tc>
      </w:tr>
      <w:tr w:rsidR="00C113C1" w:rsidRPr="00A27896" w14:paraId="6CC6374A" w14:textId="77777777" w:rsidTr="00751780">
        <w:trPr>
          <w:trHeight w:val="204"/>
        </w:trPr>
        <w:tc>
          <w:tcPr>
            <w:tcW w:w="1058" w:type="pct"/>
            <w:tcBorders>
              <w:top w:val="single" w:sz="4" w:space="0" w:color="auto"/>
              <w:left w:val="nil"/>
              <w:bottom w:val="single" w:sz="4" w:space="0" w:color="auto"/>
              <w:right w:val="nil"/>
            </w:tcBorders>
          </w:tcPr>
          <w:p w14:paraId="569FA265" w14:textId="04F8E24F" w:rsidR="00C113C1" w:rsidRPr="00A27896" w:rsidRDefault="00C113C1" w:rsidP="00C113C1">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 xml:space="preserve">vairāk par 360 dienām </w:t>
            </w:r>
          </w:p>
        </w:tc>
        <w:tc>
          <w:tcPr>
            <w:tcW w:w="680" w:type="pct"/>
            <w:gridSpan w:val="2"/>
            <w:tcBorders>
              <w:top w:val="single" w:sz="4" w:space="0" w:color="auto"/>
              <w:left w:val="nil"/>
              <w:bottom w:val="single" w:sz="4" w:space="0" w:color="auto"/>
              <w:right w:val="nil"/>
            </w:tcBorders>
            <w:shd w:val="clear" w:color="auto" w:fill="auto"/>
            <w:vAlign w:val="center"/>
          </w:tcPr>
          <w:p w14:paraId="4525E85D" w14:textId="2F251D98"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395 270 434</w:t>
            </w:r>
          </w:p>
        </w:tc>
        <w:tc>
          <w:tcPr>
            <w:tcW w:w="605" w:type="pct"/>
            <w:tcBorders>
              <w:top w:val="single" w:sz="4" w:space="0" w:color="auto"/>
              <w:left w:val="nil"/>
              <w:bottom w:val="single" w:sz="4" w:space="0" w:color="auto"/>
              <w:right w:val="nil"/>
            </w:tcBorders>
            <w:shd w:val="clear" w:color="auto" w:fill="auto"/>
            <w:vAlign w:val="center"/>
          </w:tcPr>
          <w:p w14:paraId="5A50124C" w14:textId="3DED1BD2"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-395 264 810</w:t>
            </w:r>
          </w:p>
        </w:tc>
        <w:tc>
          <w:tcPr>
            <w:tcW w:w="682" w:type="pct"/>
            <w:tcBorders>
              <w:top w:val="single" w:sz="4" w:space="0" w:color="auto"/>
              <w:left w:val="nil"/>
              <w:bottom w:val="single" w:sz="4" w:space="0" w:color="auto"/>
              <w:right w:val="nil"/>
            </w:tcBorders>
            <w:shd w:val="clear" w:color="auto" w:fill="auto"/>
            <w:vAlign w:val="center"/>
          </w:tcPr>
          <w:p w14:paraId="4CDAD7A2" w14:textId="4C512BB1"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5 624</w:t>
            </w:r>
          </w:p>
        </w:tc>
        <w:tc>
          <w:tcPr>
            <w:tcW w:w="680" w:type="pct"/>
            <w:tcBorders>
              <w:top w:val="single" w:sz="4" w:space="0" w:color="auto"/>
              <w:left w:val="nil"/>
              <w:bottom w:val="single" w:sz="4" w:space="0" w:color="auto"/>
              <w:right w:val="nil"/>
            </w:tcBorders>
            <w:shd w:val="clear" w:color="auto" w:fill="auto"/>
            <w:vAlign w:val="center"/>
          </w:tcPr>
          <w:p w14:paraId="028F3C85" w14:textId="61060E6C"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406 245 726</w:t>
            </w:r>
          </w:p>
        </w:tc>
        <w:tc>
          <w:tcPr>
            <w:tcW w:w="600" w:type="pct"/>
            <w:gridSpan w:val="2"/>
            <w:tcBorders>
              <w:top w:val="single" w:sz="4" w:space="0" w:color="auto"/>
              <w:left w:val="nil"/>
              <w:bottom w:val="single" w:sz="4" w:space="0" w:color="auto"/>
              <w:right w:val="nil"/>
            </w:tcBorders>
            <w:shd w:val="clear" w:color="auto" w:fill="auto"/>
            <w:vAlign w:val="center"/>
          </w:tcPr>
          <w:p w14:paraId="4C11658D" w14:textId="40643F5E"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-406 238 700</w:t>
            </w:r>
          </w:p>
        </w:tc>
        <w:tc>
          <w:tcPr>
            <w:tcW w:w="695" w:type="pct"/>
            <w:tcBorders>
              <w:top w:val="single" w:sz="4" w:space="0" w:color="auto"/>
              <w:left w:val="nil"/>
              <w:bottom w:val="single" w:sz="4" w:space="0" w:color="auto"/>
              <w:right w:val="nil"/>
            </w:tcBorders>
            <w:shd w:val="clear" w:color="auto" w:fill="auto"/>
            <w:vAlign w:val="center"/>
          </w:tcPr>
          <w:p w14:paraId="5271A4A5" w14:textId="60DFD5D5" w:rsidR="00C113C1" w:rsidRPr="00C113C1" w:rsidRDefault="00C113C1" w:rsidP="00C113C1">
            <w:pPr>
              <w:spacing w:after="0" w:line="240" w:lineRule="auto"/>
              <w:ind w:right="57"/>
              <w:jc w:val="right"/>
              <w:rPr>
                <w:rFonts w:eastAsia="Times New Roman" w:cs="Times New Roman"/>
                <w:color w:val="17365D"/>
                <w:sz w:val="18"/>
                <w:szCs w:val="18"/>
                <w:lang w:eastAsia="lv-LV"/>
              </w:rPr>
            </w:pPr>
            <w:r w:rsidRPr="00C113C1">
              <w:rPr>
                <w:rFonts w:eastAsia="Times New Roman" w:cs="Times New Roman"/>
                <w:color w:val="17365D"/>
                <w:sz w:val="18"/>
                <w:szCs w:val="18"/>
                <w:lang w:eastAsia="lv-LV"/>
              </w:rPr>
              <w:t>7 026</w:t>
            </w:r>
          </w:p>
        </w:tc>
      </w:tr>
      <w:tr w:rsidR="00613BC9" w:rsidRPr="00A27896" w14:paraId="1B45D3D2" w14:textId="6022DAE7" w:rsidTr="00751780">
        <w:trPr>
          <w:trHeight w:val="204"/>
        </w:trPr>
        <w:tc>
          <w:tcPr>
            <w:tcW w:w="1058" w:type="pct"/>
            <w:tcBorders>
              <w:top w:val="single" w:sz="4" w:space="0" w:color="auto"/>
              <w:bottom w:val="single" w:sz="4" w:space="0" w:color="auto"/>
            </w:tcBorders>
            <w:vAlign w:val="center"/>
          </w:tcPr>
          <w:p w14:paraId="490B7993" w14:textId="1B8B1960" w:rsidR="00613BC9" w:rsidRPr="00A27896" w:rsidRDefault="00613BC9" w:rsidP="00613BC9">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Zembilances posteņos iekļautie finanšu instrumenti</w:t>
            </w:r>
          </w:p>
        </w:tc>
        <w:tc>
          <w:tcPr>
            <w:tcW w:w="680" w:type="pct"/>
            <w:gridSpan w:val="2"/>
            <w:tcBorders>
              <w:top w:val="single" w:sz="4" w:space="0" w:color="auto"/>
              <w:left w:val="nil"/>
              <w:bottom w:val="single" w:sz="4" w:space="0" w:color="auto"/>
              <w:right w:val="nil"/>
            </w:tcBorders>
            <w:shd w:val="clear" w:color="auto" w:fill="auto"/>
            <w:vAlign w:val="center"/>
          </w:tcPr>
          <w:p w14:paraId="3D061FA1" w14:textId="40FC8267" w:rsidR="00613BC9" w:rsidRPr="00613BC9" w:rsidRDefault="00613BC9" w:rsidP="00613BC9">
            <w:pPr>
              <w:spacing w:after="0" w:line="240" w:lineRule="auto"/>
              <w:ind w:right="57"/>
              <w:jc w:val="right"/>
              <w:rPr>
                <w:rFonts w:eastAsia="Times New Roman" w:cs="Times New Roman"/>
                <w:b/>
                <w:color w:val="17365D"/>
                <w:sz w:val="18"/>
                <w:szCs w:val="18"/>
                <w:lang w:eastAsia="lv-LV"/>
              </w:rPr>
            </w:pPr>
            <w:r w:rsidRPr="00613BC9">
              <w:rPr>
                <w:rFonts w:eastAsia="Times New Roman" w:cs="Times New Roman"/>
                <w:b/>
                <w:color w:val="17365D"/>
                <w:sz w:val="18"/>
                <w:szCs w:val="18"/>
                <w:lang w:eastAsia="lv-LV"/>
              </w:rPr>
              <w:t>2 408 806 532</w:t>
            </w:r>
          </w:p>
        </w:tc>
        <w:tc>
          <w:tcPr>
            <w:tcW w:w="605" w:type="pct"/>
            <w:tcBorders>
              <w:top w:val="single" w:sz="4" w:space="0" w:color="auto"/>
              <w:left w:val="nil"/>
              <w:bottom w:val="single" w:sz="4" w:space="0" w:color="auto"/>
              <w:right w:val="nil"/>
            </w:tcBorders>
            <w:shd w:val="clear" w:color="auto" w:fill="auto"/>
            <w:vAlign w:val="center"/>
          </w:tcPr>
          <w:p w14:paraId="2EF82A26" w14:textId="15362642" w:rsidR="00613BC9" w:rsidRPr="00613BC9" w:rsidRDefault="00613BC9" w:rsidP="00613BC9">
            <w:pPr>
              <w:spacing w:after="0" w:line="240" w:lineRule="auto"/>
              <w:ind w:right="57"/>
              <w:jc w:val="right"/>
              <w:rPr>
                <w:rFonts w:eastAsia="Times New Roman" w:cs="Times New Roman"/>
                <w:b/>
                <w:color w:val="17365D"/>
                <w:sz w:val="18"/>
                <w:szCs w:val="18"/>
                <w:lang w:eastAsia="lv-LV"/>
              </w:rPr>
            </w:pPr>
            <w:r w:rsidRPr="00613BC9">
              <w:rPr>
                <w:rFonts w:eastAsia="Times New Roman" w:cs="Times New Roman"/>
                <w:b/>
                <w:color w:val="17365D"/>
                <w:sz w:val="18"/>
                <w:szCs w:val="18"/>
                <w:lang w:eastAsia="lv-LV"/>
              </w:rPr>
              <w:t>0</w:t>
            </w:r>
          </w:p>
        </w:tc>
        <w:tc>
          <w:tcPr>
            <w:tcW w:w="682" w:type="pct"/>
            <w:tcBorders>
              <w:top w:val="single" w:sz="4" w:space="0" w:color="auto"/>
              <w:left w:val="nil"/>
              <w:bottom w:val="single" w:sz="4" w:space="0" w:color="auto"/>
              <w:right w:val="nil"/>
            </w:tcBorders>
            <w:shd w:val="clear" w:color="auto" w:fill="auto"/>
            <w:vAlign w:val="center"/>
          </w:tcPr>
          <w:p w14:paraId="0175B24D" w14:textId="49CA53BE" w:rsidR="00613BC9" w:rsidRPr="00613BC9" w:rsidRDefault="00613BC9" w:rsidP="00613BC9">
            <w:pPr>
              <w:spacing w:after="0" w:line="240" w:lineRule="auto"/>
              <w:ind w:right="57"/>
              <w:jc w:val="right"/>
              <w:rPr>
                <w:rFonts w:eastAsia="Times New Roman" w:cs="Times New Roman"/>
                <w:b/>
                <w:color w:val="17365D"/>
                <w:sz w:val="18"/>
                <w:szCs w:val="18"/>
                <w:lang w:eastAsia="lv-LV"/>
              </w:rPr>
            </w:pPr>
            <w:r w:rsidRPr="00613BC9">
              <w:rPr>
                <w:rFonts w:eastAsia="Times New Roman" w:cs="Times New Roman"/>
                <w:b/>
                <w:color w:val="17365D"/>
                <w:sz w:val="18"/>
                <w:szCs w:val="18"/>
                <w:lang w:eastAsia="lv-LV"/>
              </w:rPr>
              <w:t>2 408 806 532</w:t>
            </w:r>
          </w:p>
        </w:tc>
        <w:tc>
          <w:tcPr>
            <w:tcW w:w="680" w:type="pct"/>
            <w:tcBorders>
              <w:top w:val="single" w:sz="4" w:space="0" w:color="auto"/>
              <w:left w:val="nil"/>
              <w:bottom w:val="single" w:sz="4" w:space="0" w:color="auto"/>
              <w:right w:val="nil"/>
            </w:tcBorders>
            <w:shd w:val="clear" w:color="auto" w:fill="auto"/>
            <w:vAlign w:val="center"/>
          </w:tcPr>
          <w:p w14:paraId="0A6E27E6" w14:textId="566531A1" w:rsidR="00613BC9" w:rsidRPr="00613BC9" w:rsidRDefault="00613BC9" w:rsidP="00613BC9">
            <w:pPr>
              <w:spacing w:after="0" w:line="240" w:lineRule="auto"/>
              <w:ind w:right="57"/>
              <w:jc w:val="right"/>
              <w:rPr>
                <w:rFonts w:eastAsia="Times New Roman" w:cs="Times New Roman"/>
                <w:b/>
                <w:color w:val="17365D"/>
                <w:sz w:val="18"/>
                <w:szCs w:val="18"/>
                <w:lang w:eastAsia="lv-LV"/>
              </w:rPr>
            </w:pPr>
            <w:r w:rsidRPr="00613BC9">
              <w:rPr>
                <w:rFonts w:eastAsia="Times New Roman" w:cs="Times New Roman"/>
                <w:b/>
                <w:color w:val="17365D"/>
                <w:sz w:val="18"/>
                <w:szCs w:val="18"/>
                <w:lang w:eastAsia="lv-LV"/>
              </w:rPr>
              <w:t>3 666 996</w:t>
            </w:r>
          </w:p>
        </w:tc>
        <w:tc>
          <w:tcPr>
            <w:tcW w:w="600" w:type="pct"/>
            <w:gridSpan w:val="2"/>
            <w:tcBorders>
              <w:top w:val="single" w:sz="4" w:space="0" w:color="auto"/>
              <w:left w:val="nil"/>
              <w:bottom w:val="single" w:sz="4" w:space="0" w:color="auto"/>
              <w:right w:val="nil"/>
            </w:tcBorders>
            <w:shd w:val="clear" w:color="auto" w:fill="auto"/>
            <w:vAlign w:val="center"/>
          </w:tcPr>
          <w:p w14:paraId="5FBB4E96" w14:textId="113B910C" w:rsidR="00613BC9" w:rsidRPr="00613BC9" w:rsidRDefault="00613BC9" w:rsidP="00613BC9">
            <w:pPr>
              <w:spacing w:after="0" w:line="240" w:lineRule="auto"/>
              <w:ind w:right="57"/>
              <w:jc w:val="right"/>
              <w:rPr>
                <w:rFonts w:eastAsia="Times New Roman" w:cs="Times New Roman"/>
                <w:b/>
                <w:color w:val="17365D"/>
                <w:sz w:val="18"/>
                <w:szCs w:val="18"/>
                <w:lang w:eastAsia="lv-LV"/>
              </w:rPr>
            </w:pPr>
            <w:r w:rsidRPr="00613BC9">
              <w:rPr>
                <w:rFonts w:eastAsia="Times New Roman" w:cs="Times New Roman"/>
                <w:b/>
                <w:color w:val="17365D"/>
                <w:sz w:val="18"/>
                <w:szCs w:val="18"/>
                <w:lang w:eastAsia="lv-LV"/>
              </w:rPr>
              <w:t>0</w:t>
            </w:r>
          </w:p>
        </w:tc>
        <w:tc>
          <w:tcPr>
            <w:tcW w:w="695" w:type="pct"/>
            <w:tcBorders>
              <w:top w:val="single" w:sz="4" w:space="0" w:color="auto"/>
              <w:left w:val="nil"/>
              <w:bottom w:val="single" w:sz="4" w:space="0" w:color="auto"/>
              <w:right w:val="nil"/>
            </w:tcBorders>
            <w:shd w:val="clear" w:color="auto" w:fill="auto"/>
            <w:vAlign w:val="center"/>
          </w:tcPr>
          <w:p w14:paraId="3434BB24" w14:textId="4ABA8CC6" w:rsidR="00613BC9" w:rsidRPr="00613BC9" w:rsidRDefault="00613BC9" w:rsidP="00613BC9">
            <w:pPr>
              <w:spacing w:after="0" w:line="240" w:lineRule="auto"/>
              <w:ind w:right="57"/>
              <w:jc w:val="right"/>
              <w:rPr>
                <w:rFonts w:eastAsia="Times New Roman" w:cs="Times New Roman"/>
                <w:b/>
                <w:color w:val="17365D"/>
                <w:sz w:val="18"/>
                <w:szCs w:val="18"/>
                <w:lang w:eastAsia="lv-LV"/>
              </w:rPr>
            </w:pPr>
            <w:r w:rsidRPr="00613BC9">
              <w:rPr>
                <w:rFonts w:eastAsia="Times New Roman" w:cs="Times New Roman"/>
                <w:b/>
                <w:color w:val="17365D"/>
                <w:sz w:val="18"/>
                <w:szCs w:val="18"/>
                <w:lang w:eastAsia="lv-LV"/>
              </w:rPr>
              <w:t>3 666 996</w:t>
            </w:r>
          </w:p>
        </w:tc>
      </w:tr>
      <w:tr w:rsidR="000C1009" w:rsidRPr="00A27896" w14:paraId="337C61A7" w14:textId="77777777" w:rsidTr="00751780">
        <w:tblPrEx>
          <w:tblBorders>
            <w:insideH w:val="none" w:sz="0" w:space="0" w:color="auto"/>
          </w:tblBorders>
          <w:tblCellMar>
            <w:top w:w="0" w:type="dxa"/>
            <w:left w:w="108" w:type="dxa"/>
            <w:bottom w:w="0" w:type="dxa"/>
            <w:right w:w="108" w:type="dxa"/>
          </w:tblCellMar>
        </w:tblPrEx>
        <w:trPr>
          <w:trHeight w:val="134"/>
        </w:trPr>
        <w:tc>
          <w:tcPr>
            <w:tcW w:w="1419" w:type="pct"/>
            <w:gridSpan w:val="2"/>
            <w:tcBorders>
              <w:top w:val="single" w:sz="4" w:space="0" w:color="auto"/>
              <w:left w:val="nil"/>
              <w:bottom w:val="nil"/>
              <w:right w:val="nil"/>
            </w:tcBorders>
            <w:shd w:val="clear" w:color="000000" w:fill="B9CDE5"/>
            <w:noWrap/>
            <w:vAlign w:val="center"/>
            <w:hideMark/>
          </w:tcPr>
          <w:p w14:paraId="48B018B3" w14:textId="77777777" w:rsidR="00C275AD" w:rsidRPr="00A27896" w:rsidRDefault="00C275AD" w:rsidP="00F10012">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643" w:type="pct"/>
            <w:gridSpan w:val="5"/>
            <w:tcBorders>
              <w:top w:val="single" w:sz="4" w:space="0" w:color="auto"/>
              <w:left w:val="nil"/>
              <w:bottom w:val="nil"/>
              <w:right w:val="nil"/>
            </w:tcBorders>
            <w:shd w:val="clear" w:color="000000" w:fill="B9CDE5"/>
            <w:noWrap/>
            <w:vAlign w:val="center"/>
            <w:hideMark/>
          </w:tcPr>
          <w:p w14:paraId="26B06F82" w14:textId="77777777" w:rsidR="00C275AD" w:rsidRPr="00A27896" w:rsidRDefault="00C275AD" w:rsidP="00F10012">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938" w:type="pct"/>
            <w:gridSpan w:val="2"/>
            <w:tcBorders>
              <w:top w:val="single" w:sz="4" w:space="0" w:color="auto"/>
              <w:left w:val="nil"/>
              <w:bottom w:val="nil"/>
              <w:right w:val="nil"/>
            </w:tcBorders>
            <w:shd w:val="clear" w:color="000000" w:fill="B9CDE5"/>
            <w:vAlign w:val="center"/>
            <w:hideMark/>
          </w:tcPr>
          <w:p w14:paraId="59B297F4" w14:textId="77777777" w:rsidR="00C275AD" w:rsidRPr="00A27896" w:rsidRDefault="00C275AD" w:rsidP="00F10012">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480283A9" w14:textId="2028FCD2" w:rsidR="00DB637B" w:rsidRDefault="00DB637B" w:rsidP="0022056B">
      <w:pPr>
        <w:spacing w:before="120" w:after="0" w:line="240" w:lineRule="auto"/>
        <w:jc w:val="both"/>
        <w:rPr>
          <w:rFonts w:cs="Times New Roman"/>
          <w:color w:val="17365D"/>
        </w:rPr>
      </w:pPr>
      <w:r w:rsidRPr="00A27896">
        <w:rPr>
          <w:rFonts w:cs="Times New Roman"/>
          <w:color w:val="17365D"/>
        </w:rPr>
        <w:t xml:space="preserve">Informācija piezīmē konsolidēta par savstarpējiem valsts budžeta </w:t>
      </w:r>
      <w:r w:rsidR="009E4ABD">
        <w:rPr>
          <w:rFonts w:cs="Times New Roman"/>
          <w:color w:val="17365D"/>
        </w:rPr>
        <w:t>finanšu uzskaites</w:t>
      </w:r>
      <w:r w:rsidRPr="00A27896">
        <w:rPr>
          <w:rFonts w:cs="Times New Roman"/>
          <w:color w:val="17365D"/>
        </w:rPr>
        <w:t xml:space="preserve"> un </w:t>
      </w:r>
      <w:r w:rsidR="00706C04">
        <w:rPr>
          <w:rFonts w:cs="Times New Roman"/>
          <w:color w:val="17365D"/>
        </w:rPr>
        <w:t>valsts</w:t>
      </w:r>
      <w:r w:rsidRPr="00A27896">
        <w:rPr>
          <w:rFonts w:cs="Times New Roman"/>
          <w:color w:val="17365D"/>
        </w:rPr>
        <w:t xml:space="preserve"> un pašvaldību </w:t>
      </w:r>
      <w:r w:rsidR="00706C04">
        <w:rPr>
          <w:rFonts w:cs="Times New Roman"/>
          <w:color w:val="17365D"/>
        </w:rPr>
        <w:t xml:space="preserve">budžeta iestāžu aktīvu un saistību </w:t>
      </w:r>
      <w:r w:rsidRPr="00A27896">
        <w:rPr>
          <w:rFonts w:cs="Times New Roman"/>
          <w:color w:val="17365D"/>
        </w:rPr>
        <w:t>atlikumiem.</w:t>
      </w:r>
    </w:p>
    <w:p w14:paraId="1743D618" w14:textId="77777777" w:rsidR="006D7BEC" w:rsidRDefault="006D7BEC" w:rsidP="0022056B">
      <w:pPr>
        <w:spacing w:before="120" w:after="0" w:line="240" w:lineRule="auto"/>
        <w:jc w:val="both"/>
        <w:rPr>
          <w:rFonts w:cs="Times New Roman"/>
          <w:color w:val="17365D"/>
        </w:rPr>
      </w:pPr>
    </w:p>
    <w:p w14:paraId="09AFE4BE" w14:textId="5D37FD6F" w:rsidR="005A010F" w:rsidRPr="00A27896" w:rsidRDefault="00715EF2" w:rsidP="008F3443">
      <w:pPr>
        <w:pStyle w:val="Heading5"/>
        <w:spacing w:before="240"/>
        <w:rPr>
          <w:rFonts w:cs="Times New Roman"/>
        </w:rPr>
      </w:pPr>
      <w:r w:rsidRPr="00A27896">
        <w:rPr>
          <w:rFonts w:cs="Times New Roman"/>
        </w:rPr>
        <w:t xml:space="preserve">Piezīme Nr. </w:t>
      </w:r>
      <w:r w:rsidR="005A010F" w:rsidRPr="00A27896">
        <w:rPr>
          <w:rFonts w:cs="Times New Roman"/>
        </w:rPr>
        <w:t>V9.</w:t>
      </w:r>
      <w:r w:rsidR="0076759A" w:rsidRPr="00A27896">
        <w:rPr>
          <w:rFonts w:cs="Times New Roman"/>
        </w:rPr>
        <w:t xml:space="preserve"> Informācija par nodrošinātajiem finanšu aktīviem, kas pakļauti kredītriskam, sadalījumā pa finanšu instrumentiem </w:t>
      </w:r>
    </w:p>
    <w:p w14:paraId="004D4A86" w14:textId="1FE3EDAD" w:rsidR="00147E18" w:rsidRDefault="00147E18" w:rsidP="00147E18">
      <w:pPr>
        <w:spacing w:after="120" w:line="240" w:lineRule="auto"/>
        <w:ind w:firstLine="284"/>
        <w:jc w:val="both"/>
        <w:rPr>
          <w:rFonts w:cs="Times New Roman"/>
          <w:color w:val="17365D"/>
          <w:szCs w:val="24"/>
        </w:rPr>
      </w:pPr>
      <w:r w:rsidRPr="00A27896">
        <w:rPr>
          <w:rFonts w:cs="Times New Roman"/>
          <w:color w:val="17365D"/>
          <w:szCs w:val="24"/>
        </w:rPr>
        <w:t xml:space="preserve">Informācija par </w:t>
      </w:r>
      <w:r w:rsidR="00706C04">
        <w:rPr>
          <w:rFonts w:cs="Times New Roman"/>
          <w:color w:val="17365D"/>
        </w:rPr>
        <w:t>valsts</w:t>
      </w:r>
      <w:r w:rsidR="00706C04" w:rsidRPr="00A27896">
        <w:rPr>
          <w:rFonts w:cs="Times New Roman"/>
          <w:color w:val="17365D"/>
        </w:rPr>
        <w:t xml:space="preserve"> un pašvaldību </w:t>
      </w:r>
      <w:r w:rsidR="00706C04">
        <w:rPr>
          <w:rFonts w:cs="Times New Roman"/>
          <w:color w:val="17365D"/>
        </w:rPr>
        <w:t>budžeta iestāžu</w:t>
      </w:r>
      <w:r w:rsidR="00DB637B" w:rsidRPr="00A27896">
        <w:rPr>
          <w:rFonts w:cs="Times New Roman"/>
          <w:color w:val="17365D"/>
          <w:szCs w:val="24"/>
        </w:rPr>
        <w:t>, kā arī valsts budžeta finanšu uzskaitē atzīt</w:t>
      </w:r>
      <w:r w:rsidR="00DF54DF" w:rsidRPr="00A27896">
        <w:rPr>
          <w:rFonts w:cs="Times New Roman"/>
          <w:color w:val="17365D"/>
          <w:szCs w:val="24"/>
        </w:rPr>
        <w:t>ajiem</w:t>
      </w:r>
      <w:r w:rsidRPr="00A27896">
        <w:rPr>
          <w:rFonts w:cs="Times New Roman"/>
          <w:color w:val="17365D"/>
          <w:szCs w:val="24"/>
        </w:rPr>
        <w:t xml:space="preserve"> nodrošinātajiem finanšu aktīviem sadalījumā pa finanšu instrumentu veidiem sniegta </w:t>
      </w:r>
      <w:r w:rsidR="009E4ABD">
        <w:rPr>
          <w:rFonts w:cs="Times New Roman"/>
          <w:color w:val="17365D"/>
          <w:szCs w:val="24"/>
        </w:rPr>
        <w:t>1.</w:t>
      </w:r>
      <w:r w:rsidRPr="00A27896">
        <w:rPr>
          <w:rFonts w:cs="Times New Roman"/>
          <w:color w:val="17365D"/>
          <w:szCs w:val="24"/>
        </w:rPr>
        <w:t>3</w:t>
      </w:r>
      <w:r w:rsidR="00EA50D1" w:rsidRPr="00A27896">
        <w:rPr>
          <w:rFonts w:cs="Times New Roman"/>
          <w:color w:val="17365D"/>
          <w:szCs w:val="24"/>
        </w:rPr>
        <w:t>5</w:t>
      </w:r>
      <w:r w:rsidRPr="00A27896">
        <w:rPr>
          <w:rFonts w:cs="Times New Roman"/>
          <w:color w:val="17365D"/>
          <w:szCs w:val="24"/>
        </w:rPr>
        <w:t>.</w:t>
      </w:r>
      <w:r w:rsidR="00FA2D8F" w:rsidRPr="00A27896">
        <w:rPr>
          <w:rFonts w:cs="Times New Roman"/>
          <w:color w:val="17365D"/>
          <w:szCs w:val="24"/>
        </w:rPr>
        <w:t> </w:t>
      </w:r>
      <w:r w:rsidRPr="00A27896">
        <w:rPr>
          <w:rFonts w:cs="Times New Roman"/>
          <w:color w:val="17365D"/>
          <w:szCs w:val="24"/>
        </w:rPr>
        <w:t>tabulā.</w:t>
      </w:r>
    </w:p>
    <w:p w14:paraId="724A9A0D" w14:textId="77777777" w:rsidR="00AB21FC" w:rsidRDefault="00AB21FC" w:rsidP="0076759A">
      <w:pPr>
        <w:spacing w:after="0" w:line="240" w:lineRule="auto"/>
        <w:jc w:val="right"/>
        <w:rPr>
          <w:rFonts w:cs="Times New Roman"/>
          <w:i/>
          <w:color w:val="17365D"/>
          <w:sz w:val="20"/>
          <w:szCs w:val="20"/>
        </w:rPr>
      </w:pPr>
    </w:p>
    <w:p w14:paraId="1F7C17EC" w14:textId="77777777" w:rsidR="00AB21FC" w:rsidRDefault="00AB21FC" w:rsidP="0076759A">
      <w:pPr>
        <w:spacing w:after="0" w:line="240" w:lineRule="auto"/>
        <w:jc w:val="right"/>
        <w:rPr>
          <w:rFonts w:cs="Times New Roman"/>
          <w:i/>
          <w:color w:val="17365D"/>
          <w:sz w:val="20"/>
          <w:szCs w:val="20"/>
        </w:rPr>
      </w:pPr>
    </w:p>
    <w:p w14:paraId="00655C87" w14:textId="77777777" w:rsidR="00AB21FC" w:rsidRDefault="00AB21FC" w:rsidP="0076759A">
      <w:pPr>
        <w:spacing w:after="0" w:line="240" w:lineRule="auto"/>
        <w:jc w:val="right"/>
        <w:rPr>
          <w:rFonts w:cs="Times New Roman"/>
          <w:i/>
          <w:color w:val="17365D"/>
          <w:sz w:val="20"/>
          <w:szCs w:val="20"/>
        </w:rPr>
      </w:pPr>
    </w:p>
    <w:p w14:paraId="0BBE8D53" w14:textId="77777777" w:rsidR="00AB21FC" w:rsidRDefault="00AB21FC" w:rsidP="0076759A">
      <w:pPr>
        <w:spacing w:after="0" w:line="240" w:lineRule="auto"/>
        <w:jc w:val="right"/>
        <w:rPr>
          <w:rFonts w:cs="Times New Roman"/>
          <w:i/>
          <w:color w:val="17365D"/>
          <w:sz w:val="20"/>
          <w:szCs w:val="20"/>
        </w:rPr>
      </w:pPr>
    </w:p>
    <w:p w14:paraId="75940AAF" w14:textId="7F661EF5" w:rsidR="003271D2" w:rsidRPr="00A27896" w:rsidRDefault="009E4ABD" w:rsidP="0076759A">
      <w:pPr>
        <w:spacing w:after="0" w:line="240" w:lineRule="auto"/>
        <w:jc w:val="right"/>
        <w:rPr>
          <w:rFonts w:cs="Times New Roman"/>
          <w:i/>
          <w:color w:val="17365D"/>
          <w:sz w:val="20"/>
        </w:rPr>
      </w:pPr>
      <w:r>
        <w:rPr>
          <w:rFonts w:cs="Times New Roman"/>
          <w:i/>
          <w:color w:val="17365D"/>
          <w:sz w:val="20"/>
          <w:szCs w:val="20"/>
        </w:rPr>
        <w:lastRenderedPageBreak/>
        <w:t>1.</w:t>
      </w:r>
      <w:r w:rsidR="0076759A" w:rsidRPr="00A27896">
        <w:rPr>
          <w:rFonts w:cs="Times New Roman"/>
          <w:i/>
          <w:color w:val="17365D"/>
          <w:sz w:val="20"/>
          <w:szCs w:val="20"/>
        </w:rPr>
        <w:t>3</w:t>
      </w:r>
      <w:r w:rsidR="00EA50D1" w:rsidRPr="00A27896">
        <w:rPr>
          <w:rFonts w:cs="Times New Roman"/>
          <w:i/>
          <w:color w:val="17365D"/>
          <w:sz w:val="20"/>
          <w:szCs w:val="20"/>
        </w:rPr>
        <w:t>5</w:t>
      </w:r>
      <w:r w:rsidR="0076759A" w:rsidRPr="00A27896">
        <w:rPr>
          <w:rFonts w:cs="Times New Roman"/>
          <w:i/>
          <w:color w:val="17365D"/>
          <w:sz w:val="20"/>
          <w:szCs w:val="20"/>
        </w:rPr>
        <w:t>. tabula</w:t>
      </w:r>
      <w:r w:rsidR="003877C0" w:rsidRPr="00A27896">
        <w:rPr>
          <w:rFonts w:cs="Times New Roman"/>
          <w:i/>
          <w:color w:val="17365D"/>
          <w:sz w:val="20"/>
          <w:szCs w:val="20"/>
        </w:rPr>
        <w:t>.</w:t>
      </w:r>
      <w:r w:rsidR="0076759A" w:rsidRPr="00A27896">
        <w:rPr>
          <w:rFonts w:cs="Times New Roman"/>
          <w:i/>
          <w:color w:val="17365D"/>
        </w:rPr>
        <w:t xml:space="preserve"> </w:t>
      </w:r>
      <w:r w:rsidR="0076759A" w:rsidRPr="00A27896">
        <w:rPr>
          <w:rFonts w:cs="Times New Roman"/>
          <w:i/>
          <w:color w:val="17365D"/>
          <w:sz w:val="20"/>
        </w:rPr>
        <w:t xml:space="preserve">Informācija par nodrošinātajiem finanšu aktīviem, </w:t>
      </w:r>
    </w:p>
    <w:p w14:paraId="2224FD6A" w14:textId="2F102194" w:rsidR="0076759A" w:rsidRPr="00A27896" w:rsidRDefault="0076759A" w:rsidP="003271D2">
      <w:pPr>
        <w:spacing w:after="0" w:line="240" w:lineRule="auto"/>
        <w:jc w:val="right"/>
        <w:rPr>
          <w:rFonts w:cs="Times New Roman"/>
          <w:i/>
          <w:color w:val="17365D"/>
          <w:sz w:val="20"/>
        </w:rPr>
      </w:pPr>
      <w:r w:rsidRPr="00A27896">
        <w:rPr>
          <w:rFonts w:cs="Times New Roman"/>
          <w:i/>
          <w:color w:val="17365D"/>
          <w:sz w:val="20"/>
        </w:rPr>
        <w:t>kas pakļauti kredītriskam,</w:t>
      </w:r>
      <w:r w:rsidR="003271D2" w:rsidRPr="00A27896">
        <w:rPr>
          <w:rFonts w:cs="Times New Roman"/>
          <w:i/>
          <w:color w:val="17365D"/>
          <w:sz w:val="20"/>
        </w:rPr>
        <w:t xml:space="preserve"> </w:t>
      </w:r>
      <w:r w:rsidRPr="00A27896">
        <w:rPr>
          <w:rFonts w:cs="Times New Roman"/>
          <w:i/>
          <w:color w:val="17365D"/>
          <w:sz w:val="20"/>
        </w:rPr>
        <w:t>sadalījumā pa finanšu instrumentiem (euro)</w:t>
      </w:r>
    </w:p>
    <w:tbl>
      <w:tblPr>
        <w:tblW w:w="5000" w:type="pct"/>
        <w:tblLook w:val="04A0" w:firstRow="1" w:lastRow="0" w:firstColumn="1" w:lastColumn="0" w:noHBand="0" w:noVBand="1"/>
      </w:tblPr>
      <w:tblGrid>
        <w:gridCol w:w="3521"/>
        <w:gridCol w:w="2705"/>
        <w:gridCol w:w="1571"/>
        <w:gridCol w:w="1557"/>
      </w:tblGrid>
      <w:tr w:rsidR="000C1009" w:rsidRPr="00A27896" w14:paraId="6A26423B" w14:textId="55E4AB35" w:rsidTr="00F62E6C">
        <w:trPr>
          <w:trHeight w:val="289"/>
          <w:tblHeader/>
        </w:trPr>
        <w:tc>
          <w:tcPr>
            <w:tcW w:w="6226" w:type="dxa"/>
            <w:gridSpan w:val="2"/>
            <w:vMerge w:val="restart"/>
            <w:tcBorders>
              <w:top w:val="nil"/>
              <w:left w:val="nil"/>
              <w:right w:val="nil"/>
            </w:tcBorders>
            <w:shd w:val="clear" w:color="000000" w:fill="B9CDE5"/>
            <w:vAlign w:val="center"/>
          </w:tcPr>
          <w:p w14:paraId="301A3477" w14:textId="7D846BEF"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Finanšu instrumenta un institucionālā sektora nosaukums</w:t>
            </w:r>
          </w:p>
        </w:tc>
        <w:tc>
          <w:tcPr>
            <w:tcW w:w="3128" w:type="dxa"/>
            <w:gridSpan w:val="2"/>
            <w:tcBorders>
              <w:top w:val="nil"/>
              <w:left w:val="nil"/>
              <w:bottom w:val="single" w:sz="4" w:space="0" w:color="auto"/>
              <w:right w:val="nil"/>
            </w:tcBorders>
            <w:shd w:val="clear" w:color="000000" w:fill="B9CDE5"/>
            <w:vAlign w:val="center"/>
          </w:tcPr>
          <w:p w14:paraId="4089018C" w14:textId="1111294F"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Uzskaites (atlikusī) vērtība</w:t>
            </w:r>
          </w:p>
        </w:tc>
      </w:tr>
      <w:tr w:rsidR="000C1009" w:rsidRPr="00A27896" w14:paraId="324A763C" w14:textId="630D23E9" w:rsidTr="00F62E6C">
        <w:trPr>
          <w:trHeight w:val="425"/>
          <w:tblHeader/>
        </w:trPr>
        <w:tc>
          <w:tcPr>
            <w:tcW w:w="6226" w:type="dxa"/>
            <w:gridSpan w:val="2"/>
            <w:vMerge/>
            <w:tcBorders>
              <w:left w:val="nil"/>
              <w:bottom w:val="single" w:sz="4" w:space="0" w:color="17365D"/>
              <w:right w:val="nil"/>
            </w:tcBorders>
            <w:shd w:val="clear" w:color="000000" w:fill="B9CDE5"/>
            <w:vAlign w:val="center"/>
            <w:hideMark/>
          </w:tcPr>
          <w:p w14:paraId="5B424B7D" w14:textId="6940FF06" w:rsidR="00EA43F0" w:rsidRPr="00A27896" w:rsidRDefault="00EA43F0" w:rsidP="00875D58">
            <w:pPr>
              <w:spacing w:after="0" w:line="240" w:lineRule="auto"/>
              <w:jc w:val="center"/>
              <w:rPr>
                <w:rFonts w:eastAsia="Times New Roman" w:cs="Times New Roman"/>
                <w:b/>
                <w:bCs/>
                <w:color w:val="17365D"/>
                <w:sz w:val="18"/>
                <w:szCs w:val="18"/>
                <w:lang w:eastAsia="lv-LV"/>
              </w:rPr>
            </w:pPr>
          </w:p>
        </w:tc>
        <w:tc>
          <w:tcPr>
            <w:tcW w:w="1571" w:type="dxa"/>
            <w:tcBorders>
              <w:top w:val="nil"/>
              <w:left w:val="nil"/>
              <w:bottom w:val="single" w:sz="4" w:space="0" w:color="17365D"/>
              <w:right w:val="nil"/>
            </w:tcBorders>
            <w:shd w:val="clear" w:color="000000" w:fill="B9CDE5"/>
            <w:vAlign w:val="center"/>
            <w:hideMark/>
          </w:tcPr>
          <w:p w14:paraId="1956CEDB" w14:textId="537B15C4" w:rsidR="00EA43F0" w:rsidRPr="00A27896" w:rsidRDefault="00EA43F0" w:rsidP="00EA43F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1557" w:type="dxa"/>
            <w:tcBorders>
              <w:top w:val="nil"/>
              <w:left w:val="nil"/>
              <w:bottom w:val="single" w:sz="4" w:space="0" w:color="17365D"/>
              <w:right w:val="nil"/>
            </w:tcBorders>
            <w:shd w:val="clear" w:color="000000" w:fill="B9CDE5"/>
            <w:vAlign w:val="center"/>
          </w:tcPr>
          <w:p w14:paraId="0A278980" w14:textId="2A39AC8B" w:rsidR="00EA43F0" w:rsidRPr="00A27896" w:rsidRDefault="00EA43F0" w:rsidP="00EA43F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0A60C462" w14:textId="29D29D89" w:rsidTr="00934128">
        <w:trPr>
          <w:trHeight w:val="266"/>
          <w:tblHeader/>
        </w:trPr>
        <w:tc>
          <w:tcPr>
            <w:tcW w:w="6226" w:type="dxa"/>
            <w:gridSpan w:val="2"/>
            <w:tcBorders>
              <w:top w:val="single" w:sz="4" w:space="0" w:color="17365D"/>
              <w:left w:val="nil"/>
              <w:bottom w:val="single" w:sz="4" w:space="0" w:color="17365D"/>
              <w:right w:val="nil"/>
            </w:tcBorders>
            <w:shd w:val="clear" w:color="auto" w:fill="auto"/>
            <w:vAlign w:val="center"/>
            <w:hideMark/>
          </w:tcPr>
          <w:p w14:paraId="6DA6AAFE" w14:textId="2D3CC19F"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1571" w:type="dxa"/>
            <w:tcBorders>
              <w:top w:val="single" w:sz="4" w:space="0" w:color="17365D"/>
              <w:left w:val="nil"/>
              <w:bottom w:val="single" w:sz="4" w:space="0" w:color="17365D"/>
              <w:right w:val="nil"/>
            </w:tcBorders>
            <w:shd w:val="clear" w:color="auto" w:fill="auto"/>
            <w:vAlign w:val="center"/>
            <w:hideMark/>
          </w:tcPr>
          <w:p w14:paraId="2DFAD241" w14:textId="77777777"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w:t>
            </w:r>
          </w:p>
        </w:tc>
        <w:tc>
          <w:tcPr>
            <w:tcW w:w="1557" w:type="dxa"/>
            <w:tcBorders>
              <w:top w:val="single" w:sz="4" w:space="0" w:color="17365D"/>
              <w:left w:val="nil"/>
              <w:bottom w:val="single" w:sz="4" w:space="0" w:color="17365D"/>
              <w:right w:val="nil"/>
            </w:tcBorders>
          </w:tcPr>
          <w:p w14:paraId="0FF266CA" w14:textId="47A933D7" w:rsidR="00EA43F0" w:rsidRPr="00A27896" w:rsidRDefault="00EA43F0" w:rsidP="00875D58">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2</w:t>
            </w:r>
          </w:p>
        </w:tc>
      </w:tr>
      <w:tr w:rsidR="00C7201E" w:rsidRPr="00A27896" w14:paraId="7D26B430" w14:textId="615E1AF0" w:rsidTr="00170582">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3D5AA2FE" w14:textId="77943CE2" w:rsidR="00C7201E" w:rsidRPr="00A27896" w:rsidRDefault="00C7201E" w:rsidP="00C7201E">
            <w:pPr>
              <w:spacing w:after="0" w:line="240" w:lineRule="auto"/>
              <w:ind w:right="57"/>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Finanšu aktīvi</w:t>
            </w:r>
          </w:p>
        </w:tc>
        <w:tc>
          <w:tcPr>
            <w:tcW w:w="1571" w:type="dxa"/>
            <w:tcBorders>
              <w:top w:val="single" w:sz="4" w:space="0" w:color="17365D"/>
              <w:left w:val="nil"/>
              <w:bottom w:val="single" w:sz="4" w:space="0" w:color="17365D"/>
              <w:right w:val="nil"/>
            </w:tcBorders>
            <w:shd w:val="clear" w:color="auto" w:fill="auto"/>
            <w:noWrap/>
            <w:vAlign w:val="center"/>
          </w:tcPr>
          <w:p w14:paraId="592BB760" w14:textId="4E088182" w:rsidR="00C7201E" w:rsidRPr="00A27896" w:rsidRDefault="00C7201E" w:rsidP="00C7201E">
            <w:pPr>
              <w:spacing w:after="0" w:line="240" w:lineRule="auto"/>
              <w:ind w:right="57"/>
              <w:jc w:val="right"/>
              <w:rPr>
                <w:rFonts w:cs="Times New Roman"/>
                <w:b/>
                <w:color w:val="17365D"/>
                <w:sz w:val="18"/>
                <w:szCs w:val="18"/>
              </w:rPr>
            </w:pPr>
            <w:r w:rsidRPr="00BA2F7A">
              <w:rPr>
                <w:rFonts w:cs="Times New Roman"/>
                <w:b/>
                <w:color w:val="17365D"/>
                <w:sz w:val="18"/>
                <w:szCs w:val="18"/>
              </w:rPr>
              <w:t>1</w:t>
            </w:r>
            <w:r>
              <w:rPr>
                <w:rFonts w:cs="Times New Roman"/>
                <w:b/>
                <w:color w:val="17365D"/>
                <w:sz w:val="18"/>
                <w:szCs w:val="18"/>
              </w:rPr>
              <w:t> </w:t>
            </w:r>
            <w:r w:rsidRPr="00BA2F7A">
              <w:rPr>
                <w:rFonts w:cs="Times New Roman"/>
                <w:b/>
                <w:color w:val="17365D"/>
                <w:sz w:val="18"/>
                <w:szCs w:val="18"/>
              </w:rPr>
              <w:t>253</w:t>
            </w:r>
            <w:r>
              <w:rPr>
                <w:rFonts w:cs="Times New Roman"/>
                <w:b/>
                <w:color w:val="17365D"/>
                <w:sz w:val="18"/>
                <w:szCs w:val="18"/>
              </w:rPr>
              <w:t> </w:t>
            </w:r>
            <w:r w:rsidRPr="00BA2F7A">
              <w:rPr>
                <w:rFonts w:cs="Times New Roman"/>
                <w:b/>
                <w:color w:val="17365D"/>
                <w:sz w:val="18"/>
                <w:szCs w:val="18"/>
              </w:rPr>
              <w:t>279</w:t>
            </w:r>
            <w:r>
              <w:rPr>
                <w:rFonts w:cs="Times New Roman"/>
                <w:b/>
                <w:color w:val="17365D"/>
                <w:sz w:val="18"/>
                <w:szCs w:val="18"/>
              </w:rPr>
              <w:t> </w:t>
            </w:r>
            <w:r w:rsidRPr="00BA2F7A">
              <w:rPr>
                <w:rFonts w:cs="Times New Roman"/>
                <w:b/>
                <w:color w:val="17365D"/>
                <w:sz w:val="18"/>
                <w:szCs w:val="18"/>
              </w:rPr>
              <w:t>132</w:t>
            </w:r>
          </w:p>
        </w:tc>
        <w:tc>
          <w:tcPr>
            <w:tcW w:w="1557" w:type="dxa"/>
            <w:tcBorders>
              <w:top w:val="single" w:sz="4" w:space="0" w:color="17365D"/>
              <w:left w:val="nil"/>
              <w:bottom w:val="single" w:sz="4" w:space="0" w:color="17365D"/>
              <w:right w:val="nil"/>
            </w:tcBorders>
            <w:shd w:val="clear" w:color="auto" w:fill="auto"/>
            <w:vAlign w:val="center"/>
          </w:tcPr>
          <w:p w14:paraId="723C54EF" w14:textId="0D8485C8" w:rsidR="00C7201E" w:rsidRPr="00A27896" w:rsidRDefault="00C7201E" w:rsidP="00481BCD">
            <w:pPr>
              <w:tabs>
                <w:tab w:val="left" w:pos="1287"/>
              </w:tabs>
              <w:spacing w:after="0" w:line="240" w:lineRule="auto"/>
              <w:ind w:right="57"/>
              <w:jc w:val="right"/>
              <w:rPr>
                <w:rFonts w:cs="Times New Roman"/>
                <w:b/>
                <w:color w:val="17365D"/>
                <w:sz w:val="18"/>
                <w:szCs w:val="18"/>
              </w:rPr>
            </w:pPr>
            <w:r w:rsidRPr="00A27896">
              <w:rPr>
                <w:rFonts w:cs="Times New Roman"/>
                <w:b/>
                <w:color w:val="17365D"/>
                <w:sz w:val="18"/>
                <w:szCs w:val="18"/>
              </w:rPr>
              <w:t>1 153 878 028</w:t>
            </w:r>
          </w:p>
        </w:tc>
      </w:tr>
      <w:tr w:rsidR="00C7201E" w:rsidRPr="00A27896" w14:paraId="6C4AF083" w14:textId="0F93364F" w:rsidTr="00170582">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50DB9F3B" w14:textId="0E6A93B1" w:rsidR="00C7201E" w:rsidRPr="00A27896" w:rsidRDefault="00C7201E" w:rsidP="00C7201E">
            <w:pPr>
              <w:spacing w:after="0" w:line="240" w:lineRule="auto"/>
              <w:rPr>
                <w:rFonts w:eastAsia="Times New Roman" w:cs="Times New Roman"/>
                <w:color w:val="17365D"/>
                <w:sz w:val="18"/>
                <w:szCs w:val="18"/>
                <w:lang w:eastAsia="lv-LV"/>
              </w:rPr>
            </w:pPr>
            <w:r w:rsidRPr="00A27896">
              <w:rPr>
                <w:rFonts w:eastAsia="Times New Roman" w:cs="Times New Roman"/>
                <w:color w:val="17365D"/>
                <w:sz w:val="18"/>
                <w:szCs w:val="18"/>
                <w:lang w:eastAsia="lv-LV"/>
              </w:rPr>
              <w:t>Vērtspapīri</w:t>
            </w:r>
          </w:p>
        </w:tc>
        <w:tc>
          <w:tcPr>
            <w:tcW w:w="1571" w:type="dxa"/>
            <w:tcBorders>
              <w:top w:val="single" w:sz="4" w:space="0" w:color="17365D"/>
              <w:left w:val="nil"/>
              <w:bottom w:val="single" w:sz="4" w:space="0" w:color="17365D"/>
              <w:right w:val="nil"/>
            </w:tcBorders>
            <w:shd w:val="clear" w:color="auto" w:fill="auto"/>
            <w:noWrap/>
            <w:vAlign w:val="center"/>
          </w:tcPr>
          <w:p w14:paraId="147875C6" w14:textId="7EE4812C" w:rsidR="00C7201E" w:rsidRPr="00A27896" w:rsidRDefault="00C7201E" w:rsidP="00C7201E">
            <w:pPr>
              <w:spacing w:after="0" w:line="240" w:lineRule="auto"/>
              <w:ind w:right="57"/>
              <w:jc w:val="right"/>
              <w:rPr>
                <w:rFonts w:cs="Times New Roman"/>
                <w:color w:val="17365D"/>
                <w:sz w:val="18"/>
                <w:szCs w:val="18"/>
              </w:rPr>
            </w:pPr>
            <w:r w:rsidRPr="00BA2F7A">
              <w:rPr>
                <w:rFonts w:cs="Times New Roman"/>
                <w:color w:val="17365D"/>
                <w:sz w:val="18"/>
                <w:szCs w:val="18"/>
              </w:rPr>
              <w:t>6</w:t>
            </w:r>
            <w:r>
              <w:rPr>
                <w:rFonts w:cs="Times New Roman"/>
                <w:color w:val="17365D"/>
                <w:sz w:val="18"/>
                <w:szCs w:val="18"/>
              </w:rPr>
              <w:t xml:space="preserve"> </w:t>
            </w:r>
            <w:r w:rsidRPr="00BA2F7A">
              <w:rPr>
                <w:rFonts w:cs="Times New Roman"/>
                <w:color w:val="17365D"/>
                <w:sz w:val="18"/>
                <w:szCs w:val="18"/>
              </w:rPr>
              <w:t>194</w:t>
            </w:r>
          </w:p>
        </w:tc>
        <w:tc>
          <w:tcPr>
            <w:tcW w:w="1557" w:type="dxa"/>
            <w:tcBorders>
              <w:top w:val="single" w:sz="4" w:space="0" w:color="17365D"/>
              <w:left w:val="nil"/>
              <w:bottom w:val="single" w:sz="4" w:space="0" w:color="17365D"/>
              <w:right w:val="nil"/>
            </w:tcBorders>
            <w:shd w:val="clear" w:color="auto" w:fill="auto"/>
            <w:vAlign w:val="center"/>
          </w:tcPr>
          <w:p w14:paraId="1D973451" w14:textId="6E59F952" w:rsidR="00C7201E" w:rsidRPr="00A27896" w:rsidRDefault="00C7201E" w:rsidP="00481BCD">
            <w:pPr>
              <w:tabs>
                <w:tab w:val="left" w:pos="1287"/>
              </w:tabs>
              <w:spacing w:after="0" w:line="240" w:lineRule="auto"/>
              <w:ind w:right="57"/>
              <w:jc w:val="right"/>
              <w:rPr>
                <w:rFonts w:cs="Times New Roman"/>
                <w:color w:val="17365D"/>
                <w:sz w:val="18"/>
                <w:szCs w:val="18"/>
              </w:rPr>
            </w:pPr>
            <w:r w:rsidRPr="00A27896">
              <w:rPr>
                <w:rFonts w:cs="Times New Roman"/>
                <w:color w:val="17365D"/>
                <w:sz w:val="18"/>
                <w:szCs w:val="18"/>
              </w:rPr>
              <w:t>6 133</w:t>
            </w:r>
          </w:p>
        </w:tc>
      </w:tr>
      <w:tr w:rsidR="00C7201E" w:rsidRPr="00A27896" w14:paraId="0DC7191A" w14:textId="4CBEC311" w:rsidTr="00170582">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11F9CBA7" w14:textId="69DC8BAF" w:rsidR="00C7201E" w:rsidRPr="00A27896" w:rsidRDefault="00C7201E" w:rsidP="00C7201E">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Noguldījumi</w:t>
            </w:r>
          </w:p>
        </w:tc>
        <w:tc>
          <w:tcPr>
            <w:tcW w:w="1571" w:type="dxa"/>
            <w:tcBorders>
              <w:top w:val="single" w:sz="4" w:space="0" w:color="17365D"/>
              <w:left w:val="nil"/>
              <w:bottom w:val="single" w:sz="4" w:space="0" w:color="17365D"/>
              <w:right w:val="nil"/>
            </w:tcBorders>
            <w:shd w:val="clear" w:color="auto" w:fill="auto"/>
            <w:noWrap/>
            <w:vAlign w:val="center"/>
          </w:tcPr>
          <w:p w14:paraId="37067519" w14:textId="07C9C09D" w:rsidR="00C7201E" w:rsidRPr="00A27896" w:rsidRDefault="00C7201E" w:rsidP="00C7201E">
            <w:pPr>
              <w:spacing w:after="0" w:line="240" w:lineRule="auto"/>
              <w:ind w:right="57"/>
              <w:jc w:val="right"/>
              <w:rPr>
                <w:rFonts w:cs="Times New Roman"/>
                <w:color w:val="17365D"/>
                <w:sz w:val="18"/>
                <w:szCs w:val="18"/>
              </w:rPr>
            </w:pPr>
            <w:r w:rsidRPr="00BA2F7A">
              <w:rPr>
                <w:rFonts w:cs="Times New Roman"/>
                <w:color w:val="17365D"/>
                <w:sz w:val="18"/>
                <w:szCs w:val="18"/>
              </w:rPr>
              <w:t>42</w:t>
            </w:r>
            <w:r>
              <w:rPr>
                <w:rFonts w:cs="Times New Roman"/>
                <w:color w:val="17365D"/>
                <w:sz w:val="18"/>
                <w:szCs w:val="18"/>
              </w:rPr>
              <w:t xml:space="preserve"> </w:t>
            </w:r>
            <w:r w:rsidRPr="00BA2F7A">
              <w:rPr>
                <w:rFonts w:cs="Times New Roman"/>
                <w:color w:val="17365D"/>
                <w:sz w:val="18"/>
                <w:szCs w:val="18"/>
              </w:rPr>
              <w:t>356</w:t>
            </w:r>
            <w:r>
              <w:rPr>
                <w:rFonts w:cs="Times New Roman"/>
                <w:color w:val="17365D"/>
                <w:sz w:val="18"/>
                <w:szCs w:val="18"/>
              </w:rPr>
              <w:t xml:space="preserve"> </w:t>
            </w:r>
            <w:r w:rsidRPr="00BA2F7A">
              <w:rPr>
                <w:rFonts w:cs="Times New Roman"/>
                <w:color w:val="17365D"/>
                <w:sz w:val="18"/>
                <w:szCs w:val="18"/>
              </w:rPr>
              <w:t>005</w:t>
            </w:r>
          </w:p>
        </w:tc>
        <w:tc>
          <w:tcPr>
            <w:tcW w:w="1557" w:type="dxa"/>
            <w:tcBorders>
              <w:top w:val="single" w:sz="4" w:space="0" w:color="17365D"/>
              <w:left w:val="nil"/>
              <w:bottom w:val="single" w:sz="4" w:space="0" w:color="17365D"/>
              <w:right w:val="nil"/>
            </w:tcBorders>
            <w:shd w:val="clear" w:color="auto" w:fill="auto"/>
            <w:vAlign w:val="center"/>
          </w:tcPr>
          <w:p w14:paraId="4D4E537E" w14:textId="29BF51BC" w:rsidR="00C7201E" w:rsidRPr="00A27896" w:rsidRDefault="00C7201E" w:rsidP="00481BCD">
            <w:pPr>
              <w:tabs>
                <w:tab w:val="left" w:pos="1287"/>
              </w:tabs>
              <w:spacing w:after="0" w:line="240" w:lineRule="auto"/>
              <w:ind w:right="57"/>
              <w:jc w:val="right"/>
              <w:rPr>
                <w:rFonts w:cs="Times New Roman"/>
                <w:color w:val="17365D"/>
                <w:sz w:val="18"/>
                <w:szCs w:val="18"/>
              </w:rPr>
            </w:pPr>
            <w:r w:rsidRPr="00A27896">
              <w:rPr>
                <w:rFonts w:cs="Times New Roman"/>
                <w:color w:val="17365D"/>
                <w:sz w:val="18"/>
                <w:szCs w:val="18"/>
              </w:rPr>
              <w:t>5 314</w:t>
            </w:r>
          </w:p>
        </w:tc>
      </w:tr>
      <w:tr w:rsidR="00C7201E" w:rsidRPr="00A27896" w14:paraId="708DAAFA" w14:textId="50E5ED54" w:rsidTr="00170582">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2A1AA5D5" w14:textId="6564E3D9" w:rsidR="00C7201E" w:rsidRPr="00A27896" w:rsidRDefault="00C7201E" w:rsidP="00C7201E">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Aizdevumi</w:t>
            </w:r>
          </w:p>
        </w:tc>
        <w:tc>
          <w:tcPr>
            <w:tcW w:w="1571" w:type="dxa"/>
            <w:tcBorders>
              <w:top w:val="single" w:sz="4" w:space="0" w:color="17365D"/>
              <w:left w:val="nil"/>
              <w:bottom w:val="single" w:sz="4" w:space="0" w:color="17365D"/>
              <w:right w:val="nil"/>
            </w:tcBorders>
            <w:shd w:val="clear" w:color="auto" w:fill="auto"/>
            <w:noWrap/>
            <w:vAlign w:val="center"/>
          </w:tcPr>
          <w:p w14:paraId="5B58965F" w14:textId="038AC6C8" w:rsidR="00C7201E" w:rsidRPr="00A27896" w:rsidRDefault="00C7201E" w:rsidP="00C7201E">
            <w:pPr>
              <w:spacing w:after="0" w:line="240" w:lineRule="auto"/>
              <w:ind w:right="57"/>
              <w:jc w:val="right"/>
              <w:rPr>
                <w:rFonts w:cs="Times New Roman"/>
                <w:color w:val="17365D"/>
                <w:sz w:val="18"/>
                <w:szCs w:val="18"/>
              </w:rPr>
            </w:pPr>
            <w:r w:rsidRPr="00BA2F7A">
              <w:rPr>
                <w:rFonts w:cs="Times New Roman"/>
                <w:color w:val="17365D"/>
                <w:sz w:val="18"/>
                <w:szCs w:val="18"/>
              </w:rPr>
              <w:t>446</w:t>
            </w:r>
            <w:r>
              <w:rPr>
                <w:rFonts w:cs="Times New Roman"/>
                <w:color w:val="17365D"/>
                <w:sz w:val="18"/>
                <w:szCs w:val="18"/>
              </w:rPr>
              <w:t xml:space="preserve"> </w:t>
            </w:r>
            <w:r w:rsidRPr="00BA2F7A">
              <w:rPr>
                <w:rFonts w:cs="Times New Roman"/>
                <w:color w:val="17365D"/>
                <w:sz w:val="18"/>
                <w:szCs w:val="18"/>
              </w:rPr>
              <w:t>940</w:t>
            </w:r>
            <w:r>
              <w:rPr>
                <w:rFonts w:cs="Times New Roman"/>
                <w:color w:val="17365D"/>
                <w:sz w:val="18"/>
                <w:szCs w:val="18"/>
              </w:rPr>
              <w:t xml:space="preserve"> </w:t>
            </w:r>
            <w:r w:rsidRPr="00BA2F7A">
              <w:rPr>
                <w:rFonts w:cs="Times New Roman"/>
                <w:color w:val="17365D"/>
                <w:sz w:val="18"/>
                <w:szCs w:val="18"/>
              </w:rPr>
              <w:t>719</w:t>
            </w:r>
          </w:p>
        </w:tc>
        <w:tc>
          <w:tcPr>
            <w:tcW w:w="1557" w:type="dxa"/>
            <w:tcBorders>
              <w:top w:val="single" w:sz="4" w:space="0" w:color="17365D"/>
              <w:left w:val="nil"/>
              <w:bottom w:val="single" w:sz="4" w:space="0" w:color="17365D"/>
              <w:right w:val="nil"/>
            </w:tcBorders>
            <w:shd w:val="clear" w:color="auto" w:fill="auto"/>
            <w:vAlign w:val="center"/>
          </w:tcPr>
          <w:p w14:paraId="1FCE8037" w14:textId="43ED8B28" w:rsidR="00C7201E" w:rsidRPr="00A27896" w:rsidRDefault="00C7201E" w:rsidP="00481BCD">
            <w:pPr>
              <w:tabs>
                <w:tab w:val="left" w:pos="1287"/>
              </w:tabs>
              <w:spacing w:after="0" w:line="240" w:lineRule="auto"/>
              <w:ind w:right="57"/>
              <w:jc w:val="right"/>
              <w:rPr>
                <w:rFonts w:cs="Times New Roman"/>
                <w:color w:val="17365D"/>
                <w:sz w:val="18"/>
                <w:szCs w:val="18"/>
              </w:rPr>
            </w:pPr>
            <w:r w:rsidRPr="00A27896">
              <w:rPr>
                <w:rFonts w:cs="Times New Roman"/>
                <w:color w:val="17365D"/>
                <w:sz w:val="18"/>
                <w:szCs w:val="18"/>
              </w:rPr>
              <w:t>382 058 988</w:t>
            </w:r>
          </w:p>
        </w:tc>
      </w:tr>
      <w:tr w:rsidR="00C7201E" w:rsidRPr="00A27896" w14:paraId="070C0E99" w14:textId="50198982" w:rsidTr="00170582">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05E52B51" w14:textId="59BE4031" w:rsidR="00C7201E" w:rsidRPr="00A27896" w:rsidRDefault="00C7201E" w:rsidP="00C7201E">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Prasības, kas ir finanšu instrumenti</w:t>
            </w:r>
          </w:p>
        </w:tc>
        <w:tc>
          <w:tcPr>
            <w:tcW w:w="1571" w:type="dxa"/>
            <w:tcBorders>
              <w:top w:val="single" w:sz="4" w:space="0" w:color="17365D"/>
              <w:left w:val="nil"/>
              <w:bottom w:val="single" w:sz="4" w:space="0" w:color="17365D"/>
              <w:right w:val="nil"/>
            </w:tcBorders>
            <w:shd w:val="clear" w:color="auto" w:fill="auto"/>
            <w:noWrap/>
            <w:vAlign w:val="center"/>
          </w:tcPr>
          <w:p w14:paraId="43BB6485" w14:textId="249B066A" w:rsidR="00C7201E" w:rsidRPr="00A27896" w:rsidRDefault="00C7201E" w:rsidP="00C7201E">
            <w:pPr>
              <w:spacing w:after="0" w:line="240" w:lineRule="auto"/>
              <w:ind w:right="57"/>
              <w:jc w:val="right"/>
              <w:rPr>
                <w:rFonts w:cs="Times New Roman"/>
                <w:color w:val="17365D"/>
                <w:sz w:val="18"/>
                <w:szCs w:val="18"/>
              </w:rPr>
            </w:pPr>
            <w:r w:rsidRPr="00BA2F7A">
              <w:rPr>
                <w:rFonts w:cs="Times New Roman"/>
                <w:color w:val="17365D"/>
                <w:sz w:val="18"/>
                <w:szCs w:val="18"/>
              </w:rPr>
              <w:t>4</w:t>
            </w:r>
            <w:r>
              <w:rPr>
                <w:rFonts w:cs="Times New Roman"/>
                <w:color w:val="17365D"/>
                <w:sz w:val="18"/>
                <w:szCs w:val="18"/>
              </w:rPr>
              <w:t xml:space="preserve"> </w:t>
            </w:r>
            <w:r w:rsidRPr="00BA2F7A">
              <w:rPr>
                <w:rFonts w:cs="Times New Roman"/>
                <w:color w:val="17365D"/>
                <w:sz w:val="18"/>
                <w:szCs w:val="18"/>
              </w:rPr>
              <w:t>801</w:t>
            </w:r>
            <w:r>
              <w:rPr>
                <w:rFonts w:cs="Times New Roman"/>
                <w:color w:val="17365D"/>
                <w:sz w:val="18"/>
                <w:szCs w:val="18"/>
              </w:rPr>
              <w:t xml:space="preserve"> </w:t>
            </w:r>
            <w:r w:rsidRPr="00BA2F7A">
              <w:rPr>
                <w:rFonts w:cs="Times New Roman"/>
                <w:color w:val="17365D"/>
                <w:sz w:val="18"/>
                <w:szCs w:val="18"/>
              </w:rPr>
              <w:t>922</w:t>
            </w:r>
          </w:p>
        </w:tc>
        <w:tc>
          <w:tcPr>
            <w:tcW w:w="1557" w:type="dxa"/>
            <w:tcBorders>
              <w:top w:val="single" w:sz="4" w:space="0" w:color="17365D"/>
              <w:left w:val="nil"/>
              <w:bottom w:val="single" w:sz="4" w:space="0" w:color="17365D"/>
              <w:right w:val="nil"/>
            </w:tcBorders>
            <w:shd w:val="clear" w:color="auto" w:fill="auto"/>
            <w:vAlign w:val="center"/>
          </w:tcPr>
          <w:p w14:paraId="7EBD1DA9" w14:textId="5F5F5AA1" w:rsidR="00C7201E" w:rsidRPr="00A27896" w:rsidRDefault="00C7201E" w:rsidP="00481BCD">
            <w:pPr>
              <w:tabs>
                <w:tab w:val="left" w:pos="1287"/>
              </w:tabs>
              <w:spacing w:after="0" w:line="240" w:lineRule="auto"/>
              <w:ind w:right="57"/>
              <w:jc w:val="right"/>
              <w:rPr>
                <w:rFonts w:cs="Times New Roman"/>
                <w:color w:val="17365D"/>
                <w:sz w:val="18"/>
                <w:szCs w:val="18"/>
              </w:rPr>
            </w:pPr>
            <w:r w:rsidRPr="00A27896">
              <w:rPr>
                <w:rFonts w:cs="Times New Roman"/>
                <w:color w:val="17365D"/>
                <w:sz w:val="18"/>
                <w:szCs w:val="18"/>
              </w:rPr>
              <w:t>3 633 328</w:t>
            </w:r>
          </w:p>
        </w:tc>
      </w:tr>
      <w:tr w:rsidR="00C7201E" w:rsidRPr="00A27896" w14:paraId="2F6C53AF" w14:textId="3827C9A4" w:rsidTr="00170582">
        <w:trPr>
          <w:trHeight w:val="266"/>
        </w:trPr>
        <w:tc>
          <w:tcPr>
            <w:tcW w:w="6226" w:type="dxa"/>
            <w:gridSpan w:val="2"/>
            <w:tcBorders>
              <w:top w:val="single" w:sz="4" w:space="0" w:color="17365D"/>
              <w:left w:val="nil"/>
              <w:bottom w:val="single" w:sz="4" w:space="0" w:color="17365D"/>
              <w:right w:val="nil"/>
            </w:tcBorders>
            <w:shd w:val="clear" w:color="auto" w:fill="auto"/>
            <w:vAlign w:val="center"/>
          </w:tcPr>
          <w:p w14:paraId="7498B39C" w14:textId="4DA6EBF3" w:rsidR="00C7201E" w:rsidRPr="00A27896" w:rsidRDefault="00C7201E" w:rsidP="00C7201E">
            <w:pPr>
              <w:spacing w:after="0" w:line="240" w:lineRule="auto"/>
              <w:ind w:right="57"/>
              <w:rPr>
                <w:rFonts w:eastAsia="Times New Roman" w:cs="Times New Roman"/>
                <w:color w:val="17365D"/>
                <w:sz w:val="18"/>
                <w:szCs w:val="18"/>
                <w:lang w:eastAsia="lv-LV"/>
              </w:rPr>
            </w:pPr>
            <w:r w:rsidRPr="00A27896">
              <w:rPr>
                <w:rFonts w:eastAsia="Times New Roman" w:cs="Times New Roman"/>
                <w:color w:val="17365D"/>
                <w:sz w:val="18"/>
                <w:szCs w:val="18"/>
                <w:lang w:eastAsia="lv-LV"/>
              </w:rPr>
              <w:t>Pārējie finanšu instrumenti</w:t>
            </w:r>
          </w:p>
        </w:tc>
        <w:tc>
          <w:tcPr>
            <w:tcW w:w="1571" w:type="dxa"/>
            <w:tcBorders>
              <w:top w:val="single" w:sz="4" w:space="0" w:color="17365D"/>
              <w:left w:val="nil"/>
              <w:bottom w:val="single" w:sz="4" w:space="0" w:color="17365D"/>
              <w:right w:val="nil"/>
            </w:tcBorders>
            <w:shd w:val="clear" w:color="auto" w:fill="auto"/>
            <w:noWrap/>
            <w:vAlign w:val="center"/>
          </w:tcPr>
          <w:p w14:paraId="212F5212" w14:textId="64218B19" w:rsidR="00C7201E" w:rsidRPr="00A27896" w:rsidRDefault="00C7201E" w:rsidP="00C7201E">
            <w:pPr>
              <w:spacing w:after="0" w:line="240" w:lineRule="auto"/>
              <w:ind w:right="57"/>
              <w:jc w:val="right"/>
              <w:rPr>
                <w:rFonts w:cs="Times New Roman"/>
                <w:color w:val="17365D"/>
                <w:sz w:val="18"/>
                <w:szCs w:val="18"/>
              </w:rPr>
            </w:pPr>
            <w:r w:rsidRPr="00BA2F7A">
              <w:rPr>
                <w:rFonts w:cs="Times New Roman"/>
                <w:color w:val="17365D"/>
                <w:sz w:val="18"/>
                <w:szCs w:val="18"/>
              </w:rPr>
              <w:t>759</w:t>
            </w:r>
            <w:r>
              <w:rPr>
                <w:rFonts w:cs="Times New Roman"/>
                <w:color w:val="17365D"/>
                <w:sz w:val="18"/>
                <w:szCs w:val="18"/>
              </w:rPr>
              <w:t xml:space="preserve"> </w:t>
            </w:r>
            <w:r w:rsidRPr="00BA2F7A">
              <w:rPr>
                <w:rFonts w:cs="Times New Roman"/>
                <w:color w:val="17365D"/>
                <w:sz w:val="18"/>
                <w:szCs w:val="18"/>
              </w:rPr>
              <w:t>174</w:t>
            </w:r>
            <w:r>
              <w:rPr>
                <w:rFonts w:cs="Times New Roman"/>
                <w:color w:val="17365D"/>
                <w:sz w:val="18"/>
                <w:szCs w:val="18"/>
              </w:rPr>
              <w:t xml:space="preserve"> </w:t>
            </w:r>
            <w:r w:rsidRPr="00BA2F7A">
              <w:rPr>
                <w:rFonts w:cs="Times New Roman"/>
                <w:color w:val="17365D"/>
                <w:sz w:val="18"/>
                <w:szCs w:val="18"/>
              </w:rPr>
              <w:t>292</w:t>
            </w:r>
          </w:p>
        </w:tc>
        <w:tc>
          <w:tcPr>
            <w:tcW w:w="1557" w:type="dxa"/>
            <w:tcBorders>
              <w:top w:val="single" w:sz="4" w:space="0" w:color="17365D"/>
              <w:left w:val="nil"/>
              <w:bottom w:val="single" w:sz="4" w:space="0" w:color="17365D"/>
              <w:right w:val="nil"/>
            </w:tcBorders>
            <w:shd w:val="clear" w:color="auto" w:fill="auto"/>
            <w:vAlign w:val="center"/>
          </w:tcPr>
          <w:p w14:paraId="696F6C1F" w14:textId="7E970093" w:rsidR="00C7201E" w:rsidRPr="00A27896" w:rsidRDefault="00C7201E" w:rsidP="00481BCD">
            <w:pPr>
              <w:tabs>
                <w:tab w:val="left" w:pos="1287"/>
              </w:tabs>
              <w:spacing w:after="0" w:line="240" w:lineRule="auto"/>
              <w:ind w:right="57"/>
              <w:jc w:val="right"/>
              <w:rPr>
                <w:rFonts w:cs="Times New Roman"/>
                <w:color w:val="17365D"/>
                <w:sz w:val="18"/>
                <w:szCs w:val="18"/>
              </w:rPr>
            </w:pPr>
            <w:r w:rsidRPr="00A27896">
              <w:rPr>
                <w:rFonts w:cs="Times New Roman"/>
                <w:color w:val="17365D"/>
                <w:sz w:val="18"/>
                <w:szCs w:val="18"/>
              </w:rPr>
              <w:t>768 174 265</w:t>
            </w:r>
          </w:p>
        </w:tc>
      </w:tr>
      <w:tr w:rsidR="000C1009" w:rsidRPr="00A27896" w14:paraId="3D943A6E" w14:textId="7293CF67" w:rsidTr="009F2382">
        <w:trPr>
          <w:trHeight w:val="50"/>
        </w:trPr>
        <w:tc>
          <w:tcPr>
            <w:tcW w:w="3521" w:type="dxa"/>
            <w:tcBorders>
              <w:top w:val="single" w:sz="4" w:space="0" w:color="17365D"/>
              <w:left w:val="nil"/>
              <w:bottom w:val="nil"/>
              <w:right w:val="nil"/>
            </w:tcBorders>
            <w:shd w:val="clear" w:color="000000" w:fill="B9CDE5"/>
            <w:noWrap/>
            <w:vAlign w:val="center"/>
            <w:hideMark/>
          </w:tcPr>
          <w:p w14:paraId="46BC979A" w14:textId="06825548" w:rsidR="00EA43F0" w:rsidRPr="00A27896" w:rsidRDefault="00EA43F0" w:rsidP="00875D58">
            <w:pPr>
              <w:spacing w:after="0" w:line="240" w:lineRule="auto"/>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4276" w:type="dxa"/>
            <w:gridSpan w:val="2"/>
            <w:tcBorders>
              <w:top w:val="single" w:sz="4" w:space="0" w:color="17365D"/>
              <w:left w:val="nil"/>
              <w:bottom w:val="nil"/>
              <w:right w:val="nil"/>
            </w:tcBorders>
            <w:shd w:val="clear" w:color="000000" w:fill="B9CDE5"/>
            <w:noWrap/>
            <w:vAlign w:val="center"/>
            <w:hideMark/>
          </w:tcPr>
          <w:p w14:paraId="4C10DA51" w14:textId="77777777" w:rsidR="00EA43F0" w:rsidRPr="00A27896" w:rsidRDefault="00EA43F0" w:rsidP="00875D58">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1557" w:type="dxa"/>
            <w:tcBorders>
              <w:top w:val="single" w:sz="4" w:space="0" w:color="17365D"/>
              <w:left w:val="nil"/>
              <w:bottom w:val="nil"/>
              <w:right w:val="nil"/>
            </w:tcBorders>
            <w:shd w:val="clear" w:color="000000" w:fill="B9CDE5"/>
          </w:tcPr>
          <w:p w14:paraId="2B88A312" w14:textId="77777777" w:rsidR="00EA43F0" w:rsidRPr="00A27896" w:rsidRDefault="00EA43F0" w:rsidP="00875D58">
            <w:pPr>
              <w:spacing w:after="0" w:line="240" w:lineRule="auto"/>
              <w:jc w:val="right"/>
              <w:rPr>
                <w:rFonts w:eastAsia="Times New Roman" w:cs="Times New Roman"/>
                <w:color w:val="17365D"/>
                <w:sz w:val="18"/>
                <w:szCs w:val="18"/>
                <w:lang w:eastAsia="lv-LV"/>
              </w:rPr>
            </w:pPr>
          </w:p>
        </w:tc>
      </w:tr>
    </w:tbl>
    <w:p w14:paraId="2767B2FC" w14:textId="5A0416B1" w:rsidR="00DF54DF" w:rsidRPr="00A27896" w:rsidRDefault="00DF54DF" w:rsidP="0022056B">
      <w:pPr>
        <w:spacing w:before="120" w:after="0" w:line="240" w:lineRule="auto"/>
        <w:jc w:val="both"/>
        <w:rPr>
          <w:rFonts w:cs="Times New Roman"/>
          <w:color w:val="17365D"/>
        </w:rPr>
      </w:pPr>
      <w:r w:rsidRPr="00A27896">
        <w:rPr>
          <w:rFonts w:cs="Times New Roman"/>
          <w:color w:val="17365D"/>
        </w:rPr>
        <w:t xml:space="preserve">Informācija piezīmē konsolidēta par savstarpējiem valsts budžeta </w:t>
      </w:r>
      <w:r w:rsidR="009E4ABD">
        <w:rPr>
          <w:rFonts w:cs="Times New Roman"/>
          <w:color w:val="17365D"/>
        </w:rPr>
        <w:t>finanšu uzskaites</w:t>
      </w:r>
      <w:r w:rsidRPr="00A27896">
        <w:rPr>
          <w:rFonts w:cs="Times New Roman"/>
          <w:color w:val="17365D"/>
        </w:rPr>
        <w:t xml:space="preserve"> un </w:t>
      </w:r>
      <w:r w:rsidR="00706C04">
        <w:rPr>
          <w:rFonts w:cs="Times New Roman"/>
          <w:color w:val="17365D"/>
        </w:rPr>
        <w:t>valsts</w:t>
      </w:r>
      <w:r w:rsidR="00706C04" w:rsidRPr="00A27896">
        <w:rPr>
          <w:rFonts w:cs="Times New Roman"/>
          <w:color w:val="17365D"/>
        </w:rPr>
        <w:t xml:space="preserve"> un pašvaldību </w:t>
      </w:r>
      <w:r w:rsidR="00706C04">
        <w:rPr>
          <w:rFonts w:cs="Times New Roman"/>
          <w:color w:val="17365D"/>
        </w:rPr>
        <w:t>budžeta iestāžu</w:t>
      </w:r>
      <w:r w:rsidR="00706C04" w:rsidRPr="00A27896">
        <w:rPr>
          <w:rFonts w:cs="Times New Roman"/>
          <w:color w:val="17365D"/>
        </w:rPr>
        <w:t xml:space="preserve"> </w:t>
      </w:r>
      <w:r w:rsidRPr="00A27896">
        <w:rPr>
          <w:rFonts w:cs="Times New Roman"/>
          <w:color w:val="17365D"/>
        </w:rPr>
        <w:t>atlikumiem.</w:t>
      </w:r>
    </w:p>
    <w:p w14:paraId="410FD7F5" w14:textId="577251A5" w:rsidR="008A7804" w:rsidRPr="00A27896" w:rsidRDefault="008A7804" w:rsidP="00A833F6">
      <w:pPr>
        <w:spacing w:before="120" w:after="0" w:line="240" w:lineRule="auto"/>
        <w:ind w:firstLine="284"/>
        <w:jc w:val="both"/>
        <w:rPr>
          <w:rFonts w:cs="Times New Roman"/>
          <w:color w:val="17365D"/>
        </w:rPr>
      </w:pPr>
      <w:r w:rsidRPr="00A27896">
        <w:rPr>
          <w:rFonts w:cs="Times New Roman"/>
          <w:color w:val="17365D"/>
        </w:rPr>
        <w:t>Finanšu aktīvu nodrošinājuma (nekustamais īpašums, citi nefinanšu aktīvi, finanšu aktīvi</w:t>
      </w:r>
      <w:r w:rsidR="00A833F6" w:rsidRPr="00A27896">
        <w:rPr>
          <w:rFonts w:cs="Times New Roman"/>
          <w:color w:val="17365D"/>
        </w:rPr>
        <w:t xml:space="preserve"> un cits nodrošinājums) </w:t>
      </w:r>
      <w:r w:rsidRPr="00A27896">
        <w:rPr>
          <w:rFonts w:cs="Times New Roman"/>
          <w:color w:val="17365D"/>
        </w:rPr>
        <w:t xml:space="preserve">vērtība pārskata gada beigās ir </w:t>
      </w:r>
      <w:r w:rsidR="00AB019B" w:rsidRPr="00AB019B">
        <w:rPr>
          <w:rFonts w:cs="Times New Roman"/>
          <w:color w:val="17365D"/>
        </w:rPr>
        <w:t xml:space="preserve">2 420 008 855 </w:t>
      </w:r>
      <w:r w:rsidRPr="00A27896">
        <w:rPr>
          <w:rFonts w:cs="Times New Roman"/>
          <w:i/>
          <w:color w:val="17365D"/>
        </w:rPr>
        <w:t>euro</w:t>
      </w:r>
      <w:r w:rsidRPr="00A27896">
        <w:rPr>
          <w:rFonts w:cs="Times New Roman"/>
          <w:color w:val="17365D"/>
        </w:rPr>
        <w:t xml:space="preserve">, tai skaitā aizdevumiem </w:t>
      </w:r>
      <w:r w:rsidR="00A833F6" w:rsidRPr="00A27896">
        <w:rPr>
          <w:rFonts w:cs="Times New Roman"/>
          <w:color w:val="17365D"/>
        </w:rPr>
        <w:t>–</w:t>
      </w:r>
      <w:r w:rsidRPr="00A27896">
        <w:rPr>
          <w:rFonts w:cs="Times New Roman"/>
          <w:color w:val="17365D"/>
        </w:rPr>
        <w:t xml:space="preserve"> </w:t>
      </w:r>
      <w:r w:rsidR="00AB019B" w:rsidRPr="004749F2">
        <w:rPr>
          <w:rFonts w:cs="Times New Roman"/>
          <w:color w:val="17365D"/>
        </w:rPr>
        <w:t>2</w:t>
      </w:r>
      <w:r w:rsidR="00AB019B">
        <w:rPr>
          <w:rFonts w:cs="Times New Roman"/>
          <w:color w:val="17365D"/>
        </w:rPr>
        <w:t> </w:t>
      </w:r>
      <w:r w:rsidR="00AB019B" w:rsidRPr="004749F2">
        <w:rPr>
          <w:rFonts w:cs="Times New Roman"/>
          <w:color w:val="17365D"/>
        </w:rPr>
        <w:t>418</w:t>
      </w:r>
      <w:r w:rsidR="00AB019B">
        <w:rPr>
          <w:rFonts w:cs="Times New Roman"/>
          <w:color w:val="17365D"/>
        </w:rPr>
        <w:t> </w:t>
      </w:r>
      <w:r w:rsidR="00AB019B" w:rsidRPr="004749F2">
        <w:rPr>
          <w:rFonts w:cs="Times New Roman"/>
          <w:color w:val="17365D"/>
        </w:rPr>
        <w:t>646</w:t>
      </w:r>
      <w:r w:rsidR="00AB019B">
        <w:rPr>
          <w:rFonts w:cs="Times New Roman"/>
          <w:color w:val="17365D"/>
        </w:rPr>
        <w:t> </w:t>
      </w:r>
      <w:r w:rsidR="00AB019B" w:rsidRPr="004749F2">
        <w:rPr>
          <w:rFonts w:cs="Times New Roman"/>
          <w:color w:val="17365D"/>
        </w:rPr>
        <w:t>859</w:t>
      </w:r>
      <w:r w:rsidR="00AB019B">
        <w:rPr>
          <w:rFonts w:cs="Times New Roman"/>
          <w:color w:val="17365D"/>
        </w:rPr>
        <w:t xml:space="preserve"> </w:t>
      </w:r>
      <w:r w:rsidRPr="00A27896">
        <w:rPr>
          <w:rFonts w:cs="Times New Roman"/>
          <w:i/>
          <w:color w:val="17365D"/>
        </w:rPr>
        <w:t>euro</w:t>
      </w:r>
      <w:r w:rsidR="00A833F6" w:rsidRPr="00A27896">
        <w:rPr>
          <w:rFonts w:cs="Times New Roman"/>
          <w:i/>
          <w:color w:val="17365D"/>
        </w:rPr>
        <w:t xml:space="preserve"> </w:t>
      </w:r>
      <w:r w:rsidR="00A833F6" w:rsidRPr="00A27896">
        <w:rPr>
          <w:rFonts w:cs="Times New Roman"/>
          <w:color w:val="17365D"/>
        </w:rPr>
        <w:t>un prasībām, kas ir finanšu instrumenti</w:t>
      </w:r>
      <w:r w:rsidR="00A833F6" w:rsidRPr="00A27896">
        <w:rPr>
          <w:rFonts w:cs="Times New Roman"/>
          <w:i/>
          <w:color w:val="17365D"/>
        </w:rPr>
        <w:t xml:space="preserve"> </w:t>
      </w:r>
      <w:r w:rsidR="00A833F6" w:rsidRPr="00A27896">
        <w:rPr>
          <w:rFonts w:cs="Times New Roman"/>
          <w:color w:val="17365D"/>
        </w:rPr>
        <w:t xml:space="preserve">– </w:t>
      </w:r>
      <w:r w:rsidR="00AB019B" w:rsidRPr="00AB019B">
        <w:rPr>
          <w:rFonts w:cs="Times New Roman"/>
          <w:color w:val="17365D"/>
        </w:rPr>
        <w:t xml:space="preserve">1 361 996 </w:t>
      </w:r>
      <w:r w:rsidR="00A833F6" w:rsidRPr="00A27896">
        <w:rPr>
          <w:rFonts w:cs="Times New Roman"/>
          <w:i/>
          <w:color w:val="17365D"/>
        </w:rPr>
        <w:t>euro</w:t>
      </w:r>
      <w:r w:rsidRPr="00A27896">
        <w:rPr>
          <w:rFonts w:cs="Times New Roman"/>
          <w:color w:val="17365D"/>
        </w:rPr>
        <w:t>.</w:t>
      </w:r>
    </w:p>
    <w:p w14:paraId="481EE3FF" w14:textId="177966C1" w:rsidR="00002FCF" w:rsidRPr="00A27896" w:rsidRDefault="00715EF2" w:rsidP="00CB3089">
      <w:pPr>
        <w:pStyle w:val="Heading5"/>
        <w:spacing w:before="240"/>
        <w:rPr>
          <w:rFonts w:cs="Times New Roman"/>
        </w:rPr>
      </w:pPr>
      <w:r w:rsidRPr="00A27896">
        <w:rPr>
          <w:rFonts w:cs="Times New Roman"/>
        </w:rPr>
        <w:t xml:space="preserve">Piezīme Nr. </w:t>
      </w:r>
      <w:r w:rsidR="005E5E10" w:rsidRPr="00A27896">
        <w:rPr>
          <w:rFonts w:cs="Times New Roman"/>
        </w:rPr>
        <w:t>V9. Informācija par finanšu saistību nediskontēto nākotnes naudas plūsmas termiņstruktūru sadalījumā pa finanšu instrumentiem</w:t>
      </w:r>
    </w:p>
    <w:p w14:paraId="380AE9E9" w14:textId="0890D193" w:rsidR="00147E18" w:rsidRPr="00A27896" w:rsidRDefault="00147E18" w:rsidP="00147E18">
      <w:pPr>
        <w:spacing w:after="120" w:line="240" w:lineRule="auto"/>
        <w:ind w:firstLine="284"/>
        <w:jc w:val="both"/>
        <w:rPr>
          <w:rFonts w:cs="Times New Roman"/>
          <w:color w:val="17365D"/>
        </w:rPr>
      </w:pPr>
      <w:r w:rsidRPr="00A27896">
        <w:rPr>
          <w:rFonts w:cs="Times New Roman"/>
          <w:color w:val="17365D"/>
          <w:szCs w:val="24"/>
        </w:rPr>
        <w:t>Informācija par ministriju un pašvaldību</w:t>
      </w:r>
      <w:r w:rsidR="00DF54DF" w:rsidRPr="00A27896">
        <w:rPr>
          <w:rFonts w:cs="Times New Roman"/>
          <w:color w:val="17365D"/>
          <w:szCs w:val="24"/>
        </w:rPr>
        <w:t>, kā arī valsts budžeta finanšu uzskaitē atzītajām</w:t>
      </w:r>
      <w:r w:rsidRPr="00A27896">
        <w:rPr>
          <w:rFonts w:cs="Times New Roman"/>
          <w:color w:val="17365D"/>
          <w:szCs w:val="24"/>
        </w:rPr>
        <w:t xml:space="preserve"> nediskontētām finanšu saistībām (naudas plūsmu) sadalījumā pa finanšu instrumentu veidiem sniegta </w:t>
      </w:r>
      <w:r w:rsidR="009E4ABD">
        <w:rPr>
          <w:rFonts w:cs="Times New Roman"/>
          <w:color w:val="17365D"/>
          <w:szCs w:val="24"/>
        </w:rPr>
        <w:t>1.</w:t>
      </w:r>
      <w:r w:rsidR="00A043E2" w:rsidRPr="00A27896">
        <w:rPr>
          <w:rFonts w:cs="Times New Roman"/>
          <w:color w:val="17365D"/>
          <w:szCs w:val="24"/>
        </w:rPr>
        <w:t>3</w:t>
      </w:r>
      <w:r w:rsidR="00EA50D1" w:rsidRPr="00A27896">
        <w:rPr>
          <w:rFonts w:cs="Times New Roman"/>
          <w:color w:val="17365D"/>
          <w:szCs w:val="24"/>
        </w:rPr>
        <w:t>6</w:t>
      </w:r>
      <w:r w:rsidRPr="00A27896">
        <w:rPr>
          <w:rFonts w:cs="Times New Roman"/>
          <w:color w:val="17365D"/>
          <w:szCs w:val="24"/>
        </w:rPr>
        <w:t>.</w:t>
      </w:r>
      <w:r w:rsidR="00034664" w:rsidRPr="00A27896">
        <w:rPr>
          <w:rFonts w:cs="Times New Roman"/>
          <w:color w:val="17365D"/>
          <w:szCs w:val="24"/>
        </w:rPr>
        <w:t> </w:t>
      </w:r>
      <w:r w:rsidRPr="00A27896">
        <w:rPr>
          <w:rFonts w:cs="Times New Roman"/>
          <w:color w:val="17365D"/>
          <w:szCs w:val="24"/>
        </w:rPr>
        <w:t>tabulā.</w:t>
      </w:r>
    </w:p>
    <w:p w14:paraId="1A8E3F74" w14:textId="316EF427" w:rsidR="005E5E10" w:rsidRPr="00A27896" w:rsidRDefault="009E4ABD" w:rsidP="005E5E10">
      <w:pPr>
        <w:spacing w:after="0" w:line="240" w:lineRule="auto"/>
        <w:jc w:val="right"/>
        <w:rPr>
          <w:rFonts w:cs="Times New Roman"/>
          <w:i/>
          <w:color w:val="17365D"/>
          <w:sz w:val="20"/>
        </w:rPr>
      </w:pPr>
      <w:r>
        <w:rPr>
          <w:rFonts w:cs="Times New Roman"/>
          <w:i/>
          <w:color w:val="17365D"/>
          <w:sz w:val="20"/>
          <w:szCs w:val="20"/>
        </w:rPr>
        <w:t>1.</w:t>
      </w:r>
      <w:r w:rsidR="00A043E2" w:rsidRPr="0060703C">
        <w:rPr>
          <w:rFonts w:cs="Times New Roman"/>
          <w:i/>
          <w:color w:val="17365D"/>
          <w:sz w:val="20"/>
          <w:szCs w:val="20"/>
        </w:rPr>
        <w:t>3</w:t>
      </w:r>
      <w:r w:rsidR="00EA50D1" w:rsidRPr="0060703C">
        <w:rPr>
          <w:rFonts w:cs="Times New Roman"/>
          <w:i/>
          <w:color w:val="17365D"/>
          <w:sz w:val="20"/>
          <w:szCs w:val="20"/>
        </w:rPr>
        <w:t>6</w:t>
      </w:r>
      <w:r w:rsidR="005E5E10" w:rsidRPr="0060703C">
        <w:rPr>
          <w:rFonts w:cs="Times New Roman"/>
          <w:i/>
          <w:color w:val="17365D"/>
          <w:sz w:val="20"/>
          <w:szCs w:val="20"/>
        </w:rPr>
        <w:t>. tabula</w:t>
      </w:r>
      <w:r w:rsidR="003877C0" w:rsidRPr="0060703C">
        <w:rPr>
          <w:rFonts w:cs="Times New Roman"/>
          <w:i/>
          <w:color w:val="17365D"/>
          <w:sz w:val="20"/>
          <w:szCs w:val="20"/>
        </w:rPr>
        <w:t>.</w:t>
      </w:r>
      <w:r w:rsidR="005E5E10" w:rsidRPr="0060703C">
        <w:rPr>
          <w:rFonts w:cs="Times New Roman"/>
          <w:i/>
          <w:color w:val="17365D"/>
        </w:rPr>
        <w:t xml:space="preserve"> </w:t>
      </w:r>
      <w:r w:rsidR="005E5E10" w:rsidRPr="0060703C">
        <w:rPr>
          <w:rFonts w:cs="Times New Roman"/>
          <w:i/>
          <w:color w:val="17365D"/>
          <w:sz w:val="20"/>
        </w:rPr>
        <w:t>Informācija</w:t>
      </w:r>
      <w:r w:rsidR="005E5E10" w:rsidRPr="00A27896">
        <w:rPr>
          <w:rFonts w:cs="Times New Roman"/>
          <w:i/>
          <w:color w:val="17365D"/>
          <w:sz w:val="20"/>
        </w:rPr>
        <w:t xml:space="preserve"> par finanšu saistību nediskontēto nākotnes naudas plūsmas </w:t>
      </w:r>
    </w:p>
    <w:p w14:paraId="36C591F9" w14:textId="0B3D5DDF" w:rsidR="00CD4CD0" w:rsidRPr="00A27896" w:rsidRDefault="005E5E10" w:rsidP="005E5E10">
      <w:pPr>
        <w:spacing w:after="0" w:line="240" w:lineRule="auto"/>
        <w:jc w:val="right"/>
        <w:rPr>
          <w:rFonts w:cs="Times New Roman"/>
          <w:i/>
          <w:color w:val="17365D"/>
          <w:sz w:val="20"/>
        </w:rPr>
      </w:pPr>
      <w:r w:rsidRPr="00A27896">
        <w:rPr>
          <w:rFonts w:cs="Times New Roman"/>
          <w:i/>
          <w:color w:val="17365D"/>
          <w:sz w:val="20"/>
        </w:rPr>
        <w:t>termiņstruktūru sadalījumā pa finanšu instrumentiem</w:t>
      </w:r>
      <w:r w:rsidR="003271D2" w:rsidRPr="00A27896">
        <w:rPr>
          <w:rFonts w:cs="Times New Roman"/>
          <w:i/>
          <w:color w:val="17365D"/>
          <w:sz w:val="20"/>
        </w:rPr>
        <w:t xml:space="preserve"> (euro)</w:t>
      </w:r>
    </w:p>
    <w:tbl>
      <w:tblPr>
        <w:tblW w:w="9698" w:type="dxa"/>
        <w:tblInd w:w="-284" w:type="dxa"/>
        <w:tblLook w:val="04A0" w:firstRow="1" w:lastRow="0" w:firstColumn="1" w:lastColumn="0" w:noHBand="0" w:noVBand="1"/>
      </w:tblPr>
      <w:tblGrid>
        <w:gridCol w:w="1174"/>
        <w:gridCol w:w="826"/>
        <w:gridCol w:w="206"/>
        <w:gridCol w:w="239"/>
        <w:gridCol w:w="748"/>
        <w:gridCol w:w="68"/>
        <w:gridCol w:w="962"/>
        <w:gridCol w:w="68"/>
        <w:gridCol w:w="998"/>
        <w:gridCol w:w="68"/>
        <w:gridCol w:w="968"/>
        <w:gridCol w:w="68"/>
        <w:gridCol w:w="570"/>
        <w:gridCol w:w="232"/>
        <w:gridCol w:w="108"/>
        <w:gridCol w:w="202"/>
        <w:gridCol w:w="603"/>
        <w:gridCol w:w="299"/>
        <w:gridCol w:w="201"/>
        <w:gridCol w:w="1090"/>
      </w:tblGrid>
      <w:tr w:rsidR="000C1009" w:rsidRPr="00A27896" w14:paraId="14ACD47B" w14:textId="77777777" w:rsidTr="009677AB">
        <w:trPr>
          <w:trHeight w:val="270"/>
          <w:tblHeader/>
        </w:trPr>
        <w:tc>
          <w:tcPr>
            <w:tcW w:w="1174" w:type="dxa"/>
            <w:vMerge w:val="restart"/>
            <w:tcBorders>
              <w:top w:val="nil"/>
              <w:left w:val="nil"/>
              <w:bottom w:val="single" w:sz="4" w:space="0" w:color="17365D"/>
              <w:right w:val="nil"/>
            </w:tcBorders>
            <w:shd w:val="clear" w:color="000000" w:fill="B9CDE5"/>
            <w:vAlign w:val="center"/>
            <w:hideMark/>
          </w:tcPr>
          <w:p w14:paraId="57F43933" w14:textId="390C9C6E"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Finanšu saistību un instrumenta nosaukums</w:t>
            </w:r>
          </w:p>
        </w:tc>
        <w:tc>
          <w:tcPr>
            <w:tcW w:w="4115" w:type="dxa"/>
            <w:gridSpan w:val="8"/>
            <w:tcBorders>
              <w:top w:val="nil"/>
              <w:left w:val="nil"/>
              <w:bottom w:val="single" w:sz="4" w:space="0" w:color="17365D"/>
              <w:right w:val="nil"/>
            </w:tcBorders>
            <w:shd w:val="clear" w:color="000000" w:fill="B9CDE5"/>
            <w:vAlign w:val="center"/>
            <w:hideMark/>
          </w:tcPr>
          <w:p w14:paraId="4F433431"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4409" w:type="dxa"/>
            <w:gridSpan w:val="11"/>
            <w:tcBorders>
              <w:top w:val="nil"/>
              <w:left w:val="nil"/>
              <w:bottom w:val="single" w:sz="4" w:space="0" w:color="17365D"/>
              <w:right w:val="nil"/>
            </w:tcBorders>
            <w:shd w:val="clear" w:color="000000" w:fill="B9CDE5"/>
            <w:vAlign w:val="center"/>
            <w:hideMark/>
          </w:tcPr>
          <w:p w14:paraId="60360D65"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06606F28" w14:textId="77777777" w:rsidTr="009677AB">
        <w:trPr>
          <w:trHeight w:val="540"/>
          <w:tblHeader/>
        </w:trPr>
        <w:tc>
          <w:tcPr>
            <w:tcW w:w="1174" w:type="dxa"/>
            <w:vMerge/>
            <w:tcBorders>
              <w:top w:val="single" w:sz="4" w:space="0" w:color="17365D"/>
              <w:left w:val="nil"/>
              <w:bottom w:val="single" w:sz="4" w:space="0" w:color="17365D"/>
              <w:right w:val="nil"/>
            </w:tcBorders>
            <w:vAlign w:val="center"/>
            <w:hideMark/>
          </w:tcPr>
          <w:p w14:paraId="45601EAB"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032" w:type="dxa"/>
            <w:gridSpan w:val="2"/>
            <w:vMerge w:val="restart"/>
            <w:tcBorders>
              <w:top w:val="single" w:sz="4" w:space="0" w:color="17365D"/>
              <w:left w:val="nil"/>
              <w:bottom w:val="single" w:sz="4" w:space="0" w:color="17365D"/>
              <w:right w:val="nil"/>
            </w:tcBorders>
            <w:shd w:val="clear" w:color="000000" w:fill="B9CDE5"/>
            <w:vAlign w:val="center"/>
            <w:hideMark/>
          </w:tcPr>
          <w:p w14:paraId="13855181"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 1 gadam</w:t>
            </w:r>
          </w:p>
        </w:tc>
        <w:tc>
          <w:tcPr>
            <w:tcW w:w="987" w:type="dxa"/>
            <w:gridSpan w:val="2"/>
            <w:vMerge w:val="restart"/>
            <w:tcBorders>
              <w:top w:val="single" w:sz="4" w:space="0" w:color="17365D"/>
              <w:left w:val="nil"/>
              <w:bottom w:val="single" w:sz="4" w:space="0" w:color="17365D"/>
              <w:right w:val="nil"/>
            </w:tcBorders>
            <w:shd w:val="clear" w:color="000000" w:fill="B9CDE5"/>
            <w:vAlign w:val="center"/>
            <w:hideMark/>
          </w:tcPr>
          <w:p w14:paraId="7C946AFF"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no 1 gada līdz 5 gadiem</w:t>
            </w:r>
          </w:p>
        </w:tc>
        <w:tc>
          <w:tcPr>
            <w:tcW w:w="1030" w:type="dxa"/>
            <w:gridSpan w:val="2"/>
            <w:vMerge w:val="restart"/>
            <w:tcBorders>
              <w:top w:val="single" w:sz="4" w:space="0" w:color="17365D"/>
              <w:left w:val="nil"/>
              <w:bottom w:val="single" w:sz="4" w:space="0" w:color="17365D"/>
              <w:right w:val="nil"/>
            </w:tcBorders>
            <w:shd w:val="clear" w:color="000000" w:fill="B9CDE5"/>
            <w:vAlign w:val="center"/>
            <w:hideMark/>
          </w:tcPr>
          <w:p w14:paraId="64D9AE1F"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vairāk par 5 gadiem</w:t>
            </w:r>
          </w:p>
        </w:tc>
        <w:tc>
          <w:tcPr>
            <w:tcW w:w="1066" w:type="dxa"/>
            <w:gridSpan w:val="2"/>
            <w:vMerge w:val="restart"/>
            <w:tcBorders>
              <w:top w:val="single" w:sz="4" w:space="0" w:color="17365D"/>
              <w:left w:val="nil"/>
              <w:bottom w:val="single" w:sz="4" w:space="0" w:color="17365D"/>
              <w:right w:val="nil"/>
            </w:tcBorders>
            <w:shd w:val="clear" w:color="000000" w:fill="B9CDE5"/>
            <w:vAlign w:val="center"/>
            <w:hideMark/>
          </w:tcPr>
          <w:p w14:paraId="0DF9D446"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c>
          <w:tcPr>
            <w:tcW w:w="1036" w:type="dxa"/>
            <w:gridSpan w:val="2"/>
            <w:vMerge w:val="restart"/>
            <w:tcBorders>
              <w:top w:val="single" w:sz="4" w:space="0" w:color="17365D"/>
              <w:left w:val="nil"/>
              <w:bottom w:val="single" w:sz="4" w:space="0" w:color="17365D"/>
              <w:right w:val="nil"/>
            </w:tcBorders>
            <w:shd w:val="clear" w:color="000000" w:fill="B9CDE5"/>
            <w:vAlign w:val="center"/>
            <w:hideMark/>
          </w:tcPr>
          <w:p w14:paraId="44514251"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 1 gadam</w:t>
            </w:r>
          </w:p>
        </w:tc>
        <w:tc>
          <w:tcPr>
            <w:tcW w:w="978" w:type="dxa"/>
            <w:gridSpan w:val="4"/>
            <w:vMerge w:val="restart"/>
            <w:tcBorders>
              <w:top w:val="single" w:sz="4" w:space="0" w:color="17365D"/>
              <w:left w:val="nil"/>
              <w:bottom w:val="single" w:sz="4" w:space="0" w:color="17365D"/>
              <w:right w:val="nil"/>
            </w:tcBorders>
            <w:shd w:val="clear" w:color="000000" w:fill="B9CDE5"/>
            <w:vAlign w:val="center"/>
            <w:hideMark/>
          </w:tcPr>
          <w:p w14:paraId="7C6A02CD"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no 1 gada līdz 5 gadiem</w:t>
            </w:r>
          </w:p>
        </w:tc>
        <w:tc>
          <w:tcPr>
            <w:tcW w:w="1104" w:type="dxa"/>
            <w:gridSpan w:val="3"/>
            <w:vMerge w:val="restart"/>
            <w:tcBorders>
              <w:top w:val="single" w:sz="4" w:space="0" w:color="17365D"/>
              <w:left w:val="nil"/>
              <w:bottom w:val="single" w:sz="4" w:space="0" w:color="17365D"/>
              <w:right w:val="nil"/>
            </w:tcBorders>
            <w:shd w:val="clear" w:color="000000" w:fill="B9CDE5"/>
            <w:vAlign w:val="center"/>
            <w:hideMark/>
          </w:tcPr>
          <w:p w14:paraId="09FA6976"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vairāk par 5 gadiem</w:t>
            </w:r>
          </w:p>
        </w:tc>
        <w:tc>
          <w:tcPr>
            <w:tcW w:w="1291" w:type="dxa"/>
            <w:gridSpan w:val="2"/>
            <w:vMerge w:val="restart"/>
            <w:tcBorders>
              <w:top w:val="single" w:sz="4" w:space="0" w:color="17365D"/>
              <w:left w:val="nil"/>
              <w:bottom w:val="single" w:sz="4" w:space="0" w:color="17365D"/>
              <w:right w:val="nil"/>
            </w:tcBorders>
            <w:shd w:val="clear" w:color="000000" w:fill="B9CDE5"/>
            <w:vAlign w:val="center"/>
            <w:hideMark/>
          </w:tcPr>
          <w:p w14:paraId="66AC986D"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r>
      <w:tr w:rsidR="000C1009" w:rsidRPr="00A27896" w14:paraId="4672FEFA" w14:textId="77777777" w:rsidTr="009677AB">
        <w:trPr>
          <w:trHeight w:val="517"/>
          <w:tblHeader/>
        </w:trPr>
        <w:tc>
          <w:tcPr>
            <w:tcW w:w="1174" w:type="dxa"/>
            <w:vMerge/>
            <w:tcBorders>
              <w:top w:val="single" w:sz="4" w:space="0" w:color="17365D"/>
              <w:left w:val="nil"/>
              <w:bottom w:val="single" w:sz="4" w:space="0" w:color="17365D"/>
              <w:right w:val="nil"/>
            </w:tcBorders>
            <w:vAlign w:val="center"/>
            <w:hideMark/>
          </w:tcPr>
          <w:p w14:paraId="3C95180A"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032" w:type="dxa"/>
            <w:gridSpan w:val="2"/>
            <w:vMerge/>
            <w:tcBorders>
              <w:top w:val="single" w:sz="4" w:space="0" w:color="17365D"/>
              <w:left w:val="nil"/>
              <w:bottom w:val="single" w:sz="4" w:space="0" w:color="17365D"/>
              <w:right w:val="nil"/>
            </w:tcBorders>
            <w:vAlign w:val="center"/>
            <w:hideMark/>
          </w:tcPr>
          <w:p w14:paraId="3EC80E8D"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987" w:type="dxa"/>
            <w:gridSpan w:val="2"/>
            <w:vMerge/>
            <w:tcBorders>
              <w:top w:val="single" w:sz="4" w:space="0" w:color="17365D"/>
              <w:left w:val="nil"/>
              <w:bottom w:val="single" w:sz="4" w:space="0" w:color="17365D"/>
              <w:right w:val="nil"/>
            </w:tcBorders>
            <w:vAlign w:val="center"/>
            <w:hideMark/>
          </w:tcPr>
          <w:p w14:paraId="1BE305AD"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030" w:type="dxa"/>
            <w:gridSpan w:val="2"/>
            <w:vMerge/>
            <w:tcBorders>
              <w:top w:val="single" w:sz="4" w:space="0" w:color="17365D"/>
              <w:left w:val="nil"/>
              <w:bottom w:val="single" w:sz="4" w:space="0" w:color="17365D"/>
              <w:right w:val="nil"/>
            </w:tcBorders>
            <w:vAlign w:val="center"/>
            <w:hideMark/>
          </w:tcPr>
          <w:p w14:paraId="6F5D7824"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066" w:type="dxa"/>
            <w:gridSpan w:val="2"/>
            <w:vMerge/>
            <w:tcBorders>
              <w:top w:val="single" w:sz="4" w:space="0" w:color="17365D"/>
              <w:left w:val="nil"/>
              <w:bottom w:val="single" w:sz="4" w:space="0" w:color="17365D"/>
              <w:right w:val="nil"/>
            </w:tcBorders>
            <w:vAlign w:val="center"/>
            <w:hideMark/>
          </w:tcPr>
          <w:p w14:paraId="6FD6E30E"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036" w:type="dxa"/>
            <w:gridSpan w:val="2"/>
            <w:vMerge/>
            <w:tcBorders>
              <w:top w:val="single" w:sz="4" w:space="0" w:color="17365D"/>
              <w:left w:val="nil"/>
              <w:bottom w:val="single" w:sz="4" w:space="0" w:color="17365D"/>
              <w:right w:val="nil"/>
            </w:tcBorders>
            <w:vAlign w:val="center"/>
            <w:hideMark/>
          </w:tcPr>
          <w:p w14:paraId="21D1722B"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978" w:type="dxa"/>
            <w:gridSpan w:val="4"/>
            <w:vMerge/>
            <w:tcBorders>
              <w:top w:val="single" w:sz="4" w:space="0" w:color="17365D"/>
              <w:left w:val="nil"/>
              <w:bottom w:val="single" w:sz="4" w:space="0" w:color="17365D"/>
              <w:right w:val="nil"/>
            </w:tcBorders>
            <w:vAlign w:val="center"/>
            <w:hideMark/>
          </w:tcPr>
          <w:p w14:paraId="7B15AC9E"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104" w:type="dxa"/>
            <w:gridSpan w:val="3"/>
            <w:vMerge/>
            <w:tcBorders>
              <w:top w:val="single" w:sz="4" w:space="0" w:color="17365D"/>
              <w:left w:val="nil"/>
              <w:bottom w:val="single" w:sz="4" w:space="0" w:color="17365D"/>
              <w:right w:val="nil"/>
            </w:tcBorders>
            <w:vAlign w:val="center"/>
            <w:hideMark/>
          </w:tcPr>
          <w:p w14:paraId="098C10CE"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c>
          <w:tcPr>
            <w:tcW w:w="1291" w:type="dxa"/>
            <w:gridSpan w:val="2"/>
            <w:vMerge/>
            <w:tcBorders>
              <w:top w:val="single" w:sz="4" w:space="0" w:color="17365D"/>
              <w:left w:val="nil"/>
              <w:bottom w:val="single" w:sz="4" w:space="0" w:color="17365D"/>
              <w:right w:val="nil"/>
            </w:tcBorders>
            <w:vAlign w:val="center"/>
            <w:hideMark/>
          </w:tcPr>
          <w:p w14:paraId="5D6D556C" w14:textId="77777777" w:rsidR="00612436" w:rsidRPr="00A27896" w:rsidRDefault="00612436" w:rsidP="00F9724A">
            <w:pPr>
              <w:spacing w:after="0" w:line="240" w:lineRule="auto"/>
              <w:ind w:left="-57" w:right="-57"/>
              <w:rPr>
                <w:rFonts w:eastAsia="Times New Roman" w:cs="Times New Roman"/>
                <w:b/>
                <w:bCs/>
                <w:color w:val="17365D"/>
                <w:sz w:val="18"/>
                <w:szCs w:val="18"/>
                <w:lang w:eastAsia="lv-LV"/>
              </w:rPr>
            </w:pPr>
          </w:p>
        </w:tc>
      </w:tr>
      <w:tr w:rsidR="000C1009" w:rsidRPr="00A27896" w14:paraId="1F391629" w14:textId="77777777" w:rsidTr="009677AB">
        <w:trPr>
          <w:trHeight w:val="270"/>
          <w:tblHeader/>
        </w:trPr>
        <w:tc>
          <w:tcPr>
            <w:tcW w:w="1174" w:type="dxa"/>
            <w:tcBorders>
              <w:top w:val="single" w:sz="4" w:space="0" w:color="17365D"/>
              <w:left w:val="nil"/>
              <w:bottom w:val="single" w:sz="4" w:space="0" w:color="auto"/>
              <w:right w:val="nil"/>
            </w:tcBorders>
            <w:shd w:val="clear" w:color="auto" w:fill="auto"/>
            <w:vAlign w:val="center"/>
            <w:hideMark/>
          </w:tcPr>
          <w:p w14:paraId="44ACA87E"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w:t>
            </w:r>
          </w:p>
        </w:tc>
        <w:tc>
          <w:tcPr>
            <w:tcW w:w="826" w:type="dxa"/>
            <w:tcBorders>
              <w:top w:val="single" w:sz="4" w:space="0" w:color="17365D"/>
              <w:left w:val="nil"/>
              <w:bottom w:val="single" w:sz="4" w:space="0" w:color="auto"/>
              <w:right w:val="nil"/>
            </w:tcBorders>
            <w:shd w:val="clear" w:color="auto" w:fill="auto"/>
            <w:vAlign w:val="center"/>
            <w:hideMark/>
          </w:tcPr>
          <w:p w14:paraId="2EC8C44A" w14:textId="37DD7CE5" w:rsidR="00612436" w:rsidRPr="00A27896" w:rsidRDefault="007C7CF0" w:rsidP="00F9724A">
            <w:pPr>
              <w:spacing w:after="0" w:line="240" w:lineRule="auto"/>
              <w:ind w:left="-57" w:right="-57"/>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 xml:space="preserve">    </w:t>
            </w:r>
            <w:r w:rsidR="00612436" w:rsidRPr="00A27896">
              <w:rPr>
                <w:rFonts w:eastAsia="Times New Roman" w:cs="Times New Roman"/>
                <w:b/>
                <w:bCs/>
                <w:color w:val="17365D"/>
                <w:sz w:val="18"/>
                <w:szCs w:val="18"/>
                <w:lang w:eastAsia="lv-LV"/>
              </w:rPr>
              <w:t>1</w:t>
            </w:r>
          </w:p>
        </w:tc>
        <w:tc>
          <w:tcPr>
            <w:tcW w:w="1193" w:type="dxa"/>
            <w:gridSpan w:val="3"/>
            <w:tcBorders>
              <w:top w:val="single" w:sz="4" w:space="0" w:color="17365D"/>
              <w:left w:val="nil"/>
              <w:bottom w:val="single" w:sz="4" w:space="0" w:color="auto"/>
              <w:right w:val="nil"/>
            </w:tcBorders>
            <w:shd w:val="clear" w:color="auto" w:fill="auto"/>
            <w:vAlign w:val="center"/>
            <w:hideMark/>
          </w:tcPr>
          <w:p w14:paraId="671F0E8A" w14:textId="5F18456B" w:rsidR="00612436" w:rsidRPr="00A27896" w:rsidRDefault="007C7CF0" w:rsidP="00F9724A">
            <w:pPr>
              <w:spacing w:after="0" w:line="240" w:lineRule="auto"/>
              <w:ind w:left="-57" w:right="-57"/>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 xml:space="preserve">   </w:t>
            </w:r>
            <w:r w:rsidR="00612436" w:rsidRPr="00A27896">
              <w:rPr>
                <w:rFonts w:eastAsia="Times New Roman" w:cs="Times New Roman"/>
                <w:b/>
                <w:bCs/>
                <w:color w:val="17365D"/>
                <w:sz w:val="18"/>
                <w:szCs w:val="18"/>
                <w:lang w:eastAsia="lv-LV"/>
              </w:rPr>
              <w:t>2</w:t>
            </w:r>
          </w:p>
        </w:tc>
        <w:tc>
          <w:tcPr>
            <w:tcW w:w="1030" w:type="dxa"/>
            <w:gridSpan w:val="2"/>
            <w:tcBorders>
              <w:top w:val="single" w:sz="4" w:space="0" w:color="17365D"/>
              <w:left w:val="nil"/>
              <w:bottom w:val="single" w:sz="4" w:space="0" w:color="auto"/>
              <w:right w:val="nil"/>
            </w:tcBorders>
            <w:shd w:val="clear" w:color="auto" w:fill="auto"/>
            <w:vAlign w:val="center"/>
            <w:hideMark/>
          </w:tcPr>
          <w:p w14:paraId="2D7DC529"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3</w:t>
            </w:r>
          </w:p>
        </w:tc>
        <w:tc>
          <w:tcPr>
            <w:tcW w:w="1066" w:type="dxa"/>
            <w:gridSpan w:val="2"/>
            <w:tcBorders>
              <w:top w:val="single" w:sz="4" w:space="0" w:color="17365D"/>
              <w:left w:val="nil"/>
              <w:bottom w:val="single" w:sz="4" w:space="0" w:color="auto"/>
              <w:right w:val="nil"/>
            </w:tcBorders>
            <w:shd w:val="clear" w:color="auto" w:fill="auto"/>
            <w:vAlign w:val="center"/>
            <w:hideMark/>
          </w:tcPr>
          <w:p w14:paraId="4D01877E"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4</w:t>
            </w:r>
          </w:p>
        </w:tc>
        <w:tc>
          <w:tcPr>
            <w:tcW w:w="1036" w:type="dxa"/>
            <w:gridSpan w:val="2"/>
            <w:tcBorders>
              <w:top w:val="single" w:sz="4" w:space="0" w:color="17365D"/>
              <w:left w:val="nil"/>
              <w:bottom w:val="single" w:sz="4" w:space="0" w:color="auto"/>
              <w:right w:val="nil"/>
            </w:tcBorders>
            <w:shd w:val="clear" w:color="auto" w:fill="auto"/>
            <w:vAlign w:val="center"/>
            <w:hideMark/>
          </w:tcPr>
          <w:p w14:paraId="4EB7BF32" w14:textId="77777777" w:rsidR="00612436" w:rsidRPr="00A27896" w:rsidRDefault="00612436" w:rsidP="00F9724A">
            <w:pPr>
              <w:spacing w:after="0" w:line="240" w:lineRule="auto"/>
              <w:ind w:left="-57" w:righ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5</w:t>
            </w:r>
          </w:p>
        </w:tc>
        <w:tc>
          <w:tcPr>
            <w:tcW w:w="870" w:type="dxa"/>
            <w:gridSpan w:val="3"/>
            <w:tcBorders>
              <w:top w:val="single" w:sz="4" w:space="0" w:color="17365D"/>
              <w:left w:val="nil"/>
              <w:bottom w:val="single" w:sz="4" w:space="0" w:color="auto"/>
              <w:right w:val="nil"/>
            </w:tcBorders>
            <w:shd w:val="clear" w:color="auto" w:fill="auto"/>
            <w:vAlign w:val="center"/>
            <w:hideMark/>
          </w:tcPr>
          <w:p w14:paraId="7A2EB382" w14:textId="0D8ABC92" w:rsidR="00612436" w:rsidRPr="00A27896" w:rsidRDefault="007C7CF0" w:rsidP="00F9724A">
            <w:pPr>
              <w:spacing w:after="0" w:line="240" w:lineRule="auto"/>
              <w:ind w:left="-57" w:right="-57"/>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 xml:space="preserve"> </w:t>
            </w:r>
            <w:r w:rsidR="00612436" w:rsidRPr="00A27896">
              <w:rPr>
                <w:rFonts w:eastAsia="Times New Roman" w:cs="Times New Roman"/>
                <w:b/>
                <w:bCs/>
                <w:color w:val="17365D"/>
                <w:sz w:val="18"/>
                <w:szCs w:val="18"/>
                <w:lang w:eastAsia="lv-LV"/>
              </w:rPr>
              <w:t>6</w:t>
            </w:r>
          </w:p>
        </w:tc>
        <w:tc>
          <w:tcPr>
            <w:tcW w:w="913" w:type="dxa"/>
            <w:gridSpan w:val="3"/>
            <w:tcBorders>
              <w:top w:val="single" w:sz="4" w:space="0" w:color="17365D"/>
              <w:left w:val="nil"/>
              <w:bottom w:val="single" w:sz="4" w:space="0" w:color="auto"/>
              <w:right w:val="nil"/>
            </w:tcBorders>
            <w:shd w:val="clear" w:color="auto" w:fill="auto"/>
            <w:vAlign w:val="center"/>
            <w:hideMark/>
          </w:tcPr>
          <w:p w14:paraId="6CA973F7" w14:textId="1F4B4851" w:rsidR="00612436" w:rsidRPr="00A27896" w:rsidRDefault="007C7CF0" w:rsidP="00F9724A">
            <w:pPr>
              <w:spacing w:after="0" w:line="240" w:lineRule="auto"/>
              <w:ind w:left="-57" w:right="-57"/>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 xml:space="preserve">              </w:t>
            </w:r>
            <w:r w:rsidR="00612436" w:rsidRPr="00A27896">
              <w:rPr>
                <w:rFonts w:eastAsia="Times New Roman" w:cs="Times New Roman"/>
                <w:b/>
                <w:bCs/>
                <w:color w:val="17365D"/>
                <w:sz w:val="18"/>
                <w:szCs w:val="18"/>
                <w:lang w:eastAsia="lv-LV"/>
              </w:rPr>
              <w:t>7</w:t>
            </w:r>
          </w:p>
        </w:tc>
        <w:tc>
          <w:tcPr>
            <w:tcW w:w="1590" w:type="dxa"/>
            <w:gridSpan w:val="3"/>
            <w:tcBorders>
              <w:top w:val="single" w:sz="4" w:space="0" w:color="17365D"/>
              <w:left w:val="nil"/>
              <w:bottom w:val="single" w:sz="4" w:space="0" w:color="auto"/>
              <w:right w:val="nil"/>
            </w:tcBorders>
            <w:shd w:val="clear" w:color="auto" w:fill="auto"/>
            <w:vAlign w:val="center"/>
            <w:hideMark/>
          </w:tcPr>
          <w:p w14:paraId="3BD2C0BE" w14:textId="733B89D6" w:rsidR="00612436" w:rsidRPr="00A27896" w:rsidRDefault="007C7CF0" w:rsidP="00F9724A">
            <w:pPr>
              <w:spacing w:after="0" w:line="240" w:lineRule="auto"/>
              <w:ind w:left="-57" w:right="-57"/>
              <w:jc w:val="center"/>
              <w:rPr>
                <w:rFonts w:eastAsia="Times New Roman" w:cs="Times New Roman"/>
                <w:b/>
                <w:bCs/>
                <w:color w:val="17365D"/>
                <w:sz w:val="18"/>
                <w:szCs w:val="18"/>
                <w:lang w:eastAsia="lv-LV"/>
              </w:rPr>
            </w:pPr>
            <w:r>
              <w:rPr>
                <w:rFonts w:eastAsia="Times New Roman" w:cs="Times New Roman"/>
                <w:b/>
                <w:bCs/>
                <w:color w:val="17365D"/>
                <w:sz w:val="18"/>
                <w:szCs w:val="18"/>
                <w:lang w:eastAsia="lv-LV"/>
              </w:rPr>
              <w:t xml:space="preserve">         </w:t>
            </w:r>
            <w:r w:rsidR="00612436" w:rsidRPr="00A27896">
              <w:rPr>
                <w:rFonts w:eastAsia="Times New Roman" w:cs="Times New Roman"/>
                <w:b/>
                <w:bCs/>
                <w:color w:val="17365D"/>
                <w:sz w:val="18"/>
                <w:szCs w:val="18"/>
                <w:lang w:eastAsia="lv-LV"/>
              </w:rPr>
              <w:t>8</w:t>
            </w:r>
          </w:p>
        </w:tc>
      </w:tr>
      <w:tr w:rsidR="002B0B54" w:rsidRPr="002B0B54" w14:paraId="043D5E2A" w14:textId="77777777" w:rsidTr="009677AB">
        <w:trPr>
          <w:trHeight w:val="270"/>
        </w:trPr>
        <w:tc>
          <w:tcPr>
            <w:tcW w:w="1174" w:type="dxa"/>
            <w:tcBorders>
              <w:top w:val="single" w:sz="4" w:space="0" w:color="auto"/>
              <w:left w:val="nil"/>
              <w:bottom w:val="single" w:sz="4" w:space="0" w:color="auto"/>
              <w:right w:val="nil"/>
            </w:tcBorders>
            <w:shd w:val="clear" w:color="auto" w:fill="auto"/>
            <w:vAlign w:val="center"/>
            <w:hideMark/>
          </w:tcPr>
          <w:p w14:paraId="6C13F444" w14:textId="77777777" w:rsidR="002B0B54" w:rsidRPr="00A27896" w:rsidRDefault="002B0B54" w:rsidP="002B0B54">
            <w:pPr>
              <w:spacing w:after="0" w:line="240" w:lineRule="auto"/>
              <w:ind w:left="-57" w:right="-57"/>
              <w:rPr>
                <w:rFonts w:eastAsia="Times New Roman" w:cs="Times New Roman"/>
                <w:b/>
                <w:color w:val="17365D"/>
                <w:sz w:val="16"/>
                <w:szCs w:val="16"/>
                <w:lang w:eastAsia="lv-LV"/>
              </w:rPr>
            </w:pPr>
            <w:r w:rsidRPr="00A27896">
              <w:rPr>
                <w:rFonts w:eastAsia="Times New Roman" w:cs="Times New Roman"/>
                <w:b/>
                <w:color w:val="17365D"/>
                <w:sz w:val="16"/>
                <w:szCs w:val="16"/>
                <w:lang w:eastAsia="lv-LV"/>
              </w:rPr>
              <w:t>Finanšu saistības</w:t>
            </w:r>
          </w:p>
        </w:tc>
        <w:tc>
          <w:tcPr>
            <w:tcW w:w="1032" w:type="dxa"/>
            <w:gridSpan w:val="2"/>
            <w:tcBorders>
              <w:top w:val="single" w:sz="4" w:space="0" w:color="auto"/>
              <w:left w:val="nil"/>
              <w:bottom w:val="single" w:sz="4" w:space="0" w:color="auto"/>
              <w:right w:val="nil"/>
            </w:tcBorders>
            <w:shd w:val="clear" w:color="auto" w:fill="auto"/>
            <w:vAlign w:val="center"/>
            <w:hideMark/>
          </w:tcPr>
          <w:p w14:paraId="548EB895" w14:textId="6851D65C" w:rsidR="002B0B54" w:rsidRPr="005E79FE" w:rsidRDefault="002B0B54" w:rsidP="009677AB">
            <w:pPr>
              <w:spacing w:after="0" w:line="240" w:lineRule="auto"/>
              <w:ind w:left="-57" w:right="-57"/>
              <w:jc w:val="right"/>
              <w:rPr>
                <w:rFonts w:eastAsia="Times New Roman" w:cs="Times New Roman"/>
                <w:b/>
                <w:color w:val="17365D"/>
                <w:sz w:val="16"/>
                <w:szCs w:val="16"/>
                <w:lang w:eastAsia="lv-LV"/>
              </w:rPr>
            </w:pPr>
            <w:r w:rsidRPr="005E79FE">
              <w:rPr>
                <w:rFonts w:eastAsia="Times New Roman" w:cs="Times New Roman"/>
                <w:b/>
                <w:color w:val="17365D"/>
                <w:sz w:val="16"/>
                <w:szCs w:val="16"/>
                <w:lang w:eastAsia="lv-LV"/>
              </w:rPr>
              <w:t>2 294 919 847</w:t>
            </w:r>
          </w:p>
        </w:tc>
        <w:tc>
          <w:tcPr>
            <w:tcW w:w="1055" w:type="dxa"/>
            <w:gridSpan w:val="3"/>
            <w:tcBorders>
              <w:top w:val="single" w:sz="4" w:space="0" w:color="auto"/>
              <w:left w:val="nil"/>
              <w:bottom w:val="single" w:sz="4" w:space="0" w:color="auto"/>
              <w:right w:val="nil"/>
            </w:tcBorders>
            <w:shd w:val="clear" w:color="auto" w:fill="auto"/>
            <w:vAlign w:val="center"/>
            <w:hideMark/>
          </w:tcPr>
          <w:p w14:paraId="024C0AEB" w14:textId="269987A0" w:rsidR="002B0B54" w:rsidRPr="005E79FE" w:rsidRDefault="002B0B54" w:rsidP="009677AB">
            <w:pPr>
              <w:spacing w:after="0" w:line="240" w:lineRule="auto"/>
              <w:ind w:left="-170" w:right="-113"/>
              <w:jc w:val="right"/>
              <w:rPr>
                <w:rFonts w:eastAsia="Times New Roman" w:cs="Times New Roman"/>
                <w:b/>
                <w:color w:val="17365D"/>
                <w:sz w:val="16"/>
                <w:szCs w:val="16"/>
                <w:lang w:eastAsia="lv-LV"/>
              </w:rPr>
            </w:pPr>
            <w:r w:rsidRPr="005E79FE">
              <w:rPr>
                <w:rFonts w:eastAsia="Times New Roman" w:cs="Times New Roman"/>
                <w:b/>
                <w:color w:val="17365D"/>
                <w:sz w:val="16"/>
                <w:szCs w:val="16"/>
                <w:lang w:eastAsia="lv-LV"/>
              </w:rPr>
              <w:t>12 009 027 335</w:t>
            </w:r>
          </w:p>
        </w:tc>
        <w:tc>
          <w:tcPr>
            <w:tcW w:w="1030" w:type="dxa"/>
            <w:gridSpan w:val="2"/>
            <w:tcBorders>
              <w:top w:val="single" w:sz="4" w:space="0" w:color="auto"/>
              <w:left w:val="nil"/>
              <w:bottom w:val="single" w:sz="4" w:space="0" w:color="auto"/>
              <w:right w:val="nil"/>
            </w:tcBorders>
            <w:shd w:val="clear" w:color="auto" w:fill="auto"/>
            <w:vAlign w:val="center"/>
            <w:hideMark/>
          </w:tcPr>
          <w:p w14:paraId="3A4B843B" w14:textId="6AF4D6CB" w:rsidR="002B0B54" w:rsidRPr="005E79FE" w:rsidRDefault="002B0B54" w:rsidP="009677AB">
            <w:pPr>
              <w:spacing w:after="0" w:line="240" w:lineRule="auto"/>
              <w:ind w:left="-113" w:right="-57"/>
              <w:jc w:val="right"/>
              <w:rPr>
                <w:rFonts w:eastAsia="Times New Roman" w:cs="Times New Roman"/>
                <w:b/>
                <w:color w:val="17365D"/>
                <w:sz w:val="16"/>
                <w:szCs w:val="16"/>
                <w:lang w:eastAsia="lv-LV"/>
              </w:rPr>
            </w:pPr>
            <w:r w:rsidRPr="005E79FE">
              <w:rPr>
                <w:rFonts w:eastAsia="Times New Roman" w:cs="Times New Roman"/>
                <w:b/>
                <w:color w:val="17365D"/>
                <w:sz w:val="16"/>
                <w:szCs w:val="16"/>
                <w:lang w:eastAsia="lv-LV"/>
              </w:rPr>
              <w:t>9 594 639 777</w:t>
            </w:r>
          </w:p>
        </w:tc>
        <w:tc>
          <w:tcPr>
            <w:tcW w:w="1066" w:type="dxa"/>
            <w:gridSpan w:val="2"/>
            <w:tcBorders>
              <w:top w:val="single" w:sz="4" w:space="0" w:color="auto"/>
              <w:left w:val="nil"/>
              <w:bottom w:val="single" w:sz="4" w:space="0" w:color="auto"/>
              <w:right w:val="nil"/>
            </w:tcBorders>
            <w:shd w:val="clear" w:color="auto" w:fill="auto"/>
            <w:vAlign w:val="center"/>
            <w:hideMark/>
          </w:tcPr>
          <w:p w14:paraId="7E1CA160" w14:textId="4DE12980" w:rsidR="002B0B54" w:rsidRPr="005E79FE" w:rsidRDefault="002B0B54" w:rsidP="009677AB">
            <w:pPr>
              <w:spacing w:after="0" w:line="240" w:lineRule="auto"/>
              <w:ind w:left="-113" w:right="-57"/>
              <w:jc w:val="right"/>
              <w:rPr>
                <w:rFonts w:eastAsia="Times New Roman" w:cs="Times New Roman"/>
                <w:b/>
                <w:color w:val="17365D"/>
                <w:sz w:val="16"/>
                <w:szCs w:val="16"/>
                <w:lang w:eastAsia="lv-LV"/>
              </w:rPr>
            </w:pPr>
            <w:r w:rsidRPr="005E79FE">
              <w:rPr>
                <w:rFonts w:eastAsia="Times New Roman" w:cs="Times New Roman"/>
                <w:b/>
                <w:color w:val="17365D"/>
                <w:sz w:val="16"/>
                <w:szCs w:val="16"/>
                <w:lang w:eastAsia="lv-LV"/>
              </w:rPr>
              <w:t>23 898 586 959</w:t>
            </w:r>
          </w:p>
        </w:tc>
        <w:tc>
          <w:tcPr>
            <w:tcW w:w="1036" w:type="dxa"/>
            <w:gridSpan w:val="2"/>
            <w:tcBorders>
              <w:top w:val="single" w:sz="4" w:space="0" w:color="auto"/>
              <w:left w:val="nil"/>
              <w:bottom w:val="single" w:sz="4" w:space="0" w:color="auto"/>
              <w:right w:val="nil"/>
            </w:tcBorders>
            <w:shd w:val="clear" w:color="auto" w:fill="auto"/>
            <w:vAlign w:val="center"/>
            <w:hideMark/>
          </w:tcPr>
          <w:p w14:paraId="2B67DDD5" w14:textId="5201E1CD" w:rsidR="002B0B54" w:rsidRPr="005E79FE" w:rsidRDefault="002B0B54" w:rsidP="009677AB">
            <w:pPr>
              <w:spacing w:after="0" w:line="240" w:lineRule="auto"/>
              <w:ind w:left="-57" w:right="-57"/>
              <w:jc w:val="right"/>
              <w:rPr>
                <w:rFonts w:eastAsia="Times New Roman" w:cs="Times New Roman"/>
                <w:b/>
                <w:color w:val="17365D"/>
                <w:sz w:val="16"/>
                <w:szCs w:val="16"/>
                <w:lang w:eastAsia="lv-LV"/>
              </w:rPr>
            </w:pPr>
            <w:r w:rsidRPr="005E79FE">
              <w:rPr>
                <w:rFonts w:eastAsia="Times New Roman" w:cs="Times New Roman"/>
                <w:b/>
                <w:color w:val="17365D"/>
                <w:sz w:val="16"/>
                <w:szCs w:val="16"/>
                <w:lang w:eastAsia="lv-LV"/>
              </w:rPr>
              <w:t>2 347 422 310</w:t>
            </w:r>
          </w:p>
        </w:tc>
        <w:tc>
          <w:tcPr>
            <w:tcW w:w="1112" w:type="dxa"/>
            <w:gridSpan w:val="4"/>
            <w:tcBorders>
              <w:top w:val="single" w:sz="4" w:space="0" w:color="auto"/>
              <w:left w:val="nil"/>
              <w:bottom w:val="single" w:sz="4" w:space="0" w:color="auto"/>
              <w:right w:val="nil"/>
            </w:tcBorders>
            <w:shd w:val="clear" w:color="auto" w:fill="auto"/>
            <w:vAlign w:val="center"/>
            <w:hideMark/>
          </w:tcPr>
          <w:p w14:paraId="4AB5F4E4" w14:textId="2D404832" w:rsidR="002B0B54" w:rsidRPr="005E79FE" w:rsidRDefault="002B0B54" w:rsidP="009677AB">
            <w:pPr>
              <w:spacing w:after="0" w:line="240" w:lineRule="auto"/>
              <w:ind w:left="-57" w:right="-57"/>
              <w:jc w:val="right"/>
              <w:rPr>
                <w:rFonts w:eastAsia="Times New Roman" w:cs="Times New Roman"/>
                <w:b/>
                <w:color w:val="17365D"/>
                <w:sz w:val="16"/>
                <w:szCs w:val="16"/>
                <w:lang w:eastAsia="lv-LV"/>
              </w:rPr>
            </w:pPr>
            <w:r w:rsidRPr="005E79FE">
              <w:rPr>
                <w:rFonts w:eastAsia="Times New Roman" w:cs="Times New Roman"/>
                <w:b/>
                <w:color w:val="17365D"/>
                <w:sz w:val="16"/>
                <w:szCs w:val="16"/>
                <w:lang w:eastAsia="lv-LV"/>
              </w:rPr>
              <w:t>10 408 719 773</w:t>
            </w:r>
          </w:p>
        </w:tc>
        <w:tc>
          <w:tcPr>
            <w:tcW w:w="1103" w:type="dxa"/>
            <w:gridSpan w:val="3"/>
            <w:tcBorders>
              <w:top w:val="single" w:sz="4" w:space="0" w:color="auto"/>
              <w:left w:val="nil"/>
              <w:bottom w:val="single" w:sz="4" w:space="0" w:color="auto"/>
              <w:right w:val="nil"/>
            </w:tcBorders>
            <w:shd w:val="clear" w:color="auto" w:fill="auto"/>
            <w:vAlign w:val="center"/>
            <w:hideMark/>
          </w:tcPr>
          <w:p w14:paraId="4180B7BA" w14:textId="161E6E06" w:rsidR="002B0B54" w:rsidRPr="005E79FE" w:rsidRDefault="002B0B54" w:rsidP="009677AB">
            <w:pPr>
              <w:spacing w:after="0" w:line="240" w:lineRule="auto"/>
              <w:ind w:left="-57" w:right="-57"/>
              <w:jc w:val="right"/>
              <w:rPr>
                <w:rFonts w:eastAsia="Times New Roman" w:cs="Times New Roman"/>
                <w:b/>
                <w:color w:val="17365D"/>
                <w:sz w:val="16"/>
                <w:szCs w:val="16"/>
                <w:lang w:eastAsia="lv-LV"/>
              </w:rPr>
            </w:pPr>
            <w:r w:rsidRPr="005E79FE">
              <w:rPr>
                <w:rFonts w:eastAsia="Times New Roman" w:cs="Times New Roman"/>
                <w:b/>
                <w:color w:val="17365D"/>
                <w:sz w:val="16"/>
                <w:szCs w:val="16"/>
                <w:lang w:eastAsia="lv-LV"/>
              </w:rPr>
              <w:t>8 427 666 328</w:t>
            </w:r>
          </w:p>
        </w:tc>
        <w:tc>
          <w:tcPr>
            <w:tcW w:w="1090" w:type="dxa"/>
            <w:tcBorders>
              <w:top w:val="single" w:sz="4" w:space="0" w:color="auto"/>
              <w:left w:val="nil"/>
              <w:bottom w:val="single" w:sz="4" w:space="0" w:color="auto"/>
              <w:right w:val="nil"/>
            </w:tcBorders>
            <w:shd w:val="clear" w:color="auto" w:fill="auto"/>
            <w:vAlign w:val="center"/>
            <w:hideMark/>
          </w:tcPr>
          <w:p w14:paraId="02153FCD" w14:textId="286F9713" w:rsidR="002B0B54" w:rsidRPr="005E79FE" w:rsidRDefault="002B0B54" w:rsidP="009677AB">
            <w:pPr>
              <w:spacing w:after="0" w:line="240" w:lineRule="auto"/>
              <w:ind w:left="-57" w:right="-57" w:hanging="16"/>
              <w:jc w:val="right"/>
              <w:rPr>
                <w:rFonts w:eastAsia="Times New Roman" w:cs="Times New Roman"/>
                <w:b/>
                <w:color w:val="17365D"/>
                <w:sz w:val="16"/>
                <w:szCs w:val="16"/>
                <w:lang w:eastAsia="lv-LV"/>
              </w:rPr>
            </w:pPr>
            <w:r w:rsidRPr="005E79FE">
              <w:rPr>
                <w:rFonts w:eastAsia="Times New Roman" w:cs="Times New Roman"/>
                <w:b/>
                <w:color w:val="17365D"/>
                <w:sz w:val="16"/>
                <w:szCs w:val="16"/>
                <w:lang w:eastAsia="lv-LV"/>
              </w:rPr>
              <w:t>21 183 808 411</w:t>
            </w:r>
          </w:p>
        </w:tc>
      </w:tr>
      <w:tr w:rsidR="005A0612" w:rsidRPr="00A27896" w14:paraId="1EEF001E" w14:textId="77777777" w:rsidTr="009677AB">
        <w:trPr>
          <w:trHeight w:val="395"/>
        </w:trPr>
        <w:tc>
          <w:tcPr>
            <w:tcW w:w="1174" w:type="dxa"/>
            <w:tcBorders>
              <w:top w:val="single" w:sz="4" w:space="0" w:color="auto"/>
              <w:left w:val="nil"/>
              <w:bottom w:val="single" w:sz="4" w:space="0" w:color="auto"/>
              <w:right w:val="nil"/>
            </w:tcBorders>
            <w:shd w:val="clear" w:color="auto" w:fill="auto"/>
            <w:vAlign w:val="center"/>
            <w:hideMark/>
          </w:tcPr>
          <w:p w14:paraId="415217B3" w14:textId="77777777" w:rsidR="005A0612" w:rsidRPr="00A27896" w:rsidRDefault="005A0612" w:rsidP="005A0612">
            <w:pPr>
              <w:spacing w:after="0" w:line="240" w:lineRule="auto"/>
              <w:ind w:left="-57"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Neatvasinātās finanšu saistības</w:t>
            </w:r>
          </w:p>
        </w:tc>
        <w:tc>
          <w:tcPr>
            <w:tcW w:w="1032" w:type="dxa"/>
            <w:gridSpan w:val="2"/>
            <w:tcBorders>
              <w:top w:val="single" w:sz="4" w:space="0" w:color="auto"/>
              <w:left w:val="nil"/>
              <w:bottom w:val="single" w:sz="4" w:space="0" w:color="auto"/>
              <w:right w:val="nil"/>
            </w:tcBorders>
            <w:shd w:val="clear" w:color="auto" w:fill="auto"/>
            <w:vAlign w:val="center"/>
            <w:hideMark/>
          </w:tcPr>
          <w:p w14:paraId="0563FF78" w14:textId="5C0384E6"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2 278 959 847</w:t>
            </w:r>
          </w:p>
        </w:tc>
        <w:tc>
          <w:tcPr>
            <w:tcW w:w="1055" w:type="dxa"/>
            <w:gridSpan w:val="3"/>
            <w:tcBorders>
              <w:top w:val="single" w:sz="4" w:space="0" w:color="auto"/>
              <w:left w:val="nil"/>
              <w:bottom w:val="single" w:sz="4" w:space="0" w:color="auto"/>
              <w:right w:val="nil"/>
            </w:tcBorders>
            <w:shd w:val="clear" w:color="auto" w:fill="auto"/>
            <w:vAlign w:val="center"/>
            <w:hideMark/>
          </w:tcPr>
          <w:p w14:paraId="684C53CA" w14:textId="0E0E52F6" w:rsidR="005A0612" w:rsidRPr="005E79FE" w:rsidRDefault="005A0612" w:rsidP="009677AB">
            <w:pPr>
              <w:spacing w:after="0" w:line="240" w:lineRule="auto"/>
              <w:ind w:left="-170" w:right="-113"/>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11 953 167 335</w:t>
            </w:r>
          </w:p>
        </w:tc>
        <w:tc>
          <w:tcPr>
            <w:tcW w:w="1030" w:type="dxa"/>
            <w:gridSpan w:val="2"/>
            <w:tcBorders>
              <w:top w:val="single" w:sz="4" w:space="0" w:color="auto"/>
              <w:left w:val="nil"/>
              <w:bottom w:val="single" w:sz="4" w:space="0" w:color="auto"/>
              <w:right w:val="nil"/>
            </w:tcBorders>
            <w:shd w:val="clear" w:color="auto" w:fill="auto"/>
            <w:vAlign w:val="center"/>
            <w:hideMark/>
          </w:tcPr>
          <w:p w14:paraId="53376B3C" w14:textId="56914DF4" w:rsidR="005A0612" w:rsidRPr="005E79FE" w:rsidRDefault="005A0612" w:rsidP="009677AB">
            <w:pPr>
              <w:spacing w:after="0" w:line="240" w:lineRule="auto"/>
              <w:ind w:left="-113"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9 594 639 777</w:t>
            </w:r>
          </w:p>
        </w:tc>
        <w:tc>
          <w:tcPr>
            <w:tcW w:w="1066" w:type="dxa"/>
            <w:gridSpan w:val="2"/>
            <w:tcBorders>
              <w:top w:val="single" w:sz="4" w:space="0" w:color="auto"/>
              <w:left w:val="nil"/>
              <w:bottom w:val="single" w:sz="4" w:space="0" w:color="auto"/>
              <w:right w:val="nil"/>
            </w:tcBorders>
            <w:shd w:val="clear" w:color="auto" w:fill="auto"/>
            <w:vAlign w:val="center"/>
            <w:hideMark/>
          </w:tcPr>
          <w:p w14:paraId="1019CA7F" w14:textId="1F687863" w:rsidR="005A0612" w:rsidRPr="005E79FE" w:rsidRDefault="005A0612" w:rsidP="009677AB">
            <w:pPr>
              <w:spacing w:after="0" w:line="240" w:lineRule="auto"/>
              <w:ind w:left="-113"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23 826 766 959</w:t>
            </w:r>
          </w:p>
        </w:tc>
        <w:tc>
          <w:tcPr>
            <w:tcW w:w="1036" w:type="dxa"/>
            <w:gridSpan w:val="2"/>
            <w:tcBorders>
              <w:top w:val="single" w:sz="4" w:space="0" w:color="auto"/>
              <w:left w:val="nil"/>
              <w:bottom w:val="single" w:sz="4" w:space="0" w:color="auto"/>
              <w:right w:val="nil"/>
            </w:tcBorders>
            <w:shd w:val="clear" w:color="auto" w:fill="auto"/>
            <w:vAlign w:val="center"/>
            <w:hideMark/>
          </w:tcPr>
          <w:p w14:paraId="487A1A9D" w14:textId="05DF3347"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2 331 462 310</w:t>
            </w:r>
          </w:p>
        </w:tc>
        <w:tc>
          <w:tcPr>
            <w:tcW w:w="1112" w:type="dxa"/>
            <w:gridSpan w:val="4"/>
            <w:tcBorders>
              <w:top w:val="single" w:sz="4" w:space="0" w:color="auto"/>
              <w:left w:val="nil"/>
              <w:bottom w:val="single" w:sz="4" w:space="0" w:color="auto"/>
              <w:right w:val="nil"/>
            </w:tcBorders>
            <w:shd w:val="clear" w:color="auto" w:fill="auto"/>
            <w:vAlign w:val="center"/>
            <w:hideMark/>
          </w:tcPr>
          <w:p w14:paraId="0F5BE6E2" w14:textId="5EBEDEF1"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10 336 899 773</w:t>
            </w:r>
          </w:p>
        </w:tc>
        <w:tc>
          <w:tcPr>
            <w:tcW w:w="1103" w:type="dxa"/>
            <w:gridSpan w:val="3"/>
            <w:tcBorders>
              <w:top w:val="single" w:sz="4" w:space="0" w:color="auto"/>
              <w:left w:val="nil"/>
              <w:bottom w:val="single" w:sz="4" w:space="0" w:color="auto"/>
              <w:right w:val="nil"/>
            </w:tcBorders>
            <w:shd w:val="clear" w:color="auto" w:fill="auto"/>
            <w:vAlign w:val="center"/>
            <w:hideMark/>
          </w:tcPr>
          <w:p w14:paraId="53B52A84" w14:textId="5B7BAD93"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8 427 666 328</w:t>
            </w:r>
          </w:p>
        </w:tc>
        <w:tc>
          <w:tcPr>
            <w:tcW w:w="1090" w:type="dxa"/>
            <w:tcBorders>
              <w:top w:val="single" w:sz="4" w:space="0" w:color="auto"/>
              <w:left w:val="nil"/>
              <w:bottom w:val="single" w:sz="4" w:space="0" w:color="auto"/>
              <w:right w:val="nil"/>
            </w:tcBorders>
            <w:shd w:val="clear" w:color="auto" w:fill="auto"/>
            <w:vAlign w:val="center"/>
            <w:hideMark/>
          </w:tcPr>
          <w:p w14:paraId="682CEF8E" w14:textId="32BEBB11" w:rsidR="005A0612" w:rsidRPr="005E79FE" w:rsidRDefault="005A0612" w:rsidP="009677AB">
            <w:pPr>
              <w:spacing w:after="0" w:line="240" w:lineRule="auto"/>
              <w:ind w:left="-57" w:right="-57" w:hanging="16"/>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21 096 028 411</w:t>
            </w:r>
          </w:p>
        </w:tc>
      </w:tr>
      <w:tr w:rsidR="005A0612" w:rsidRPr="00A27896" w14:paraId="1BA96192" w14:textId="77777777" w:rsidTr="009677AB">
        <w:trPr>
          <w:trHeight w:val="270"/>
        </w:trPr>
        <w:tc>
          <w:tcPr>
            <w:tcW w:w="1174" w:type="dxa"/>
            <w:tcBorders>
              <w:top w:val="single" w:sz="4" w:space="0" w:color="auto"/>
              <w:left w:val="nil"/>
              <w:bottom w:val="single" w:sz="4" w:space="0" w:color="auto"/>
              <w:right w:val="nil"/>
            </w:tcBorders>
            <w:shd w:val="clear" w:color="auto" w:fill="auto"/>
            <w:vAlign w:val="center"/>
          </w:tcPr>
          <w:p w14:paraId="4D883CD0" w14:textId="7EB29AB9" w:rsidR="005A0612" w:rsidRPr="00A27896" w:rsidRDefault="005A0612" w:rsidP="001F2CE1">
            <w:pPr>
              <w:spacing w:after="0" w:line="240" w:lineRule="auto"/>
              <w:ind w:left="33"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Emitētie vērtspapīri</w:t>
            </w:r>
          </w:p>
        </w:tc>
        <w:tc>
          <w:tcPr>
            <w:tcW w:w="1032" w:type="dxa"/>
            <w:gridSpan w:val="2"/>
            <w:tcBorders>
              <w:top w:val="single" w:sz="4" w:space="0" w:color="auto"/>
              <w:left w:val="nil"/>
              <w:bottom w:val="single" w:sz="4" w:space="0" w:color="auto"/>
              <w:right w:val="nil"/>
            </w:tcBorders>
            <w:shd w:val="clear" w:color="auto" w:fill="auto"/>
            <w:vAlign w:val="center"/>
          </w:tcPr>
          <w:p w14:paraId="7E91E5B4" w14:textId="5A1B4CC5"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1 779 482 451</w:t>
            </w:r>
          </w:p>
        </w:tc>
        <w:tc>
          <w:tcPr>
            <w:tcW w:w="1055" w:type="dxa"/>
            <w:gridSpan w:val="3"/>
            <w:tcBorders>
              <w:top w:val="single" w:sz="4" w:space="0" w:color="auto"/>
              <w:left w:val="nil"/>
              <w:bottom w:val="single" w:sz="4" w:space="0" w:color="auto"/>
              <w:right w:val="nil"/>
            </w:tcBorders>
            <w:shd w:val="clear" w:color="auto" w:fill="auto"/>
            <w:vAlign w:val="center"/>
          </w:tcPr>
          <w:p w14:paraId="3E262B0B" w14:textId="645D1A59" w:rsidR="005A0612" w:rsidRPr="005E79FE" w:rsidRDefault="005A0612" w:rsidP="009677AB">
            <w:pPr>
              <w:spacing w:after="0" w:line="240" w:lineRule="auto"/>
              <w:ind w:left="-113"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9 310 154 849</w:t>
            </w:r>
          </w:p>
        </w:tc>
        <w:tc>
          <w:tcPr>
            <w:tcW w:w="1030" w:type="dxa"/>
            <w:gridSpan w:val="2"/>
            <w:tcBorders>
              <w:top w:val="single" w:sz="4" w:space="0" w:color="auto"/>
              <w:left w:val="nil"/>
              <w:bottom w:val="single" w:sz="4" w:space="0" w:color="auto"/>
              <w:right w:val="nil"/>
            </w:tcBorders>
            <w:shd w:val="clear" w:color="auto" w:fill="auto"/>
            <w:vAlign w:val="center"/>
          </w:tcPr>
          <w:p w14:paraId="594E1A30" w14:textId="62C8C10A" w:rsidR="005A0612" w:rsidRPr="005E79FE" w:rsidRDefault="005A0612" w:rsidP="009677AB">
            <w:pPr>
              <w:spacing w:after="0" w:line="240" w:lineRule="auto"/>
              <w:ind w:left="-113"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6 740 343 346</w:t>
            </w:r>
          </w:p>
        </w:tc>
        <w:tc>
          <w:tcPr>
            <w:tcW w:w="1066" w:type="dxa"/>
            <w:gridSpan w:val="2"/>
            <w:tcBorders>
              <w:top w:val="single" w:sz="4" w:space="0" w:color="auto"/>
              <w:left w:val="nil"/>
              <w:bottom w:val="single" w:sz="4" w:space="0" w:color="auto"/>
              <w:right w:val="nil"/>
            </w:tcBorders>
            <w:shd w:val="clear" w:color="auto" w:fill="auto"/>
            <w:vAlign w:val="center"/>
          </w:tcPr>
          <w:p w14:paraId="244F916F" w14:textId="4AA28E60" w:rsidR="005A0612" w:rsidRPr="005E79FE" w:rsidRDefault="005A0612" w:rsidP="009677AB">
            <w:pPr>
              <w:spacing w:after="0" w:line="240" w:lineRule="auto"/>
              <w:ind w:left="-113"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17 829 980 646</w:t>
            </w:r>
          </w:p>
        </w:tc>
        <w:tc>
          <w:tcPr>
            <w:tcW w:w="1036" w:type="dxa"/>
            <w:gridSpan w:val="2"/>
            <w:tcBorders>
              <w:top w:val="single" w:sz="4" w:space="0" w:color="auto"/>
              <w:left w:val="nil"/>
              <w:bottom w:val="single" w:sz="4" w:space="0" w:color="auto"/>
              <w:right w:val="nil"/>
            </w:tcBorders>
            <w:shd w:val="clear" w:color="auto" w:fill="auto"/>
            <w:vAlign w:val="center"/>
          </w:tcPr>
          <w:p w14:paraId="1B8B1BAE" w14:textId="0BDFDA01"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1 668 308 766</w:t>
            </w:r>
          </w:p>
        </w:tc>
        <w:tc>
          <w:tcPr>
            <w:tcW w:w="1112" w:type="dxa"/>
            <w:gridSpan w:val="4"/>
            <w:tcBorders>
              <w:top w:val="single" w:sz="4" w:space="0" w:color="auto"/>
              <w:left w:val="nil"/>
              <w:bottom w:val="single" w:sz="4" w:space="0" w:color="auto"/>
              <w:right w:val="nil"/>
            </w:tcBorders>
            <w:shd w:val="clear" w:color="auto" w:fill="auto"/>
            <w:vAlign w:val="center"/>
          </w:tcPr>
          <w:p w14:paraId="42B19935" w14:textId="25BB04A6"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7 964 805 381</w:t>
            </w:r>
          </w:p>
        </w:tc>
        <w:tc>
          <w:tcPr>
            <w:tcW w:w="1103" w:type="dxa"/>
            <w:gridSpan w:val="3"/>
            <w:tcBorders>
              <w:top w:val="single" w:sz="4" w:space="0" w:color="auto"/>
              <w:left w:val="nil"/>
              <w:bottom w:val="single" w:sz="4" w:space="0" w:color="auto"/>
              <w:right w:val="nil"/>
            </w:tcBorders>
            <w:shd w:val="clear" w:color="auto" w:fill="auto"/>
            <w:vAlign w:val="center"/>
          </w:tcPr>
          <w:p w14:paraId="324F6C88" w14:textId="12AE1532"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6 611 715 057</w:t>
            </w:r>
          </w:p>
        </w:tc>
        <w:tc>
          <w:tcPr>
            <w:tcW w:w="1090" w:type="dxa"/>
            <w:tcBorders>
              <w:top w:val="single" w:sz="4" w:space="0" w:color="auto"/>
              <w:left w:val="nil"/>
              <w:bottom w:val="single" w:sz="4" w:space="0" w:color="auto"/>
              <w:right w:val="nil"/>
            </w:tcBorders>
            <w:shd w:val="clear" w:color="auto" w:fill="auto"/>
            <w:vAlign w:val="center"/>
          </w:tcPr>
          <w:p w14:paraId="2C0374ED" w14:textId="3B6FDE2E" w:rsidR="005A0612" w:rsidRPr="005E79FE" w:rsidRDefault="005A0612" w:rsidP="009677AB">
            <w:pPr>
              <w:spacing w:after="0" w:line="240" w:lineRule="auto"/>
              <w:ind w:left="-57" w:right="-57" w:hanging="16"/>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16 244 829 204</w:t>
            </w:r>
          </w:p>
        </w:tc>
      </w:tr>
      <w:tr w:rsidR="005A0612" w:rsidRPr="00A27896" w14:paraId="4DAB3F80" w14:textId="77777777" w:rsidTr="009677AB">
        <w:trPr>
          <w:trHeight w:val="270"/>
        </w:trPr>
        <w:tc>
          <w:tcPr>
            <w:tcW w:w="1174" w:type="dxa"/>
            <w:tcBorders>
              <w:top w:val="single" w:sz="4" w:space="0" w:color="auto"/>
              <w:left w:val="nil"/>
              <w:bottom w:val="single" w:sz="4" w:space="0" w:color="auto"/>
              <w:right w:val="nil"/>
            </w:tcBorders>
            <w:shd w:val="clear" w:color="auto" w:fill="auto"/>
            <w:vAlign w:val="center"/>
            <w:hideMark/>
          </w:tcPr>
          <w:p w14:paraId="51E43718" w14:textId="77777777" w:rsidR="005A0612" w:rsidRPr="00A27896" w:rsidRDefault="005A0612" w:rsidP="001F2CE1">
            <w:pPr>
              <w:spacing w:after="0" w:line="240" w:lineRule="auto"/>
              <w:ind w:left="33"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Aizņēmumi</w:t>
            </w:r>
          </w:p>
        </w:tc>
        <w:tc>
          <w:tcPr>
            <w:tcW w:w="1032" w:type="dxa"/>
            <w:gridSpan w:val="2"/>
            <w:tcBorders>
              <w:top w:val="single" w:sz="4" w:space="0" w:color="auto"/>
              <w:left w:val="nil"/>
              <w:bottom w:val="single" w:sz="4" w:space="0" w:color="auto"/>
              <w:right w:val="nil"/>
            </w:tcBorders>
            <w:shd w:val="clear" w:color="auto" w:fill="auto"/>
            <w:vAlign w:val="center"/>
            <w:hideMark/>
          </w:tcPr>
          <w:p w14:paraId="3B227666" w14:textId="4DAB5B55"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420 674 505</w:t>
            </w:r>
          </w:p>
        </w:tc>
        <w:tc>
          <w:tcPr>
            <w:tcW w:w="1055" w:type="dxa"/>
            <w:gridSpan w:val="3"/>
            <w:tcBorders>
              <w:top w:val="single" w:sz="4" w:space="0" w:color="auto"/>
              <w:left w:val="nil"/>
              <w:bottom w:val="single" w:sz="4" w:space="0" w:color="auto"/>
              <w:right w:val="nil"/>
            </w:tcBorders>
            <w:shd w:val="clear" w:color="auto" w:fill="auto"/>
            <w:vAlign w:val="center"/>
            <w:hideMark/>
          </w:tcPr>
          <w:p w14:paraId="3425095D" w14:textId="41DBB6CD" w:rsidR="005A0612" w:rsidRPr="005E79FE" w:rsidRDefault="005A0612" w:rsidP="009677AB">
            <w:pPr>
              <w:spacing w:after="0" w:line="240" w:lineRule="auto"/>
              <w:ind w:left="-113"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1 466 763 008</w:t>
            </w:r>
          </w:p>
        </w:tc>
        <w:tc>
          <w:tcPr>
            <w:tcW w:w="1030" w:type="dxa"/>
            <w:gridSpan w:val="2"/>
            <w:tcBorders>
              <w:top w:val="single" w:sz="4" w:space="0" w:color="auto"/>
              <w:left w:val="nil"/>
              <w:bottom w:val="single" w:sz="4" w:space="0" w:color="auto"/>
              <w:right w:val="nil"/>
            </w:tcBorders>
            <w:shd w:val="clear" w:color="auto" w:fill="auto"/>
            <w:vAlign w:val="center"/>
            <w:hideMark/>
          </w:tcPr>
          <w:p w14:paraId="0BE4F441" w14:textId="2500B808" w:rsidR="005A0612" w:rsidRPr="005E79FE" w:rsidRDefault="005A0612" w:rsidP="009677AB">
            <w:pPr>
              <w:spacing w:after="0" w:line="240" w:lineRule="auto"/>
              <w:ind w:left="-113"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1 941 091 238</w:t>
            </w:r>
          </w:p>
        </w:tc>
        <w:tc>
          <w:tcPr>
            <w:tcW w:w="1066" w:type="dxa"/>
            <w:gridSpan w:val="2"/>
            <w:tcBorders>
              <w:top w:val="single" w:sz="4" w:space="0" w:color="auto"/>
              <w:left w:val="nil"/>
              <w:bottom w:val="single" w:sz="4" w:space="0" w:color="auto"/>
              <w:right w:val="nil"/>
            </w:tcBorders>
            <w:shd w:val="clear" w:color="auto" w:fill="auto"/>
            <w:vAlign w:val="center"/>
            <w:hideMark/>
          </w:tcPr>
          <w:p w14:paraId="697B0F51" w14:textId="27A0D16A" w:rsidR="005A0612" w:rsidRPr="005E79FE" w:rsidRDefault="005A0612" w:rsidP="009677AB">
            <w:pPr>
              <w:spacing w:after="0" w:line="240" w:lineRule="auto"/>
              <w:ind w:left="-113"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3 828 528 751</w:t>
            </w:r>
          </w:p>
        </w:tc>
        <w:tc>
          <w:tcPr>
            <w:tcW w:w="1036" w:type="dxa"/>
            <w:gridSpan w:val="2"/>
            <w:tcBorders>
              <w:top w:val="single" w:sz="4" w:space="0" w:color="auto"/>
              <w:left w:val="nil"/>
              <w:bottom w:val="single" w:sz="4" w:space="0" w:color="auto"/>
              <w:right w:val="nil"/>
            </w:tcBorders>
            <w:shd w:val="clear" w:color="auto" w:fill="auto"/>
            <w:vAlign w:val="center"/>
            <w:hideMark/>
          </w:tcPr>
          <w:p w14:paraId="31078EFD" w14:textId="5F8EA66C"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323 848 871</w:t>
            </w:r>
          </w:p>
        </w:tc>
        <w:tc>
          <w:tcPr>
            <w:tcW w:w="1112" w:type="dxa"/>
            <w:gridSpan w:val="4"/>
            <w:tcBorders>
              <w:top w:val="single" w:sz="4" w:space="0" w:color="auto"/>
              <w:left w:val="nil"/>
              <w:bottom w:val="single" w:sz="4" w:space="0" w:color="auto"/>
              <w:right w:val="nil"/>
            </w:tcBorders>
            <w:shd w:val="clear" w:color="auto" w:fill="auto"/>
            <w:vAlign w:val="center"/>
            <w:hideMark/>
          </w:tcPr>
          <w:p w14:paraId="0A053D5B" w14:textId="798B1704"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1 908 747 592</w:t>
            </w:r>
          </w:p>
        </w:tc>
        <w:tc>
          <w:tcPr>
            <w:tcW w:w="1103" w:type="dxa"/>
            <w:gridSpan w:val="3"/>
            <w:tcBorders>
              <w:top w:val="single" w:sz="4" w:space="0" w:color="auto"/>
              <w:left w:val="nil"/>
              <w:bottom w:val="single" w:sz="4" w:space="0" w:color="auto"/>
              <w:right w:val="nil"/>
            </w:tcBorders>
            <w:shd w:val="clear" w:color="auto" w:fill="auto"/>
            <w:vAlign w:val="center"/>
            <w:hideMark/>
          </w:tcPr>
          <w:p w14:paraId="060F7D71" w14:textId="67FEDA94"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1 815 951 271</w:t>
            </w:r>
          </w:p>
        </w:tc>
        <w:tc>
          <w:tcPr>
            <w:tcW w:w="1090" w:type="dxa"/>
            <w:tcBorders>
              <w:top w:val="single" w:sz="4" w:space="0" w:color="auto"/>
              <w:left w:val="nil"/>
              <w:bottom w:val="single" w:sz="4" w:space="0" w:color="auto"/>
              <w:right w:val="nil"/>
            </w:tcBorders>
            <w:shd w:val="clear" w:color="auto" w:fill="auto"/>
            <w:vAlign w:val="center"/>
            <w:hideMark/>
          </w:tcPr>
          <w:p w14:paraId="1B4C0011" w14:textId="37144FC9"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4 048 547 734</w:t>
            </w:r>
          </w:p>
        </w:tc>
      </w:tr>
      <w:tr w:rsidR="005A0612" w:rsidRPr="00A27896" w14:paraId="778F7948" w14:textId="77777777" w:rsidTr="009677AB">
        <w:trPr>
          <w:trHeight w:val="355"/>
        </w:trPr>
        <w:tc>
          <w:tcPr>
            <w:tcW w:w="1174" w:type="dxa"/>
            <w:tcBorders>
              <w:top w:val="single" w:sz="4" w:space="0" w:color="auto"/>
              <w:left w:val="nil"/>
              <w:bottom w:val="single" w:sz="4" w:space="0" w:color="auto"/>
              <w:right w:val="nil"/>
            </w:tcBorders>
            <w:shd w:val="clear" w:color="auto" w:fill="auto"/>
            <w:vAlign w:val="center"/>
          </w:tcPr>
          <w:p w14:paraId="5662DF71" w14:textId="685F03A6" w:rsidR="005A0612" w:rsidRPr="00A27896" w:rsidRDefault="005A0612" w:rsidP="001F2CE1">
            <w:pPr>
              <w:spacing w:after="0" w:line="240" w:lineRule="auto"/>
              <w:ind w:left="33"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Pieņemtie noguldījumi</w:t>
            </w:r>
          </w:p>
        </w:tc>
        <w:tc>
          <w:tcPr>
            <w:tcW w:w="1032" w:type="dxa"/>
            <w:gridSpan w:val="2"/>
            <w:tcBorders>
              <w:top w:val="single" w:sz="4" w:space="0" w:color="auto"/>
              <w:left w:val="nil"/>
              <w:bottom w:val="single" w:sz="4" w:space="0" w:color="auto"/>
              <w:right w:val="nil"/>
            </w:tcBorders>
            <w:shd w:val="clear" w:color="auto" w:fill="auto"/>
            <w:vAlign w:val="center"/>
          </w:tcPr>
          <w:p w14:paraId="2A22D4BC" w14:textId="21459AB4"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50 645 199</w:t>
            </w:r>
          </w:p>
        </w:tc>
        <w:tc>
          <w:tcPr>
            <w:tcW w:w="1055" w:type="dxa"/>
            <w:gridSpan w:val="3"/>
            <w:tcBorders>
              <w:top w:val="single" w:sz="4" w:space="0" w:color="auto"/>
              <w:left w:val="nil"/>
              <w:bottom w:val="single" w:sz="4" w:space="0" w:color="auto"/>
              <w:right w:val="nil"/>
            </w:tcBorders>
            <w:shd w:val="clear" w:color="auto" w:fill="auto"/>
            <w:vAlign w:val="center"/>
          </w:tcPr>
          <w:p w14:paraId="1547EC3E" w14:textId="064CA637"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1 127 755 067</w:t>
            </w:r>
          </w:p>
        </w:tc>
        <w:tc>
          <w:tcPr>
            <w:tcW w:w="1030" w:type="dxa"/>
            <w:gridSpan w:val="2"/>
            <w:tcBorders>
              <w:top w:val="single" w:sz="4" w:space="0" w:color="auto"/>
              <w:left w:val="nil"/>
              <w:bottom w:val="single" w:sz="4" w:space="0" w:color="auto"/>
              <w:right w:val="nil"/>
            </w:tcBorders>
            <w:shd w:val="clear" w:color="auto" w:fill="auto"/>
            <w:vAlign w:val="center"/>
          </w:tcPr>
          <w:p w14:paraId="033EC5FE" w14:textId="45912FA5"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0</w:t>
            </w:r>
          </w:p>
        </w:tc>
        <w:tc>
          <w:tcPr>
            <w:tcW w:w="1066" w:type="dxa"/>
            <w:gridSpan w:val="2"/>
            <w:tcBorders>
              <w:top w:val="single" w:sz="4" w:space="0" w:color="auto"/>
              <w:left w:val="nil"/>
              <w:bottom w:val="single" w:sz="4" w:space="0" w:color="auto"/>
              <w:right w:val="nil"/>
            </w:tcBorders>
            <w:shd w:val="clear" w:color="auto" w:fill="auto"/>
            <w:vAlign w:val="center"/>
          </w:tcPr>
          <w:p w14:paraId="1A3E4EFB" w14:textId="6DDDB876"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1 178 400 266</w:t>
            </w:r>
          </w:p>
        </w:tc>
        <w:tc>
          <w:tcPr>
            <w:tcW w:w="1036" w:type="dxa"/>
            <w:gridSpan w:val="2"/>
            <w:tcBorders>
              <w:top w:val="single" w:sz="4" w:space="0" w:color="auto"/>
              <w:left w:val="nil"/>
              <w:bottom w:val="single" w:sz="4" w:space="0" w:color="auto"/>
              <w:right w:val="nil"/>
            </w:tcBorders>
            <w:shd w:val="clear" w:color="auto" w:fill="auto"/>
            <w:vAlign w:val="center"/>
          </w:tcPr>
          <w:p w14:paraId="6368C561" w14:textId="6DFA79CE"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339 304 673</w:t>
            </w:r>
          </w:p>
        </w:tc>
        <w:tc>
          <w:tcPr>
            <w:tcW w:w="1112" w:type="dxa"/>
            <w:gridSpan w:val="4"/>
            <w:tcBorders>
              <w:top w:val="single" w:sz="4" w:space="0" w:color="auto"/>
              <w:left w:val="nil"/>
              <w:bottom w:val="single" w:sz="4" w:space="0" w:color="auto"/>
              <w:right w:val="nil"/>
            </w:tcBorders>
            <w:shd w:val="clear" w:color="auto" w:fill="auto"/>
            <w:vAlign w:val="center"/>
          </w:tcPr>
          <w:p w14:paraId="4569150C" w14:textId="3D1FC640"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463 346 800</w:t>
            </w:r>
          </w:p>
        </w:tc>
        <w:tc>
          <w:tcPr>
            <w:tcW w:w="1103" w:type="dxa"/>
            <w:gridSpan w:val="3"/>
            <w:tcBorders>
              <w:top w:val="single" w:sz="4" w:space="0" w:color="auto"/>
              <w:left w:val="nil"/>
              <w:bottom w:val="single" w:sz="4" w:space="0" w:color="auto"/>
              <w:right w:val="nil"/>
            </w:tcBorders>
            <w:shd w:val="clear" w:color="auto" w:fill="auto"/>
            <w:vAlign w:val="center"/>
          </w:tcPr>
          <w:p w14:paraId="6B593C08" w14:textId="07056D2E"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0</w:t>
            </w:r>
          </w:p>
        </w:tc>
        <w:tc>
          <w:tcPr>
            <w:tcW w:w="1090" w:type="dxa"/>
            <w:tcBorders>
              <w:top w:val="single" w:sz="4" w:space="0" w:color="auto"/>
              <w:left w:val="nil"/>
              <w:bottom w:val="single" w:sz="4" w:space="0" w:color="auto"/>
              <w:right w:val="nil"/>
            </w:tcBorders>
            <w:shd w:val="clear" w:color="auto" w:fill="auto"/>
            <w:vAlign w:val="center"/>
          </w:tcPr>
          <w:p w14:paraId="5960F478" w14:textId="763A2EB6"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802 651 473</w:t>
            </w:r>
          </w:p>
        </w:tc>
      </w:tr>
      <w:tr w:rsidR="005A0612" w:rsidRPr="00A27896" w14:paraId="230D3953" w14:textId="77777777" w:rsidTr="009677AB">
        <w:trPr>
          <w:trHeight w:val="262"/>
        </w:trPr>
        <w:tc>
          <w:tcPr>
            <w:tcW w:w="1174" w:type="dxa"/>
            <w:tcBorders>
              <w:top w:val="single" w:sz="4" w:space="0" w:color="auto"/>
              <w:left w:val="nil"/>
              <w:bottom w:val="single" w:sz="4" w:space="0" w:color="auto"/>
              <w:right w:val="nil"/>
            </w:tcBorders>
            <w:shd w:val="clear" w:color="auto" w:fill="auto"/>
            <w:vAlign w:val="center"/>
            <w:hideMark/>
          </w:tcPr>
          <w:p w14:paraId="3DAFFB99" w14:textId="77777777" w:rsidR="005A0612" w:rsidRPr="00A27896" w:rsidRDefault="005A0612" w:rsidP="001F2CE1">
            <w:pPr>
              <w:spacing w:after="0" w:line="240" w:lineRule="auto"/>
              <w:ind w:left="33"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Pārējie finanšu instrumenti</w:t>
            </w:r>
          </w:p>
        </w:tc>
        <w:tc>
          <w:tcPr>
            <w:tcW w:w="1032" w:type="dxa"/>
            <w:gridSpan w:val="2"/>
            <w:tcBorders>
              <w:top w:val="single" w:sz="4" w:space="0" w:color="auto"/>
              <w:left w:val="nil"/>
              <w:bottom w:val="single" w:sz="4" w:space="0" w:color="auto"/>
              <w:right w:val="nil"/>
            </w:tcBorders>
            <w:shd w:val="clear" w:color="auto" w:fill="auto"/>
            <w:vAlign w:val="center"/>
            <w:hideMark/>
          </w:tcPr>
          <w:p w14:paraId="2353FE37" w14:textId="311EF461"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28 157 692</w:t>
            </w:r>
          </w:p>
        </w:tc>
        <w:tc>
          <w:tcPr>
            <w:tcW w:w="1055" w:type="dxa"/>
            <w:gridSpan w:val="3"/>
            <w:tcBorders>
              <w:top w:val="single" w:sz="4" w:space="0" w:color="auto"/>
              <w:left w:val="nil"/>
              <w:bottom w:val="single" w:sz="4" w:space="0" w:color="auto"/>
              <w:right w:val="nil"/>
            </w:tcBorders>
            <w:shd w:val="clear" w:color="auto" w:fill="auto"/>
            <w:vAlign w:val="center"/>
            <w:hideMark/>
          </w:tcPr>
          <w:p w14:paraId="684C5174" w14:textId="0B91F53F"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48 494 411</w:t>
            </w:r>
          </w:p>
        </w:tc>
        <w:tc>
          <w:tcPr>
            <w:tcW w:w="1030" w:type="dxa"/>
            <w:gridSpan w:val="2"/>
            <w:tcBorders>
              <w:top w:val="single" w:sz="4" w:space="0" w:color="auto"/>
              <w:left w:val="nil"/>
              <w:bottom w:val="single" w:sz="4" w:space="0" w:color="auto"/>
              <w:right w:val="nil"/>
            </w:tcBorders>
            <w:shd w:val="clear" w:color="auto" w:fill="auto"/>
            <w:vAlign w:val="center"/>
            <w:hideMark/>
          </w:tcPr>
          <w:p w14:paraId="52DDC84D" w14:textId="797A3AB7"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913 205 193</w:t>
            </w:r>
          </w:p>
        </w:tc>
        <w:tc>
          <w:tcPr>
            <w:tcW w:w="1066" w:type="dxa"/>
            <w:gridSpan w:val="2"/>
            <w:tcBorders>
              <w:top w:val="single" w:sz="4" w:space="0" w:color="auto"/>
              <w:left w:val="nil"/>
              <w:bottom w:val="single" w:sz="4" w:space="0" w:color="auto"/>
              <w:right w:val="nil"/>
            </w:tcBorders>
            <w:shd w:val="clear" w:color="auto" w:fill="auto"/>
            <w:vAlign w:val="center"/>
            <w:hideMark/>
          </w:tcPr>
          <w:p w14:paraId="215A00CD" w14:textId="612B6D99"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989 857 296</w:t>
            </w:r>
          </w:p>
        </w:tc>
        <w:tc>
          <w:tcPr>
            <w:tcW w:w="1036" w:type="dxa"/>
            <w:gridSpan w:val="2"/>
            <w:tcBorders>
              <w:top w:val="single" w:sz="4" w:space="0" w:color="auto"/>
              <w:left w:val="nil"/>
              <w:bottom w:val="single" w:sz="4" w:space="0" w:color="auto"/>
              <w:right w:val="nil"/>
            </w:tcBorders>
            <w:shd w:val="clear" w:color="auto" w:fill="auto"/>
            <w:vAlign w:val="center"/>
            <w:hideMark/>
          </w:tcPr>
          <w:p w14:paraId="14DD6F40" w14:textId="5A186ECE"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0</w:t>
            </w:r>
          </w:p>
        </w:tc>
        <w:tc>
          <w:tcPr>
            <w:tcW w:w="1112" w:type="dxa"/>
            <w:gridSpan w:val="4"/>
            <w:tcBorders>
              <w:top w:val="single" w:sz="4" w:space="0" w:color="auto"/>
              <w:left w:val="nil"/>
              <w:bottom w:val="single" w:sz="4" w:space="0" w:color="auto"/>
              <w:right w:val="nil"/>
            </w:tcBorders>
            <w:shd w:val="clear" w:color="auto" w:fill="auto"/>
            <w:vAlign w:val="center"/>
            <w:hideMark/>
          </w:tcPr>
          <w:p w14:paraId="0E019543" w14:textId="765FC813"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0</w:t>
            </w:r>
          </w:p>
        </w:tc>
        <w:tc>
          <w:tcPr>
            <w:tcW w:w="1103" w:type="dxa"/>
            <w:gridSpan w:val="3"/>
            <w:tcBorders>
              <w:top w:val="single" w:sz="4" w:space="0" w:color="auto"/>
              <w:left w:val="nil"/>
              <w:bottom w:val="single" w:sz="4" w:space="0" w:color="auto"/>
              <w:right w:val="nil"/>
            </w:tcBorders>
            <w:shd w:val="clear" w:color="auto" w:fill="auto"/>
            <w:vAlign w:val="center"/>
            <w:hideMark/>
          </w:tcPr>
          <w:p w14:paraId="6DC7E8DA" w14:textId="538B68AD"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0</w:t>
            </w:r>
          </w:p>
        </w:tc>
        <w:tc>
          <w:tcPr>
            <w:tcW w:w="1090" w:type="dxa"/>
            <w:tcBorders>
              <w:top w:val="single" w:sz="4" w:space="0" w:color="auto"/>
              <w:left w:val="nil"/>
              <w:bottom w:val="single" w:sz="4" w:space="0" w:color="auto"/>
              <w:right w:val="nil"/>
            </w:tcBorders>
            <w:shd w:val="clear" w:color="auto" w:fill="auto"/>
            <w:vAlign w:val="center"/>
            <w:hideMark/>
          </w:tcPr>
          <w:p w14:paraId="293CF845" w14:textId="263BA4B8"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0</w:t>
            </w:r>
          </w:p>
        </w:tc>
      </w:tr>
      <w:tr w:rsidR="005A0612" w:rsidRPr="00A27896" w14:paraId="2154F897" w14:textId="77777777" w:rsidTr="009677AB">
        <w:trPr>
          <w:trHeight w:val="323"/>
        </w:trPr>
        <w:tc>
          <w:tcPr>
            <w:tcW w:w="1174" w:type="dxa"/>
            <w:tcBorders>
              <w:top w:val="single" w:sz="4" w:space="0" w:color="auto"/>
              <w:left w:val="nil"/>
              <w:bottom w:val="single" w:sz="4" w:space="0" w:color="auto"/>
              <w:right w:val="nil"/>
            </w:tcBorders>
            <w:shd w:val="clear" w:color="auto" w:fill="auto"/>
            <w:vAlign w:val="center"/>
            <w:hideMark/>
          </w:tcPr>
          <w:p w14:paraId="4D5CD8DA" w14:textId="77777777" w:rsidR="005A0612" w:rsidRPr="00A27896" w:rsidRDefault="005A0612" w:rsidP="005A0612">
            <w:pPr>
              <w:spacing w:after="0" w:line="240" w:lineRule="auto"/>
              <w:ind w:left="-57"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Atvasinātās finanšu saistības</w:t>
            </w:r>
          </w:p>
        </w:tc>
        <w:tc>
          <w:tcPr>
            <w:tcW w:w="1032" w:type="dxa"/>
            <w:gridSpan w:val="2"/>
            <w:tcBorders>
              <w:top w:val="single" w:sz="4" w:space="0" w:color="auto"/>
              <w:left w:val="nil"/>
              <w:bottom w:val="single" w:sz="4" w:space="0" w:color="auto"/>
              <w:right w:val="nil"/>
            </w:tcBorders>
            <w:shd w:val="clear" w:color="auto" w:fill="auto"/>
            <w:vAlign w:val="center"/>
            <w:hideMark/>
          </w:tcPr>
          <w:p w14:paraId="7DF809C5" w14:textId="592AE196"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15 960 000</w:t>
            </w:r>
          </w:p>
        </w:tc>
        <w:tc>
          <w:tcPr>
            <w:tcW w:w="1055" w:type="dxa"/>
            <w:gridSpan w:val="3"/>
            <w:tcBorders>
              <w:top w:val="single" w:sz="4" w:space="0" w:color="auto"/>
              <w:left w:val="nil"/>
              <w:bottom w:val="single" w:sz="4" w:space="0" w:color="auto"/>
              <w:right w:val="nil"/>
            </w:tcBorders>
            <w:shd w:val="clear" w:color="auto" w:fill="auto"/>
            <w:vAlign w:val="center"/>
            <w:hideMark/>
          </w:tcPr>
          <w:p w14:paraId="2F9BBDF5" w14:textId="5D1D20EA"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55 860 000</w:t>
            </w:r>
          </w:p>
        </w:tc>
        <w:tc>
          <w:tcPr>
            <w:tcW w:w="1030" w:type="dxa"/>
            <w:gridSpan w:val="2"/>
            <w:tcBorders>
              <w:top w:val="single" w:sz="4" w:space="0" w:color="auto"/>
              <w:left w:val="nil"/>
              <w:bottom w:val="single" w:sz="4" w:space="0" w:color="auto"/>
              <w:right w:val="nil"/>
            </w:tcBorders>
            <w:shd w:val="clear" w:color="auto" w:fill="auto"/>
            <w:vAlign w:val="center"/>
            <w:hideMark/>
          </w:tcPr>
          <w:p w14:paraId="04D32F5B" w14:textId="4184A0A7"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0</w:t>
            </w:r>
          </w:p>
        </w:tc>
        <w:tc>
          <w:tcPr>
            <w:tcW w:w="1066" w:type="dxa"/>
            <w:gridSpan w:val="2"/>
            <w:tcBorders>
              <w:top w:val="single" w:sz="4" w:space="0" w:color="auto"/>
              <w:left w:val="nil"/>
              <w:bottom w:val="single" w:sz="4" w:space="0" w:color="auto"/>
              <w:right w:val="nil"/>
            </w:tcBorders>
            <w:shd w:val="clear" w:color="auto" w:fill="auto"/>
            <w:vAlign w:val="center"/>
            <w:hideMark/>
          </w:tcPr>
          <w:p w14:paraId="34CC773F" w14:textId="1813F2DF"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71 820 000</w:t>
            </w:r>
          </w:p>
        </w:tc>
        <w:tc>
          <w:tcPr>
            <w:tcW w:w="1036" w:type="dxa"/>
            <w:gridSpan w:val="2"/>
            <w:tcBorders>
              <w:top w:val="single" w:sz="4" w:space="0" w:color="auto"/>
              <w:left w:val="nil"/>
              <w:bottom w:val="single" w:sz="4" w:space="0" w:color="auto"/>
              <w:right w:val="nil"/>
            </w:tcBorders>
            <w:shd w:val="clear" w:color="auto" w:fill="auto"/>
            <w:vAlign w:val="center"/>
            <w:hideMark/>
          </w:tcPr>
          <w:p w14:paraId="230786C7" w14:textId="5059246F"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15 960 000</w:t>
            </w:r>
          </w:p>
        </w:tc>
        <w:tc>
          <w:tcPr>
            <w:tcW w:w="1112" w:type="dxa"/>
            <w:gridSpan w:val="4"/>
            <w:tcBorders>
              <w:top w:val="single" w:sz="4" w:space="0" w:color="auto"/>
              <w:left w:val="nil"/>
              <w:bottom w:val="single" w:sz="4" w:space="0" w:color="auto"/>
              <w:right w:val="nil"/>
            </w:tcBorders>
            <w:shd w:val="clear" w:color="auto" w:fill="auto"/>
            <w:vAlign w:val="center"/>
            <w:hideMark/>
          </w:tcPr>
          <w:p w14:paraId="72CA406E" w14:textId="06D7A4D9"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71 820 000</w:t>
            </w:r>
          </w:p>
        </w:tc>
        <w:tc>
          <w:tcPr>
            <w:tcW w:w="1103" w:type="dxa"/>
            <w:gridSpan w:val="3"/>
            <w:tcBorders>
              <w:top w:val="single" w:sz="4" w:space="0" w:color="auto"/>
              <w:left w:val="nil"/>
              <w:bottom w:val="single" w:sz="4" w:space="0" w:color="auto"/>
              <w:right w:val="nil"/>
            </w:tcBorders>
            <w:shd w:val="clear" w:color="auto" w:fill="auto"/>
            <w:vAlign w:val="center"/>
            <w:hideMark/>
          </w:tcPr>
          <w:p w14:paraId="5416A862" w14:textId="19DBC93D"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0</w:t>
            </w:r>
          </w:p>
        </w:tc>
        <w:tc>
          <w:tcPr>
            <w:tcW w:w="1090" w:type="dxa"/>
            <w:tcBorders>
              <w:top w:val="single" w:sz="4" w:space="0" w:color="auto"/>
              <w:left w:val="nil"/>
              <w:bottom w:val="single" w:sz="4" w:space="0" w:color="auto"/>
              <w:right w:val="nil"/>
            </w:tcBorders>
            <w:shd w:val="clear" w:color="auto" w:fill="auto"/>
            <w:vAlign w:val="center"/>
            <w:hideMark/>
          </w:tcPr>
          <w:p w14:paraId="04468B27" w14:textId="1FC3E9AD"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87 780 000</w:t>
            </w:r>
          </w:p>
        </w:tc>
      </w:tr>
      <w:tr w:rsidR="005A0612" w:rsidRPr="00A27896" w14:paraId="25E15467" w14:textId="77777777" w:rsidTr="009677AB">
        <w:trPr>
          <w:trHeight w:val="495"/>
        </w:trPr>
        <w:tc>
          <w:tcPr>
            <w:tcW w:w="1174" w:type="dxa"/>
            <w:tcBorders>
              <w:top w:val="single" w:sz="4" w:space="0" w:color="auto"/>
              <w:left w:val="nil"/>
              <w:bottom w:val="single" w:sz="4" w:space="0" w:color="auto"/>
              <w:right w:val="nil"/>
            </w:tcBorders>
            <w:shd w:val="clear" w:color="auto" w:fill="auto"/>
            <w:vAlign w:val="center"/>
            <w:hideMark/>
          </w:tcPr>
          <w:p w14:paraId="53D16CC8" w14:textId="77777777" w:rsidR="005A0612" w:rsidRPr="00A27896" w:rsidRDefault="005A0612" w:rsidP="001F2CE1">
            <w:pPr>
              <w:spacing w:after="0" w:line="240" w:lineRule="auto"/>
              <w:ind w:left="33"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Atvasinātie finanšu instrumenti</w:t>
            </w:r>
          </w:p>
        </w:tc>
        <w:tc>
          <w:tcPr>
            <w:tcW w:w="1032" w:type="dxa"/>
            <w:gridSpan w:val="2"/>
            <w:tcBorders>
              <w:top w:val="single" w:sz="4" w:space="0" w:color="auto"/>
              <w:left w:val="nil"/>
              <w:bottom w:val="single" w:sz="4" w:space="0" w:color="auto"/>
              <w:right w:val="nil"/>
            </w:tcBorders>
            <w:shd w:val="clear" w:color="auto" w:fill="auto"/>
            <w:vAlign w:val="center"/>
            <w:hideMark/>
          </w:tcPr>
          <w:p w14:paraId="244709C7" w14:textId="39E85462"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15 960 000</w:t>
            </w:r>
          </w:p>
        </w:tc>
        <w:tc>
          <w:tcPr>
            <w:tcW w:w="1055" w:type="dxa"/>
            <w:gridSpan w:val="3"/>
            <w:tcBorders>
              <w:top w:val="single" w:sz="4" w:space="0" w:color="auto"/>
              <w:left w:val="nil"/>
              <w:bottom w:val="single" w:sz="4" w:space="0" w:color="auto"/>
              <w:right w:val="nil"/>
            </w:tcBorders>
            <w:shd w:val="clear" w:color="auto" w:fill="auto"/>
            <w:vAlign w:val="center"/>
            <w:hideMark/>
          </w:tcPr>
          <w:p w14:paraId="544ED7F5" w14:textId="20FA18D5"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55 860 000</w:t>
            </w:r>
          </w:p>
        </w:tc>
        <w:tc>
          <w:tcPr>
            <w:tcW w:w="1030" w:type="dxa"/>
            <w:gridSpan w:val="2"/>
            <w:tcBorders>
              <w:top w:val="single" w:sz="4" w:space="0" w:color="auto"/>
              <w:left w:val="nil"/>
              <w:bottom w:val="single" w:sz="4" w:space="0" w:color="auto"/>
              <w:right w:val="nil"/>
            </w:tcBorders>
            <w:shd w:val="clear" w:color="auto" w:fill="auto"/>
            <w:vAlign w:val="center"/>
            <w:hideMark/>
          </w:tcPr>
          <w:p w14:paraId="6FBFA279" w14:textId="35976611"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0</w:t>
            </w:r>
          </w:p>
        </w:tc>
        <w:tc>
          <w:tcPr>
            <w:tcW w:w="1066" w:type="dxa"/>
            <w:gridSpan w:val="2"/>
            <w:tcBorders>
              <w:top w:val="single" w:sz="4" w:space="0" w:color="auto"/>
              <w:left w:val="nil"/>
              <w:bottom w:val="single" w:sz="4" w:space="0" w:color="auto"/>
              <w:right w:val="nil"/>
            </w:tcBorders>
            <w:shd w:val="clear" w:color="auto" w:fill="auto"/>
            <w:vAlign w:val="center"/>
            <w:hideMark/>
          </w:tcPr>
          <w:p w14:paraId="25C8FF4F" w14:textId="0C3366FB"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71 820 000</w:t>
            </w:r>
          </w:p>
        </w:tc>
        <w:tc>
          <w:tcPr>
            <w:tcW w:w="1036" w:type="dxa"/>
            <w:gridSpan w:val="2"/>
            <w:tcBorders>
              <w:top w:val="single" w:sz="4" w:space="0" w:color="auto"/>
              <w:left w:val="nil"/>
              <w:bottom w:val="single" w:sz="4" w:space="0" w:color="auto"/>
              <w:right w:val="nil"/>
            </w:tcBorders>
            <w:shd w:val="clear" w:color="auto" w:fill="auto"/>
            <w:vAlign w:val="center"/>
            <w:hideMark/>
          </w:tcPr>
          <w:p w14:paraId="2AF73D36" w14:textId="2B0265A1"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15 960 000</w:t>
            </w:r>
          </w:p>
        </w:tc>
        <w:tc>
          <w:tcPr>
            <w:tcW w:w="1112" w:type="dxa"/>
            <w:gridSpan w:val="4"/>
            <w:tcBorders>
              <w:top w:val="single" w:sz="4" w:space="0" w:color="auto"/>
              <w:left w:val="nil"/>
              <w:bottom w:val="single" w:sz="4" w:space="0" w:color="auto"/>
              <w:right w:val="nil"/>
            </w:tcBorders>
            <w:shd w:val="clear" w:color="auto" w:fill="auto"/>
            <w:vAlign w:val="center"/>
            <w:hideMark/>
          </w:tcPr>
          <w:p w14:paraId="69F40D57" w14:textId="16019F0B"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71 820 000</w:t>
            </w:r>
          </w:p>
        </w:tc>
        <w:tc>
          <w:tcPr>
            <w:tcW w:w="1103" w:type="dxa"/>
            <w:gridSpan w:val="3"/>
            <w:tcBorders>
              <w:top w:val="single" w:sz="4" w:space="0" w:color="auto"/>
              <w:left w:val="nil"/>
              <w:bottom w:val="single" w:sz="4" w:space="0" w:color="auto"/>
              <w:right w:val="nil"/>
            </w:tcBorders>
            <w:shd w:val="clear" w:color="auto" w:fill="auto"/>
            <w:vAlign w:val="center"/>
            <w:hideMark/>
          </w:tcPr>
          <w:p w14:paraId="52B0C2CF" w14:textId="573F1C65"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0</w:t>
            </w:r>
          </w:p>
        </w:tc>
        <w:tc>
          <w:tcPr>
            <w:tcW w:w="1090" w:type="dxa"/>
            <w:tcBorders>
              <w:top w:val="single" w:sz="4" w:space="0" w:color="auto"/>
              <w:left w:val="nil"/>
              <w:bottom w:val="single" w:sz="4" w:space="0" w:color="auto"/>
              <w:right w:val="nil"/>
            </w:tcBorders>
            <w:shd w:val="clear" w:color="auto" w:fill="auto"/>
            <w:vAlign w:val="center"/>
            <w:hideMark/>
          </w:tcPr>
          <w:p w14:paraId="622E50DF" w14:textId="2B313FC3" w:rsidR="005A0612" w:rsidRPr="005E79FE" w:rsidRDefault="005A0612" w:rsidP="009677AB">
            <w:pPr>
              <w:spacing w:after="0" w:line="240" w:lineRule="auto"/>
              <w:ind w:left="-57" w:right="-57"/>
              <w:jc w:val="right"/>
              <w:rPr>
                <w:rFonts w:eastAsia="Times New Roman" w:cs="Times New Roman"/>
                <w:color w:val="17365D"/>
                <w:sz w:val="16"/>
                <w:szCs w:val="16"/>
                <w:lang w:eastAsia="lv-LV"/>
              </w:rPr>
            </w:pPr>
            <w:r w:rsidRPr="005E79FE">
              <w:rPr>
                <w:rFonts w:eastAsia="Times New Roman" w:cs="Times New Roman"/>
                <w:color w:val="17365D"/>
                <w:sz w:val="16"/>
                <w:szCs w:val="16"/>
                <w:lang w:eastAsia="lv-LV"/>
              </w:rPr>
              <w:t>87 780 000</w:t>
            </w:r>
          </w:p>
        </w:tc>
      </w:tr>
      <w:tr w:rsidR="000C1009" w:rsidRPr="00A27896" w14:paraId="26958A32" w14:textId="77777777" w:rsidTr="009677AB">
        <w:trPr>
          <w:trHeight w:val="130"/>
        </w:trPr>
        <w:tc>
          <w:tcPr>
            <w:tcW w:w="2445" w:type="dxa"/>
            <w:gridSpan w:val="4"/>
            <w:tcBorders>
              <w:top w:val="single" w:sz="4" w:space="0" w:color="auto"/>
              <w:left w:val="nil"/>
              <w:bottom w:val="nil"/>
              <w:right w:val="nil"/>
            </w:tcBorders>
            <w:shd w:val="clear" w:color="000000" w:fill="B9CDE5"/>
            <w:noWrap/>
            <w:vAlign w:val="center"/>
            <w:hideMark/>
          </w:tcPr>
          <w:p w14:paraId="51915E44" w14:textId="77777777" w:rsidR="00C275AD" w:rsidRPr="00A27896" w:rsidRDefault="00C275AD" w:rsidP="00F9724A">
            <w:pPr>
              <w:spacing w:after="0" w:line="240" w:lineRule="auto"/>
              <w:ind w:left="-57" w:right="-57"/>
              <w:jc w:val="center"/>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4518" w:type="dxa"/>
            <w:gridSpan w:val="9"/>
            <w:tcBorders>
              <w:top w:val="single" w:sz="4" w:space="0" w:color="auto"/>
              <w:left w:val="nil"/>
              <w:bottom w:val="nil"/>
              <w:right w:val="nil"/>
            </w:tcBorders>
            <w:shd w:val="clear" w:color="000000" w:fill="B9CDE5"/>
            <w:noWrap/>
            <w:vAlign w:val="center"/>
            <w:hideMark/>
          </w:tcPr>
          <w:p w14:paraId="50DA2A3F" w14:textId="77777777" w:rsidR="00C275AD" w:rsidRPr="00A27896" w:rsidRDefault="00C275AD" w:rsidP="00F9724A">
            <w:pPr>
              <w:spacing w:after="0" w:line="240" w:lineRule="auto"/>
              <w:ind w:left="-57"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c>
          <w:tcPr>
            <w:tcW w:w="2735" w:type="dxa"/>
            <w:gridSpan w:val="7"/>
            <w:tcBorders>
              <w:top w:val="single" w:sz="4" w:space="0" w:color="auto"/>
              <w:left w:val="nil"/>
              <w:bottom w:val="nil"/>
              <w:right w:val="nil"/>
            </w:tcBorders>
            <w:shd w:val="clear" w:color="000000" w:fill="B9CDE5"/>
            <w:vAlign w:val="center"/>
            <w:hideMark/>
          </w:tcPr>
          <w:p w14:paraId="5C93A108" w14:textId="77777777" w:rsidR="00C275AD" w:rsidRPr="00A27896" w:rsidRDefault="00C275AD" w:rsidP="00F9724A">
            <w:pPr>
              <w:spacing w:after="0" w:line="240" w:lineRule="auto"/>
              <w:ind w:left="-57" w:right="-57"/>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 </w:t>
            </w:r>
          </w:p>
        </w:tc>
      </w:tr>
    </w:tbl>
    <w:p w14:paraId="1B118920" w14:textId="79CD2AC3" w:rsidR="00415130" w:rsidRPr="00A27896" w:rsidRDefault="00415130" w:rsidP="00816325">
      <w:pPr>
        <w:pStyle w:val="Pamatteksts1"/>
        <w:rPr>
          <w:color w:val="17365D"/>
        </w:rPr>
      </w:pPr>
    </w:p>
    <w:p w14:paraId="722CAD8A" w14:textId="636E4FB8" w:rsidR="00844915" w:rsidRPr="00A27896" w:rsidRDefault="00844915" w:rsidP="00816325">
      <w:pPr>
        <w:pStyle w:val="Heading6"/>
        <w:jc w:val="left"/>
        <w:rPr>
          <w:color w:val="17365D"/>
        </w:rPr>
      </w:pPr>
      <w:r w:rsidRPr="00A27896">
        <w:rPr>
          <w:rFonts w:eastAsiaTheme="minorHAnsi"/>
          <w:bCs w:val="0"/>
          <w:color w:val="17365D"/>
          <w:szCs w:val="22"/>
        </w:rPr>
        <w:t>Atvasinātie finanšu instrumenti</w:t>
      </w:r>
    </w:p>
    <w:p w14:paraId="370A7BCC" w14:textId="01BE5E04" w:rsidR="007351E3" w:rsidRPr="00A27896" w:rsidRDefault="00844915" w:rsidP="00816325">
      <w:pPr>
        <w:spacing w:before="120" w:after="120" w:line="240" w:lineRule="auto"/>
        <w:ind w:firstLine="284"/>
        <w:jc w:val="both"/>
        <w:rPr>
          <w:rFonts w:cs="Times New Roman"/>
          <w:color w:val="17365D"/>
        </w:rPr>
      </w:pPr>
      <w:r w:rsidRPr="00A27896">
        <w:rPr>
          <w:rFonts w:cs="Times New Roman"/>
          <w:color w:val="17365D"/>
        </w:rPr>
        <w:t xml:space="preserve">Konsolidētajā bilancē uzrādīti Valsts kases un Rīgas </w:t>
      </w:r>
      <w:r w:rsidR="00EE7E0B" w:rsidRPr="00A27896">
        <w:rPr>
          <w:rFonts w:cs="Times New Roman"/>
          <w:color w:val="17365D"/>
        </w:rPr>
        <w:t>valsts</w:t>
      </w:r>
      <w:r w:rsidRPr="00A27896">
        <w:rPr>
          <w:rFonts w:cs="Times New Roman"/>
          <w:color w:val="17365D"/>
        </w:rPr>
        <w:t>pilsētas pašvaldības izmantotie atvasinātie finanšu instrumenti.</w:t>
      </w:r>
      <w:r w:rsidR="007351E3" w:rsidRPr="00A27896">
        <w:rPr>
          <w:rFonts w:cs="Times New Roman"/>
          <w:color w:val="17365D"/>
        </w:rPr>
        <w:t xml:space="preserve"> </w:t>
      </w:r>
    </w:p>
    <w:p w14:paraId="4D738448" w14:textId="7C37EB66" w:rsidR="00D65E28" w:rsidRPr="00A27896" w:rsidRDefault="00D65E28" w:rsidP="00D65E28">
      <w:pPr>
        <w:spacing w:before="120" w:after="120" w:line="240" w:lineRule="auto"/>
        <w:ind w:firstLine="284"/>
        <w:jc w:val="both"/>
        <w:rPr>
          <w:rFonts w:cs="Times New Roman"/>
          <w:color w:val="17365D"/>
        </w:rPr>
      </w:pPr>
      <w:r w:rsidRPr="00A27896">
        <w:rPr>
          <w:rFonts w:cs="Times New Roman"/>
          <w:color w:val="17365D"/>
        </w:rPr>
        <w:t>Rīgas pilsētas pašvaldības izmantotais atvasinātais finanšu instruments 202</w:t>
      </w:r>
      <w:r w:rsidR="006F4319">
        <w:rPr>
          <w:rFonts w:cs="Times New Roman"/>
          <w:color w:val="17365D"/>
        </w:rPr>
        <w:t>3</w:t>
      </w:r>
      <w:r w:rsidRPr="00A27896">
        <w:rPr>
          <w:rFonts w:cs="Times New Roman"/>
          <w:color w:val="17365D"/>
        </w:rPr>
        <w:t>.</w:t>
      </w:r>
      <w:r w:rsidR="001F2CE1">
        <w:rPr>
          <w:rFonts w:cs="Times New Roman"/>
          <w:color w:val="17365D"/>
        </w:rPr>
        <w:t> </w:t>
      </w:r>
      <w:r w:rsidRPr="00A27896">
        <w:rPr>
          <w:rFonts w:cs="Times New Roman"/>
          <w:color w:val="17365D"/>
        </w:rPr>
        <w:t xml:space="preserve">gada pārskatā klasificēts finanšu instrumentu kategorijā “Patiesajā vērtībā novērtētas finanšu saistības” </w:t>
      </w:r>
      <w:r w:rsidR="00D1373A" w:rsidRPr="00A27896">
        <w:rPr>
          <w:rFonts w:cs="Times New Roman"/>
          <w:color w:val="17365D"/>
        </w:rPr>
        <w:t xml:space="preserve">(skatīt </w:t>
      </w:r>
      <w:r w:rsidR="009E4ABD">
        <w:rPr>
          <w:rFonts w:cs="Times New Roman"/>
          <w:color w:val="17365D"/>
        </w:rPr>
        <w:t>1.</w:t>
      </w:r>
      <w:r w:rsidR="00D1373A" w:rsidRPr="00B84332">
        <w:rPr>
          <w:rFonts w:cs="Times New Roman"/>
          <w:color w:val="17365D"/>
        </w:rPr>
        <w:t>32.tabulu)</w:t>
      </w:r>
      <w:r w:rsidR="00D1373A" w:rsidRPr="00A27896">
        <w:rPr>
          <w:rFonts w:cs="Times New Roman"/>
          <w:color w:val="17365D"/>
        </w:rPr>
        <w:t xml:space="preserve"> </w:t>
      </w:r>
      <w:r w:rsidRPr="00A27896">
        <w:rPr>
          <w:rFonts w:cs="Times New Roman"/>
          <w:color w:val="17365D"/>
        </w:rPr>
        <w:t xml:space="preserve">un uzrādīts </w:t>
      </w:r>
      <w:r w:rsidR="00814FB5" w:rsidRPr="00A27896">
        <w:rPr>
          <w:rFonts w:cs="Times New Roman"/>
          <w:color w:val="17365D"/>
        </w:rPr>
        <w:t xml:space="preserve">bilances postenī “Ilgtermiņa uzkrātās saistības” </w:t>
      </w:r>
      <w:r w:rsidR="00C139CE">
        <w:rPr>
          <w:rFonts w:cs="Times New Roman"/>
          <w:color w:val="17365D"/>
        </w:rPr>
        <w:t xml:space="preserve">un “Īstermiņa uzkrātās </w:t>
      </w:r>
      <w:r w:rsidR="00C139CE">
        <w:rPr>
          <w:rFonts w:cs="Times New Roman"/>
          <w:color w:val="17365D"/>
        </w:rPr>
        <w:lastRenderedPageBreak/>
        <w:t xml:space="preserve">saistības” </w:t>
      </w:r>
      <w:r w:rsidRPr="00A27896">
        <w:rPr>
          <w:rFonts w:cs="Times New Roman"/>
          <w:color w:val="17365D"/>
        </w:rPr>
        <w:t xml:space="preserve">tā patiesajā vērtībā </w:t>
      </w:r>
      <w:r w:rsidR="006F4319">
        <w:rPr>
          <w:rFonts w:cs="Times New Roman"/>
          <w:color w:val="17365D"/>
        </w:rPr>
        <w:t>67 391 020</w:t>
      </w:r>
      <w:r w:rsidRPr="00A27896">
        <w:rPr>
          <w:rFonts w:cs="Times New Roman"/>
          <w:color w:val="17365D"/>
        </w:rPr>
        <w:t xml:space="preserve"> </w:t>
      </w:r>
      <w:r w:rsidRPr="00A27896">
        <w:rPr>
          <w:rFonts w:cs="Times New Roman"/>
          <w:i/>
          <w:iCs/>
          <w:color w:val="17365D"/>
        </w:rPr>
        <w:t>euro</w:t>
      </w:r>
      <w:r w:rsidRPr="00A27896">
        <w:rPr>
          <w:rFonts w:cs="Times New Roman"/>
          <w:color w:val="17365D"/>
        </w:rPr>
        <w:t xml:space="preserve">, </w:t>
      </w:r>
      <w:r w:rsidR="006F4319" w:rsidRPr="006F4319">
        <w:rPr>
          <w:rFonts w:cs="Times New Roman"/>
          <w:color w:val="17365D"/>
        </w:rPr>
        <w:t>ņem</w:t>
      </w:r>
      <w:r w:rsidR="006F4319">
        <w:rPr>
          <w:rFonts w:cs="Times New Roman"/>
          <w:color w:val="17365D"/>
        </w:rPr>
        <w:t>ot</w:t>
      </w:r>
      <w:r w:rsidR="006F4319" w:rsidRPr="006F4319">
        <w:rPr>
          <w:rFonts w:cs="Times New Roman"/>
          <w:color w:val="17365D"/>
        </w:rPr>
        <w:t xml:space="preserve"> vērā tirgus cenu perioda beigu dienā</w:t>
      </w:r>
      <w:r w:rsidR="006F4319">
        <w:rPr>
          <w:rFonts w:cs="Times New Roman"/>
          <w:color w:val="17365D"/>
        </w:rPr>
        <w:t xml:space="preserve"> un </w:t>
      </w:r>
      <w:r w:rsidRPr="00A27896">
        <w:rPr>
          <w:rFonts w:cs="Times New Roman"/>
          <w:color w:val="17365D"/>
        </w:rPr>
        <w:t>balstoties uz Rīgas pilsētas pašvaldības izstrādātu aprēķinu metodoloģiju un principiem</w:t>
      </w:r>
      <w:r w:rsidR="006F4319">
        <w:rPr>
          <w:rFonts w:cs="Times New Roman"/>
          <w:color w:val="17365D"/>
        </w:rPr>
        <w:t>,</w:t>
      </w:r>
      <w:r w:rsidRPr="00A27896">
        <w:rPr>
          <w:rFonts w:cs="Times New Roman"/>
          <w:color w:val="17365D"/>
        </w:rPr>
        <w:t xml:space="preserve"> </w:t>
      </w:r>
      <w:r w:rsidR="00BB06CE" w:rsidRPr="00A27896">
        <w:rPr>
          <w:rFonts w:cs="Times New Roman"/>
          <w:color w:val="17365D"/>
        </w:rPr>
        <w:t>un tas ietilpst patiesās vērtības hierarhijas 3. līmenī.</w:t>
      </w:r>
    </w:p>
    <w:p w14:paraId="3A226DD0" w14:textId="7CAEE2DF" w:rsidR="00D1373A" w:rsidRPr="00A27896" w:rsidRDefault="001C5E11" w:rsidP="00D1373A">
      <w:pPr>
        <w:spacing w:after="120" w:line="240" w:lineRule="auto"/>
        <w:ind w:firstLine="284"/>
        <w:jc w:val="both"/>
        <w:rPr>
          <w:rFonts w:cs="Times New Roman"/>
          <w:color w:val="17365D"/>
        </w:rPr>
      </w:pPr>
      <w:r w:rsidRPr="001C5E11">
        <w:rPr>
          <w:rFonts w:cs="Times New Roman"/>
          <w:color w:val="17365D"/>
          <w:szCs w:val="24"/>
        </w:rPr>
        <w:t xml:space="preserve">Valsts budžeta finanšu uzskaitē </w:t>
      </w:r>
      <w:r w:rsidR="006F4319" w:rsidRPr="001C5E11">
        <w:rPr>
          <w:rFonts w:cs="Times New Roman"/>
          <w:color w:val="17365D"/>
          <w:szCs w:val="24"/>
        </w:rPr>
        <w:t>2023.</w:t>
      </w:r>
      <w:r w:rsidR="006F4319">
        <w:rPr>
          <w:rFonts w:cs="Times New Roman"/>
          <w:color w:val="17365D"/>
          <w:szCs w:val="24"/>
        </w:rPr>
        <w:t> </w:t>
      </w:r>
      <w:r w:rsidR="006F4319" w:rsidRPr="001C5E11">
        <w:rPr>
          <w:rFonts w:cs="Times New Roman"/>
          <w:color w:val="17365D"/>
          <w:szCs w:val="24"/>
        </w:rPr>
        <w:t xml:space="preserve">gadā </w:t>
      </w:r>
      <w:r w:rsidRPr="001C5E11">
        <w:rPr>
          <w:rFonts w:cs="Times New Roman"/>
          <w:color w:val="17365D"/>
          <w:szCs w:val="24"/>
        </w:rPr>
        <w:t xml:space="preserve">tika pārtraukts </w:t>
      </w:r>
      <w:r>
        <w:rPr>
          <w:rFonts w:cs="Times New Roman"/>
          <w:color w:val="17365D"/>
          <w:szCs w:val="24"/>
        </w:rPr>
        <w:t>procentu likmju mijmaiņas līgums</w:t>
      </w:r>
      <w:r w:rsidRPr="001C5E11">
        <w:rPr>
          <w:rFonts w:cs="Times New Roman"/>
          <w:color w:val="17365D"/>
          <w:szCs w:val="24"/>
        </w:rPr>
        <w:t xml:space="preserve"> (IRS)</w:t>
      </w:r>
      <w:r>
        <w:rPr>
          <w:rFonts w:cs="Times New Roman"/>
          <w:color w:val="17365D"/>
          <w:szCs w:val="24"/>
        </w:rPr>
        <w:t>, kam piemērota riska ierobežošanas uzskaite</w:t>
      </w:r>
      <w:r w:rsidRPr="001C5E11">
        <w:rPr>
          <w:rFonts w:cs="Times New Roman"/>
          <w:color w:val="17365D"/>
          <w:szCs w:val="24"/>
        </w:rPr>
        <w:t>, jo tika veikta aiz</w:t>
      </w:r>
      <w:r w:rsidR="009044A5">
        <w:rPr>
          <w:rFonts w:cs="Times New Roman"/>
          <w:color w:val="17365D"/>
          <w:szCs w:val="24"/>
        </w:rPr>
        <w:t>ņēmuma</w:t>
      </w:r>
      <w:r w:rsidRPr="001C5E11">
        <w:rPr>
          <w:rFonts w:cs="Times New Roman"/>
          <w:color w:val="17365D"/>
          <w:szCs w:val="24"/>
        </w:rPr>
        <w:t xml:space="preserve"> pirmstermiņa atmaksa. </w:t>
      </w:r>
      <w:r w:rsidR="00E9127C" w:rsidRPr="001C5E11">
        <w:rPr>
          <w:rFonts w:cs="Times New Roman"/>
          <w:color w:val="17365D"/>
          <w:szCs w:val="24"/>
        </w:rPr>
        <w:t>2023.</w:t>
      </w:r>
      <w:r w:rsidR="001F2CE1">
        <w:rPr>
          <w:rFonts w:cs="Times New Roman"/>
          <w:color w:val="17365D"/>
          <w:szCs w:val="24"/>
        </w:rPr>
        <w:t> </w:t>
      </w:r>
      <w:r w:rsidR="00E9127C" w:rsidRPr="001C5E11">
        <w:rPr>
          <w:rFonts w:cs="Times New Roman"/>
          <w:color w:val="17365D"/>
          <w:szCs w:val="24"/>
        </w:rPr>
        <w:t xml:space="preserve">gadā </w:t>
      </w:r>
      <w:r w:rsidR="00217EF4" w:rsidRPr="001C5E11">
        <w:rPr>
          <w:rFonts w:cs="Times New Roman"/>
          <w:color w:val="17365D"/>
          <w:szCs w:val="24"/>
        </w:rPr>
        <w:t>Valsts kase nav slēgusi jaunus darījumus valsts parāda procentu likmju riska ierobežošanai.</w:t>
      </w:r>
    </w:p>
    <w:p w14:paraId="3539F173" w14:textId="77777777" w:rsidR="006B69DC" w:rsidRPr="00A27896" w:rsidRDefault="006B69DC" w:rsidP="006B69DC">
      <w:pPr>
        <w:pStyle w:val="Heading7"/>
        <w:rPr>
          <w:rFonts w:ascii="Times New Roman" w:eastAsiaTheme="minorHAnsi" w:hAnsi="Times New Roman" w:cs="Times New Roman"/>
          <w:b/>
          <w:i w:val="0"/>
          <w:iCs w:val="0"/>
          <w:color w:val="17365D"/>
          <w:sz w:val="24"/>
        </w:rPr>
      </w:pPr>
      <w:r w:rsidRPr="00A27896">
        <w:rPr>
          <w:rFonts w:ascii="Times New Roman" w:eastAsiaTheme="minorHAnsi" w:hAnsi="Times New Roman" w:cs="Times New Roman"/>
          <w:b/>
          <w:i w:val="0"/>
          <w:iCs w:val="0"/>
          <w:color w:val="17365D"/>
          <w:sz w:val="24"/>
        </w:rPr>
        <w:t>Riska ierobežošanas uzskaite</w:t>
      </w:r>
    </w:p>
    <w:p w14:paraId="0AF08D57" w14:textId="727FB4B5" w:rsidR="006B69DC" w:rsidRPr="00A27896" w:rsidRDefault="006B69DC" w:rsidP="006B69DC">
      <w:pPr>
        <w:spacing w:after="120" w:line="240" w:lineRule="auto"/>
        <w:ind w:firstLine="284"/>
        <w:jc w:val="both"/>
        <w:rPr>
          <w:rFonts w:cs="Times New Roman"/>
          <w:color w:val="17365D"/>
          <w:szCs w:val="24"/>
        </w:rPr>
      </w:pPr>
      <w:r w:rsidRPr="00A27896">
        <w:rPr>
          <w:rFonts w:cs="Times New Roman"/>
          <w:color w:val="17365D"/>
          <w:szCs w:val="24"/>
        </w:rPr>
        <w:t>Valsts budžeta finanšu uzskaitē atvasinātam finanšu instrumentam –</w:t>
      </w:r>
      <w:r w:rsidR="00090D03" w:rsidRPr="00A27896">
        <w:rPr>
          <w:rFonts w:cs="Times New Roman"/>
          <w:color w:val="17365D"/>
          <w:szCs w:val="24"/>
        </w:rPr>
        <w:t xml:space="preserve"> </w:t>
      </w:r>
      <w:r w:rsidRPr="00A27896">
        <w:rPr>
          <w:rFonts w:cs="Times New Roman"/>
          <w:color w:val="17365D"/>
          <w:szCs w:val="24"/>
        </w:rPr>
        <w:t>procentu likmju mijmaiņas darījumam (IRS) Valsts kase piemēro</w:t>
      </w:r>
      <w:r w:rsidR="001F2CE1">
        <w:rPr>
          <w:rFonts w:cs="Times New Roman"/>
          <w:color w:val="17365D"/>
          <w:szCs w:val="24"/>
        </w:rPr>
        <w:t>ja</w:t>
      </w:r>
      <w:r w:rsidRPr="00A27896">
        <w:rPr>
          <w:rFonts w:cs="Times New Roman"/>
          <w:color w:val="17365D"/>
          <w:szCs w:val="24"/>
        </w:rPr>
        <w:t xml:space="preserve"> naudas plūsmas riska ierobežošanu. </w:t>
      </w:r>
    </w:p>
    <w:p w14:paraId="537CDF19" w14:textId="5707E54B" w:rsidR="006B69DC" w:rsidRPr="00A27896" w:rsidRDefault="006B69DC" w:rsidP="001F2CE1">
      <w:pPr>
        <w:spacing w:after="120" w:line="240" w:lineRule="auto"/>
        <w:ind w:firstLine="284"/>
        <w:jc w:val="both"/>
        <w:rPr>
          <w:rFonts w:cs="Times New Roman"/>
          <w:i/>
          <w:color w:val="17365D"/>
          <w:sz w:val="20"/>
        </w:rPr>
      </w:pPr>
      <w:r w:rsidRPr="00A27896">
        <w:rPr>
          <w:rFonts w:cs="Times New Roman"/>
          <w:color w:val="17365D"/>
        </w:rPr>
        <w:t xml:space="preserve">Parāda portfeļa procentu likmju risks tiek vadīts, aprēķinot optimālo parāda apkalpošanas izmaksu un izmaksu pieauguma riska līdzsvaru un nosakot procentu likmju vidējo svērto fiksēto periodu (gados), tas ir, </w:t>
      </w:r>
      <w:r w:rsidRPr="00A27896">
        <w:rPr>
          <w:rFonts w:cs="Times New Roman"/>
          <w:i/>
          <w:color w:val="17365D"/>
        </w:rPr>
        <w:t>duration</w:t>
      </w:r>
      <w:r w:rsidRPr="00A27896">
        <w:rPr>
          <w:rFonts w:cs="Times New Roman"/>
          <w:color w:val="17365D"/>
        </w:rPr>
        <w:t xml:space="preserve"> rādītāju. </w:t>
      </w:r>
      <w:r w:rsidRPr="00A27896">
        <w:rPr>
          <w:rFonts w:cs="Times New Roman"/>
          <w:color w:val="17365D"/>
          <w:szCs w:val="24"/>
        </w:rPr>
        <w:t>Uzsākot riska ierobežošanas uzskaiti, pret risku ierobežotais postenis tiek konkretizēts (līdz šim IRS tika piesaistīts parāda portfelim), piesaistot IRS konkrētā aizņēmuma ar mainīgo procentu likmi naudas plūsmai</w:t>
      </w:r>
      <w:r w:rsidRPr="00A27896">
        <w:rPr>
          <w:rFonts w:cs="Times New Roman"/>
          <w:color w:val="17365D"/>
        </w:rPr>
        <w:t>.</w:t>
      </w:r>
      <w:r w:rsidRPr="00A27896">
        <w:rPr>
          <w:rFonts w:cs="Times New Roman"/>
          <w:color w:val="17365D"/>
          <w:szCs w:val="24"/>
        </w:rPr>
        <w:t xml:space="preserve"> Procentu likmju mijmaiņas darījumam (IRS) riska vadības veids ir procentu likmju izmaiņu risks (6 mēnešu EURIBOR likmes izmaiņu risks). Pret risku ierobežotais postenis ir aizņēmuma procentu maksājumu naudas plūsma ar nominālvērtību 155 milj. </w:t>
      </w:r>
      <w:r w:rsidRPr="00A27896">
        <w:rPr>
          <w:rFonts w:cs="Times New Roman"/>
          <w:i/>
          <w:color w:val="17365D"/>
          <w:szCs w:val="24"/>
        </w:rPr>
        <w:t>euro</w:t>
      </w:r>
      <w:r w:rsidRPr="00A27896">
        <w:rPr>
          <w:rFonts w:cs="Times New Roman"/>
          <w:color w:val="17365D"/>
          <w:szCs w:val="24"/>
        </w:rPr>
        <w:t xml:space="preserve"> (laika periodā 31.12.2020. – 30.10.2023.). Sagaidāms, ka pret risku ierobežotā posteņa un riska ierobežošanas instrumenta vērtības mainīsies ar pretējām zīmēm (pretējos virzienos), reaģējot uz viena un tā paša riska (ierobežotā riska) izmaiņām, tomēr, ņemot vērā to, ka posteņa un instrumenta maksāšanas datumi precīzi nesakrīt (maksājumi notiek vienā kalendārajā mēnesī, bet dažādos datumos), pret risku ierobežotā posteņa un riska ierobežošanas instrumenta vērtības varētu būt ar nelielām starpībām, pie nosacījuma, ka finanšu tirgos nebūs satricinājumi un likmju svārstības nebūs būtiskas.</w:t>
      </w:r>
    </w:p>
    <w:p w14:paraId="6F317302" w14:textId="7BD9E1B9" w:rsidR="00A31677" w:rsidRPr="00A27896" w:rsidRDefault="00A31677" w:rsidP="00AE1683">
      <w:pPr>
        <w:pStyle w:val="Heading7"/>
        <w:rPr>
          <w:rFonts w:ascii="Times New Roman" w:hAnsi="Times New Roman" w:cs="Times New Roman"/>
          <w:color w:val="17365D"/>
        </w:rPr>
      </w:pPr>
      <w:r w:rsidRPr="00A27896">
        <w:rPr>
          <w:rFonts w:ascii="Times New Roman" w:eastAsiaTheme="minorHAnsi" w:hAnsi="Times New Roman" w:cs="Times New Roman"/>
          <w:b/>
          <w:i w:val="0"/>
          <w:iCs w:val="0"/>
          <w:color w:val="17365D"/>
          <w:sz w:val="24"/>
        </w:rPr>
        <w:t>Atvasināto finanšu instrumentu nediskontētās nākotnes naudas plūsmas termiņstruktūra</w:t>
      </w:r>
    </w:p>
    <w:p w14:paraId="0119507A" w14:textId="1B5483F3" w:rsidR="00A31677" w:rsidRPr="00A27896" w:rsidRDefault="00090D03" w:rsidP="00592C1E">
      <w:pPr>
        <w:spacing w:after="0" w:line="240" w:lineRule="auto"/>
        <w:ind w:firstLine="284"/>
        <w:jc w:val="both"/>
        <w:rPr>
          <w:rFonts w:cs="Times New Roman"/>
          <w:color w:val="17365D"/>
        </w:rPr>
      </w:pPr>
      <w:r w:rsidRPr="00A27896">
        <w:rPr>
          <w:rFonts w:cs="Times New Roman"/>
          <w:color w:val="17365D"/>
        </w:rPr>
        <w:t>Valsts budžeta finanšu uzskaitē a</w:t>
      </w:r>
      <w:r w:rsidR="00A31677" w:rsidRPr="00A27896">
        <w:rPr>
          <w:rFonts w:cs="Times New Roman"/>
          <w:color w:val="17365D"/>
        </w:rPr>
        <w:t>tvasināto finanšu instrumentu nediskontētās nākotnes naudas plūsmas termiņa struktūra uzrāda atvasināto finanšu instrumentu termiņa sadalījumu līdz gadam, no viena līdz pieciem gadiem un virs pieciem gadiem pa atvasināto finanšu instrumentu līgumiem.</w:t>
      </w:r>
    </w:p>
    <w:p w14:paraId="53853E85" w14:textId="2D53D2F1" w:rsidR="00A31677" w:rsidRPr="00A27896" w:rsidRDefault="00A31677" w:rsidP="00592C1E">
      <w:pPr>
        <w:spacing w:after="0" w:line="240" w:lineRule="auto"/>
        <w:ind w:firstLine="284"/>
        <w:jc w:val="both"/>
        <w:rPr>
          <w:rFonts w:cs="Times New Roman"/>
          <w:color w:val="17365D"/>
        </w:rPr>
      </w:pPr>
    </w:p>
    <w:p w14:paraId="608BE34B" w14:textId="496F2231" w:rsidR="00135FA0" w:rsidRPr="00A27896" w:rsidRDefault="009E4ABD" w:rsidP="00B62824">
      <w:pPr>
        <w:widowControl w:val="0"/>
        <w:spacing w:before="120" w:after="0" w:line="240" w:lineRule="auto"/>
        <w:ind w:left="720"/>
        <w:contextualSpacing/>
        <w:jc w:val="right"/>
        <w:rPr>
          <w:rFonts w:eastAsia="Times New Roman" w:cs="Times New Roman"/>
          <w:bCs/>
          <w:i/>
          <w:iCs/>
          <w:color w:val="17365D"/>
          <w:sz w:val="20"/>
          <w:szCs w:val="18"/>
          <w:lang w:eastAsia="lv-LV"/>
        </w:rPr>
      </w:pPr>
      <w:r>
        <w:rPr>
          <w:rFonts w:eastAsia="Times New Roman" w:cs="Times New Roman"/>
          <w:i/>
          <w:color w:val="17365D"/>
          <w:sz w:val="20"/>
          <w:szCs w:val="18"/>
          <w:lang w:eastAsia="lv-LV"/>
        </w:rPr>
        <w:t>1.</w:t>
      </w:r>
      <w:r w:rsidR="00CA17B2" w:rsidRPr="006213DE">
        <w:rPr>
          <w:rFonts w:eastAsia="Times New Roman" w:cs="Times New Roman"/>
          <w:i/>
          <w:color w:val="17365D"/>
          <w:sz w:val="20"/>
          <w:szCs w:val="18"/>
          <w:lang w:eastAsia="lv-LV"/>
        </w:rPr>
        <w:t>3</w:t>
      </w:r>
      <w:r w:rsidR="006213DE" w:rsidRPr="006213DE">
        <w:rPr>
          <w:rFonts w:eastAsia="Times New Roman" w:cs="Times New Roman"/>
          <w:i/>
          <w:color w:val="17365D"/>
          <w:sz w:val="20"/>
          <w:szCs w:val="18"/>
          <w:lang w:eastAsia="lv-LV"/>
        </w:rPr>
        <w:t>7</w:t>
      </w:r>
      <w:r w:rsidR="00E00313" w:rsidRPr="006213DE">
        <w:rPr>
          <w:rFonts w:eastAsia="Times New Roman" w:cs="Times New Roman"/>
          <w:i/>
          <w:color w:val="17365D"/>
          <w:sz w:val="20"/>
          <w:szCs w:val="18"/>
          <w:lang w:eastAsia="lv-LV"/>
        </w:rPr>
        <w:t>.</w:t>
      </w:r>
      <w:r w:rsidR="00D2147C" w:rsidRPr="006213DE">
        <w:rPr>
          <w:rFonts w:eastAsia="Times New Roman" w:cs="Times New Roman"/>
          <w:i/>
          <w:color w:val="17365D"/>
          <w:sz w:val="20"/>
          <w:szCs w:val="18"/>
          <w:lang w:eastAsia="lv-LV"/>
        </w:rPr>
        <w:t xml:space="preserve"> </w:t>
      </w:r>
      <w:r w:rsidR="00E00313" w:rsidRPr="006213DE">
        <w:rPr>
          <w:rFonts w:eastAsia="Times New Roman" w:cs="Times New Roman"/>
          <w:i/>
          <w:color w:val="17365D"/>
          <w:sz w:val="20"/>
          <w:szCs w:val="18"/>
          <w:lang w:eastAsia="lv-LV"/>
        </w:rPr>
        <w:t>tabula</w:t>
      </w:r>
      <w:r w:rsidR="00797B92" w:rsidRPr="00A27896">
        <w:rPr>
          <w:rFonts w:eastAsia="Times New Roman" w:cs="Times New Roman"/>
          <w:i/>
          <w:color w:val="17365D"/>
          <w:sz w:val="20"/>
          <w:szCs w:val="18"/>
          <w:lang w:eastAsia="lv-LV"/>
        </w:rPr>
        <w:t>.</w:t>
      </w:r>
      <w:r w:rsidR="00E00313" w:rsidRPr="00A27896">
        <w:rPr>
          <w:rFonts w:eastAsia="Times New Roman" w:cs="Times New Roman"/>
          <w:i/>
          <w:color w:val="17365D"/>
          <w:sz w:val="20"/>
          <w:szCs w:val="18"/>
          <w:lang w:eastAsia="lv-LV"/>
        </w:rPr>
        <w:t xml:space="preserve"> </w:t>
      </w:r>
      <w:r w:rsidR="00E00313" w:rsidRPr="00A27896">
        <w:rPr>
          <w:rFonts w:eastAsia="Times New Roman" w:cs="Times New Roman"/>
          <w:bCs/>
          <w:i/>
          <w:iCs/>
          <w:color w:val="17365D"/>
          <w:sz w:val="20"/>
          <w:szCs w:val="18"/>
          <w:lang w:eastAsia="lv-LV"/>
        </w:rPr>
        <w:t>Atvasināto finanšu instrumentu nediskontētās nākotnes</w:t>
      </w:r>
    </w:p>
    <w:p w14:paraId="07C89E26" w14:textId="6BF6D65A" w:rsidR="00E00313" w:rsidRPr="00A27896" w:rsidRDefault="00135FA0" w:rsidP="00B62824">
      <w:pPr>
        <w:widowControl w:val="0"/>
        <w:spacing w:before="120" w:after="0" w:line="240" w:lineRule="auto"/>
        <w:ind w:left="720"/>
        <w:contextualSpacing/>
        <w:jc w:val="right"/>
        <w:rPr>
          <w:rFonts w:eastAsia="Times New Roman" w:cs="Times New Roman"/>
          <w:bCs/>
          <w:i/>
          <w:iCs/>
          <w:color w:val="17365D"/>
          <w:sz w:val="20"/>
          <w:szCs w:val="18"/>
          <w:lang w:eastAsia="lv-LV"/>
        </w:rPr>
      </w:pPr>
      <w:r w:rsidRPr="00A27896">
        <w:rPr>
          <w:rFonts w:eastAsia="Times New Roman" w:cs="Times New Roman"/>
          <w:bCs/>
          <w:i/>
          <w:iCs/>
          <w:color w:val="17365D"/>
          <w:sz w:val="20"/>
          <w:szCs w:val="18"/>
          <w:lang w:eastAsia="lv-LV"/>
        </w:rPr>
        <w:t>naudas plūsmas termiņstruktūra 202</w:t>
      </w:r>
      <w:r w:rsidR="00B4273D">
        <w:rPr>
          <w:rFonts w:eastAsia="Times New Roman" w:cs="Times New Roman"/>
          <w:bCs/>
          <w:i/>
          <w:iCs/>
          <w:color w:val="17365D"/>
          <w:sz w:val="20"/>
          <w:szCs w:val="18"/>
          <w:lang w:eastAsia="lv-LV"/>
        </w:rPr>
        <w:t>3</w:t>
      </w:r>
      <w:r w:rsidRPr="00A27896">
        <w:rPr>
          <w:rFonts w:eastAsia="Times New Roman" w:cs="Times New Roman"/>
          <w:bCs/>
          <w:i/>
          <w:iCs/>
          <w:color w:val="17365D"/>
          <w:sz w:val="20"/>
          <w:szCs w:val="18"/>
          <w:lang w:eastAsia="lv-LV"/>
        </w:rPr>
        <w:t>. gada 31. decembrī</w:t>
      </w:r>
      <w:r w:rsidRPr="00A27896">
        <w:rPr>
          <w:rFonts w:eastAsia="Times New Roman" w:cs="Times New Roman"/>
          <w:i/>
          <w:color w:val="17365D"/>
          <w:sz w:val="20"/>
          <w:szCs w:val="18"/>
          <w:lang w:eastAsia="lv-LV"/>
        </w:rPr>
        <w:t xml:space="preserve"> (euro)</w:t>
      </w:r>
      <w:r w:rsidR="00E00313" w:rsidRPr="00A27896">
        <w:rPr>
          <w:rFonts w:eastAsia="Times New Roman" w:cs="Times New Roman"/>
          <w:bCs/>
          <w:i/>
          <w:iCs/>
          <w:color w:val="17365D"/>
          <w:sz w:val="20"/>
          <w:szCs w:val="18"/>
          <w:lang w:eastAsia="lv-LV"/>
        </w:rPr>
        <w:t xml:space="preserve"> </w:t>
      </w:r>
    </w:p>
    <w:tbl>
      <w:tblPr>
        <w:tblW w:w="9356" w:type="dxa"/>
        <w:jc w:val="center"/>
        <w:tblLayout w:type="fixed"/>
        <w:tblLook w:val="04A0" w:firstRow="1" w:lastRow="0" w:firstColumn="1" w:lastColumn="0" w:noHBand="0" w:noVBand="1"/>
      </w:tblPr>
      <w:tblGrid>
        <w:gridCol w:w="1981"/>
        <w:gridCol w:w="617"/>
        <w:gridCol w:w="374"/>
        <w:gridCol w:w="714"/>
        <w:gridCol w:w="693"/>
        <w:gridCol w:w="967"/>
        <w:gridCol w:w="6"/>
        <w:gridCol w:w="1170"/>
        <w:gridCol w:w="244"/>
        <w:gridCol w:w="749"/>
        <w:gridCol w:w="56"/>
        <w:gridCol w:w="737"/>
        <w:gridCol w:w="58"/>
        <w:gridCol w:w="990"/>
      </w:tblGrid>
      <w:tr w:rsidR="000C1009" w:rsidRPr="00A27896" w14:paraId="41B5DCBE" w14:textId="77777777" w:rsidTr="00EC3A89">
        <w:trPr>
          <w:trHeight w:val="270"/>
          <w:tblHeader/>
          <w:jc w:val="center"/>
        </w:trPr>
        <w:tc>
          <w:tcPr>
            <w:tcW w:w="1981" w:type="dxa"/>
            <w:vMerge w:val="restart"/>
            <w:tcBorders>
              <w:bottom w:val="single" w:sz="4" w:space="0" w:color="17365D"/>
            </w:tcBorders>
            <w:shd w:val="clear" w:color="auto" w:fill="B8CCE4" w:themeFill="accent1" w:themeFillTint="66"/>
            <w:vAlign w:val="center"/>
          </w:tcPr>
          <w:p w14:paraId="31600F3E" w14:textId="2C2C3030" w:rsidR="00B62824" w:rsidRPr="00A27896" w:rsidRDefault="00B62824" w:rsidP="00135FA0">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Atvasināto finanšu instrumentu līgumi</w:t>
            </w:r>
          </w:p>
        </w:tc>
        <w:tc>
          <w:tcPr>
            <w:tcW w:w="3371" w:type="dxa"/>
            <w:gridSpan w:val="6"/>
            <w:tcBorders>
              <w:bottom w:val="single" w:sz="4" w:space="0" w:color="17365D"/>
            </w:tcBorders>
            <w:shd w:val="clear" w:color="auto" w:fill="B8CCE4" w:themeFill="accent1" w:themeFillTint="66"/>
          </w:tcPr>
          <w:p w14:paraId="25F47594" w14:textId="0DB37176" w:rsidR="00B62824" w:rsidRPr="00A27896" w:rsidRDefault="00B62824" w:rsidP="00CE104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beigās</w:t>
            </w:r>
          </w:p>
        </w:tc>
        <w:tc>
          <w:tcPr>
            <w:tcW w:w="4004" w:type="dxa"/>
            <w:gridSpan w:val="7"/>
            <w:tcBorders>
              <w:bottom w:val="single" w:sz="4" w:space="0" w:color="17365D"/>
            </w:tcBorders>
            <w:shd w:val="clear" w:color="auto" w:fill="B8CCE4" w:themeFill="accent1" w:themeFillTint="66"/>
          </w:tcPr>
          <w:p w14:paraId="31AFD61D" w14:textId="25482312" w:rsidR="00B62824" w:rsidRPr="00A27896" w:rsidRDefault="00B62824" w:rsidP="00CE104B">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Pārskata perioda sākumā</w:t>
            </w:r>
          </w:p>
        </w:tc>
      </w:tr>
      <w:tr w:rsidR="000C1009" w:rsidRPr="00A27896" w14:paraId="7154A870" w14:textId="77777777" w:rsidTr="00EC3A89">
        <w:trPr>
          <w:trHeight w:val="270"/>
          <w:tblHeader/>
          <w:jc w:val="center"/>
        </w:trPr>
        <w:tc>
          <w:tcPr>
            <w:tcW w:w="1981" w:type="dxa"/>
            <w:vMerge/>
            <w:tcBorders>
              <w:top w:val="single" w:sz="4" w:space="0" w:color="17365D"/>
              <w:bottom w:val="single" w:sz="4" w:space="0" w:color="17365D"/>
            </w:tcBorders>
            <w:shd w:val="clear" w:color="auto" w:fill="B8CCE4" w:themeFill="accent1" w:themeFillTint="66"/>
          </w:tcPr>
          <w:p w14:paraId="161B2BA7" w14:textId="77777777" w:rsidR="00B62824" w:rsidRPr="00A27896" w:rsidRDefault="00B62824" w:rsidP="00B62824">
            <w:pPr>
              <w:spacing w:after="0" w:line="240" w:lineRule="auto"/>
              <w:jc w:val="center"/>
              <w:rPr>
                <w:rFonts w:eastAsia="Times New Roman" w:cs="Times New Roman"/>
                <w:b/>
                <w:bCs/>
                <w:color w:val="17365D"/>
                <w:sz w:val="18"/>
                <w:szCs w:val="18"/>
                <w:lang w:eastAsia="lv-LV"/>
              </w:rPr>
            </w:pPr>
          </w:p>
        </w:tc>
        <w:tc>
          <w:tcPr>
            <w:tcW w:w="991" w:type="dxa"/>
            <w:gridSpan w:val="2"/>
            <w:tcBorders>
              <w:top w:val="single" w:sz="4" w:space="0" w:color="17365D"/>
              <w:bottom w:val="single" w:sz="4" w:space="0" w:color="17365D"/>
            </w:tcBorders>
            <w:shd w:val="clear" w:color="000000" w:fill="B9CDE5"/>
            <w:vAlign w:val="center"/>
          </w:tcPr>
          <w:p w14:paraId="73FBEC50" w14:textId="77777777" w:rsidR="00B62824" w:rsidRPr="00A27896" w:rsidRDefault="00B62824" w:rsidP="00B62824">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w:t>
            </w:r>
          </w:p>
          <w:p w14:paraId="2B6668CE" w14:textId="22A5C15C" w:rsidR="00B62824" w:rsidRPr="00A27896" w:rsidRDefault="00B62824" w:rsidP="00B628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12 mēnešiem</w:t>
            </w:r>
          </w:p>
        </w:tc>
        <w:tc>
          <w:tcPr>
            <w:tcW w:w="714" w:type="dxa"/>
            <w:tcBorders>
              <w:top w:val="single" w:sz="4" w:space="0" w:color="17365D"/>
              <w:bottom w:val="single" w:sz="4" w:space="0" w:color="17365D"/>
            </w:tcBorders>
            <w:shd w:val="clear" w:color="000000" w:fill="B9CDE5"/>
            <w:vAlign w:val="center"/>
          </w:tcPr>
          <w:p w14:paraId="12CF7716" w14:textId="00947DCE" w:rsidR="00B62824" w:rsidRPr="00A27896" w:rsidRDefault="00B62824" w:rsidP="002E49EF">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1 - 5 gadi</w:t>
            </w:r>
          </w:p>
        </w:tc>
        <w:tc>
          <w:tcPr>
            <w:tcW w:w="693" w:type="dxa"/>
            <w:tcBorders>
              <w:top w:val="single" w:sz="4" w:space="0" w:color="17365D"/>
              <w:bottom w:val="single" w:sz="4" w:space="0" w:color="17365D"/>
            </w:tcBorders>
            <w:shd w:val="clear" w:color="000000" w:fill="B9CDE5"/>
            <w:vAlign w:val="center"/>
          </w:tcPr>
          <w:p w14:paraId="772DC353" w14:textId="77777777" w:rsidR="00B62824" w:rsidRPr="00A27896" w:rsidRDefault="00B62824" w:rsidP="005D4F13">
            <w:pPr>
              <w:spacing w:before="20" w:after="20" w:line="240" w:lineRule="auto"/>
              <w:ind w:lef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vairāk</w:t>
            </w:r>
          </w:p>
          <w:p w14:paraId="3C184F13" w14:textId="31AB39B8" w:rsidR="00B62824" w:rsidRPr="00A27896" w:rsidRDefault="00B62824" w:rsidP="005D4F13">
            <w:pPr>
              <w:spacing w:after="0" w:line="240" w:lineRule="auto"/>
              <w:ind w:left="-57"/>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kā 5 gadi</w:t>
            </w:r>
          </w:p>
        </w:tc>
        <w:tc>
          <w:tcPr>
            <w:tcW w:w="967" w:type="dxa"/>
            <w:tcBorders>
              <w:top w:val="single" w:sz="4" w:space="0" w:color="17365D"/>
              <w:bottom w:val="single" w:sz="4" w:space="0" w:color="17365D"/>
            </w:tcBorders>
            <w:shd w:val="clear" w:color="000000" w:fill="B9CDE5"/>
            <w:vAlign w:val="center"/>
          </w:tcPr>
          <w:p w14:paraId="10D21759" w14:textId="77777777" w:rsidR="00B62824" w:rsidRPr="00A27896" w:rsidRDefault="00B62824" w:rsidP="00B62824">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p w14:paraId="0B9E5BB4" w14:textId="77777777" w:rsidR="00B62824" w:rsidRPr="00A27896" w:rsidRDefault="00B62824" w:rsidP="00B62824">
            <w:pPr>
              <w:spacing w:after="0" w:line="240" w:lineRule="auto"/>
              <w:jc w:val="center"/>
              <w:rPr>
                <w:rFonts w:eastAsia="Times New Roman" w:cs="Times New Roman"/>
                <w:b/>
                <w:bCs/>
                <w:color w:val="17365D"/>
                <w:sz w:val="18"/>
                <w:szCs w:val="18"/>
                <w:lang w:eastAsia="lv-LV"/>
              </w:rPr>
            </w:pPr>
          </w:p>
        </w:tc>
        <w:tc>
          <w:tcPr>
            <w:tcW w:w="1176" w:type="dxa"/>
            <w:gridSpan w:val="2"/>
            <w:tcBorders>
              <w:top w:val="single" w:sz="4" w:space="0" w:color="17365D"/>
              <w:bottom w:val="single" w:sz="4" w:space="0" w:color="17365D"/>
            </w:tcBorders>
            <w:shd w:val="clear" w:color="000000" w:fill="B9CDE5"/>
            <w:vAlign w:val="center"/>
          </w:tcPr>
          <w:p w14:paraId="66D65A17" w14:textId="77777777" w:rsidR="00B62824" w:rsidRPr="00A27896" w:rsidRDefault="00B62824" w:rsidP="00B62824">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līdz</w:t>
            </w:r>
          </w:p>
          <w:p w14:paraId="5530CD06" w14:textId="484B1D5D" w:rsidR="00B62824" w:rsidRPr="00A27896" w:rsidRDefault="00B62824" w:rsidP="00B628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12 mēnešiem</w:t>
            </w:r>
          </w:p>
        </w:tc>
        <w:tc>
          <w:tcPr>
            <w:tcW w:w="993" w:type="dxa"/>
            <w:gridSpan w:val="2"/>
            <w:tcBorders>
              <w:top w:val="single" w:sz="4" w:space="0" w:color="17365D"/>
              <w:bottom w:val="single" w:sz="4" w:space="0" w:color="17365D"/>
            </w:tcBorders>
            <w:shd w:val="clear" w:color="000000" w:fill="B9CDE5"/>
            <w:vAlign w:val="center"/>
          </w:tcPr>
          <w:p w14:paraId="4C3647B4" w14:textId="5BD9460E" w:rsidR="00B62824" w:rsidRPr="00A27896" w:rsidRDefault="00B62824" w:rsidP="002E49EF">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1 - 5 gadi</w:t>
            </w:r>
          </w:p>
        </w:tc>
        <w:tc>
          <w:tcPr>
            <w:tcW w:w="851" w:type="dxa"/>
            <w:gridSpan w:val="3"/>
            <w:tcBorders>
              <w:top w:val="single" w:sz="4" w:space="0" w:color="17365D"/>
              <w:bottom w:val="single" w:sz="4" w:space="0" w:color="17365D"/>
            </w:tcBorders>
            <w:shd w:val="clear" w:color="000000" w:fill="B9CDE5"/>
            <w:vAlign w:val="center"/>
          </w:tcPr>
          <w:p w14:paraId="0D7396EE" w14:textId="77777777" w:rsidR="00B62824" w:rsidRPr="00A27896" w:rsidRDefault="00B62824" w:rsidP="00B62824">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vairāk</w:t>
            </w:r>
          </w:p>
          <w:p w14:paraId="5969AD24" w14:textId="2671ED06" w:rsidR="00B62824" w:rsidRPr="00A27896" w:rsidRDefault="00B62824" w:rsidP="00B62824">
            <w:pPr>
              <w:spacing w:after="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kā 5 gadi</w:t>
            </w:r>
          </w:p>
        </w:tc>
        <w:tc>
          <w:tcPr>
            <w:tcW w:w="990" w:type="dxa"/>
            <w:tcBorders>
              <w:top w:val="single" w:sz="4" w:space="0" w:color="17365D"/>
              <w:bottom w:val="single" w:sz="4" w:space="0" w:color="17365D"/>
            </w:tcBorders>
            <w:shd w:val="clear" w:color="000000" w:fill="B9CDE5"/>
            <w:vAlign w:val="center"/>
          </w:tcPr>
          <w:p w14:paraId="4624155F" w14:textId="54B4B06A" w:rsidR="00B62824" w:rsidRPr="00A27896" w:rsidRDefault="00B62824" w:rsidP="002E49EF">
            <w:pPr>
              <w:spacing w:before="20" w:after="20" w:line="240" w:lineRule="auto"/>
              <w:jc w:val="center"/>
              <w:rPr>
                <w:rFonts w:eastAsia="Times New Roman" w:cs="Times New Roman"/>
                <w:b/>
                <w:bCs/>
                <w:color w:val="17365D"/>
                <w:sz w:val="18"/>
                <w:szCs w:val="18"/>
                <w:lang w:eastAsia="lv-LV"/>
              </w:rPr>
            </w:pPr>
            <w:r w:rsidRPr="00A27896">
              <w:rPr>
                <w:rFonts w:eastAsia="Times New Roman" w:cs="Times New Roman"/>
                <w:b/>
                <w:bCs/>
                <w:color w:val="17365D"/>
                <w:sz w:val="18"/>
                <w:szCs w:val="18"/>
                <w:lang w:eastAsia="lv-LV"/>
              </w:rPr>
              <w:t>Kopā</w:t>
            </w:r>
          </w:p>
        </w:tc>
      </w:tr>
      <w:tr w:rsidR="000C1009" w:rsidRPr="00A27896" w14:paraId="1FEA06C2" w14:textId="77777777" w:rsidTr="00EC3A89">
        <w:trPr>
          <w:trHeight w:val="270"/>
          <w:tblHeader/>
          <w:jc w:val="center"/>
        </w:trPr>
        <w:tc>
          <w:tcPr>
            <w:tcW w:w="1981" w:type="dxa"/>
            <w:tcBorders>
              <w:top w:val="single" w:sz="4" w:space="0" w:color="17365D"/>
              <w:bottom w:val="single" w:sz="4" w:space="0" w:color="17365D"/>
            </w:tcBorders>
            <w:shd w:val="clear" w:color="auto" w:fill="auto"/>
            <w:vAlign w:val="center"/>
            <w:hideMark/>
          </w:tcPr>
          <w:p w14:paraId="5B2D275E" w14:textId="092737EB" w:rsidR="00CE104B" w:rsidRPr="00A27896" w:rsidRDefault="00CE104B" w:rsidP="00A27544">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A</w:t>
            </w:r>
          </w:p>
        </w:tc>
        <w:tc>
          <w:tcPr>
            <w:tcW w:w="991" w:type="dxa"/>
            <w:gridSpan w:val="2"/>
            <w:tcBorders>
              <w:top w:val="single" w:sz="4" w:space="0" w:color="17365D"/>
              <w:bottom w:val="single" w:sz="4" w:space="0" w:color="17365D"/>
            </w:tcBorders>
            <w:shd w:val="clear" w:color="auto" w:fill="auto"/>
            <w:vAlign w:val="center"/>
            <w:hideMark/>
          </w:tcPr>
          <w:p w14:paraId="6E4C258D" w14:textId="6FBFE1EE"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1</w:t>
            </w:r>
          </w:p>
        </w:tc>
        <w:tc>
          <w:tcPr>
            <w:tcW w:w="714" w:type="dxa"/>
            <w:tcBorders>
              <w:top w:val="single" w:sz="4" w:space="0" w:color="17365D"/>
              <w:bottom w:val="single" w:sz="4" w:space="0" w:color="17365D"/>
            </w:tcBorders>
            <w:shd w:val="clear" w:color="auto" w:fill="auto"/>
            <w:vAlign w:val="center"/>
            <w:hideMark/>
          </w:tcPr>
          <w:p w14:paraId="7A4986CF" w14:textId="77316067"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2</w:t>
            </w:r>
          </w:p>
        </w:tc>
        <w:tc>
          <w:tcPr>
            <w:tcW w:w="693" w:type="dxa"/>
            <w:tcBorders>
              <w:top w:val="single" w:sz="4" w:space="0" w:color="17365D"/>
              <w:bottom w:val="single" w:sz="4" w:space="0" w:color="17365D"/>
            </w:tcBorders>
            <w:shd w:val="clear" w:color="auto" w:fill="auto"/>
            <w:vAlign w:val="center"/>
            <w:hideMark/>
          </w:tcPr>
          <w:p w14:paraId="71C5A550" w14:textId="5671FA43"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3</w:t>
            </w:r>
          </w:p>
        </w:tc>
        <w:tc>
          <w:tcPr>
            <w:tcW w:w="967" w:type="dxa"/>
            <w:tcBorders>
              <w:top w:val="single" w:sz="4" w:space="0" w:color="17365D"/>
              <w:bottom w:val="single" w:sz="4" w:space="0" w:color="17365D"/>
            </w:tcBorders>
            <w:shd w:val="clear" w:color="auto" w:fill="auto"/>
            <w:vAlign w:val="center"/>
            <w:hideMark/>
          </w:tcPr>
          <w:p w14:paraId="4663E07A" w14:textId="6798C2D9"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4</w:t>
            </w:r>
          </w:p>
        </w:tc>
        <w:tc>
          <w:tcPr>
            <w:tcW w:w="1176" w:type="dxa"/>
            <w:gridSpan w:val="2"/>
            <w:tcBorders>
              <w:top w:val="single" w:sz="4" w:space="0" w:color="17365D"/>
              <w:bottom w:val="single" w:sz="4" w:space="0" w:color="17365D"/>
            </w:tcBorders>
            <w:shd w:val="clear" w:color="auto" w:fill="auto"/>
            <w:vAlign w:val="center"/>
            <w:hideMark/>
          </w:tcPr>
          <w:p w14:paraId="00A79040" w14:textId="179F9808"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5</w:t>
            </w:r>
          </w:p>
        </w:tc>
        <w:tc>
          <w:tcPr>
            <w:tcW w:w="993" w:type="dxa"/>
            <w:gridSpan w:val="2"/>
            <w:tcBorders>
              <w:top w:val="single" w:sz="4" w:space="0" w:color="17365D"/>
              <w:bottom w:val="single" w:sz="4" w:space="0" w:color="17365D"/>
            </w:tcBorders>
            <w:shd w:val="clear" w:color="auto" w:fill="auto"/>
            <w:vAlign w:val="center"/>
            <w:hideMark/>
          </w:tcPr>
          <w:p w14:paraId="37559841" w14:textId="48EECEF6"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6</w:t>
            </w:r>
          </w:p>
        </w:tc>
        <w:tc>
          <w:tcPr>
            <w:tcW w:w="851" w:type="dxa"/>
            <w:gridSpan w:val="3"/>
            <w:tcBorders>
              <w:top w:val="single" w:sz="4" w:space="0" w:color="17365D"/>
              <w:bottom w:val="single" w:sz="4" w:space="0" w:color="auto"/>
            </w:tcBorders>
            <w:shd w:val="clear" w:color="auto" w:fill="auto"/>
            <w:vAlign w:val="center"/>
            <w:hideMark/>
          </w:tcPr>
          <w:p w14:paraId="69BEC782" w14:textId="1FB349A3"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7</w:t>
            </w:r>
          </w:p>
        </w:tc>
        <w:tc>
          <w:tcPr>
            <w:tcW w:w="990" w:type="dxa"/>
            <w:tcBorders>
              <w:top w:val="single" w:sz="4" w:space="0" w:color="17365D"/>
              <w:bottom w:val="single" w:sz="4" w:space="0" w:color="auto"/>
            </w:tcBorders>
            <w:shd w:val="clear" w:color="auto" w:fill="auto"/>
            <w:vAlign w:val="center"/>
            <w:hideMark/>
          </w:tcPr>
          <w:p w14:paraId="56F8BFFC" w14:textId="34353025" w:rsidR="00CE104B" w:rsidRPr="00A27896" w:rsidRDefault="00CE104B" w:rsidP="004A7653">
            <w:pPr>
              <w:spacing w:after="0" w:line="240" w:lineRule="auto"/>
              <w:jc w:val="center"/>
              <w:rPr>
                <w:rFonts w:eastAsia="Times New Roman" w:cs="Times New Roman"/>
                <w:b/>
                <w:color w:val="17365D"/>
                <w:sz w:val="17"/>
                <w:szCs w:val="17"/>
                <w:lang w:eastAsia="lv-LV"/>
              </w:rPr>
            </w:pPr>
            <w:r w:rsidRPr="00A27896">
              <w:rPr>
                <w:rFonts w:eastAsia="Times New Roman" w:cs="Times New Roman"/>
                <w:b/>
                <w:color w:val="17365D"/>
                <w:sz w:val="17"/>
                <w:szCs w:val="17"/>
                <w:lang w:eastAsia="lv-LV"/>
              </w:rPr>
              <w:t>8</w:t>
            </w:r>
          </w:p>
        </w:tc>
      </w:tr>
      <w:tr w:rsidR="00B4273D" w:rsidRPr="004A7653" w14:paraId="109849BE" w14:textId="77777777" w:rsidTr="00EC3A89">
        <w:trPr>
          <w:trHeight w:val="270"/>
          <w:jc w:val="center"/>
        </w:trPr>
        <w:tc>
          <w:tcPr>
            <w:tcW w:w="1981" w:type="dxa"/>
            <w:tcBorders>
              <w:top w:val="single" w:sz="4" w:space="0" w:color="auto"/>
              <w:left w:val="nil"/>
              <w:bottom w:val="single" w:sz="4" w:space="0" w:color="17365D"/>
            </w:tcBorders>
            <w:shd w:val="clear" w:color="auto" w:fill="auto"/>
            <w:vAlign w:val="center"/>
          </w:tcPr>
          <w:p w14:paraId="38B77200" w14:textId="33A90614" w:rsidR="00B4273D" w:rsidRPr="004A7653" w:rsidRDefault="00B4273D" w:rsidP="00B4273D">
            <w:pPr>
              <w:spacing w:after="0" w:line="240" w:lineRule="auto"/>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Atvasinātie finanšu instrumenti, kopā (neto naudas plūsma)</w:t>
            </w:r>
          </w:p>
        </w:tc>
        <w:tc>
          <w:tcPr>
            <w:tcW w:w="991" w:type="dxa"/>
            <w:gridSpan w:val="2"/>
            <w:tcBorders>
              <w:top w:val="single" w:sz="4" w:space="0" w:color="auto"/>
              <w:bottom w:val="single" w:sz="4" w:space="0" w:color="auto"/>
            </w:tcBorders>
            <w:shd w:val="clear" w:color="auto" w:fill="auto"/>
            <w:vAlign w:val="center"/>
          </w:tcPr>
          <w:p w14:paraId="709D4D34" w14:textId="1141B57A" w:rsidR="00B4273D" w:rsidRPr="004A7653" w:rsidRDefault="00B4273D" w:rsidP="00B4273D">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0</w:t>
            </w:r>
          </w:p>
        </w:tc>
        <w:tc>
          <w:tcPr>
            <w:tcW w:w="714" w:type="dxa"/>
            <w:tcBorders>
              <w:top w:val="single" w:sz="4" w:space="0" w:color="auto"/>
              <w:bottom w:val="single" w:sz="4" w:space="0" w:color="auto"/>
            </w:tcBorders>
            <w:shd w:val="clear" w:color="auto" w:fill="auto"/>
            <w:vAlign w:val="center"/>
          </w:tcPr>
          <w:p w14:paraId="5DA7B09C" w14:textId="5A293392" w:rsidR="00B4273D" w:rsidRPr="004A7653" w:rsidRDefault="00B4273D" w:rsidP="00B4273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693" w:type="dxa"/>
            <w:tcBorders>
              <w:top w:val="single" w:sz="4" w:space="0" w:color="auto"/>
              <w:bottom w:val="single" w:sz="4" w:space="0" w:color="auto"/>
            </w:tcBorders>
            <w:shd w:val="clear" w:color="auto" w:fill="auto"/>
            <w:vAlign w:val="center"/>
          </w:tcPr>
          <w:p w14:paraId="052F4018" w14:textId="480E6172" w:rsidR="00B4273D" w:rsidRPr="004A7653" w:rsidRDefault="00B4273D" w:rsidP="00B4273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967" w:type="dxa"/>
            <w:tcBorders>
              <w:top w:val="single" w:sz="4" w:space="0" w:color="auto"/>
              <w:bottom w:val="single" w:sz="4" w:space="0" w:color="auto"/>
            </w:tcBorders>
            <w:shd w:val="clear" w:color="auto" w:fill="auto"/>
            <w:vAlign w:val="center"/>
          </w:tcPr>
          <w:p w14:paraId="00BA9005" w14:textId="20DBC87D" w:rsidR="00B4273D" w:rsidRPr="004A7653" w:rsidRDefault="00B4273D" w:rsidP="00B4273D">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0</w:t>
            </w:r>
          </w:p>
        </w:tc>
        <w:tc>
          <w:tcPr>
            <w:tcW w:w="1176" w:type="dxa"/>
            <w:gridSpan w:val="2"/>
            <w:tcBorders>
              <w:top w:val="single" w:sz="4" w:space="0" w:color="auto"/>
              <w:bottom w:val="single" w:sz="4" w:space="0" w:color="auto"/>
            </w:tcBorders>
            <w:shd w:val="clear" w:color="auto" w:fill="auto"/>
            <w:vAlign w:val="center"/>
          </w:tcPr>
          <w:p w14:paraId="1033C53E" w14:textId="2AA71B9C" w:rsidR="00B4273D" w:rsidRPr="004A7653" w:rsidRDefault="00B4273D" w:rsidP="00B4273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1 279 875</w:t>
            </w:r>
          </w:p>
        </w:tc>
        <w:tc>
          <w:tcPr>
            <w:tcW w:w="1049" w:type="dxa"/>
            <w:gridSpan w:val="3"/>
            <w:tcBorders>
              <w:top w:val="single" w:sz="4" w:space="0" w:color="auto"/>
              <w:bottom w:val="single" w:sz="4" w:space="0" w:color="auto"/>
            </w:tcBorders>
            <w:shd w:val="clear" w:color="auto" w:fill="auto"/>
            <w:vAlign w:val="center"/>
          </w:tcPr>
          <w:p w14:paraId="2D22A28F" w14:textId="67DAEBFD" w:rsidR="00B4273D" w:rsidRPr="004A7653" w:rsidRDefault="00B4273D" w:rsidP="00B4273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737" w:type="dxa"/>
            <w:tcBorders>
              <w:top w:val="single" w:sz="4" w:space="0" w:color="auto"/>
              <w:bottom w:val="single" w:sz="4" w:space="0" w:color="auto"/>
            </w:tcBorders>
            <w:shd w:val="clear" w:color="auto" w:fill="auto"/>
            <w:vAlign w:val="center"/>
          </w:tcPr>
          <w:p w14:paraId="24C30E6C" w14:textId="549C2B37" w:rsidR="00B4273D" w:rsidRPr="004A7653" w:rsidRDefault="00B4273D" w:rsidP="00B4273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1048" w:type="dxa"/>
            <w:gridSpan w:val="2"/>
            <w:tcBorders>
              <w:top w:val="single" w:sz="4" w:space="0" w:color="auto"/>
              <w:bottom w:val="single" w:sz="4" w:space="0" w:color="auto"/>
            </w:tcBorders>
            <w:shd w:val="clear" w:color="auto" w:fill="auto"/>
            <w:vAlign w:val="center"/>
          </w:tcPr>
          <w:p w14:paraId="6A0D057C" w14:textId="0632C2D0" w:rsidR="00B4273D" w:rsidRPr="004A7653" w:rsidRDefault="00B4273D" w:rsidP="00B4273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1 279 875</w:t>
            </w:r>
          </w:p>
        </w:tc>
      </w:tr>
      <w:tr w:rsidR="00B4273D" w:rsidRPr="004A7653" w14:paraId="270413F7" w14:textId="77777777" w:rsidTr="00EC3A89">
        <w:trPr>
          <w:trHeight w:val="270"/>
          <w:jc w:val="center"/>
        </w:trPr>
        <w:tc>
          <w:tcPr>
            <w:tcW w:w="1981" w:type="dxa"/>
            <w:tcBorders>
              <w:top w:val="single" w:sz="4" w:space="0" w:color="17365D"/>
              <w:left w:val="nil"/>
              <w:bottom w:val="single" w:sz="4" w:space="0" w:color="17365D"/>
            </w:tcBorders>
            <w:shd w:val="clear" w:color="auto" w:fill="auto"/>
            <w:vAlign w:val="center"/>
          </w:tcPr>
          <w:p w14:paraId="7011FCA4" w14:textId="64685344" w:rsidR="00B4273D" w:rsidRPr="004A7653" w:rsidRDefault="00B4273D" w:rsidP="00B4273D">
            <w:pPr>
              <w:spacing w:after="0" w:line="240" w:lineRule="auto"/>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Riska ierobežošanai noteiktie atvasinātie finanšu instrumenti, kopā (neto naudas plūsma)*</w:t>
            </w:r>
          </w:p>
        </w:tc>
        <w:tc>
          <w:tcPr>
            <w:tcW w:w="991" w:type="dxa"/>
            <w:gridSpan w:val="2"/>
            <w:tcBorders>
              <w:top w:val="single" w:sz="4" w:space="0" w:color="auto"/>
              <w:bottom w:val="single" w:sz="4" w:space="0" w:color="auto"/>
            </w:tcBorders>
            <w:shd w:val="clear" w:color="auto" w:fill="auto"/>
            <w:vAlign w:val="center"/>
          </w:tcPr>
          <w:p w14:paraId="7D161A4F" w14:textId="114F5044" w:rsidR="00B4273D" w:rsidRPr="004A7653" w:rsidRDefault="00B4273D" w:rsidP="00B4273D">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0</w:t>
            </w:r>
          </w:p>
        </w:tc>
        <w:tc>
          <w:tcPr>
            <w:tcW w:w="714" w:type="dxa"/>
            <w:tcBorders>
              <w:top w:val="single" w:sz="4" w:space="0" w:color="auto"/>
              <w:bottom w:val="single" w:sz="4" w:space="0" w:color="auto"/>
            </w:tcBorders>
            <w:shd w:val="clear" w:color="auto" w:fill="auto"/>
            <w:vAlign w:val="center"/>
          </w:tcPr>
          <w:p w14:paraId="53FC36EB" w14:textId="7B9A56B4" w:rsidR="00B4273D" w:rsidRPr="004A7653" w:rsidRDefault="00B4273D" w:rsidP="00B4273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693" w:type="dxa"/>
            <w:tcBorders>
              <w:top w:val="single" w:sz="4" w:space="0" w:color="auto"/>
              <w:bottom w:val="single" w:sz="4" w:space="0" w:color="auto"/>
            </w:tcBorders>
            <w:shd w:val="clear" w:color="auto" w:fill="auto"/>
            <w:vAlign w:val="center"/>
          </w:tcPr>
          <w:p w14:paraId="0DD3B6B5" w14:textId="6AFD2934" w:rsidR="00B4273D" w:rsidRPr="004A7653" w:rsidRDefault="00B4273D" w:rsidP="00B4273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967" w:type="dxa"/>
            <w:tcBorders>
              <w:top w:val="single" w:sz="4" w:space="0" w:color="auto"/>
              <w:bottom w:val="single" w:sz="4" w:space="0" w:color="auto"/>
            </w:tcBorders>
            <w:shd w:val="clear" w:color="auto" w:fill="auto"/>
            <w:vAlign w:val="center"/>
          </w:tcPr>
          <w:p w14:paraId="0E14EF5C" w14:textId="2AC6FE25" w:rsidR="00B4273D" w:rsidRPr="004A7653" w:rsidRDefault="00B4273D" w:rsidP="00B4273D">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0</w:t>
            </w:r>
          </w:p>
        </w:tc>
        <w:tc>
          <w:tcPr>
            <w:tcW w:w="1176" w:type="dxa"/>
            <w:gridSpan w:val="2"/>
            <w:tcBorders>
              <w:top w:val="single" w:sz="4" w:space="0" w:color="auto"/>
              <w:bottom w:val="single" w:sz="4" w:space="0" w:color="auto"/>
            </w:tcBorders>
            <w:shd w:val="clear" w:color="auto" w:fill="auto"/>
            <w:vAlign w:val="center"/>
          </w:tcPr>
          <w:p w14:paraId="542F5956" w14:textId="2F10A92F" w:rsidR="00B4273D" w:rsidRPr="004A7653" w:rsidRDefault="00B4273D" w:rsidP="00B4273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1 279 875</w:t>
            </w:r>
          </w:p>
        </w:tc>
        <w:tc>
          <w:tcPr>
            <w:tcW w:w="1049" w:type="dxa"/>
            <w:gridSpan w:val="3"/>
            <w:tcBorders>
              <w:top w:val="single" w:sz="4" w:space="0" w:color="auto"/>
              <w:bottom w:val="single" w:sz="4" w:space="0" w:color="auto"/>
            </w:tcBorders>
            <w:shd w:val="clear" w:color="auto" w:fill="auto"/>
            <w:vAlign w:val="center"/>
          </w:tcPr>
          <w:p w14:paraId="37832BEF" w14:textId="2D373E73" w:rsidR="00B4273D" w:rsidRPr="004A7653" w:rsidRDefault="00B4273D" w:rsidP="00B4273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737" w:type="dxa"/>
            <w:tcBorders>
              <w:top w:val="single" w:sz="4" w:space="0" w:color="auto"/>
              <w:bottom w:val="single" w:sz="4" w:space="0" w:color="auto"/>
            </w:tcBorders>
            <w:shd w:val="clear" w:color="auto" w:fill="auto"/>
            <w:vAlign w:val="center"/>
          </w:tcPr>
          <w:p w14:paraId="3E3934AF" w14:textId="3B639B78" w:rsidR="00B4273D" w:rsidRPr="004A7653" w:rsidRDefault="00B4273D" w:rsidP="00B4273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0</w:t>
            </w:r>
          </w:p>
        </w:tc>
        <w:tc>
          <w:tcPr>
            <w:tcW w:w="1048" w:type="dxa"/>
            <w:gridSpan w:val="2"/>
            <w:tcBorders>
              <w:top w:val="single" w:sz="4" w:space="0" w:color="auto"/>
              <w:bottom w:val="single" w:sz="4" w:space="0" w:color="auto"/>
            </w:tcBorders>
            <w:shd w:val="clear" w:color="auto" w:fill="auto"/>
            <w:vAlign w:val="center"/>
          </w:tcPr>
          <w:p w14:paraId="33A6F4A4" w14:textId="77500E53" w:rsidR="00B4273D" w:rsidRPr="004A7653" w:rsidRDefault="00B4273D" w:rsidP="00B4273D">
            <w:pPr>
              <w:spacing w:after="0" w:line="240" w:lineRule="auto"/>
              <w:jc w:val="right"/>
              <w:rPr>
                <w:rFonts w:eastAsia="Times New Roman" w:cs="Times New Roman"/>
                <w:b/>
                <w:color w:val="17365D"/>
                <w:sz w:val="18"/>
                <w:szCs w:val="18"/>
                <w:lang w:eastAsia="lv-LV"/>
              </w:rPr>
            </w:pPr>
            <w:r w:rsidRPr="004A7653">
              <w:rPr>
                <w:rFonts w:eastAsia="Times New Roman" w:cs="Times New Roman"/>
                <w:b/>
                <w:color w:val="17365D"/>
                <w:sz w:val="18"/>
                <w:szCs w:val="18"/>
                <w:lang w:eastAsia="lv-LV"/>
              </w:rPr>
              <w:t>1 279 875</w:t>
            </w:r>
          </w:p>
        </w:tc>
      </w:tr>
      <w:tr w:rsidR="000C1009" w:rsidRPr="00A27896" w14:paraId="499F70C1" w14:textId="77777777" w:rsidTr="00EC3A89">
        <w:trPr>
          <w:trHeight w:val="68"/>
          <w:jc w:val="center"/>
        </w:trPr>
        <w:tc>
          <w:tcPr>
            <w:tcW w:w="2598" w:type="dxa"/>
            <w:gridSpan w:val="2"/>
            <w:tcBorders>
              <w:top w:val="single" w:sz="4" w:space="0" w:color="17365D"/>
              <w:left w:val="nil"/>
              <w:bottom w:val="nil"/>
              <w:right w:val="nil"/>
            </w:tcBorders>
            <w:shd w:val="clear" w:color="000000" w:fill="B9CDE5"/>
            <w:noWrap/>
            <w:vAlign w:val="center"/>
            <w:hideMark/>
          </w:tcPr>
          <w:p w14:paraId="2BDEA3EE" w14:textId="77777777" w:rsidR="00345BCC" w:rsidRPr="00A27896" w:rsidRDefault="00345BCC" w:rsidP="00345BCC">
            <w:pPr>
              <w:spacing w:after="0" w:line="240" w:lineRule="auto"/>
              <w:ind w:left="-57" w:right="-57"/>
              <w:jc w:val="center"/>
              <w:rPr>
                <w:rFonts w:eastAsia="Times New Roman" w:cs="Times New Roman"/>
                <w:color w:val="17365D"/>
                <w:sz w:val="17"/>
                <w:szCs w:val="17"/>
                <w:lang w:eastAsia="lv-LV"/>
              </w:rPr>
            </w:pPr>
            <w:r w:rsidRPr="00A27896">
              <w:rPr>
                <w:rFonts w:eastAsia="Times New Roman" w:cs="Times New Roman"/>
                <w:color w:val="17365D"/>
                <w:sz w:val="17"/>
                <w:szCs w:val="17"/>
                <w:lang w:eastAsia="lv-LV"/>
              </w:rPr>
              <w:t> </w:t>
            </w:r>
          </w:p>
        </w:tc>
        <w:tc>
          <w:tcPr>
            <w:tcW w:w="4168" w:type="dxa"/>
            <w:gridSpan w:val="7"/>
            <w:tcBorders>
              <w:top w:val="single" w:sz="4" w:space="0" w:color="17365D"/>
              <w:left w:val="nil"/>
              <w:bottom w:val="nil"/>
              <w:right w:val="nil"/>
            </w:tcBorders>
            <w:shd w:val="clear" w:color="000000" w:fill="B9CDE5"/>
            <w:noWrap/>
            <w:vAlign w:val="center"/>
            <w:hideMark/>
          </w:tcPr>
          <w:p w14:paraId="1743A307" w14:textId="77777777" w:rsidR="00345BCC" w:rsidRPr="00A27896" w:rsidRDefault="00345BCC" w:rsidP="00345BCC">
            <w:pPr>
              <w:spacing w:after="0" w:line="240" w:lineRule="auto"/>
              <w:ind w:left="-57" w:right="-57"/>
              <w:jc w:val="right"/>
              <w:rPr>
                <w:rFonts w:eastAsia="Times New Roman" w:cs="Times New Roman"/>
                <w:color w:val="17365D"/>
                <w:sz w:val="17"/>
                <w:szCs w:val="17"/>
                <w:lang w:eastAsia="lv-LV"/>
              </w:rPr>
            </w:pPr>
            <w:r w:rsidRPr="00A27896">
              <w:rPr>
                <w:rFonts w:eastAsia="Times New Roman" w:cs="Times New Roman"/>
                <w:color w:val="17365D"/>
                <w:sz w:val="17"/>
                <w:szCs w:val="17"/>
                <w:lang w:eastAsia="lv-LV"/>
              </w:rPr>
              <w:t> </w:t>
            </w:r>
          </w:p>
        </w:tc>
        <w:tc>
          <w:tcPr>
            <w:tcW w:w="2590" w:type="dxa"/>
            <w:gridSpan w:val="5"/>
            <w:tcBorders>
              <w:top w:val="single" w:sz="4" w:space="0" w:color="17365D"/>
              <w:left w:val="nil"/>
              <w:bottom w:val="nil"/>
              <w:right w:val="nil"/>
            </w:tcBorders>
            <w:shd w:val="clear" w:color="000000" w:fill="B9CDE5"/>
            <w:vAlign w:val="center"/>
            <w:hideMark/>
          </w:tcPr>
          <w:p w14:paraId="18D1F48C" w14:textId="6A8E581D" w:rsidR="00345BCC" w:rsidRPr="00A27896" w:rsidRDefault="00345BCC" w:rsidP="00345BCC">
            <w:pPr>
              <w:spacing w:after="0" w:line="240" w:lineRule="auto"/>
              <w:ind w:left="-57" w:right="-57"/>
              <w:jc w:val="right"/>
              <w:rPr>
                <w:rFonts w:eastAsia="Times New Roman" w:cs="Times New Roman"/>
                <w:color w:val="17365D"/>
                <w:sz w:val="17"/>
                <w:szCs w:val="17"/>
                <w:lang w:eastAsia="lv-LV"/>
              </w:rPr>
            </w:pPr>
            <w:r w:rsidRPr="00A27896">
              <w:rPr>
                <w:rFonts w:eastAsia="Times New Roman" w:cs="Times New Roman"/>
                <w:color w:val="17365D"/>
                <w:sz w:val="17"/>
                <w:szCs w:val="17"/>
                <w:lang w:eastAsia="lv-LV"/>
              </w:rPr>
              <w:t> </w:t>
            </w:r>
          </w:p>
        </w:tc>
      </w:tr>
    </w:tbl>
    <w:p w14:paraId="3052C269" w14:textId="55BDBC21" w:rsidR="009D5F79" w:rsidRDefault="009D5F79" w:rsidP="00934128">
      <w:pPr>
        <w:pStyle w:val="CommentText"/>
        <w:spacing w:after="0" w:line="240" w:lineRule="auto"/>
        <w:ind w:right="-2"/>
        <w:jc w:val="both"/>
        <w:rPr>
          <w:rFonts w:eastAsia="Times New Roman" w:cs="Times New Roman"/>
          <w:bCs/>
          <w:i/>
          <w:iCs/>
          <w:color w:val="17365D"/>
          <w:szCs w:val="18"/>
          <w:lang w:eastAsia="lv-LV"/>
        </w:rPr>
      </w:pPr>
      <w:r w:rsidRPr="00A27896">
        <w:rPr>
          <w:rFonts w:eastAsia="Times New Roman" w:cs="Times New Roman"/>
          <w:bCs/>
          <w:i/>
          <w:iCs/>
          <w:color w:val="17365D"/>
          <w:szCs w:val="18"/>
          <w:lang w:eastAsia="lv-LV"/>
        </w:rPr>
        <w:t>*uzrādīta salīdzinošā informācija uz pārskata perioda sākumu par tiem atvasinātiem finanšu instrumentiem, kuri uz 31.12.202</w:t>
      </w:r>
      <w:r w:rsidR="006C792B" w:rsidRPr="00A27896">
        <w:rPr>
          <w:rFonts w:eastAsia="Times New Roman" w:cs="Times New Roman"/>
          <w:bCs/>
          <w:i/>
          <w:iCs/>
          <w:color w:val="17365D"/>
          <w:szCs w:val="18"/>
          <w:lang w:eastAsia="lv-LV"/>
        </w:rPr>
        <w:t>2</w:t>
      </w:r>
      <w:r w:rsidRPr="00A27896">
        <w:rPr>
          <w:rFonts w:eastAsia="Times New Roman" w:cs="Times New Roman"/>
          <w:bCs/>
          <w:i/>
          <w:iCs/>
          <w:color w:val="17365D"/>
          <w:szCs w:val="18"/>
          <w:lang w:eastAsia="lv-LV"/>
        </w:rPr>
        <w:t>. tiek uzskaitīti kā riska ierobežošanas instrumenti</w:t>
      </w:r>
    </w:p>
    <w:p w14:paraId="6AE71FEB" w14:textId="34BC8DB4" w:rsidR="00F03B90" w:rsidRDefault="00F03B90" w:rsidP="00934128">
      <w:pPr>
        <w:pStyle w:val="CommentText"/>
        <w:spacing w:after="0" w:line="240" w:lineRule="auto"/>
        <w:ind w:right="-2"/>
        <w:jc w:val="both"/>
        <w:rPr>
          <w:rFonts w:eastAsia="Times New Roman" w:cs="Times New Roman"/>
          <w:bCs/>
          <w:i/>
          <w:iCs/>
          <w:color w:val="17365D"/>
          <w:szCs w:val="18"/>
          <w:lang w:eastAsia="lv-LV"/>
        </w:rPr>
      </w:pPr>
    </w:p>
    <w:p w14:paraId="4094F082" w14:textId="40583C95" w:rsidR="00F03B90" w:rsidRDefault="00F03B90" w:rsidP="00934128">
      <w:pPr>
        <w:pStyle w:val="CommentText"/>
        <w:spacing w:after="0" w:line="240" w:lineRule="auto"/>
        <w:ind w:right="-2"/>
        <w:jc w:val="both"/>
        <w:rPr>
          <w:rFonts w:eastAsia="Times New Roman" w:cs="Times New Roman"/>
          <w:bCs/>
          <w:i/>
          <w:iCs/>
          <w:color w:val="17365D"/>
          <w:szCs w:val="18"/>
          <w:lang w:eastAsia="lv-LV"/>
        </w:rPr>
      </w:pPr>
    </w:p>
    <w:p w14:paraId="1418E717" w14:textId="76ADB094" w:rsidR="00EC3A89" w:rsidRDefault="00EC3A89" w:rsidP="00934128">
      <w:pPr>
        <w:pStyle w:val="CommentText"/>
        <w:spacing w:after="0" w:line="240" w:lineRule="auto"/>
        <w:ind w:right="-2"/>
        <w:jc w:val="both"/>
        <w:rPr>
          <w:rFonts w:eastAsia="Times New Roman" w:cs="Times New Roman"/>
          <w:bCs/>
          <w:i/>
          <w:iCs/>
          <w:color w:val="17365D"/>
          <w:szCs w:val="18"/>
          <w:lang w:eastAsia="lv-LV"/>
        </w:rPr>
      </w:pPr>
    </w:p>
    <w:p w14:paraId="005C0BB1" w14:textId="77777777" w:rsidR="00EC3A89" w:rsidRPr="00A27896" w:rsidRDefault="00EC3A89" w:rsidP="00934128">
      <w:pPr>
        <w:pStyle w:val="CommentText"/>
        <w:spacing w:after="0" w:line="240" w:lineRule="auto"/>
        <w:ind w:right="-2"/>
        <w:jc w:val="both"/>
        <w:rPr>
          <w:rFonts w:eastAsia="Times New Roman" w:cs="Times New Roman"/>
          <w:bCs/>
          <w:i/>
          <w:iCs/>
          <w:color w:val="17365D"/>
          <w:szCs w:val="18"/>
          <w:lang w:eastAsia="lv-LV"/>
        </w:rPr>
      </w:pPr>
    </w:p>
    <w:p w14:paraId="025B009C" w14:textId="338BAB75" w:rsidR="00CE2433" w:rsidRPr="00A27896" w:rsidRDefault="00A31677" w:rsidP="001E6F19">
      <w:pPr>
        <w:pStyle w:val="Heading7"/>
        <w:jc w:val="both"/>
        <w:rPr>
          <w:rFonts w:ascii="Times New Roman" w:hAnsi="Times New Roman" w:cs="Times New Roman"/>
          <w:iCs w:val="0"/>
          <w:color w:val="17365D"/>
        </w:rPr>
      </w:pPr>
      <w:r w:rsidRPr="00A27896">
        <w:rPr>
          <w:rFonts w:ascii="Times New Roman" w:eastAsiaTheme="minorHAnsi" w:hAnsi="Times New Roman" w:cs="Times New Roman"/>
          <w:b/>
          <w:i w:val="0"/>
          <w:iCs w:val="0"/>
          <w:color w:val="17365D"/>
          <w:sz w:val="24"/>
        </w:rPr>
        <w:lastRenderedPageBreak/>
        <w:t>Valsts kases izmantoto atvasināto finanšu instrumentu ilgtermiņa un īstermiņa daļu bilances vērtību termiņanalīze</w:t>
      </w:r>
    </w:p>
    <w:p w14:paraId="20C8269D" w14:textId="05C6259B" w:rsidR="00E00313" w:rsidRPr="00A27896" w:rsidRDefault="009E4ABD" w:rsidP="00CE2433">
      <w:pPr>
        <w:spacing w:after="0" w:line="240" w:lineRule="auto"/>
        <w:ind w:left="142"/>
        <w:jc w:val="right"/>
        <w:rPr>
          <w:rFonts w:cs="Times New Roman"/>
          <w:i/>
          <w:color w:val="17365D"/>
          <w:sz w:val="20"/>
        </w:rPr>
      </w:pPr>
      <w:r>
        <w:rPr>
          <w:rFonts w:cs="Times New Roman"/>
          <w:i/>
          <w:color w:val="17365D"/>
          <w:sz w:val="20"/>
        </w:rPr>
        <w:t>1.</w:t>
      </w:r>
      <w:r w:rsidR="00CA17B2" w:rsidRPr="006213DE">
        <w:rPr>
          <w:rFonts w:cs="Times New Roman"/>
          <w:i/>
          <w:color w:val="17365D"/>
          <w:sz w:val="20"/>
        </w:rPr>
        <w:t>3</w:t>
      </w:r>
      <w:r w:rsidR="006213DE" w:rsidRPr="006213DE">
        <w:rPr>
          <w:rFonts w:cs="Times New Roman"/>
          <w:i/>
          <w:color w:val="17365D"/>
          <w:sz w:val="20"/>
        </w:rPr>
        <w:t>8</w:t>
      </w:r>
      <w:r w:rsidR="00E00313" w:rsidRPr="006213DE">
        <w:rPr>
          <w:rFonts w:cs="Times New Roman"/>
          <w:i/>
          <w:color w:val="17365D"/>
          <w:sz w:val="20"/>
        </w:rPr>
        <w:t>.</w:t>
      </w:r>
      <w:r w:rsidR="00D2147C" w:rsidRPr="006213DE">
        <w:rPr>
          <w:rFonts w:cs="Times New Roman"/>
          <w:i/>
          <w:color w:val="17365D"/>
          <w:sz w:val="20"/>
        </w:rPr>
        <w:t xml:space="preserve"> </w:t>
      </w:r>
      <w:r w:rsidR="00E00313" w:rsidRPr="006213DE">
        <w:rPr>
          <w:rFonts w:cs="Times New Roman"/>
          <w:i/>
          <w:color w:val="17365D"/>
          <w:sz w:val="20"/>
        </w:rPr>
        <w:t>tabula</w:t>
      </w:r>
      <w:r w:rsidR="00797B92" w:rsidRPr="00A27896">
        <w:rPr>
          <w:rFonts w:cs="Times New Roman"/>
          <w:i/>
          <w:color w:val="17365D"/>
          <w:sz w:val="20"/>
        </w:rPr>
        <w:t>.</w:t>
      </w:r>
      <w:r w:rsidR="00E00313" w:rsidRPr="00A27896">
        <w:rPr>
          <w:rFonts w:cs="Times New Roman"/>
          <w:color w:val="17365D"/>
        </w:rPr>
        <w:t xml:space="preserve"> </w:t>
      </w:r>
      <w:r w:rsidR="00E00313" w:rsidRPr="00A27896">
        <w:rPr>
          <w:rFonts w:cs="Times New Roman"/>
          <w:i/>
          <w:color w:val="17365D"/>
          <w:sz w:val="20"/>
        </w:rPr>
        <w:t xml:space="preserve">Valsts kases izmantoto atvasināto finanšu instrumentu </w:t>
      </w:r>
    </w:p>
    <w:p w14:paraId="2033E6FE" w14:textId="74ACB5D2" w:rsidR="00A31677" w:rsidRPr="00A27896" w:rsidRDefault="00E00313" w:rsidP="00CE2433">
      <w:pPr>
        <w:spacing w:after="0" w:line="240" w:lineRule="auto"/>
        <w:ind w:left="142"/>
        <w:jc w:val="right"/>
        <w:rPr>
          <w:rFonts w:cs="Times New Roman"/>
          <w:i/>
          <w:color w:val="17365D"/>
          <w:sz w:val="20"/>
        </w:rPr>
      </w:pPr>
      <w:r w:rsidRPr="00A27896">
        <w:rPr>
          <w:rFonts w:cs="Times New Roman"/>
          <w:i/>
          <w:color w:val="17365D"/>
          <w:sz w:val="20"/>
        </w:rPr>
        <w:t xml:space="preserve">ilgtermiņa un īstermiņa daļu bilances vērtību termiņanalīze </w:t>
      </w:r>
      <w:r w:rsidR="00A31677" w:rsidRPr="00A27896">
        <w:rPr>
          <w:rFonts w:cs="Times New Roman"/>
          <w:i/>
          <w:color w:val="17365D"/>
          <w:sz w:val="20"/>
        </w:rPr>
        <w:t>(euro)</w:t>
      </w:r>
    </w:p>
    <w:tbl>
      <w:tblPr>
        <w:tblW w:w="9368" w:type="dxa"/>
        <w:tblInd w:w="-5" w:type="dxa"/>
        <w:tblBorders>
          <w:insideH w:val="single" w:sz="4" w:space="0" w:color="auto"/>
        </w:tblBorders>
        <w:tblLayout w:type="fixed"/>
        <w:tblCellMar>
          <w:left w:w="0" w:type="dxa"/>
          <w:right w:w="6" w:type="dxa"/>
        </w:tblCellMar>
        <w:tblLook w:val="04A0" w:firstRow="1" w:lastRow="0" w:firstColumn="1" w:lastColumn="0" w:noHBand="0" w:noVBand="1"/>
      </w:tblPr>
      <w:tblGrid>
        <w:gridCol w:w="2699"/>
        <w:gridCol w:w="1702"/>
        <w:gridCol w:w="1702"/>
        <w:gridCol w:w="1562"/>
        <w:gridCol w:w="1703"/>
      </w:tblGrid>
      <w:tr w:rsidR="000C1009" w:rsidRPr="00A27896" w14:paraId="13BED466" w14:textId="77777777" w:rsidTr="009B2FBA">
        <w:trPr>
          <w:trHeight w:val="273"/>
          <w:tblHeader/>
        </w:trPr>
        <w:tc>
          <w:tcPr>
            <w:tcW w:w="2699" w:type="dxa"/>
            <w:vMerge w:val="restart"/>
            <w:shd w:val="clear" w:color="auto" w:fill="B8CCE4" w:themeFill="accent1" w:themeFillTint="66"/>
            <w:vAlign w:val="center"/>
            <w:hideMark/>
          </w:tcPr>
          <w:p w14:paraId="134ABBB2"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Atvasinātie finanšu instrumenti</w:t>
            </w:r>
          </w:p>
        </w:tc>
        <w:tc>
          <w:tcPr>
            <w:tcW w:w="3404" w:type="dxa"/>
            <w:gridSpan w:val="2"/>
            <w:shd w:val="clear" w:color="auto" w:fill="B8CCE4" w:themeFill="accent1" w:themeFillTint="66"/>
            <w:vAlign w:val="center"/>
          </w:tcPr>
          <w:p w14:paraId="350F59EE"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Bilances vērtība</w:t>
            </w:r>
          </w:p>
        </w:tc>
        <w:tc>
          <w:tcPr>
            <w:tcW w:w="3265" w:type="dxa"/>
            <w:gridSpan w:val="2"/>
            <w:shd w:val="clear" w:color="auto" w:fill="B8CCE4" w:themeFill="accent1" w:themeFillTint="66"/>
            <w:tcMar>
              <w:top w:w="0" w:type="dxa"/>
              <w:left w:w="108" w:type="dxa"/>
              <w:bottom w:w="0" w:type="dxa"/>
              <w:right w:w="108" w:type="dxa"/>
            </w:tcMar>
            <w:vAlign w:val="center"/>
            <w:hideMark/>
          </w:tcPr>
          <w:p w14:paraId="28F9D721"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Bilances vērtība</w:t>
            </w:r>
          </w:p>
        </w:tc>
      </w:tr>
      <w:tr w:rsidR="000C1009" w:rsidRPr="00A27896" w14:paraId="53FF1901" w14:textId="77777777" w:rsidTr="009B2FBA">
        <w:trPr>
          <w:trHeight w:val="121"/>
          <w:tblHeader/>
        </w:trPr>
        <w:tc>
          <w:tcPr>
            <w:tcW w:w="2699" w:type="dxa"/>
            <w:vMerge/>
            <w:shd w:val="clear" w:color="auto" w:fill="B8CCE4" w:themeFill="accent1" w:themeFillTint="66"/>
            <w:vAlign w:val="center"/>
          </w:tcPr>
          <w:p w14:paraId="1AE70481" w14:textId="77777777" w:rsidR="00CB0E2A" w:rsidRPr="00A27896" w:rsidRDefault="00CB0E2A" w:rsidP="00CB0E2A">
            <w:pPr>
              <w:rPr>
                <w:rFonts w:eastAsia="Times New Roman" w:cs="Times New Roman"/>
                <w:b/>
                <w:color w:val="17365D"/>
                <w:sz w:val="18"/>
                <w:szCs w:val="18"/>
                <w:lang w:eastAsia="lv-LV"/>
              </w:rPr>
            </w:pPr>
          </w:p>
        </w:tc>
        <w:tc>
          <w:tcPr>
            <w:tcW w:w="3404" w:type="dxa"/>
            <w:gridSpan w:val="2"/>
            <w:shd w:val="clear" w:color="auto" w:fill="B8CCE4" w:themeFill="accent1" w:themeFillTint="66"/>
            <w:vAlign w:val="center"/>
          </w:tcPr>
          <w:p w14:paraId="2BA48C3A"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beigās</w:t>
            </w:r>
          </w:p>
        </w:tc>
        <w:tc>
          <w:tcPr>
            <w:tcW w:w="3265" w:type="dxa"/>
            <w:gridSpan w:val="2"/>
            <w:shd w:val="clear" w:color="auto" w:fill="B8CCE4" w:themeFill="accent1" w:themeFillTint="66"/>
            <w:tcMar>
              <w:top w:w="0" w:type="dxa"/>
              <w:left w:w="108" w:type="dxa"/>
              <w:bottom w:w="0" w:type="dxa"/>
              <w:right w:w="108" w:type="dxa"/>
            </w:tcMar>
            <w:vAlign w:val="center"/>
          </w:tcPr>
          <w:p w14:paraId="62A44BDC"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Pārskata perioda sākumā</w:t>
            </w:r>
          </w:p>
        </w:tc>
      </w:tr>
      <w:tr w:rsidR="000C1009" w:rsidRPr="00A27896" w14:paraId="1CDFFC8F" w14:textId="77777777" w:rsidTr="009F2382">
        <w:trPr>
          <w:tblHeader/>
        </w:trPr>
        <w:tc>
          <w:tcPr>
            <w:tcW w:w="2699" w:type="dxa"/>
            <w:vMerge/>
            <w:tcBorders>
              <w:bottom w:val="single" w:sz="4" w:space="0" w:color="17365D"/>
            </w:tcBorders>
            <w:shd w:val="clear" w:color="auto" w:fill="B8CCE4" w:themeFill="accent1" w:themeFillTint="66"/>
            <w:vAlign w:val="center"/>
            <w:hideMark/>
          </w:tcPr>
          <w:p w14:paraId="7C6F0C48" w14:textId="77777777" w:rsidR="00CB0E2A" w:rsidRPr="00A27896" w:rsidRDefault="00CB0E2A" w:rsidP="00CB0E2A">
            <w:pPr>
              <w:rPr>
                <w:rFonts w:eastAsia="Times New Roman" w:cs="Times New Roman"/>
                <w:b/>
                <w:color w:val="17365D"/>
                <w:sz w:val="18"/>
                <w:szCs w:val="18"/>
                <w:lang w:eastAsia="lv-LV"/>
              </w:rPr>
            </w:pPr>
          </w:p>
        </w:tc>
        <w:tc>
          <w:tcPr>
            <w:tcW w:w="1702" w:type="dxa"/>
            <w:tcBorders>
              <w:bottom w:val="single" w:sz="4" w:space="0" w:color="17365D"/>
            </w:tcBorders>
            <w:shd w:val="clear" w:color="auto" w:fill="B8CCE4" w:themeFill="accent1" w:themeFillTint="66"/>
            <w:vAlign w:val="center"/>
          </w:tcPr>
          <w:p w14:paraId="4B372CF4"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Aktīvs</w:t>
            </w:r>
          </w:p>
        </w:tc>
        <w:tc>
          <w:tcPr>
            <w:tcW w:w="1702" w:type="dxa"/>
            <w:tcBorders>
              <w:bottom w:val="single" w:sz="4" w:space="0" w:color="17365D"/>
            </w:tcBorders>
            <w:shd w:val="clear" w:color="auto" w:fill="B8CCE4" w:themeFill="accent1" w:themeFillTint="66"/>
            <w:vAlign w:val="center"/>
          </w:tcPr>
          <w:p w14:paraId="1EC45DCA" w14:textId="77777777" w:rsidR="00CB0E2A" w:rsidRPr="00A27896" w:rsidRDefault="00CB0E2A" w:rsidP="00CB0E2A">
            <w:pPr>
              <w:spacing w:after="0" w:line="240" w:lineRule="auto"/>
              <w:ind w:right="142"/>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Pasīvs</w:t>
            </w:r>
          </w:p>
        </w:tc>
        <w:tc>
          <w:tcPr>
            <w:tcW w:w="1562" w:type="dxa"/>
            <w:tcBorders>
              <w:bottom w:val="single" w:sz="4" w:space="0" w:color="17365D"/>
            </w:tcBorders>
            <w:shd w:val="clear" w:color="auto" w:fill="B8CCE4" w:themeFill="accent1" w:themeFillTint="66"/>
            <w:tcMar>
              <w:top w:w="0" w:type="dxa"/>
              <w:left w:w="108" w:type="dxa"/>
              <w:bottom w:w="0" w:type="dxa"/>
              <w:right w:w="108" w:type="dxa"/>
            </w:tcMar>
            <w:vAlign w:val="center"/>
            <w:hideMark/>
          </w:tcPr>
          <w:p w14:paraId="6E4EDD5B"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Aktīvs</w:t>
            </w:r>
          </w:p>
        </w:tc>
        <w:tc>
          <w:tcPr>
            <w:tcW w:w="1703" w:type="dxa"/>
            <w:tcBorders>
              <w:bottom w:val="single" w:sz="4" w:space="0" w:color="17365D"/>
            </w:tcBorders>
            <w:shd w:val="clear" w:color="auto" w:fill="B8CCE4" w:themeFill="accent1" w:themeFillTint="66"/>
            <w:tcMar>
              <w:top w:w="0" w:type="dxa"/>
              <w:left w:w="108" w:type="dxa"/>
              <w:bottom w:w="0" w:type="dxa"/>
              <w:right w:w="108" w:type="dxa"/>
            </w:tcMar>
            <w:vAlign w:val="center"/>
            <w:hideMark/>
          </w:tcPr>
          <w:p w14:paraId="628ED721"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Pasīvs</w:t>
            </w:r>
          </w:p>
        </w:tc>
      </w:tr>
      <w:tr w:rsidR="000C1009" w:rsidRPr="00A27896" w14:paraId="32E27FBE" w14:textId="77777777" w:rsidTr="009F2382">
        <w:trPr>
          <w:tblHeader/>
        </w:trPr>
        <w:tc>
          <w:tcPr>
            <w:tcW w:w="2699" w:type="dxa"/>
            <w:tcBorders>
              <w:top w:val="single" w:sz="4" w:space="0" w:color="17365D"/>
              <w:bottom w:val="single" w:sz="4" w:space="0" w:color="17365D"/>
            </w:tcBorders>
            <w:shd w:val="clear" w:color="auto" w:fill="auto"/>
            <w:vAlign w:val="center"/>
          </w:tcPr>
          <w:p w14:paraId="57E8BF2F"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A</w:t>
            </w:r>
          </w:p>
        </w:tc>
        <w:tc>
          <w:tcPr>
            <w:tcW w:w="1702" w:type="dxa"/>
            <w:tcBorders>
              <w:top w:val="single" w:sz="4" w:space="0" w:color="17365D"/>
              <w:bottom w:val="single" w:sz="4" w:space="0" w:color="17365D"/>
            </w:tcBorders>
            <w:shd w:val="clear" w:color="auto" w:fill="auto"/>
            <w:vAlign w:val="center"/>
          </w:tcPr>
          <w:p w14:paraId="16FB419F"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w:t>
            </w:r>
          </w:p>
        </w:tc>
        <w:tc>
          <w:tcPr>
            <w:tcW w:w="1702" w:type="dxa"/>
            <w:tcBorders>
              <w:top w:val="single" w:sz="4" w:space="0" w:color="17365D"/>
              <w:bottom w:val="single" w:sz="4" w:space="0" w:color="17365D"/>
            </w:tcBorders>
            <w:shd w:val="clear" w:color="auto" w:fill="auto"/>
            <w:vAlign w:val="center"/>
          </w:tcPr>
          <w:p w14:paraId="4011388B" w14:textId="77777777" w:rsidR="00CB0E2A" w:rsidRPr="00A27896" w:rsidRDefault="00CB0E2A" w:rsidP="00CB0E2A">
            <w:pPr>
              <w:spacing w:after="0" w:line="240" w:lineRule="auto"/>
              <w:ind w:right="142"/>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2</w:t>
            </w:r>
          </w:p>
        </w:tc>
        <w:tc>
          <w:tcPr>
            <w:tcW w:w="1562" w:type="dxa"/>
            <w:tcBorders>
              <w:top w:val="single" w:sz="4" w:space="0" w:color="17365D"/>
              <w:bottom w:val="single" w:sz="4" w:space="0" w:color="17365D"/>
            </w:tcBorders>
            <w:shd w:val="clear" w:color="auto" w:fill="auto"/>
            <w:tcMar>
              <w:top w:w="0" w:type="dxa"/>
              <w:left w:w="108" w:type="dxa"/>
              <w:bottom w:w="0" w:type="dxa"/>
              <w:right w:w="108" w:type="dxa"/>
            </w:tcMar>
            <w:vAlign w:val="center"/>
          </w:tcPr>
          <w:p w14:paraId="6FB306C8"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3</w:t>
            </w:r>
          </w:p>
        </w:tc>
        <w:tc>
          <w:tcPr>
            <w:tcW w:w="1703" w:type="dxa"/>
            <w:tcBorders>
              <w:top w:val="single" w:sz="4" w:space="0" w:color="17365D"/>
              <w:bottom w:val="single" w:sz="4" w:space="0" w:color="17365D"/>
            </w:tcBorders>
            <w:shd w:val="clear" w:color="auto" w:fill="auto"/>
            <w:tcMar>
              <w:top w:w="0" w:type="dxa"/>
              <w:left w:w="108" w:type="dxa"/>
              <w:bottom w:w="0" w:type="dxa"/>
              <w:right w:w="108" w:type="dxa"/>
            </w:tcMar>
            <w:vAlign w:val="center"/>
          </w:tcPr>
          <w:p w14:paraId="42182223" w14:textId="77777777" w:rsidR="00CB0E2A" w:rsidRPr="00A27896" w:rsidRDefault="00CB0E2A" w:rsidP="00CB0E2A">
            <w:pPr>
              <w:spacing w:after="0" w:line="240" w:lineRule="auto"/>
              <w:jc w:val="center"/>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4</w:t>
            </w:r>
          </w:p>
        </w:tc>
      </w:tr>
      <w:tr w:rsidR="009F3593" w:rsidRPr="00A27896" w14:paraId="18F547A6" w14:textId="77777777" w:rsidTr="00A27544">
        <w:tc>
          <w:tcPr>
            <w:tcW w:w="2699" w:type="dxa"/>
            <w:tcBorders>
              <w:top w:val="single" w:sz="4" w:space="0" w:color="17365D"/>
              <w:bottom w:val="single" w:sz="4" w:space="0" w:color="17365D"/>
            </w:tcBorders>
            <w:tcMar>
              <w:top w:w="0" w:type="dxa"/>
              <w:left w:w="108" w:type="dxa"/>
              <w:bottom w:w="0" w:type="dxa"/>
              <w:right w:w="108" w:type="dxa"/>
            </w:tcMar>
            <w:vAlign w:val="center"/>
          </w:tcPr>
          <w:p w14:paraId="40AFDF49" w14:textId="6849035C" w:rsidR="009F3593" w:rsidRPr="00A27896" w:rsidRDefault="009F3593" w:rsidP="009F3593">
            <w:pPr>
              <w:spacing w:after="0" w:line="240" w:lineRule="auto"/>
              <w:ind w:left="-57" w:right="-57"/>
              <w:rPr>
                <w:rFonts w:eastAsia="Times New Roman" w:cs="Times New Roman"/>
                <w:b/>
                <w:color w:val="17365D"/>
                <w:sz w:val="16"/>
                <w:szCs w:val="16"/>
                <w:lang w:eastAsia="lv-LV"/>
              </w:rPr>
            </w:pPr>
            <w:r w:rsidRPr="00A27896">
              <w:rPr>
                <w:rFonts w:eastAsia="Times New Roman" w:cs="Times New Roman"/>
                <w:b/>
                <w:color w:val="17365D"/>
                <w:sz w:val="16"/>
                <w:szCs w:val="16"/>
                <w:lang w:eastAsia="lv-LV"/>
              </w:rPr>
              <w:t>Atvasinātie finanšu instrumenti, kopā</w:t>
            </w:r>
          </w:p>
        </w:tc>
        <w:tc>
          <w:tcPr>
            <w:tcW w:w="1702" w:type="dxa"/>
            <w:tcBorders>
              <w:top w:val="single" w:sz="4" w:space="0" w:color="17365D"/>
              <w:bottom w:val="single" w:sz="4" w:space="0" w:color="17365D"/>
            </w:tcBorders>
            <w:tcMar>
              <w:right w:w="57" w:type="dxa"/>
            </w:tcMar>
            <w:vAlign w:val="center"/>
          </w:tcPr>
          <w:p w14:paraId="3615B7DB" w14:textId="5611956E" w:rsidR="009F3593" w:rsidRPr="00A27896" w:rsidRDefault="009F3593" w:rsidP="007C7CF0">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0</w:t>
            </w:r>
          </w:p>
        </w:tc>
        <w:tc>
          <w:tcPr>
            <w:tcW w:w="1702" w:type="dxa"/>
            <w:tcBorders>
              <w:top w:val="single" w:sz="4" w:space="0" w:color="17365D"/>
              <w:bottom w:val="single" w:sz="4" w:space="0" w:color="17365D"/>
            </w:tcBorders>
            <w:tcMar>
              <w:right w:w="57" w:type="dxa"/>
            </w:tcMar>
            <w:vAlign w:val="center"/>
          </w:tcPr>
          <w:p w14:paraId="7A3B1935" w14:textId="3821AF4F" w:rsidR="009F3593" w:rsidRPr="00A27896" w:rsidRDefault="009F3593" w:rsidP="007C7CF0">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c>
          <w:tcPr>
            <w:tcW w:w="1562" w:type="dxa"/>
            <w:tcBorders>
              <w:top w:val="single" w:sz="4" w:space="0" w:color="17365D"/>
              <w:bottom w:val="single" w:sz="4" w:space="0" w:color="17365D"/>
            </w:tcBorders>
            <w:noWrap/>
            <w:tcMar>
              <w:top w:w="0" w:type="dxa"/>
              <w:left w:w="0" w:type="dxa"/>
              <w:bottom w:w="0" w:type="dxa"/>
              <w:right w:w="85" w:type="dxa"/>
            </w:tcMar>
            <w:vAlign w:val="center"/>
          </w:tcPr>
          <w:p w14:paraId="4842FF7D" w14:textId="0A6B5AB3" w:rsidR="009F3593" w:rsidRPr="00A27896" w:rsidRDefault="009F3593" w:rsidP="007C7CF0">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1 226 971</w:t>
            </w:r>
          </w:p>
        </w:tc>
        <w:tc>
          <w:tcPr>
            <w:tcW w:w="1703" w:type="dxa"/>
            <w:tcBorders>
              <w:top w:val="single" w:sz="4" w:space="0" w:color="17365D"/>
              <w:bottom w:val="single" w:sz="4" w:space="0" w:color="17365D"/>
            </w:tcBorders>
            <w:noWrap/>
            <w:tcMar>
              <w:top w:w="0" w:type="dxa"/>
              <w:left w:w="0" w:type="dxa"/>
              <w:bottom w:w="0" w:type="dxa"/>
              <w:right w:w="85" w:type="dxa"/>
            </w:tcMar>
            <w:vAlign w:val="center"/>
          </w:tcPr>
          <w:p w14:paraId="4D50345A" w14:textId="5383319C" w:rsidR="009F3593" w:rsidRPr="00A27896" w:rsidRDefault="009F3593" w:rsidP="007C7CF0">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r>
      <w:tr w:rsidR="009F3593" w:rsidRPr="00A27896" w14:paraId="6B264C9A" w14:textId="77777777" w:rsidTr="0094595A">
        <w:tc>
          <w:tcPr>
            <w:tcW w:w="2699" w:type="dxa"/>
            <w:tcBorders>
              <w:top w:val="single" w:sz="4" w:space="0" w:color="17365D"/>
              <w:bottom w:val="single" w:sz="4" w:space="0" w:color="17365D"/>
            </w:tcBorders>
            <w:tcMar>
              <w:top w:w="0" w:type="dxa"/>
              <w:left w:w="108" w:type="dxa"/>
              <w:bottom w:w="0" w:type="dxa"/>
              <w:right w:w="108" w:type="dxa"/>
            </w:tcMar>
            <w:vAlign w:val="center"/>
          </w:tcPr>
          <w:p w14:paraId="18FC63F7" w14:textId="03C331B2" w:rsidR="009F3593" w:rsidRPr="00A27896" w:rsidRDefault="009F3593" w:rsidP="009F3593">
            <w:pPr>
              <w:spacing w:after="0" w:line="240" w:lineRule="auto"/>
              <w:ind w:left="-57" w:right="-57"/>
              <w:rPr>
                <w:rFonts w:eastAsia="Times New Roman" w:cs="Times New Roman"/>
                <w:b/>
                <w:color w:val="17365D"/>
                <w:sz w:val="16"/>
                <w:szCs w:val="16"/>
                <w:lang w:eastAsia="lv-LV"/>
              </w:rPr>
            </w:pPr>
            <w:r w:rsidRPr="00A27896">
              <w:rPr>
                <w:rFonts w:eastAsia="Times New Roman" w:cs="Times New Roman"/>
                <w:b/>
                <w:color w:val="17365D"/>
                <w:sz w:val="16"/>
                <w:szCs w:val="16"/>
                <w:lang w:eastAsia="lv-LV"/>
              </w:rPr>
              <w:t>Riska ierobežošanai noteiktie atvasinātie finanšu instrumenti, kopā</w:t>
            </w:r>
          </w:p>
        </w:tc>
        <w:tc>
          <w:tcPr>
            <w:tcW w:w="1702" w:type="dxa"/>
            <w:tcBorders>
              <w:top w:val="single" w:sz="4" w:space="0" w:color="17365D"/>
              <w:bottom w:val="single" w:sz="4" w:space="0" w:color="17365D"/>
            </w:tcBorders>
            <w:tcMar>
              <w:right w:w="57" w:type="dxa"/>
            </w:tcMar>
            <w:vAlign w:val="center"/>
          </w:tcPr>
          <w:p w14:paraId="2593C2D1" w14:textId="6B130A6E" w:rsidR="009F3593" w:rsidRPr="00A27896" w:rsidRDefault="009F3593" w:rsidP="007C7CF0">
            <w:pPr>
              <w:spacing w:after="0" w:line="240" w:lineRule="auto"/>
              <w:jc w:val="right"/>
              <w:rPr>
                <w:rFonts w:eastAsia="Times New Roman" w:cs="Times New Roman"/>
                <w:b/>
                <w:color w:val="17365D"/>
                <w:sz w:val="18"/>
                <w:szCs w:val="18"/>
                <w:lang w:eastAsia="lv-LV"/>
              </w:rPr>
            </w:pPr>
            <w:r>
              <w:rPr>
                <w:rFonts w:eastAsia="Times New Roman" w:cs="Times New Roman"/>
                <w:b/>
                <w:color w:val="17365D"/>
                <w:sz w:val="18"/>
                <w:szCs w:val="18"/>
                <w:lang w:eastAsia="lv-LV"/>
              </w:rPr>
              <w:t>0</w:t>
            </w:r>
          </w:p>
        </w:tc>
        <w:tc>
          <w:tcPr>
            <w:tcW w:w="1702" w:type="dxa"/>
            <w:tcBorders>
              <w:top w:val="single" w:sz="4" w:space="0" w:color="17365D"/>
              <w:bottom w:val="single" w:sz="4" w:space="0" w:color="17365D"/>
            </w:tcBorders>
            <w:tcMar>
              <w:right w:w="57" w:type="dxa"/>
            </w:tcMar>
            <w:vAlign w:val="center"/>
          </w:tcPr>
          <w:p w14:paraId="30A580DD" w14:textId="34A7A7FB" w:rsidR="009F3593" w:rsidRPr="00A27896" w:rsidRDefault="009F3593" w:rsidP="007C7CF0">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c>
          <w:tcPr>
            <w:tcW w:w="1562" w:type="dxa"/>
            <w:tcBorders>
              <w:top w:val="single" w:sz="4" w:space="0" w:color="17365D"/>
              <w:bottom w:val="single" w:sz="4" w:space="0" w:color="17365D"/>
            </w:tcBorders>
            <w:noWrap/>
            <w:tcMar>
              <w:top w:w="0" w:type="dxa"/>
              <w:left w:w="0" w:type="dxa"/>
              <w:bottom w:w="0" w:type="dxa"/>
              <w:right w:w="85" w:type="dxa"/>
            </w:tcMar>
            <w:vAlign w:val="center"/>
          </w:tcPr>
          <w:p w14:paraId="584D7191" w14:textId="54841938" w:rsidR="009F3593" w:rsidRPr="00A27896" w:rsidRDefault="009F3593" w:rsidP="007C7CF0">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1 226 971</w:t>
            </w:r>
          </w:p>
        </w:tc>
        <w:tc>
          <w:tcPr>
            <w:tcW w:w="1703" w:type="dxa"/>
            <w:tcBorders>
              <w:top w:val="single" w:sz="4" w:space="0" w:color="17365D"/>
              <w:bottom w:val="single" w:sz="4" w:space="0" w:color="17365D"/>
            </w:tcBorders>
            <w:noWrap/>
            <w:tcMar>
              <w:top w:w="0" w:type="dxa"/>
              <w:left w:w="0" w:type="dxa"/>
              <w:bottom w:w="0" w:type="dxa"/>
              <w:right w:w="85" w:type="dxa"/>
            </w:tcMar>
            <w:vAlign w:val="center"/>
          </w:tcPr>
          <w:p w14:paraId="2E0AB09D" w14:textId="6AC84B8A" w:rsidR="009F3593" w:rsidRPr="00A27896" w:rsidRDefault="009F3593" w:rsidP="007C7CF0">
            <w:pPr>
              <w:spacing w:after="0" w:line="240" w:lineRule="auto"/>
              <w:jc w:val="right"/>
              <w:rPr>
                <w:rFonts w:eastAsia="Times New Roman" w:cs="Times New Roman"/>
                <w:b/>
                <w:color w:val="17365D"/>
                <w:sz w:val="18"/>
                <w:szCs w:val="18"/>
                <w:lang w:eastAsia="lv-LV"/>
              </w:rPr>
            </w:pPr>
            <w:r w:rsidRPr="00A27896">
              <w:rPr>
                <w:rFonts w:eastAsia="Times New Roman" w:cs="Times New Roman"/>
                <w:b/>
                <w:color w:val="17365D"/>
                <w:sz w:val="18"/>
                <w:szCs w:val="18"/>
                <w:lang w:eastAsia="lv-LV"/>
              </w:rPr>
              <w:t>0</w:t>
            </w:r>
          </w:p>
        </w:tc>
      </w:tr>
      <w:tr w:rsidR="009F3593" w:rsidRPr="00A27896" w14:paraId="39EB3820" w14:textId="77777777" w:rsidTr="0094595A">
        <w:tc>
          <w:tcPr>
            <w:tcW w:w="2699" w:type="dxa"/>
            <w:tcBorders>
              <w:top w:val="single" w:sz="4" w:space="0" w:color="17365D"/>
              <w:bottom w:val="single" w:sz="4" w:space="0" w:color="17365D"/>
            </w:tcBorders>
            <w:tcMar>
              <w:top w:w="0" w:type="dxa"/>
              <w:left w:w="108" w:type="dxa"/>
              <w:bottom w:w="0" w:type="dxa"/>
              <w:right w:w="108" w:type="dxa"/>
            </w:tcMar>
            <w:vAlign w:val="center"/>
          </w:tcPr>
          <w:p w14:paraId="14AF09BE" w14:textId="77A69396" w:rsidR="009F3593" w:rsidRPr="00A27896" w:rsidRDefault="009F3593" w:rsidP="009F3593">
            <w:pPr>
              <w:spacing w:after="0" w:line="240" w:lineRule="auto"/>
              <w:ind w:left="-57"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 xml:space="preserve">Procentu mijmaiņas līgumi (IRS) </w:t>
            </w:r>
          </w:p>
        </w:tc>
        <w:tc>
          <w:tcPr>
            <w:tcW w:w="1702" w:type="dxa"/>
            <w:tcBorders>
              <w:top w:val="single" w:sz="4" w:space="0" w:color="17365D"/>
              <w:bottom w:val="single" w:sz="4" w:space="0" w:color="17365D"/>
            </w:tcBorders>
            <w:tcMar>
              <w:right w:w="57" w:type="dxa"/>
            </w:tcMar>
            <w:vAlign w:val="center"/>
          </w:tcPr>
          <w:p w14:paraId="1A15838F" w14:textId="2106D0F1" w:rsidR="009F3593" w:rsidRPr="00A27896" w:rsidRDefault="009F3593" w:rsidP="007C7CF0">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0</w:t>
            </w:r>
          </w:p>
        </w:tc>
        <w:tc>
          <w:tcPr>
            <w:tcW w:w="1702" w:type="dxa"/>
            <w:tcBorders>
              <w:top w:val="single" w:sz="4" w:space="0" w:color="17365D"/>
              <w:bottom w:val="single" w:sz="4" w:space="0" w:color="17365D"/>
            </w:tcBorders>
            <w:tcMar>
              <w:right w:w="57" w:type="dxa"/>
            </w:tcMar>
            <w:vAlign w:val="center"/>
          </w:tcPr>
          <w:p w14:paraId="4664CE01" w14:textId="19711CC6" w:rsidR="009F3593" w:rsidRPr="00A27896" w:rsidRDefault="009F3593" w:rsidP="007C7CF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562" w:type="dxa"/>
            <w:tcBorders>
              <w:top w:val="single" w:sz="4" w:space="0" w:color="17365D"/>
              <w:bottom w:val="single" w:sz="4" w:space="0" w:color="17365D"/>
            </w:tcBorders>
            <w:noWrap/>
            <w:tcMar>
              <w:top w:w="0" w:type="dxa"/>
              <w:left w:w="0" w:type="dxa"/>
              <w:bottom w:w="0" w:type="dxa"/>
              <w:right w:w="85" w:type="dxa"/>
            </w:tcMar>
            <w:vAlign w:val="center"/>
          </w:tcPr>
          <w:p w14:paraId="243FDA07" w14:textId="1D8A5EEE" w:rsidR="009F3593" w:rsidRPr="00A27896" w:rsidRDefault="009F3593" w:rsidP="007C7CF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1 226 971</w:t>
            </w:r>
          </w:p>
        </w:tc>
        <w:tc>
          <w:tcPr>
            <w:tcW w:w="1703" w:type="dxa"/>
            <w:tcBorders>
              <w:top w:val="single" w:sz="4" w:space="0" w:color="17365D"/>
              <w:bottom w:val="single" w:sz="4" w:space="0" w:color="17365D"/>
            </w:tcBorders>
            <w:noWrap/>
            <w:tcMar>
              <w:top w:w="0" w:type="dxa"/>
              <w:left w:w="0" w:type="dxa"/>
              <w:bottom w:w="0" w:type="dxa"/>
              <w:right w:w="85" w:type="dxa"/>
            </w:tcMar>
            <w:vAlign w:val="center"/>
          </w:tcPr>
          <w:p w14:paraId="409BF3F8" w14:textId="60689ED6" w:rsidR="009F3593" w:rsidRPr="00A27896" w:rsidRDefault="009F3593" w:rsidP="007C7CF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9F3593" w:rsidRPr="00A27896" w14:paraId="23C88CB6" w14:textId="77777777" w:rsidTr="0094595A">
        <w:tc>
          <w:tcPr>
            <w:tcW w:w="2699" w:type="dxa"/>
            <w:tcBorders>
              <w:top w:val="single" w:sz="4" w:space="0" w:color="17365D"/>
              <w:bottom w:val="single" w:sz="4" w:space="0" w:color="17365D"/>
            </w:tcBorders>
            <w:tcMar>
              <w:top w:w="0" w:type="dxa"/>
              <w:left w:w="108" w:type="dxa"/>
              <w:bottom w:w="0" w:type="dxa"/>
              <w:right w:w="108" w:type="dxa"/>
            </w:tcMar>
            <w:vAlign w:val="center"/>
          </w:tcPr>
          <w:p w14:paraId="0FD504F6" w14:textId="0312B256" w:rsidR="009F3593" w:rsidRPr="00A27896" w:rsidRDefault="009F3593" w:rsidP="009F3593">
            <w:pPr>
              <w:spacing w:after="0" w:line="240" w:lineRule="auto"/>
              <w:ind w:left="-57"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 xml:space="preserve">  t.sk. ilgtermiņa daļa</w:t>
            </w:r>
          </w:p>
        </w:tc>
        <w:tc>
          <w:tcPr>
            <w:tcW w:w="1702" w:type="dxa"/>
            <w:tcBorders>
              <w:top w:val="single" w:sz="4" w:space="0" w:color="17365D"/>
              <w:bottom w:val="single" w:sz="4" w:space="0" w:color="17365D"/>
            </w:tcBorders>
            <w:tcMar>
              <w:right w:w="57" w:type="dxa"/>
            </w:tcMar>
            <w:vAlign w:val="center"/>
          </w:tcPr>
          <w:p w14:paraId="7A2C02F7" w14:textId="0E8DD7E5" w:rsidR="009F3593" w:rsidRPr="00A27896" w:rsidRDefault="009F3593" w:rsidP="007C7CF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702" w:type="dxa"/>
            <w:tcBorders>
              <w:top w:val="single" w:sz="4" w:space="0" w:color="17365D"/>
              <w:bottom w:val="single" w:sz="4" w:space="0" w:color="17365D"/>
            </w:tcBorders>
            <w:tcMar>
              <w:right w:w="57" w:type="dxa"/>
            </w:tcMar>
            <w:vAlign w:val="center"/>
          </w:tcPr>
          <w:p w14:paraId="057AC761" w14:textId="43B1A22B" w:rsidR="009F3593" w:rsidRPr="00A27896" w:rsidRDefault="009F3593" w:rsidP="007C7CF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562" w:type="dxa"/>
            <w:tcBorders>
              <w:top w:val="single" w:sz="4" w:space="0" w:color="17365D"/>
              <w:bottom w:val="single" w:sz="4" w:space="0" w:color="17365D"/>
            </w:tcBorders>
            <w:noWrap/>
            <w:tcMar>
              <w:top w:w="0" w:type="dxa"/>
              <w:left w:w="0" w:type="dxa"/>
              <w:bottom w:w="0" w:type="dxa"/>
              <w:right w:w="85" w:type="dxa"/>
            </w:tcMar>
            <w:vAlign w:val="center"/>
          </w:tcPr>
          <w:p w14:paraId="523F7B46" w14:textId="28A2516F" w:rsidR="009F3593" w:rsidRPr="00A27896" w:rsidRDefault="009F3593" w:rsidP="007C7CF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703" w:type="dxa"/>
            <w:tcBorders>
              <w:top w:val="single" w:sz="4" w:space="0" w:color="17365D"/>
              <w:bottom w:val="single" w:sz="4" w:space="0" w:color="17365D"/>
            </w:tcBorders>
            <w:noWrap/>
            <w:tcMar>
              <w:top w:w="0" w:type="dxa"/>
              <w:left w:w="0" w:type="dxa"/>
              <w:bottom w:w="0" w:type="dxa"/>
              <w:right w:w="85" w:type="dxa"/>
            </w:tcMar>
            <w:vAlign w:val="center"/>
          </w:tcPr>
          <w:p w14:paraId="68691E9E" w14:textId="761AD30E" w:rsidR="009F3593" w:rsidRPr="00A27896" w:rsidRDefault="009F3593" w:rsidP="007C7CF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9F3593" w:rsidRPr="00A27896" w14:paraId="4DE663F2" w14:textId="77777777" w:rsidTr="0094595A">
        <w:tc>
          <w:tcPr>
            <w:tcW w:w="2699" w:type="dxa"/>
            <w:tcBorders>
              <w:top w:val="single" w:sz="4" w:space="0" w:color="17365D"/>
              <w:bottom w:val="single" w:sz="4" w:space="0" w:color="17365D"/>
            </w:tcBorders>
            <w:tcMar>
              <w:top w:w="0" w:type="dxa"/>
              <w:left w:w="108" w:type="dxa"/>
              <w:bottom w:w="0" w:type="dxa"/>
              <w:right w:w="108" w:type="dxa"/>
            </w:tcMar>
            <w:vAlign w:val="center"/>
          </w:tcPr>
          <w:p w14:paraId="5FCAD883" w14:textId="42F839BA" w:rsidR="009F3593" w:rsidRPr="00A27896" w:rsidRDefault="009F3593" w:rsidP="009F3593">
            <w:pPr>
              <w:spacing w:after="0" w:line="240" w:lineRule="auto"/>
              <w:ind w:left="-57" w:right="-57"/>
              <w:rPr>
                <w:rFonts w:eastAsia="Times New Roman" w:cs="Times New Roman"/>
                <w:color w:val="17365D"/>
                <w:sz w:val="16"/>
                <w:szCs w:val="16"/>
                <w:lang w:eastAsia="lv-LV"/>
              </w:rPr>
            </w:pPr>
            <w:r w:rsidRPr="00A27896">
              <w:rPr>
                <w:rFonts w:eastAsia="Times New Roman" w:cs="Times New Roman"/>
                <w:color w:val="17365D"/>
                <w:sz w:val="16"/>
                <w:szCs w:val="16"/>
                <w:lang w:eastAsia="lv-LV"/>
              </w:rPr>
              <w:t xml:space="preserve">  t.sk. īstermiņa daļa</w:t>
            </w:r>
          </w:p>
        </w:tc>
        <w:tc>
          <w:tcPr>
            <w:tcW w:w="1702" w:type="dxa"/>
            <w:tcBorders>
              <w:top w:val="single" w:sz="4" w:space="0" w:color="17365D"/>
              <w:bottom w:val="single" w:sz="4" w:space="0" w:color="17365D"/>
            </w:tcBorders>
            <w:tcMar>
              <w:right w:w="57" w:type="dxa"/>
            </w:tcMar>
            <w:vAlign w:val="center"/>
          </w:tcPr>
          <w:p w14:paraId="03E114DA" w14:textId="244B9B2F" w:rsidR="009F3593" w:rsidRPr="00A27896" w:rsidRDefault="009F3593" w:rsidP="007C7CF0">
            <w:pPr>
              <w:spacing w:after="0" w:line="240" w:lineRule="auto"/>
              <w:jc w:val="right"/>
              <w:rPr>
                <w:rFonts w:eastAsia="Times New Roman" w:cs="Times New Roman"/>
                <w:color w:val="17365D"/>
                <w:sz w:val="18"/>
                <w:szCs w:val="18"/>
                <w:lang w:eastAsia="lv-LV"/>
              </w:rPr>
            </w:pPr>
            <w:r>
              <w:rPr>
                <w:rFonts w:eastAsia="Times New Roman" w:cs="Times New Roman"/>
                <w:color w:val="17365D"/>
                <w:sz w:val="18"/>
                <w:szCs w:val="18"/>
                <w:lang w:eastAsia="lv-LV"/>
              </w:rPr>
              <w:t>0</w:t>
            </w:r>
          </w:p>
        </w:tc>
        <w:tc>
          <w:tcPr>
            <w:tcW w:w="1702" w:type="dxa"/>
            <w:tcBorders>
              <w:top w:val="single" w:sz="4" w:space="0" w:color="17365D"/>
              <w:bottom w:val="single" w:sz="4" w:space="0" w:color="17365D"/>
            </w:tcBorders>
            <w:tcMar>
              <w:right w:w="57" w:type="dxa"/>
            </w:tcMar>
            <w:vAlign w:val="center"/>
          </w:tcPr>
          <w:p w14:paraId="6CE99AF3" w14:textId="214DB8C9" w:rsidR="009F3593" w:rsidRPr="00A27896" w:rsidRDefault="009F3593" w:rsidP="007C7CF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c>
          <w:tcPr>
            <w:tcW w:w="1562" w:type="dxa"/>
            <w:tcBorders>
              <w:top w:val="single" w:sz="4" w:space="0" w:color="17365D"/>
              <w:bottom w:val="single" w:sz="4" w:space="0" w:color="17365D"/>
            </w:tcBorders>
            <w:noWrap/>
            <w:tcMar>
              <w:top w:w="0" w:type="dxa"/>
              <w:left w:w="0" w:type="dxa"/>
              <w:bottom w:w="0" w:type="dxa"/>
              <w:right w:w="85" w:type="dxa"/>
            </w:tcMar>
            <w:vAlign w:val="center"/>
          </w:tcPr>
          <w:p w14:paraId="58EA5F7A" w14:textId="038D0D8E" w:rsidR="009F3593" w:rsidRPr="00A27896" w:rsidRDefault="009F3593" w:rsidP="007C7CF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1 226 971</w:t>
            </w:r>
          </w:p>
        </w:tc>
        <w:tc>
          <w:tcPr>
            <w:tcW w:w="1703" w:type="dxa"/>
            <w:tcBorders>
              <w:top w:val="single" w:sz="4" w:space="0" w:color="17365D"/>
              <w:bottom w:val="single" w:sz="4" w:space="0" w:color="17365D"/>
            </w:tcBorders>
            <w:noWrap/>
            <w:tcMar>
              <w:top w:w="0" w:type="dxa"/>
              <w:left w:w="0" w:type="dxa"/>
              <w:bottom w:w="0" w:type="dxa"/>
              <w:right w:w="85" w:type="dxa"/>
            </w:tcMar>
            <w:vAlign w:val="center"/>
          </w:tcPr>
          <w:p w14:paraId="325DA742" w14:textId="554DABE5" w:rsidR="009F3593" w:rsidRPr="00A27896" w:rsidRDefault="009F3593" w:rsidP="007C7CF0">
            <w:pPr>
              <w:spacing w:after="0" w:line="240" w:lineRule="auto"/>
              <w:jc w:val="right"/>
              <w:rPr>
                <w:rFonts w:eastAsia="Times New Roman" w:cs="Times New Roman"/>
                <w:color w:val="17365D"/>
                <w:sz w:val="18"/>
                <w:szCs w:val="18"/>
                <w:lang w:eastAsia="lv-LV"/>
              </w:rPr>
            </w:pPr>
            <w:r w:rsidRPr="00A27896">
              <w:rPr>
                <w:rFonts w:eastAsia="Times New Roman" w:cs="Times New Roman"/>
                <w:color w:val="17365D"/>
                <w:sz w:val="18"/>
                <w:szCs w:val="18"/>
                <w:lang w:eastAsia="lv-LV"/>
              </w:rPr>
              <w:t>0</w:t>
            </w:r>
          </w:p>
        </w:tc>
      </w:tr>
      <w:tr w:rsidR="000C1009" w:rsidRPr="00A27896" w14:paraId="5E6E074B" w14:textId="77777777" w:rsidTr="00B77FD9">
        <w:tc>
          <w:tcPr>
            <w:tcW w:w="2699" w:type="dxa"/>
            <w:tcBorders>
              <w:top w:val="single" w:sz="4" w:space="0" w:color="17365D"/>
              <w:bottom w:val="nil"/>
            </w:tcBorders>
            <w:shd w:val="clear" w:color="auto" w:fill="B8CCE4" w:themeFill="accent1" w:themeFillTint="66"/>
            <w:tcMar>
              <w:top w:w="0" w:type="dxa"/>
              <w:left w:w="108" w:type="dxa"/>
              <w:bottom w:w="0" w:type="dxa"/>
              <w:right w:w="108" w:type="dxa"/>
            </w:tcMar>
            <w:vAlign w:val="bottom"/>
          </w:tcPr>
          <w:p w14:paraId="72BCC7C7" w14:textId="77777777" w:rsidR="00B77FD9" w:rsidRPr="00A27896" w:rsidRDefault="00B77FD9" w:rsidP="003B239A">
            <w:pPr>
              <w:spacing w:after="0" w:line="240" w:lineRule="auto"/>
              <w:ind w:left="-57" w:right="-57"/>
              <w:rPr>
                <w:rFonts w:eastAsia="Times New Roman" w:cs="Times New Roman"/>
                <w:color w:val="17365D"/>
                <w:sz w:val="16"/>
                <w:szCs w:val="16"/>
                <w:lang w:eastAsia="lv-LV"/>
              </w:rPr>
            </w:pPr>
          </w:p>
        </w:tc>
        <w:tc>
          <w:tcPr>
            <w:tcW w:w="1702" w:type="dxa"/>
            <w:tcBorders>
              <w:top w:val="single" w:sz="4" w:space="0" w:color="17365D"/>
              <w:bottom w:val="nil"/>
            </w:tcBorders>
            <w:shd w:val="clear" w:color="auto" w:fill="B8CCE4" w:themeFill="accent1" w:themeFillTint="66"/>
            <w:tcMar>
              <w:right w:w="57" w:type="dxa"/>
            </w:tcMar>
            <w:vAlign w:val="bottom"/>
          </w:tcPr>
          <w:p w14:paraId="4F4922AB" w14:textId="77777777" w:rsidR="00B77FD9" w:rsidRPr="00A27896" w:rsidRDefault="00B77FD9" w:rsidP="00934128">
            <w:pPr>
              <w:spacing w:after="0" w:line="240" w:lineRule="auto"/>
              <w:jc w:val="right"/>
              <w:rPr>
                <w:rFonts w:eastAsia="Times New Roman" w:cs="Times New Roman"/>
                <w:color w:val="17365D"/>
                <w:sz w:val="18"/>
                <w:szCs w:val="18"/>
                <w:lang w:eastAsia="lv-LV"/>
              </w:rPr>
            </w:pPr>
          </w:p>
        </w:tc>
        <w:tc>
          <w:tcPr>
            <w:tcW w:w="1702" w:type="dxa"/>
            <w:tcBorders>
              <w:top w:val="single" w:sz="4" w:space="0" w:color="17365D"/>
              <w:bottom w:val="nil"/>
            </w:tcBorders>
            <w:shd w:val="clear" w:color="auto" w:fill="B8CCE4" w:themeFill="accent1" w:themeFillTint="66"/>
            <w:tcMar>
              <w:right w:w="57" w:type="dxa"/>
            </w:tcMar>
            <w:vAlign w:val="bottom"/>
          </w:tcPr>
          <w:p w14:paraId="43C3D0F7" w14:textId="77777777" w:rsidR="00B77FD9" w:rsidRPr="00A27896" w:rsidRDefault="00B77FD9" w:rsidP="00934128">
            <w:pPr>
              <w:spacing w:after="0" w:line="240" w:lineRule="auto"/>
              <w:jc w:val="right"/>
              <w:rPr>
                <w:rFonts w:eastAsia="Times New Roman" w:cs="Times New Roman"/>
                <w:color w:val="17365D"/>
                <w:sz w:val="18"/>
                <w:szCs w:val="18"/>
                <w:lang w:eastAsia="lv-LV"/>
              </w:rPr>
            </w:pPr>
          </w:p>
        </w:tc>
        <w:tc>
          <w:tcPr>
            <w:tcW w:w="1562" w:type="dxa"/>
            <w:tcBorders>
              <w:top w:val="single" w:sz="4" w:space="0" w:color="17365D"/>
              <w:bottom w:val="nil"/>
            </w:tcBorders>
            <w:shd w:val="clear" w:color="auto" w:fill="B8CCE4" w:themeFill="accent1" w:themeFillTint="66"/>
            <w:noWrap/>
            <w:tcMar>
              <w:top w:w="0" w:type="dxa"/>
              <w:left w:w="0" w:type="dxa"/>
              <w:bottom w:w="0" w:type="dxa"/>
              <w:right w:w="85" w:type="dxa"/>
            </w:tcMar>
            <w:vAlign w:val="bottom"/>
          </w:tcPr>
          <w:p w14:paraId="4A345B36" w14:textId="77777777" w:rsidR="00B77FD9" w:rsidRPr="00A27896" w:rsidRDefault="00B77FD9" w:rsidP="00934128">
            <w:pPr>
              <w:spacing w:after="0" w:line="240" w:lineRule="auto"/>
              <w:jc w:val="right"/>
              <w:rPr>
                <w:rFonts w:eastAsia="Times New Roman" w:cs="Times New Roman"/>
                <w:color w:val="17365D"/>
                <w:sz w:val="18"/>
                <w:szCs w:val="18"/>
                <w:lang w:eastAsia="lv-LV"/>
              </w:rPr>
            </w:pPr>
          </w:p>
        </w:tc>
        <w:tc>
          <w:tcPr>
            <w:tcW w:w="1703" w:type="dxa"/>
            <w:tcBorders>
              <w:top w:val="single" w:sz="4" w:space="0" w:color="17365D"/>
              <w:bottom w:val="nil"/>
            </w:tcBorders>
            <w:shd w:val="clear" w:color="auto" w:fill="B8CCE4" w:themeFill="accent1" w:themeFillTint="66"/>
            <w:noWrap/>
            <w:tcMar>
              <w:top w:w="0" w:type="dxa"/>
              <w:left w:w="0" w:type="dxa"/>
              <w:bottom w:w="0" w:type="dxa"/>
              <w:right w:w="85" w:type="dxa"/>
            </w:tcMar>
            <w:vAlign w:val="bottom"/>
          </w:tcPr>
          <w:p w14:paraId="559C0B65" w14:textId="77777777" w:rsidR="00B77FD9" w:rsidRPr="00A27896" w:rsidRDefault="00B77FD9" w:rsidP="00934128">
            <w:pPr>
              <w:spacing w:after="0" w:line="240" w:lineRule="auto"/>
              <w:jc w:val="right"/>
              <w:rPr>
                <w:rFonts w:eastAsia="Times New Roman" w:cs="Times New Roman"/>
                <w:color w:val="17365D"/>
                <w:sz w:val="18"/>
                <w:szCs w:val="18"/>
                <w:lang w:eastAsia="lv-LV"/>
              </w:rPr>
            </w:pPr>
          </w:p>
        </w:tc>
      </w:tr>
    </w:tbl>
    <w:p w14:paraId="4277D300" w14:textId="77777777" w:rsidR="00CF1EA9" w:rsidRPr="00A27896" w:rsidRDefault="00CF1EA9" w:rsidP="00CF1EA9">
      <w:pPr>
        <w:pStyle w:val="Heading4"/>
        <w:rPr>
          <w:rFonts w:cs="Times New Roman"/>
        </w:rPr>
      </w:pPr>
      <w:r w:rsidRPr="00A27896">
        <w:rPr>
          <w:rFonts w:cs="Times New Roman"/>
        </w:rPr>
        <w:t>Piezīme Nr. V10. Nekoriģējošie notikumi pēc bilances datuma</w:t>
      </w:r>
    </w:p>
    <w:p w14:paraId="09E67D3F" w14:textId="77777777" w:rsidR="00CF1EA9" w:rsidRPr="00F03B90" w:rsidRDefault="00CF1EA9" w:rsidP="00CF1EA9">
      <w:pPr>
        <w:spacing w:after="120" w:line="240" w:lineRule="auto"/>
        <w:ind w:firstLine="284"/>
        <w:jc w:val="both"/>
        <w:rPr>
          <w:rFonts w:cs="Times New Roman"/>
          <w:color w:val="17365D"/>
          <w:szCs w:val="24"/>
        </w:rPr>
      </w:pPr>
      <w:r w:rsidRPr="00F03B90">
        <w:rPr>
          <w:rFonts w:cs="Times New Roman"/>
          <w:color w:val="17365D"/>
          <w:szCs w:val="24"/>
        </w:rPr>
        <w:t>Ministru kabineta gada pārskatā ir sniegta informācija par starptautisko tiesvedības procesu virzības gaitu, vienlaicīgi finansiālā ietekme nākamajos pārskata gados nav aplēsta.</w:t>
      </w:r>
    </w:p>
    <w:p w14:paraId="04E8BA47" w14:textId="0E50F59D" w:rsidR="00BC2401" w:rsidRPr="00A27896" w:rsidRDefault="00BC2401" w:rsidP="00CF1EA9">
      <w:pPr>
        <w:pStyle w:val="Heading4"/>
        <w:rPr>
          <w:rFonts w:cs="Times New Roman"/>
        </w:rPr>
      </w:pPr>
      <w:r w:rsidRPr="00A27896">
        <w:rPr>
          <w:rFonts w:cs="Times New Roman"/>
        </w:rPr>
        <w:t>Piezīme Nr. CITA. Cita informācija pārskatu lietotājiem</w:t>
      </w:r>
    </w:p>
    <w:p w14:paraId="7D36CC2D" w14:textId="5A6F831F" w:rsidR="00330E30" w:rsidRDefault="00330E30" w:rsidP="00460497">
      <w:pPr>
        <w:spacing w:after="120" w:line="240" w:lineRule="auto"/>
        <w:ind w:firstLine="284"/>
        <w:jc w:val="both"/>
        <w:rPr>
          <w:rFonts w:cs="Times New Roman"/>
          <w:color w:val="17365D"/>
          <w:szCs w:val="24"/>
        </w:rPr>
      </w:pPr>
      <w:r>
        <w:rPr>
          <w:rFonts w:cs="Times New Roman"/>
          <w:color w:val="17365D"/>
          <w:szCs w:val="24"/>
        </w:rPr>
        <w:t>M</w:t>
      </w:r>
      <w:r w:rsidR="00BC2401" w:rsidRPr="00A27896">
        <w:rPr>
          <w:rFonts w:cs="Times New Roman"/>
          <w:color w:val="17365D"/>
          <w:szCs w:val="24"/>
        </w:rPr>
        <w:t>inistriju un pašvaldību konsolidētajos gada pārskatos ir sniegta informācija par iepirkumu līgumiem</w:t>
      </w:r>
      <w:r w:rsidR="00CB62CF">
        <w:rPr>
          <w:rFonts w:cs="Times New Roman"/>
          <w:color w:val="17365D"/>
          <w:szCs w:val="24"/>
        </w:rPr>
        <w:t xml:space="preserve"> 458,1 milj. </w:t>
      </w:r>
      <w:r w:rsidR="00CB62CF" w:rsidRPr="00BA7DA7">
        <w:rPr>
          <w:rFonts w:cs="Times New Roman"/>
          <w:i/>
          <w:color w:val="17365D"/>
          <w:szCs w:val="24"/>
        </w:rPr>
        <w:t>euro</w:t>
      </w:r>
      <w:r w:rsidR="00CB62CF">
        <w:rPr>
          <w:rFonts w:cs="Times New Roman"/>
          <w:color w:val="17365D"/>
          <w:szCs w:val="24"/>
        </w:rPr>
        <w:t xml:space="preserve"> vērtībā</w:t>
      </w:r>
      <w:r w:rsidR="00BC2401" w:rsidRPr="00A27896">
        <w:rPr>
          <w:rFonts w:cs="Times New Roman"/>
          <w:color w:val="17365D"/>
          <w:szCs w:val="24"/>
        </w:rPr>
        <w:t xml:space="preserve">, </w:t>
      </w:r>
      <w:r>
        <w:rPr>
          <w:rFonts w:cs="Times New Roman"/>
          <w:color w:val="17365D"/>
          <w:szCs w:val="24"/>
        </w:rPr>
        <w:t>kuriem</w:t>
      </w:r>
      <w:r w:rsidRPr="00330E30">
        <w:rPr>
          <w:rFonts w:cs="Times New Roman"/>
          <w:color w:val="17365D"/>
          <w:szCs w:val="24"/>
        </w:rPr>
        <w:t xml:space="preserve"> </w:t>
      </w:r>
      <w:r>
        <w:rPr>
          <w:rFonts w:cs="Times New Roman"/>
          <w:color w:val="17365D"/>
          <w:szCs w:val="24"/>
        </w:rPr>
        <w:t xml:space="preserve">Konkurences padome konstatējusi konkurences pārkāpumus. </w:t>
      </w:r>
      <w:r w:rsidR="00E72B72">
        <w:rPr>
          <w:rFonts w:cs="Times New Roman"/>
          <w:color w:val="17365D"/>
          <w:szCs w:val="24"/>
        </w:rPr>
        <w:t>I</w:t>
      </w:r>
      <w:r>
        <w:rPr>
          <w:rFonts w:cs="Times New Roman"/>
          <w:color w:val="17365D"/>
          <w:szCs w:val="24"/>
        </w:rPr>
        <w:t xml:space="preserve">estādes pieņēmušas lēmumu </w:t>
      </w:r>
      <w:r w:rsidRPr="00330E30">
        <w:rPr>
          <w:rFonts w:cs="Times New Roman"/>
          <w:color w:val="17365D"/>
          <w:szCs w:val="24"/>
        </w:rPr>
        <w:t xml:space="preserve">īstenot Konkurences likuma 21. pantā noteiktās tiesības prasīt un saņemt no pārkāpēja zaudējumu atlīdzību </w:t>
      </w:r>
      <w:r>
        <w:rPr>
          <w:rFonts w:cs="Times New Roman"/>
          <w:color w:val="17365D"/>
          <w:szCs w:val="24"/>
        </w:rPr>
        <w:t>23,8 m</w:t>
      </w:r>
      <w:r w:rsidR="00AE4562">
        <w:rPr>
          <w:rFonts w:cs="Times New Roman"/>
          <w:color w:val="17365D"/>
          <w:szCs w:val="24"/>
        </w:rPr>
        <w:t>i</w:t>
      </w:r>
      <w:r>
        <w:rPr>
          <w:rFonts w:cs="Times New Roman"/>
          <w:color w:val="17365D"/>
          <w:szCs w:val="24"/>
        </w:rPr>
        <w:t>lj.</w:t>
      </w:r>
      <w:r w:rsidRPr="0072074A">
        <w:rPr>
          <w:rFonts w:cs="Times New Roman"/>
          <w:i/>
          <w:color w:val="17365D"/>
          <w:szCs w:val="24"/>
        </w:rPr>
        <w:t>euro</w:t>
      </w:r>
      <w:r>
        <w:rPr>
          <w:rFonts w:cs="Times New Roman"/>
          <w:color w:val="17365D"/>
          <w:szCs w:val="24"/>
        </w:rPr>
        <w:t xml:space="preserve"> apmērā</w:t>
      </w:r>
      <w:r w:rsidR="00E72B72">
        <w:rPr>
          <w:rFonts w:cs="Times New Roman"/>
          <w:color w:val="17365D"/>
          <w:szCs w:val="24"/>
        </w:rPr>
        <w:t>, par darījumiem 293,9 m</w:t>
      </w:r>
      <w:r w:rsidR="00AE4562">
        <w:rPr>
          <w:rFonts w:cs="Times New Roman"/>
          <w:color w:val="17365D"/>
          <w:szCs w:val="24"/>
        </w:rPr>
        <w:t>i</w:t>
      </w:r>
      <w:r w:rsidR="00E72B72">
        <w:rPr>
          <w:rFonts w:cs="Times New Roman"/>
          <w:color w:val="17365D"/>
          <w:szCs w:val="24"/>
        </w:rPr>
        <w:t>lj.</w:t>
      </w:r>
      <w:r w:rsidR="00E72B72" w:rsidRPr="00E72B72">
        <w:rPr>
          <w:rFonts w:cs="Times New Roman"/>
          <w:i/>
          <w:color w:val="17365D"/>
          <w:szCs w:val="24"/>
        </w:rPr>
        <w:t>euro</w:t>
      </w:r>
      <w:r w:rsidR="00E72B72">
        <w:rPr>
          <w:rFonts w:cs="Times New Roman"/>
          <w:color w:val="17365D"/>
          <w:szCs w:val="24"/>
        </w:rPr>
        <w:t xml:space="preserve"> apmērā iestādes pārskata gada beigās nebija veikušas izvērtējumu par zaudējumu piedziņu, bet par darījumiem 0,9 mlj.</w:t>
      </w:r>
      <w:r w:rsidR="00E72B72" w:rsidRPr="00E72B72">
        <w:rPr>
          <w:rFonts w:cs="Times New Roman"/>
          <w:i/>
          <w:color w:val="17365D"/>
          <w:szCs w:val="24"/>
        </w:rPr>
        <w:t>euro</w:t>
      </w:r>
      <w:r w:rsidR="00E72B72">
        <w:rPr>
          <w:rFonts w:cs="Times New Roman"/>
          <w:color w:val="17365D"/>
          <w:szCs w:val="24"/>
        </w:rPr>
        <w:t xml:space="preserve"> apmērā pieņemts lēmums zaudējumus nepiedzīt.</w:t>
      </w:r>
    </w:p>
    <w:p w14:paraId="1F9C9B48" w14:textId="55E2BAF7" w:rsidR="00AE4562" w:rsidRDefault="00AE4562" w:rsidP="00460497">
      <w:pPr>
        <w:spacing w:after="120" w:line="240" w:lineRule="auto"/>
        <w:ind w:firstLine="284"/>
        <w:jc w:val="both"/>
        <w:rPr>
          <w:rFonts w:cs="Times New Roman"/>
          <w:color w:val="17365D"/>
          <w:szCs w:val="24"/>
        </w:rPr>
      </w:pPr>
      <w:r>
        <w:rPr>
          <w:rFonts w:cs="Times New Roman"/>
          <w:color w:val="17365D"/>
          <w:szCs w:val="24"/>
        </w:rPr>
        <w:t>Lielākie zaudējumi 59,4 milj.</w:t>
      </w:r>
      <w:r w:rsidRPr="00CB62CF">
        <w:rPr>
          <w:rFonts w:cs="Times New Roman"/>
          <w:i/>
          <w:color w:val="17365D"/>
          <w:szCs w:val="24"/>
        </w:rPr>
        <w:t>euro</w:t>
      </w:r>
      <w:r>
        <w:rPr>
          <w:rFonts w:cs="Times New Roman"/>
          <w:color w:val="17365D"/>
          <w:szCs w:val="24"/>
        </w:rPr>
        <w:t xml:space="preserve"> vērtībā, iespējams, radušies par noslēgtajiem būvniecības līgumiem, par kuriem pieņemts </w:t>
      </w:r>
      <w:r w:rsidRPr="00AE4562">
        <w:rPr>
          <w:rFonts w:cs="Times New Roman"/>
          <w:color w:val="17365D"/>
          <w:szCs w:val="24"/>
        </w:rPr>
        <w:t>Konkurences padomes 2021.gada 30.jūlija lēmum</w:t>
      </w:r>
      <w:r>
        <w:rPr>
          <w:rFonts w:cs="Times New Roman"/>
          <w:color w:val="17365D"/>
          <w:szCs w:val="24"/>
        </w:rPr>
        <w:t>s</w:t>
      </w:r>
      <w:r w:rsidRPr="00AE4562">
        <w:rPr>
          <w:rFonts w:cs="Times New Roman"/>
          <w:color w:val="17365D"/>
          <w:szCs w:val="24"/>
        </w:rPr>
        <w:t xml:space="preserve"> Nr. 22 “Par pārkāpuma konstatēšanu un naudas soda uzlikšanu"</w:t>
      </w:r>
      <w:r>
        <w:rPr>
          <w:rFonts w:cs="Times New Roman"/>
          <w:color w:val="17365D"/>
          <w:szCs w:val="24"/>
        </w:rPr>
        <w:t xml:space="preserve">. Minētais lēmums ir pārsūdzēts tiesā. 2024.gada 25.janvārī pieņemts Administratīvās apgabaltiesas lēmums noraidīt prasību atcelt Konkurences padomes lēmumu Nr.22. </w:t>
      </w:r>
    </w:p>
    <w:p w14:paraId="340F2988" w14:textId="7136B5CA" w:rsidR="00F71988" w:rsidRDefault="0017673B" w:rsidP="00F71988">
      <w:pPr>
        <w:spacing w:after="120" w:line="240" w:lineRule="auto"/>
        <w:ind w:firstLine="284"/>
        <w:jc w:val="both"/>
        <w:rPr>
          <w:rFonts w:cs="Times New Roman"/>
          <w:color w:val="17365D"/>
          <w:szCs w:val="24"/>
        </w:rPr>
      </w:pPr>
      <w:r w:rsidRPr="00A27896">
        <w:rPr>
          <w:rFonts w:cs="Times New Roman"/>
          <w:color w:val="17365D"/>
          <w:szCs w:val="24"/>
        </w:rPr>
        <w:t>Administratīvi teritoriālās r</w:t>
      </w:r>
      <w:r w:rsidR="00B77A4E" w:rsidRPr="00A27896">
        <w:rPr>
          <w:rFonts w:cs="Times New Roman"/>
          <w:color w:val="17365D"/>
          <w:szCs w:val="24"/>
        </w:rPr>
        <w:t>e</w:t>
      </w:r>
      <w:r w:rsidRPr="00A27896">
        <w:rPr>
          <w:rFonts w:cs="Times New Roman"/>
          <w:color w:val="17365D"/>
          <w:szCs w:val="24"/>
        </w:rPr>
        <w:t>formas re</w:t>
      </w:r>
      <w:r w:rsidR="00B77A4E" w:rsidRPr="00A27896">
        <w:rPr>
          <w:rFonts w:cs="Times New Roman"/>
          <w:color w:val="17365D"/>
          <w:szCs w:val="24"/>
        </w:rPr>
        <w:t>z</w:t>
      </w:r>
      <w:r w:rsidRPr="00A27896">
        <w:rPr>
          <w:rFonts w:cs="Times New Roman"/>
          <w:color w:val="17365D"/>
          <w:szCs w:val="24"/>
        </w:rPr>
        <w:t>ult</w:t>
      </w:r>
      <w:r w:rsidR="00B77A4E" w:rsidRPr="00A27896">
        <w:rPr>
          <w:rFonts w:cs="Times New Roman"/>
          <w:color w:val="17365D"/>
          <w:szCs w:val="24"/>
        </w:rPr>
        <w:t>ā</w:t>
      </w:r>
      <w:r w:rsidRPr="00A27896">
        <w:rPr>
          <w:rFonts w:cs="Times New Roman"/>
          <w:color w:val="17365D"/>
          <w:szCs w:val="24"/>
        </w:rPr>
        <w:t>tā Ogres novada pašvaldība ir pārņēmusi tiesvedībā esošo lietu saistībā ar 2015.</w:t>
      </w:r>
      <w:r w:rsidR="006C1AA7" w:rsidRPr="00A27896">
        <w:rPr>
          <w:rFonts w:cs="Times New Roman"/>
          <w:color w:val="17365D"/>
          <w:szCs w:val="24"/>
        </w:rPr>
        <w:t> </w:t>
      </w:r>
      <w:r w:rsidRPr="00A27896">
        <w:rPr>
          <w:rFonts w:cs="Times New Roman"/>
          <w:color w:val="17365D"/>
          <w:szCs w:val="24"/>
        </w:rPr>
        <w:t>gada 24.</w:t>
      </w:r>
      <w:r w:rsidR="006C1AA7" w:rsidRPr="00A27896">
        <w:rPr>
          <w:rFonts w:cs="Times New Roman"/>
          <w:color w:val="17365D"/>
          <w:szCs w:val="24"/>
        </w:rPr>
        <w:t> </w:t>
      </w:r>
      <w:r w:rsidRPr="00A27896">
        <w:rPr>
          <w:rFonts w:cs="Times New Roman"/>
          <w:color w:val="17365D"/>
          <w:szCs w:val="24"/>
        </w:rPr>
        <w:t xml:space="preserve">novembrī bijušā </w:t>
      </w:r>
      <w:r w:rsidR="00B77A4E" w:rsidRPr="00A27896">
        <w:rPr>
          <w:rFonts w:cs="Times New Roman"/>
          <w:color w:val="17365D"/>
          <w:szCs w:val="24"/>
        </w:rPr>
        <w:t xml:space="preserve">Lielvārdes novada </w:t>
      </w:r>
      <w:r w:rsidRPr="00A27896">
        <w:rPr>
          <w:rFonts w:cs="Times New Roman"/>
          <w:color w:val="17365D"/>
          <w:szCs w:val="24"/>
        </w:rPr>
        <w:t xml:space="preserve">domes priekšsēdētāja Jāņa Āboliņa parakstīto un Valsts kasē iesniegto dokumentu “Promissory Note” par finanšu saistību (aizņēmums) </w:t>
      </w:r>
      <w:r w:rsidR="00B77A4E" w:rsidRPr="00A27896">
        <w:rPr>
          <w:rFonts w:cs="Times New Roman"/>
          <w:color w:val="17365D"/>
          <w:szCs w:val="24"/>
        </w:rPr>
        <w:t xml:space="preserve">200 000 000 </w:t>
      </w:r>
      <w:r w:rsidR="00B77A4E" w:rsidRPr="00A27896">
        <w:rPr>
          <w:rFonts w:cs="Times New Roman"/>
          <w:i/>
          <w:color w:val="17365D"/>
          <w:szCs w:val="24"/>
        </w:rPr>
        <w:t>euro</w:t>
      </w:r>
      <w:r w:rsidRPr="00A27896">
        <w:rPr>
          <w:rFonts w:cs="Times New Roman"/>
          <w:color w:val="17365D"/>
          <w:szCs w:val="24"/>
        </w:rPr>
        <w:t xml:space="preserve"> apmērā uzņemšanos Lielvārdes novada pašvaldības vārdā.</w:t>
      </w:r>
      <w:r w:rsidR="00F71988" w:rsidRPr="00A27896">
        <w:rPr>
          <w:rFonts w:cs="Times New Roman"/>
          <w:color w:val="17365D"/>
          <w:szCs w:val="24"/>
        </w:rPr>
        <w:t xml:space="preserve"> </w:t>
      </w:r>
      <w:r w:rsidR="00CB62CF" w:rsidRPr="00CB62CF">
        <w:rPr>
          <w:rFonts w:cs="Times New Roman"/>
          <w:color w:val="17365D"/>
          <w:szCs w:val="24"/>
        </w:rPr>
        <w:t>2024.</w:t>
      </w:r>
      <w:r w:rsidR="00CB62CF">
        <w:rPr>
          <w:rFonts w:cs="Times New Roman"/>
          <w:color w:val="17365D"/>
          <w:szCs w:val="24"/>
        </w:rPr>
        <w:t> </w:t>
      </w:r>
      <w:r w:rsidR="00CB62CF" w:rsidRPr="00CB62CF">
        <w:rPr>
          <w:rFonts w:cs="Times New Roman"/>
          <w:color w:val="17365D"/>
          <w:szCs w:val="24"/>
        </w:rPr>
        <w:t>gada 8.</w:t>
      </w:r>
      <w:r w:rsidR="00CB62CF">
        <w:rPr>
          <w:rFonts w:cs="Times New Roman"/>
          <w:color w:val="17365D"/>
          <w:szCs w:val="24"/>
        </w:rPr>
        <w:t> </w:t>
      </w:r>
      <w:r w:rsidR="00CB62CF" w:rsidRPr="00CB62CF">
        <w:rPr>
          <w:rFonts w:cs="Times New Roman"/>
          <w:color w:val="17365D"/>
          <w:szCs w:val="24"/>
        </w:rPr>
        <w:t>martā Zemgales apgabaltiesa nolēma atzīt par spēkā neesošu aizdevuma līgumu starp Lielvārdes novada pašvaldību un “Reverside HK Ltd.” Eiropas biroju, kas izriet no Lielvārdes novada domes priekšsēdētāja Jāņa Āboliņa 2015.</w:t>
      </w:r>
      <w:r w:rsidR="00CB62CF">
        <w:rPr>
          <w:rFonts w:cs="Times New Roman"/>
          <w:color w:val="17365D"/>
          <w:szCs w:val="24"/>
        </w:rPr>
        <w:t> </w:t>
      </w:r>
      <w:r w:rsidR="00CB62CF" w:rsidRPr="00CB62CF">
        <w:rPr>
          <w:rFonts w:cs="Times New Roman"/>
          <w:color w:val="17365D"/>
          <w:szCs w:val="24"/>
        </w:rPr>
        <w:t>gada 24.</w:t>
      </w:r>
      <w:r w:rsidR="00CB62CF">
        <w:rPr>
          <w:rFonts w:cs="Times New Roman"/>
          <w:color w:val="17365D"/>
          <w:szCs w:val="24"/>
        </w:rPr>
        <w:t> </w:t>
      </w:r>
      <w:r w:rsidR="00CB62CF" w:rsidRPr="00CB62CF">
        <w:rPr>
          <w:rFonts w:cs="Times New Roman"/>
          <w:color w:val="17365D"/>
          <w:szCs w:val="24"/>
        </w:rPr>
        <w:t>novembrī Lielvārdes novada domes vārdā parakstītā dokumenta “Promissory Note”</w:t>
      </w:r>
      <w:r w:rsidR="00CB62CF">
        <w:rPr>
          <w:rFonts w:cs="Times New Roman"/>
          <w:color w:val="17365D"/>
          <w:szCs w:val="24"/>
        </w:rPr>
        <w:t>.</w:t>
      </w:r>
      <w:r w:rsidR="00F71988" w:rsidRPr="00A27896">
        <w:rPr>
          <w:rFonts w:cs="Times New Roman"/>
          <w:color w:val="17365D"/>
          <w:szCs w:val="24"/>
        </w:rPr>
        <w:t xml:space="preserve"> </w:t>
      </w:r>
      <w:r w:rsidR="00783426" w:rsidRPr="00783426">
        <w:rPr>
          <w:rFonts w:cs="Times New Roman"/>
          <w:color w:val="17365D"/>
          <w:szCs w:val="24"/>
        </w:rPr>
        <w:t>Lielvārdes novada domes priekšsēdētājs  iesniedza kasācijas sūdzību, pārsūdzot Zemgales apgabaltiesa</w:t>
      </w:r>
      <w:r w:rsidR="00783426">
        <w:rPr>
          <w:rFonts w:cs="Times New Roman"/>
          <w:color w:val="17365D"/>
          <w:szCs w:val="24"/>
        </w:rPr>
        <w:t>s</w:t>
      </w:r>
      <w:r w:rsidR="00783426" w:rsidRPr="00783426">
        <w:rPr>
          <w:rFonts w:cs="Times New Roman"/>
          <w:color w:val="17365D"/>
          <w:szCs w:val="24"/>
        </w:rPr>
        <w:t xml:space="preserve"> </w:t>
      </w:r>
      <w:r w:rsidR="00783426" w:rsidRPr="00CB62CF">
        <w:rPr>
          <w:rFonts w:cs="Times New Roman"/>
          <w:color w:val="17365D"/>
          <w:szCs w:val="24"/>
        </w:rPr>
        <w:t>2024.</w:t>
      </w:r>
      <w:r w:rsidR="00783426">
        <w:rPr>
          <w:rFonts w:cs="Times New Roman"/>
          <w:color w:val="17365D"/>
          <w:szCs w:val="24"/>
        </w:rPr>
        <w:t> </w:t>
      </w:r>
      <w:r w:rsidR="00783426" w:rsidRPr="00CB62CF">
        <w:rPr>
          <w:rFonts w:cs="Times New Roman"/>
          <w:color w:val="17365D"/>
          <w:szCs w:val="24"/>
        </w:rPr>
        <w:t>gada 8.</w:t>
      </w:r>
      <w:r w:rsidR="00783426">
        <w:rPr>
          <w:rFonts w:cs="Times New Roman"/>
          <w:color w:val="17365D"/>
          <w:szCs w:val="24"/>
        </w:rPr>
        <w:t> </w:t>
      </w:r>
      <w:r w:rsidR="00783426" w:rsidRPr="00CB62CF">
        <w:rPr>
          <w:rFonts w:cs="Times New Roman"/>
          <w:color w:val="17365D"/>
          <w:szCs w:val="24"/>
        </w:rPr>
        <w:t>mart</w:t>
      </w:r>
      <w:r w:rsidR="00783426">
        <w:rPr>
          <w:rFonts w:cs="Times New Roman"/>
          <w:color w:val="17365D"/>
          <w:szCs w:val="24"/>
        </w:rPr>
        <w:t>a</w:t>
      </w:r>
      <w:r w:rsidR="00783426" w:rsidRPr="00CB62CF">
        <w:rPr>
          <w:rFonts w:cs="Times New Roman"/>
          <w:color w:val="17365D"/>
          <w:szCs w:val="24"/>
        </w:rPr>
        <w:t xml:space="preserve"> </w:t>
      </w:r>
      <w:r w:rsidR="00783426" w:rsidRPr="00783426">
        <w:rPr>
          <w:rFonts w:cs="Times New Roman"/>
          <w:color w:val="17365D"/>
          <w:szCs w:val="24"/>
        </w:rPr>
        <w:t>spriedumu civillietā Nr. C24086817, par kuru Latvijas Republikas Augstākā tiesa 2024.</w:t>
      </w:r>
      <w:r w:rsidR="00783426">
        <w:rPr>
          <w:rFonts w:cs="Times New Roman"/>
          <w:color w:val="17365D"/>
          <w:szCs w:val="24"/>
        </w:rPr>
        <w:t> gada 17. jūnijā</w:t>
      </w:r>
      <w:r w:rsidR="00783426" w:rsidRPr="00783426">
        <w:rPr>
          <w:rFonts w:cs="Times New Roman"/>
          <w:color w:val="17365D"/>
          <w:szCs w:val="24"/>
        </w:rPr>
        <w:t xml:space="preserve"> nolēma atteikt ierosināt kasācijas tiesvedību, nosakot, ka lēmums nav pārsūdzams.</w:t>
      </w:r>
    </w:p>
    <w:p w14:paraId="031565F3" w14:textId="33904DB3" w:rsidR="002D25D6" w:rsidRDefault="004D7ECF" w:rsidP="00F71988">
      <w:pPr>
        <w:spacing w:after="120" w:line="240" w:lineRule="auto"/>
        <w:ind w:firstLine="284"/>
        <w:jc w:val="both"/>
        <w:rPr>
          <w:rFonts w:cs="Times New Roman"/>
          <w:color w:val="17365D"/>
          <w:szCs w:val="24"/>
        </w:rPr>
      </w:pPr>
      <w:r>
        <w:rPr>
          <w:rFonts w:cs="Times New Roman"/>
          <w:color w:val="17365D"/>
          <w:szCs w:val="24"/>
        </w:rPr>
        <w:t xml:space="preserve">Apkopojot informāciju par 207 </w:t>
      </w:r>
      <w:r w:rsidR="00853611">
        <w:rPr>
          <w:rFonts w:cs="Times New Roman"/>
          <w:color w:val="17365D"/>
          <w:szCs w:val="24"/>
        </w:rPr>
        <w:t>starptautiskajām</w:t>
      </w:r>
      <w:r>
        <w:rPr>
          <w:rFonts w:cs="Times New Roman"/>
          <w:color w:val="17365D"/>
          <w:szCs w:val="24"/>
        </w:rPr>
        <w:t xml:space="preserve"> organiz</w:t>
      </w:r>
      <w:r w:rsidR="00853611">
        <w:rPr>
          <w:rFonts w:cs="Times New Roman"/>
          <w:color w:val="17365D"/>
          <w:szCs w:val="24"/>
        </w:rPr>
        <w:t>ācijām</w:t>
      </w:r>
      <w:r>
        <w:rPr>
          <w:rFonts w:cs="Times New Roman"/>
          <w:color w:val="17365D"/>
          <w:szCs w:val="24"/>
        </w:rPr>
        <w:t xml:space="preserve">, kurās Latvija ir dalībvalsts, </w:t>
      </w:r>
      <w:r w:rsidR="00853611">
        <w:rPr>
          <w:rFonts w:cs="Times New Roman"/>
          <w:color w:val="17365D"/>
          <w:szCs w:val="24"/>
        </w:rPr>
        <w:t>1</w:t>
      </w:r>
      <w:r w:rsidR="000A1710">
        <w:rPr>
          <w:rFonts w:cs="Times New Roman"/>
          <w:color w:val="17365D"/>
          <w:szCs w:val="24"/>
        </w:rPr>
        <w:t>2</w:t>
      </w:r>
      <w:r w:rsidR="00853611">
        <w:rPr>
          <w:rFonts w:cs="Times New Roman"/>
          <w:color w:val="17365D"/>
          <w:szCs w:val="24"/>
        </w:rPr>
        <w:t xml:space="preserve"> organizācijas ir atzinušas</w:t>
      </w:r>
      <w:r>
        <w:rPr>
          <w:rFonts w:cs="Times New Roman"/>
          <w:color w:val="17365D"/>
          <w:szCs w:val="24"/>
        </w:rPr>
        <w:t xml:space="preserve"> saistīb</w:t>
      </w:r>
      <w:r w:rsidR="00853611">
        <w:rPr>
          <w:rFonts w:cs="Times New Roman"/>
          <w:color w:val="17365D"/>
          <w:szCs w:val="24"/>
        </w:rPr>
        <w:t>as</w:t>
      </w:r>
      <w:r>
        <w:rPr>
          <w:rFonts w:cs="Times New Roman"/>
          <w:color w:val="17365D"/>
          <w:szCs w:val="24"/>
        </w:rPr>
        <w:t xml:space="preserve"> par tās darbinieku pēcnodarbinātības labumiem, </w:t>
      </w:r>
      <w:r w:rsidR="00853611">
        <w:rPr>
          <w:rFonts w:cs="Times New Roman"/>
          <w:color w:val="17365D"/>
          <w:szCs w:val="24"/>
        </w:rPr>
        <w:t xml:space="preserve">par </w:t>
      </w:r>
      <w:r w:rsidR="000D207E">
        <w:rPr>
          <w:rFonts w:cs="Times New Roman"/>
          <w:color w:val="17365D"/>
          <w:szCs w:val="24"/>
        </w:rPr>
        <w:t xml:space="preserve">deviņām </w:t>
      </w:r>
      <w:r w:rsidR="00853611">
        <w:rPr>
          <w:rFonts w:cs="Times New Roman"/>
          <w:color w:val="17365D"/>
          <w:szCs w:val="24"/>
        </w:rPr>
        <w:t>no tām aplēsts, ka uz La</w:t>
      </w:r>
      <w:r w:rsidR="00614125">
        <w:rPr>
          <w:rFonts w:cs="Times New Roman"/>
          <w:color w:val="17365D"/>
          <w:szCs w:val="24"/>
        </w:rPr>
        <w:t>t</w:t>
      </w:r>
      <w:r w:rsidR="00853611">
        <w:rPr>
          <w:rFonts w:cs="Times New Roman"/>
          <w:color w:val="17365D"/>
          <w:szCs w:val="24"/>
        </w:rPr>
        <w:t xml:space="preserve">viju attiecināmās nākotnes iespējamās saistības ir </w:t>
      </w:r>
      <w:r w:rsidR="00853611" w:rsidRPr="004D7ECF">
        <w:rPr>
          <w:rFonts w:cs="Times New Roman"/>
          <w:color w:val="17365D"/>
          <w:szCs w:val="24"/>
        </w:rPr>
        <w:t>4</w:t>
      </w:r>
      <w:r w:rsidR="000D207E">
        <w:rPr>
          <w:rFonts w:cs="Times New Roman"/>
          <w:color w:val="17365D"/>
          <w:szCs w:val="24"/>
        </w:rPr>
        <w:t>,1</w:t>
      </w:r>
      <w:r w:rsidR="00853611">
        <w:rPr>
          <w:rFonts w:cs="Times New Roman"/>
          <w:color w:val="17365D"/>
          <w:szCs w:val="24"/>
        </w:rPr>
        <w:t> </w:t>
      </w:r>
      <w:r w:rsidR="000D207E">
        <w:rPr>
          <w:rFonts w:cs="Times New Roman"/>
          <w:color w:val="17365D"/>
          <w:szCs w:val="24"/>
        </w:rPr>
        <w:t>milj.</w:t>
      </w:r>
      <w:r w:rsidR="00853611">
        <w:rPr>
          <w:rFonts w:cs="Times New Roman"/>
          <w:color w:val="17365D"/>
          <w:szCs w:val="24"/>
        </w:rPr>
        <w:t xml:space="preserve"> </w:t>
      </w:r>
      <w:r w:rsidR="00853611" w:rsidRPr="00976449">
        <w:rPr>
          <w:rFonts w:cs="Times New Roman"/>
          <w:i/>
          <w:color w:val="17365D"/>
          <w:szCs w:val="24"/>
        </w:rPr>
        <w:t>euro</w:t>
      </w:r>
      <w:r w:rsidR="00853611">
        <w:rPr>
          <w:rFonts w:cs="Times New Roman"/>
          <w:color w:val="17365D"/>
          <w:szCs w:val="24"/>
        </w:rPr>
        <w:t xml:space="preserve">, tai skaitā </w:t>
      </w:r>
      <w:r w:rsidR="00853611" w:rsidRPr="004D7ECF">
        <w:rPr>
          <w:rFonts w:cs="Times New Roman"/>
          <w:color w:val="17365D"/>
          <w:szCs w:val="24"/>
        </w:rPr>
        <w:t>Ekonomiskās sadarbības un attīstības organizācija</w:t>
      </w:r>
      <w:r w:rsidR="00853611">
        <w:rPr>
          <w:rFonts w:cs="Times New Roman"/>
          <w:color w:val="17365D"/>
          <w:szCs w:val="24"/>
        </w:rPr>
        <w:t xml:space="preserve">s nefondētās saistības ir 3 900 000 </w:t>
      </w:r>
      <w:r w:rsidR="00853611" w:rsidRPr="005328DD">
        <w:rPr>
          <w:rFonts w:cs="Times New Roman"/>
          <w:i/>
          <w:color w:val="17365D"/>
          <w:szCs w:val="24"/>
        </w:rPr>
        <w:t>euro</w:t>
      </w:r>
      <w:r w:rsidR="00853611">
        <w:rPr>
          <w:rFonts w:cs="Times New Roman"/>
          <w:i/>
          <w:color w:val="17365D"/>
          <w:szCs w:val="24"/>
        </w:rPr>
        <w:t xml:space="preserve">. </w:t>
      </w:r>
      <w:r w:rsidR="00853611" w:rsidRPr="00853611">
        <w:rPr>
          <w:rFonts w:cs="Times New Roman"/>
          <w:color w:val="17365D"/>
          <w:szCs w:val="24"/>
        </w:rPr>
        <w:t>Jāņem vērā, ka</w:t>
      </w:r>
      <w:r w:rsidR="00853611">
        <w:rPr>
          <w:rFonts w:cs="Times New Roman"/>
          <w:color w:val="17365D"/>
          <w:szCs w:val="24"/>
        </w:rPr>
        <w:t xml:space="preserve"> šo saistību segšanai starptautiskās organizācijas veido aktīvu fondus, kuru vērtība ir mainīga, un Latvijas dalības maksa šajās oganizācijās veido fonda palielinājumu.</w:t>
      </w:r>
      <w:r w:rsidR="00AE4FF5">
        <w:rPr>
          <w:rFonts w:cs="Times New Roman"/>
          <w:color w:val="17365D"/>
          <w:szCs w:val="24"/>
        </w:rPr>
        <w:t xml:space="preserve"> </w:t>
      </w:r>
    </w:p>
    <w:p w14:paraId="72D2CF26" w14:textId="77777777" w:rsidR="00F64C57" w:rsidRDefault="00F64C57" w:rsidP="00F71988">
      <w:pPr>
        <w:spacing w:after="120" w:line="240" w:lineRule="auto"/>
        <w:ind w:firstLine="284"/>
        <w:jc w:val="both"/>
        <w:rPr>
          <w:rFonts w:cs="Times New Roman"/>
          <w:color w:val="17365D"/>
          <w:szCs w:val="24"/>
        </w:rPr>
      </w:pPr>
    </w:p>
    <w:p w14:paraId="78273C9C" w14:textId="2CFAB133" w:rsidR="002D25D6" w:rsidRDefault="002D25D6" w:rsidP="00F71988">
      <w:pPr>
        <w:spacing w:after="120" w:line="240" w:lineRule="auto"/>
        <w:ind w:firstLine="284"/>
        <w:jc w:val="both"/>
        <w:rPr>
          <w:rFonts w:cs="Times New Roman"/>
          <w:color w:val="17365D"/>
          <w:szCs w:val="24"/>
        </w:rPr>
      </w:pPr>
    </w:p>
    <w:p w14:paraId="53166BD0" w14:textId="048288FD" w:rsidR="00686079" w:rsidRPr="00A27896" w:rsidRDefault="00B27512" w:rsidP="00FD10CC">
      <w:pPr>
        <w:pStyle w:val="Heading3"/>
      </w:pPr>
      <w:r>
        <w:lastRenderedPageBreak/>
        <w:t>S</w:t>
      </w:r>
      <w:r w:rsidR="00686079" w:rsidRPr="00A27896">
        <w:t>kaidrojumi bilances posteņu pārklasifikācijai</w:t>
      </w:r>
      <w:r w:rsidR="00D5678E" w:rsidRPr="00A27896">
        <w:t>, konsolidācijai un korekcijām</w:t>
      </w:r>
    </w:p>
    <w:p w14:paraId="050288F1" w14:textId="7E34427D" w:rsidR="00742076" w:rsidRPr="00A27896" w:rsidRDefault="00686079" w:rsidP="00686079">
      <w:pPr>
        <w:spacing w:after="120" w:line="240" w:lineRule="auto"/>
        <w:ind w:firstLine="284"/>
        <w:jc w:val="both"/>
        <w:rPr>
          <w:rFonts w:cs="Times New Roman"/>
          <w:color w:val="17365D"/>
        </w:rPr>
      </w:pPr>
      <w:r w:rsidRPr="00A27896">
        <w:rPr>
          <w:rFonts w:cs="Times New Roman"/>
          <w:color w:val="17365D"/>
        </w:rPr>
        <w:t xml:space="preserve">Lai nodrošinātu bilances posteņu salīdzināmību, </w:t>
      </w:r>
      <w:r w:rsidR="00D5678E" w:rsidRPr="00A27896">
        <w:rPr>
          <w:rFonts w:cs="Times New Roman"/>
          <w:color w:val="17365D"/>
        </w:rPr>
        <w:t xml:space="preserve">pārskata gadā </w:t>
      </w:r>
      <w:r w:rsidR="007A1AC4" w:rsidRPr="00A27896">
        <w:rPr>
          <w:rFonts w:cs="Times New Roman"/>
          <w:color w:val="17365D"/>
        </w:rPr>
        <w:t xml:space="preserve">veikta </w:t>
      </w:r>
      <w:r w:rsidR="002B3A63" w:rsidRPr="00A27896">
        <w:rPr>
          <w:rFonts w:cs="Times New Roman"/>
          <w:color w:val="17365D"/>
        </w:rPr>
        <w:t>salīdzinošās informācijas par ministriju, centrālo valsts iestāžu un pašvaldību bilances posteņu atlikumiem korekcija atbilstoši to iepriekšējos periodos konstatēto kļūdu labojumiem, norādīšanas un klasifikācijas maiņai</w:t>
      </w:r>
      <w:r w:rsidR="00D5678E" w:rsidRPr="00A27896">
        <w:rPr>
          <w:rFonts w:cs="Times New Roman"/>
          <w:color w:val="17365D"/>
        </w:rPr>
        <w:t>, kā arī budžeta iestāžu</w:t>
      </w:r>
      <w:r w:rsidR="00A54F00" w:rsidRPr="00A27896">
        <w:rPr>
          <w:rFonts w:cs="Times New Roman"/>
          <w:color w:val="17365D"/>
        </w:rPr>
        <w:t xml:space="preserve">, t.sk. valsts budžeta finanšu </w:t>
      </w:r>
      <w:r w:rsidR="00D5678E" w:rsidRPr="00A27896">
        <w:rPr>
          <w:rFonts w:cs="Times New Roman"/>
          <w:color w:val="17365D"/>
        </w:rPr>
        <w:t>uzskaites</w:t>
      </w:r>
      <w:r w:rsidR="00A54F00" w:rsidRPr="00A27896">
        <w:rPr>
          <w:rFonts w:cs="Times New Roman"/>
          <w:color w:val="17365D"/>
        </w:rPr>
        <w:t>,</w:t>
      </w:r>
      <w:r w:rsidR="00D5678E" w:rsidRPr="00A27896">
        <w:rPr>
          <w:rFonts w:cs="Times New Roman"/>
          <w:color w:val="17365D"/>
        </w:rPr>
        <w:t xml:space="preserve"> savstarpējo darījumu un atlikumu konsolidācija un korekcijas vienotas metodikas pielietošanai un notikumu pē</w:t>
      </w:r>
      <w:r w:rsidR="00D76DAA" w:rsidRPr="00A27896">
        <w:rPr>
          <w:rFonts w:cs="Times New Roman"/>
          <w:color w:val="17365D"/>
        </w:rPr>
        <w:t>c bilances datuma rezul</w:t>
      </w:r>
      <w:r w:rsidR="00F4182A" w:rsidRPr="00A27896">
        <w:rPr>
          <w:rFonts w:cs="Times New Roman"/>
          <w:color w:val="17365D"/>
        </w:rPr>
        <w:t>t</w:t>
      </w:r>
      <w:r w:rsidR="00D76DAA" w:rsidRPr="00A27896">
        <w:rPr>
          <w:rFonts w:cs="Times New Roman"/>
          <w:color w:val="17365D"/>
        </w:rPr>
        <w:t>ātā.</w:t>
      </w:r>
    </w:p>
    <w:p w14:paraId="7702D0C8" w14:textId="77777777" w:rsidR="00C70F14" w:rsidRPr="00A27896" w:rsidRDefault="00C70F14" w:rsidP="00C70F14">
      <w:pPr>
        <w:spacing w:after="120" w:line="240" w:lineRule="auto"/>
        <w:ind w:firstLine="284"/>
        <w:jc w:val="both"/>
        <w:rPr>
          <w:rFonts w:cs="Times New Roman"/>
          <w:bCs/>
          <w:color w:val="17365D"/>
        </w:rPr>
      </w:pPr>
      <w:r w:rsidRPr="00A27896">
        <w:rPr>
          <w:rFonts w:cs="Times New Roman"/>
          <w:color w:val="17365D"/>
        </w:rPr>
        <w:t>K</w:t>
      </w:r>
      <w:r w:rsidRPr="00A27896">
        <w:rPr>
          <w:rFonts w:cs="Times New Roman"/>
          <w:bCs/>
          <w:color w:val="17365D"/>
        </w:rPr>
        <w:t>onsolidētajā bilancē pārskata gad</w:t>
      </w:r>
      <w:r>
        <w:rPr>
          <w:rFonts w:cs="Times New Roman"/>
          <w:bCs/>
          <w:color w:val="17365D"/>
        </w:rPr>
        <w:t>a beigās</w:t>
      </w:r>
      <w:r w:rsidRPr="00A27896">
        <w:rPr>
          <w:rFonts w:cs="Times New Roman"/>
          <w:bCs/>
          <w:color w:val="17365D"/>
        </w:rPr>
        <w:t xml:space="preserve"> veikta </w:t>
      </w:r>
      <w:r w:rsidRPr="00A27896">
        <w:rPr>
          <w:rFonts w:cs="Times New Roman"/>
          <w:b/>
          <w:bCs/>
          <w:color w:val="17365D"/>
        </w:rPr>
        <w:t>korekcija</w:t>
      </w:r>
      <w:r w:rsidRPr="00A27896">
        <w:rPr>
          <w:rFonts w:cs="Times New Roman"/>
          <w:bCs/>
          <w:color w:val="17365D"/>
        </w:rPr>
        <w:t xml:space="preserve"> šādos bilances </w:t>
      </w:r>
      <w:r w:rsidRPr="00A27896">
        <w:rPr>
          <w:rFonts w:cs="Times New Roman"/>
          <w:b/>
          <w:bCs/>
          <w:color w:val="17365D"/>
        </w:rPr>
        <w:t>aktīva posteņos</w:t>
      </w:r>
      <w:r w:rsidRPr="00A27896">
        <w:rPr>
          <w:rFonts w:cs="Times New Roman"/>
          <w:bCs/>
          <w:color w:val="17365D"/>
        </w:rPr>
        <w:t>:</w:t>
      </w:r>
    </w:p>
    <w:p w14:paraId="42108DBB" w14:textId="77777777" w:rsidR="00C70F14" w:rsidRPr="00A27896" w:rsidRDefault="00C70F14" w:rsidP="00C70F14">
      <w:pPr>
        <w:pStyle w:val="ListParagraph"/>
        <w:numPr>
          <w:ilvl w:val="0"/>
          <w:numId w:val="9"/>
        </w:numPr>
        <w:spacing w:after="120" w:line="240" w:lineRule="auto"/>
        <w:ind w:left="850" w:hanging="357"/>
        <w:contextualSpacing w:val="0"/>
        <w:jc w:val="both"/>
        <w:rPr>
          <w:rFonts w:cs="Times New Roman"/>
          <w:color w:val="17365D"/>
        </w:rPr>
      </w:pPr>
      <w:r w:rsidRPr="00A27896">
        <w:rPr>
          <w:rFonts w:cs="Times New Roman"/>
          <w:b/>
          <w:color w:val="17365D"/>
          <w:szCs w:val="24"/>
        </w:rPr>
        <w:t>“Ilgtermiņa finanšu ieguldījumi</w:t>
      </w:r>
      <w:r w:rsidRPr="00A27896">
        <w:rPr>
          <w:rFonts w:cs="Times New Roman"/>
          <w:b/>
          <w:color w:val="17365D"/>
        </w:rPr>
        <w:t>”</w:t>
      </w:r>
      <w:r w:rsidRPr="00A27896">
        <w:rPr>
          <w:rFonts w:cs="Times New Roman"/>
          <w:b/>
          <w:color w:val="17365D"/>
          <w:szCs w:val="24"/>
        </w:rPr>
        <w:t xml:space="preserve"> </w:t>
      </w:r>
      <w:r w:rsidRPr="00A27896">
        <w:rPr>
          <w:rFonts w:cs="Times New Roman"/>
          <w:color w:val="17365D"/>
          <w:szCs w:val="24"/>
        </w:rPr>
        <w:t xml:space="preserve">par </w:t>
      </w:r>
      <w:r w:rsidRPr="00A27896">
        <w:rPr>
          <w:rFonts w:cs="Times New Roman"/>
          <w:color w:val="17365D"/>
        </w:rPr>
        <w:t>ministriju un centrālo valsts iestāžu un pašvaldību bilances posteņos pēc izmaksu metodes novērtētiem un bilances postenī “Pārējie ilgtermiņa finanšu ieguldījumu” atzītiem ieguldījumiem kapitālsabiedrību pašu kapitālā, kur valstij un pašvaldībām kopā pieder 20,001 % un vairāk kapitāla daļu, atlikumi pārskata perioda beigās pārrēķināti, pielietojot pašu kapitāla metodi</w:t>
      </w:r>
      <w:r w:rsidRPr="00DA2B16">
        <w:t xml:space="preserve"> </w:t>
      </w:r>
      <w:r>
        <w:t>(</w:t>
      </w:r>
      <w:r w:rsidRPr="00DA2B16">
        <w:rPr>
          <w:rFonts w:cs="Times New Roman"/>
          <w:color w:val="17365D"/>
        </w:rPr>
        <w:t>7 691</w:t>
      </w:r>
      <w:r>
        <w:rPr>
          <w:rFonts w:cs="Times New Roman"/>
          <w:color w:val="17365D"/>
        </w:rPr>
        <w:t> </w:t>
      </w:r>
      <w:r w:rsidRPr="00DA2B16">
        <w:rPr>
          <w:rFonts w:cs="Times New Roman"/>
          <w:color w:val="17365D"/>
        </w:rPr>
        <w:t>092</w:t>
      </w:r>
      <w:r>
        <w:rPr>
          <w:rFonts w:cs="Times New Roman"/>
          <w:color w:val="17365D"/>
        </w:rPr>
        <w:t>)</w:t>
      </w:r>
      <w:r w:rsidRPr="00DA2B16">
        <w:rPr>
          <w:rFonts w:cs="Times New Roman"/>
          <w:i/>
          <w:color w:val="17365D"/>
          <w:szCs w:val="24"/>
        </w:rPr>
        <w:t xml:space="preserve"> euro</w:t>
      </w:r>
      <w:r w:rsidRPr="00DA2B16">
        <w:rPr>
          <w:rFonts w:cs="Times New Roman"/>
          <w:color w:val="17365D"/>
          <w:szCs w:val="24"/>
        </w:rPr>
        <w:t xml:space="preserve"> vērtībā</w:t>
      </w:r>
      <w:r w:rsidRPr="00A27896">
        <w:rPr>
          <w:rFonts w:cs="Times New Roman"/>
          <w:color w:val="17365D"/>
        </w:rPr>
        <w:t>.</w:t>
      </w:r>
    </w:p>
    <w:p w14:paraId="101A0931" w14:textId="77777777" w:rsidR="00C70F14" w:rsidRPr="00A27896" w:rsidRDefault="00C70F14" w:rsidP="00C70F14">
      <w:pPr>
        <w:numPr>
          <w:ilvl w:val="0"/>
          <w:numId w:val="9"/>
        </w:numPr>
        <w:spacing w:after="120" w:line="240" w:lineRule="auto"/>
        <w:ind w:left="850" w:hanging="357"/>
        <w:jc w:val="both"/>
        <w:rPr>
          <w:rFonts w:cs="Times New Roman"/>
          <w:b/>
          <w:bCs/>
          <w:color w:val="17365D"/>
        </w:rPr>
      </w:pPr>
      <w:r w:rsidRPr="00A27896">
        <w:rPr>
          <w:rFonts w:cs="Times New Roman"/>
          <w:b/>
          <w:color w:val="17365D"/>
        </w:rPr>
        <w:t>“Īstermiņa prasības”</w:t>
      </w:r>
      <w:r w:rsidRPr="00A27896">
        <w:rPr>
          <w:rFonts w:cs="Times New Roman"/>
          <w:color w:val="17365D"/>
        </w:rPr>
        <w:t xml:space="preserve"> par valsts budžeta iestāžu savstarpējo debitoru prasību un attiecīgo saistību salīdzināšanas rezultāta korekciju</w:t>
      </w:r>
      <w:r w:rsidRPr="00DA2B16">
        <w:t xml:space="preserve"> </w:t>
      </w:r>
      <w:r w:rsidRPr="00DA2B16">
        <w:rPr>
          <w:rFonts w:cs="Times New Roman"/>
          <w:color w:val="17365D"/>
        </w:rPr>
        <w:t>1 799 787</w:t>
      </w:r>
      <w:r w:rsidRPr="00DA2B16">
        <w:rPr>
          <w:rFonts w:cs="Times New Roman"/>
          <w:i/>
          <w:color w:val="17365D"/>
          <w:szCs w:val="24"/>
        </w:rPr>
        <w:t xml:space="preserve"> euro</w:t>
      </w:r>
      <w:r w:rsidRPr="00DA2B16">
        <w:rPr>
          <w:rFonts w:cs="Times New Roman"/>
          <w:color w:val="17365D"/>
          <w:szCs w:val="24"/>
        </w:rPr>
        <w:t xml:space="preserve"> vērtībā</w:t>
      </w:r>
      <w:r w:rsidRPr="00A27896">
        <w:rPr>
          <w:rFonts w:cs="Times New Roman"/>
          <w:color w:val="17365D"/>
        </w:rPr>
        <w:t>;</w:t>
      </w:r>
    </w:p>
    <w:p w14:paraId="51DF5080" w14:textId="77777777" w:rsidR="00C70F14" w:rsidRPr="00A27896" w:rsidRDefault="00C70F14" w:rsidP="00C70F14">
      <w:pPr>
        <w:numPr>
          <w:ilvl w:val="0"/>
          <w:numId w:val="9"/>
        </w:numPr>
        <w:spacing w:after="120" w:line="240" w:lineRule="auto"/>
        <w:ind w:left="850" w:hanging="357"/>
        <w:jc w:val="both"/>
        <w:rPr>
          <w:rFonts w:cs="Times New Roman"/>
          <w:b/>
          <w:bCs/>
          <w:color w:val="17365D"/>
        </w:rPr>
      </w:pPr>
      <w:r w:rsidRPr="00A27896">
        <w:rPr>
          <w:rFonts w:cs="Times New Roman"/>
          <w:b/>
          <w:color w:val="17365D"/>
        </w:rPr>
        <w:t xml:space="preserve">“Nākamo periodu izdevumi un avansi par pakalpojumiem un projektiem” </w:t>
      </w:r>
      <w:r w:rsidRPr="00A27896">
        <w:rPr>
          <w:rFonts w:cs="Times New Roman"/>
          <w:color w:val="17365D"/>
        </w:rPr>
        <w:t>par valsts un pašvaldību budžeta iestāžu savstarpējo debitoru prasību un attiecīgo saistību salīdzināšanas rezultāta korekciju</w:t>
      </w:r>
      <w:r>
        <w:rPr>
          <w:rFonts w:cs="Times New Roman"/>
          <w:color w:val="17365D"/>
        </w:rPr>
        <w:t xml:space="preserve"> </w:t>
      </w:r>
      <w:r w:rsidRPr="00DA2B16">
        <w:rPr>
          <w:rFonts w:cs="Times New Roman"/>
          <w:color w:val="17365D"/>
        </w:rPr>
        <w:t>491</w:t>
      </w:r>
      <w:r>
        <w:rPr>
          <w:rFonts w:cs="Times New Roman"/>
          <w:color w:val="17365D"/>
        </w:rPr>
        <w:t> </w:t>
      </w:r>
      <w:r w:rsidRPr="00DA2B16">
        <w:rPr>
          <w:rFonts w:cs="Times New Roman"/>
          <w:color w:val="17365D"/>
        </w:rPr>
        <w:t>303</w:t>
      </w:r>
      <w:r w:rsidRPr="00DA2B16">
        <w:rPr>
          <w:rFonts w:cs="Times New Roman"/>
          <w:i/>
          <w:color w:val="17365D"/>
          <w:szCs w:val="24"/>
        </w:rPr>
        <w:t xml:space="preserve"> euro</w:t>
      </w:r>
      <w:r w:rsidRPr="00DA2B16">
        <w:rPr>
          <w:rFonts w:cs="Times New Roman"/>
          <w:color w:val="17365D"/>
          <w:szCs w:val="24"/>
        </w:rPr>
        <w:t xml:space="preserve"> vērtībā</w:t>
      </w:r>
      <w:r w:rsidRPr="00A27896">
        <w:rPr>
          <w:rFonts w:cs="Times New Roman"/>
          <w:color w:val="17365D"/>
        </w:rPr>
        <w:t>.</w:t>
      </w:r>
    </w:p>
    <w:p w14:paraId="7F202513" w14:textId="77777777" w:rsidR="00C70F14" w:rsidRPr="00A27896" w:rsidRDefault="00C70F14" w:rsidP="00C70F14">
      <w:pPr>
        <w:spacing w:after="120" w:line="240" w:lineRule="auto"/>
        <w:ind w:left="284"/>
        <w:jc w:val="both"/>
        <w:rPr>
          <w:rFonts w:cs="Times New Roman"/>
          <w:b/>
          <w:color w:val="17365D"/>
        </w:rPr>
      </w:pPr>
      <w:r w:rsidRPr="00A27896">
        <w:rPr>
          <w:rFonts w:cs="Times New Roman"/>
          <w:color w:val="17365D"/>
        </w:rPr>
        <w:t xml:space="preserve">Konsolidētajā bilancē veikta </w:t>
      </w:r>
      <w:r w:rsidRPr="00A27896">
        <w:rPr>
          <w:rFonts w:cs="Times New Roman"/>
          <w:b/>
          <w:color w:val="17365D"/>
        </w:rPr>
        <w:t>korekcija</w:t>
      </w:r>
      <w:r w:rsidRPr="00A27896">
        <w:rPr>
          <w:rFonts w:cs="Times New Roman"/>
          <w:color w:val="17365D"/>
        </w:rPr>
        <w:t xml:space="preserve"> šādos bilances </w:t>
      </w:r>
      <w:r w:rsidRPr="00A27896">
        <w:rPr>
          <w:rFonts w:cs="Times New Roman"/>
          <w:b/>
          <w:color w:val="17365D"/>
        </w:rPr>
        <w:t>pasīva posteņos:</w:t>
      </w:r>
    </w:p>
    <w:p w14:paraId="0F3B3D4C" w14:textId="77777777" w:rsidR="00C70F14" w:rsidRPr="00A27896" w:rsidRDefault="00C70F14" w:rsidP="00C70F14">
      <w:pPr>
        <w:pStyle w:val="ListParagraph"/>
        <w:numPr>
          <w:ilvl w:val="0"/>
          <w:numId w:val="26"/>
        </w:numPr>
        <w:spacing w:after="120" w:line="240" w:lineRule="auto"/>
        <w:ind w:left="851" w:hanging="425"/>
        <w:jc w:val="both"/>
        <w:rPr>
          <w:rFonts w:cs="Times New Roman"/>
          <w:color w:val="17365D"/>
        </w:rPr>
      </w:pPr>
      <w:r w:rsidRPr="00A27896">
        <w:rPr>
          <w:rFonts w:cs="Times New Roman"/>
          <w:b/>
          <w:color w:val="17365D"/>
        </w:rPr>
        <w:t>Pašu kapitāls</w:t>
      </w:r>
      <w:r w:rsidRPr="00A27896">
        <w:rPr>
          <w:rFonts w:cs="Times New Roman"/>
          <w:color w:val="17365D"/>
        </w:rPr>
        <w:t xml:space="preserve"> koriģēts bilances postenī </w:t>
      </w:r>
      <w:r w:rsidRPr="00A27896">
        <w:rPr>
          <w:rFonts w:cs="Times New Roman"/>
          <w:b/>
          <w:color w:val="17365D"/>
        </w:rPr>
        <w:t>“Iepriekšējā pārskata gada budžeta izpildes rezultāts”</w:t>
      </w:r>
      <w:r w:rsidRPr="00A27896">
        <w:rPr>
          <w:rFonts w:cs="Times New Roman"/>
          <w:color w:val="17365D"/>
        </w:rPr>
        <w:t xml:space="preserve"> un </w:t>
      </w:r>
      <w:r w:rsidRPr="00A27896">
        <w:rPr>
          <w:rFonts w:cs="Times New Roman"/>
          <w:b/>
          <w:color w:val="17365D"/>
        </w:rPr>
        <w:t>“Pārskata gada budžeta izpildes rezultāts”</w:t>
      </w:r>
      <w:r w:rsidRPr="00A27896">
        <w:rPr>
          <w:rFonts w:cs="Times New Roman"/>
          <w:color w:val="17365D"/>
        </w:rPr>
        <w:t xml:space="preserve"> par korekcijām, kas attiecināmas uz iepriekšējo pārskata gadu budžeta izpildes rezultātu vai pārskata gada budžeta izpildes rezultātu</w:t>
      </w:r>
      <w:r w:rsidRPr="00700D29">
        <w:t xml:space="preserve"> </w:t>
      </w:r>
      <w:r>
        <w:rPr>
          <w:rFonts w:cs="Times New Roman"/>
          <w:color w:val="17365D"/>
        </w:rPr>
        <w:t>(</w:t>
      </w:r>
      <w:r w:rsidRPr="00700D29">
        <w:rPr>
          <w:rFonts w:cs="Times New Roman"/>
          <w:color w:val="17365D"/>
        </w:rPr>
        <w:t>5 400</w:t>
      </w:r>
      <w:r>
        <w:rPr>
          <w:rFonts w:cs="Times New Roman"/>
          <w:color w:val="17365D"/>
        </w:rPr>
        <w:t> </w:t>
      </w:r>
      <w:r w:rsidRPr="00700D29">
        <w:rPr>
          <w:rFonts w:cs="Times New Roman"/>
          <w:color w:val="17365D"/>
        </w:rPr>
        <w:t>002</w:t>
      </w:r>
      <w:r>
        <w:rPr>
          <w:rFonts w:cs="Times New Roman"/>
          <w:color w:val="17365D"/>
        </w:rPr>
        <w:t>)</w:t>
      </w:r>
      <w:r w:rsidRPr="00700D29">
        <w:rPr>
          <w:rFonts w:cs="Times New Roman"/>
          <w:i/>
          <w:color w:val="17365D"/>
          <w:szCs w:val="24"/>
        </w:rPr>
        <w:t xml:space="preserve"> </w:t>
      </w:r>
      <w:r w:rsidRPr="00DA2B16">
        <w:rPr>
          <w:rFonts w:cs="Times New Roman"/>
          <w:i/>
          <w:color w:val="17365D"/>
          <w:szCs w:val="24"/>
        </w:rPr>
        <w:t>euro</w:t>
      </w:r>
      <w:r w:rsidRPr="00DA2B16">
        <w:rPr>
          <w:rFonts w:cs="Times New Roman"/>
          <w:color w:val="17365D"/>
          <w:szCs w:val="24"/>
        </w:rPr>
        <w:t xml:space="preserve"> vērtībā</w:t>
      </w:r>
      <w:r w:rsidRPr="00A27896">
        <w:rPr>
          <w:rFonts w:cs="Times New Roman"/>
          <w:color w:val="17365D"/>
        </w:rPr>
        <w:t>.</w:t>
      </w:r>
    </w:p>
    <w:p w14:paraId="6EAB3598" w14:textId="77777777" w:rsidR="00C70F14" w:rsidRPr="00A27896" w:rsidRDefault="00C70F14" w:rsidP="00C70F14">
      <w:pPr>
        <w:pStyle w:val="ListParagraph"/>
        <w:spacing w:after="120" w:line="240" w:lineRule="auto"/>
        <w:ind w:left="851"/>
        <w:jc w:val="both"/>
        <w:rPr>
          <w:rFonts w:cs="Times New Roman"/>
          <w:bCs/>
          <w:color w:val="17365D"/>
        </w:rPr>
      </w:pPr>
    </w:p>
    <w:p w14:paraId="3933EFC5" w14:textId="77777777" w:rsidR="00C70F14" w:rsidRPr="00A27896" w:rsidRDefault="00C70F14" w:rsidP="00C70F14">
      <w:pPr>
        <w:spacing w:after="120" w:line="240" w:lineRule="auto"/>
        <w:jc w:val="both"/>
        <w:rPr>
          <w:rFonts w:cs="Times New Roman"/>
          <w:b/>
          <w:color w:val="17365D"/>
        </w:rPr>
      </w:pPr>
      <w:r w:rsidRPr="00A27896">
        <w:rPr>
          <w:rFonts w:cs="Times New Roman"/>
          <w:color w:val="17365D"/>
        </w:rPr>
        <w:t xml:space="preserve">Konsolidētajā bilancē </w:t>
      </w:r>
      <w:r w:rsidRPr="00F904C2">
        <w:rPr>
          <w:rFonts w:cs="Times New Roman"/>
          <w:color w:val="17365D"/>
        </w:rPr>
        <w:t>pārskata gada</w:t>
      </w:r>
      <w:r>
        <w:rPr>
          <w:rFonts w:cs="Times New Roman"/>
          <w:color w:val="17365D"/>
        </w:rPr>
        <w:t xml:space="preserve"> beigās</w:t>
      </w:r>
      <w:r w:rsidRPr="00A27896">
        <w:rPr>
          <w:rFonts w:cs="Times New Roman"/>
          <w:color w:val="17365D"/>
        </w:rPr>
        <w:t xml:space="preserve"> veikta </w:t>
      </w:r>
      <w:r w:rsidRPr="00A27896">
        <w:rPr>
          <w:rFonts w:cs="Times New Roman"/>
          <w:b/>
          <w:color w:val="17365D"/>
        </w:rPr>
        <w:t>konsolidācija</w:t>
      </w:r>
      <w:r w:rsidRPr="00A27896">
        <w:rPr>
          <w:rFonts w:cs="Times New Roman"/>
          <w:color w:val="17365D"/>
        </w:rPr>
        <w:t xml:space="preserve"> šādos bilances </w:t>
      </w:r>
      <w:r w:rsidRPr="00A27896">
        <w:rPr>
          <w:rFonts w:cs="Times New Roman"/>
          <w:b/>
          <w:color w:val="17365D"/>
        </w:rPr>
        <w:t>aktīva posteņos:</w:t>
      </w:r>
    </w:p>
    <w:p w14:paraId="1882339B" w14:textId="77777777" w:rsidR="00C70F14" w:rsidRPr="00A27896" w:rsidRDefault="00C70F14" w:rsidP="00C70F14">
      <w:pPr>
        <w:spacing w:after="120" w:line="240" w:lineRule="auto"/>
        <w:ind w:firstLine="284"/>
        <w:jc w:val="both"/>
        <w:rPr>
          <w:rFonts w:cs="Times New Roman"/>
          <w:color w:val="17365D"/>
        </w:rPr>
      </w:pPr>
      <w:r w:rsidRPr="00A27896">
        <w:rPr>
          <w:rFonts w:cs="Times New Roman"/>
          <w:b/>
          <w:bCs/>
          <w:color w:val="17365D"/>
        </w:rPr>
        <w:t>Ilgtermiņa ieguldījumi</w:t>
      </w:r>
      <w:r w:rsidRPr="00A27896">
        <w:rPr>
          <w:rFonts w:cs="Times New Roman"/>
          <w:color w:val="17365D"/>
        </w:rPr>
        <w:t xml:space="preserve"> konsolidēti bilances postenī:</w:t>
      </w:r>
    </w:p>
    <w:p w14:paraId="56028F62" w14:textId="77777777" w:rsidR="00C70F14" w:rsidRPr="00DA2B16" w:rsidRDefault="00C70F14" w:rsidP="00C70F14">
      <w:pPr>
        <w:pStyle w:val="ListParagraph"/>
        <w:numPr>
          <w:ilvl w:val="0"/>
          <w:numId w:val="26"/>
        </w:numPr>
        <w:spacing w:after="120" w:line="240" w:lineRule="auto"/>
        <w:ind w:left="850" w:hanging="357"/>
        <w:contextualSpacing w:val="0"/>
        <w:jc w:val="both"/>
        <w:rPr>
          <w:rFonts w:cs="Times New Roman"/>
          <w:b/>
          <w:bCs/>
          <w:color w:val="17365D"/>
          <w:szCs w:val="24"/>
        </w:rPr>
      </w:pPr>
      <w:r w:rsidRPr="00DA2B16">
        <w:rPr>
          <w:rFonts w:cs="Times New Roman"/>
          <w:b/>
          <w:color w:val="17365D"/>
        </w:rPr>
        <w:t>“</w:t>
      </w:r>
      <w:r w:rsidRPr="00DA2B16">
        <w:rPr>
          <w:rFonts w:cs="Times New Roman"/>
          <w:b/>
          <w:color w:val="17365D"/>
          <w:szCs w:val="24"/>
        </w:rPr>
        <w:t>Nemateriālie ieguldījumi</w:t>
      </w:r>
      <w:r w:rsidRPr="00DA2B16">
        <w:rPr>
          <w:rFonts w:cs="Times New Roman"/>
          <w:b/>
          <w:color w:val="17365D"/>
        </w:rPr>
        <w:t>”</w:t>
      </w:r>
      <w:r w:rsidRPr="00DA2B16">
        <w:rPr>
          <w:rFonts w:cs="Times New Roman"/>
          <w:color w:val="17365D"/>
          <w:szCs w:val="24"/>
        </w:rPr>
        <w:t xml:space="preserve"> par valsts budžeta iestāžu un par valsts un pašvaldību budžeta iestāžu savstarpējiem avansa maksājumiem par nemateriālajiem ieguldījumiem (968) </w:t>
      </w:r>
      <w:r w:rsidRPr="00DA2B16">
        <w:rPr>
          <w:rFonts w:cs="Times New Roman"/>
          <w:i/>
          <w:color w:val="17365D"/>
          <w:szCs w:val="24"/>
        </w:rPr>
        <w:t>euro</w:t>
      </w:r>
      <w:r w:rsidRPr="00DA2B16">
        <w:rPr>
          <w:rFonts w:cs="Times New Roman"/>
          <w:color w:val="17365D"/>
          <w:szCs w:val="24"/>
        </w:rPr>
        <w:t xml:space="preserve"> vērtībā;</w:t>
      </w:r>
    </w:p>
    <w:p w14:paraId="3B4386C8" w14:textId="77777777" w:rsidR="00C70F14" w:rsidRPr="00A27896" w:rsidRDefault="00C70F14" w:rsidP="00C70F14">
      <w:pPr>
        <w:numPr>
          <w:ilvl w:val="0"/>
          <w:numId w:val="2"/>
        </w:numPr>
        <w:spacing w:after="120" w:line="240" w:lineRule="auto"/>
        <w:ind w:left="850" w:hanging="357"/>
        <w:jc w:val="both"/>
        <w:rPr>
          <w:rFonts w:cs="Times New Roman"/>
          <w:b/>
          <w:bCs/>
          <w:color w:val="17365D"/>
          <w:szCs w:val="24"/>
        </w:rPr>
      </w:pPr>
      <w:r w:rsidRPr="00A27896">
        <w:rPr>
          <w:rFonts w:cs="Times New Roman"/>
          <w:b/>
          <w:color w:val="17365D"/>
        </w:rPr>
        <w:t>“</w:t>
      </w:r>
      <w:r w:rsidRPr="00A27896">
        <w:rPr>
          <w:rFonts w:cs="Times New Roman"/>
          <w:b/>
          <w:color w:val="17365D"/>
          <w:szCs w:val="24"/>
        </w:rPr>
        <w:t>Pamatlīdzekļi</w:t>
      </w:r>
      <w:r w:rsidRPr="00A27896">
        <w:rPr>
          <w:rFonts w:cs="Times New Roman"/>
          <w:b/>
          <w:color w:val="17365D"/>
        </w:rPr>
        <w:t>”</w:t>
      </w:r>
      <w:r w:rsidRPr="00A27896">
        <w:rPr>
          <w:rFonts w:cs="Times New Roman"/>
          <w:b/>
          <w:color w:val="17365D"/>
          <w:szCs w:val="24"/>
        </w:rPr>
        <w:t xml:space="preserve"> </w:t>
      </w:r>
      <w:r w:rsidRPr="00A27896">
        <w:rPr>
          <w:rFonts w:cs="Times New Roman"/>
          <w:color w:val="17365D"/>
          <w:szCs w:val="24"/>
        </w:rPr>
        <w:t>par valsts iestāžu, kā arī valsts un pašvaldību budžeta iestāžu savstarpējiem avansa maksājumiem par pamatlīdzekļiem</w:t>
      </w:r>
      <w:r w:rsidRPr="00DA2B16">
        <w:t xml:space="preserve"> </w:t>
      </w:r>
      <w:r>
        <w:rPr>
          <w:rFonts w:cs="Times New Roman"/>
          <w:color w:val="17365D"/>
          <w:szCs w:val="24"/>
        </w:rPr>
        <w:t>(</w:t>
      </w:r>
      <w:r w:rsidRPr="00DA2B16">
        <w:rPr>
          <w:rFonts w:cs="Times New Roman"/>
          <w:color w:val="17365D"/>
          <w:szCs w:val="24"/>
        </w:rPr>
        <w:t>579</w:t>
      </w:r>
      <w:r>
        <w:rPr>
          <w:rFonts w:cs="Times New Roman"/>
          <w:color w:val="17365D"/>
          <w:szCs w:val="24"/>
        </w:rPr>
        <w:t xml:space="preserve">) </w:t>
      </w:r>
      <w:r w:rsidRPr="00DA2B16">
        <w:rPr>
          <w:rFonts w:cs="Times New Roman"/>
          <w:i/>
          <w:color w:val="17365D"/>
          <w:szCs w:val="24"/>
        </w:rPr>
        <w:t>euro</w:t>
      </w:r>
      <w:r w:rsidRPr="00DA2B16">
        <w:rPr>
          <w:rFonts w:cs="Times New Roman"/>
          <w:color w:val="17365D"/>
          <w:szCs w:val="24"/>
        </w:rPr>
        <w:t xml:space="preserve"> vērtībā</w:t>
      </w:r>
      <w:r w:rsidRPr="00A27896">
        <w:rPr>
          <w:rFonts w:cs="Times New Roman"/>
          <w:color w:val="17365D"/>
          <w:szCs w:val="24"/>
        </w:rPr>
        <w:t>;</w:t>
      </w:r>
    </w:p>
    <w:p w14:paraId="28967AE1" w14:textId="77777777" w:rsidR="00C70F14" w:rsidRPr="00A27896" w:rsidRDefault="00C70F14" w:rsidP="00C70F14">
      <w:pPr>
        <w:numPr>
          <w:ilvl w:val="0"/>
          <w:numId w:val="2"/>
        </w:numPr>
        <w:spacing w:after="120" w:line="240" w:lineRule="auto"/>
        <w:ind w:left="850" w:hanging="357"/>
        <w:jc w:val="both"/>
        <w:rPr>
          <w:rFonts w:cs="Times New Roman"/>
          <w:b/>
          <w:bCs/>
          <w:color w:val="17365D"/>
          <w:szCs w:val="24"/>
        </w:rPr>
      </w:pPr>
      <w:r w:rsidRPr="00A27896">
        <w:rPr>
          <w:rFonts w:cs="Times New Roman"/>
          <w:b/>
          <w:color w:val="17365D"/>
        </w:rPr>
        <w:t>“</w:t>
      </w:r>
      <w:r w:rsidRPr="00A27896">
        <w:rPr>
          <w:rFonts w:cs="Times New Roman"/>
          <w:b/>
          <w:color w:val="17365D"/>
          <w:szCs w:val="24"/>
        </w:rPr>
        <w:t>Ilgtermiņa finanšu ieguldījumi</w:t>
      </w:r>
      <w:r w:rsidRPr="00A27896">
        <w:rPr>
          <w:rFonts w:cs="Times New Roman"/>
          <w:b/>
          <w:color w:val="17365D"/>
        </w:rPr>
        <w:t>”</w:t>
      </w:r>
      <w:r w:rsidRPr="00A27896">
        <w:rPr>
          <w:rFonts w:cs="Times New Roman"/>
          <w:color w:val="17365D"/>
          <w:szCs w:val="24"/>
        </w:rPr>
        <w:t xml:space="preserve"> par ilgtermiņa aizdevumiem valsts un pašvaldību budžeta iestādēm no valsts budžeta, par valsts budžeta iestāžu noguldījumiem Valsts kasē un par to ilgtermiņa finanšu prasībām pret Valsts kasi par atlikto procentu maksājumu</w:t>
      </w:r>
      <w:r>
        <w:rPr>
          <w:rFonts w:cs="Times New Roman"/>
          <w:color w:val="17365D"/>
          <w:szCs w:val="24"/>
        </w:rPr>
        <w:t xml:space="preserve"> (</w:t>
      </w:r>
      <w:r w:rsidRPr="00700D29">
        <w:rPr>
          <w:rFonts w:cs="Times New Roman"/>
          <w:color w:val="17365D"/>
          <w:szCs w:val="24"/>
        </w:rPr>
        <w:t>2 423 023 559</w:t>
      </w:r>
      <w:r>
        <w:rPr>
          <w:rFonts w:cs="Times New Roman"/>
          <w:color w:val="17365D"/>
          <w:szCs w:val="24"/>
        </w:rPr>
        <w:t xml:space="preserve">) </w:t>
      </w:r>
      <w:r w:rsidRPr="00DA2B16">
        <w:rPr>
          <w:rFonts w:cs="Times New Roman"/>
          <w:i/>
          <w:color w:val="17365D"/>
          <w:szCs w:val="24"/>
        </w:rPr>
        <w:t>euro</w:t>
      </w:r>
      <w:r w:rsidRPr="00DA2B16">
        <w:rPr>
          <w:rFonts w:cs="Times New Roman"/>
          <w:color w:val="17365D"/>
          <w:szCs w:val="24"/>
        </w:rPr>
        <w:t xml:space="preserve"> vērtībā</w:t>
      </w:r>
      <w:r w:rsidRPr="00A27896">
        <w:rPr>
          <w:rFonts w:cs="Times New Roman"/>
          <w:color w:val="17365D"/>
          <w:szCs w:val="24"/>
        </w:rPr>
        <w:t>;</w:t>
      </w:r>
    </w:p>
    <w:p w14:paraId="2FF4C382" w14:textId="77777777" w:rsidR="00C70F14" w:rsidRPr="00A27896" w:rsidRDefault="00C70F14" w:rsidP="00C70F14">
      <w:pPr>
        <w:numPr>
          <w:ilvl w:val="0"/>
          <w:numId w:val="2"/>
        </w:numPr>
        <w:spacing w:after="120" w:line="240" w:lineRule="auto"/>
        <w:ind w:left="850" w:hanging="357"/>
        <w:jc w:val="both"/>
        <w:rPr>
          <w:rFonts w:cs="Times New Roman"/>
          <w:color w:val="17365D"/>
        </w:rPr>
      </w:pPr>
      <w:r w:rsidRPr="00A27896">
        <w:rPr>
          <w:rFonts w:cs="Times New Roman"/>
          <w:b/>
          <w:color w:val="17365D"/>
        </w:rPr>
        <w:t>“</w:t>
      </w:r>
      <w:r w:rsidRPr="00A27896">
        <w:rPr>
          <w:rFonts w:cs="Times New Roman"/>
          <w:b/>
          <w:color w:val="17365D"/>
          <w:szCs w:val="24"/>
        </w:rPr>
        <w:t>Ilgtermiņa prasības</w:t>
      </w:r>
      <w:r w:rsidRPr="00A27896">
        <w:rPr>
          <w:rFonts w:cs="Times New Roman"/>
          <w:b/>
          <w:color w:val="17365D"/>
        </w:rPr>
        <w:t>”</w:t>
      </w:r>
      <w:r w:rsidRPr="00A27896">
        <w:rPr>
          <w:rFonts w:cs="Times New Roman"/>
          <w:color w:val="17365D"/>
          <w:szCs w:val="24"/>
        </w:rPr>
        <w:t xml:space="preserve"> par valsts budžeta iestāžu, pašvaldību budžeta iestāžu, kā arī valsts un pašvaldību budžeta iestāžu savstarpējām ilgtermiņa prasībām un attiecīgām saistībām</w:t>
      </w:r>
      <w:r w:rsidRPr="00700D29">
        <w:t xml:space="preserve"> </w:t>
      </w:r>
      <w:r>
        <w:t>(</w:t>
      </w:r>
      <w:r w:rsidRPr="00700D29">
        <w:rPr>
          <w:rFonts w:cs="Times New Roman"/>
          <w:color w:val="17365D"/>
          <w:szCs w:val="24"/>
        </w:rPr>
        <w:t>8 643</w:t>
      </w:r>
      <w:r>
        <w:rPr>
          <w:rFonts w:cs="Times New Roman"/>
          <w:color w:val="17365D"/>
          <w:szCs w:val="24"/>
        </w:rPr>
        <w:t> </w:t>
      </w:r>
      <w:r w:rsidRPr="00700D29">
        <w:rPr>
          <w:rFonts w:cs="Times New Roman"/>
          <w:color w:val="17365D"/>
          <w:szCs w:val="24"/>
        </w:rPr>
        <w:t>185</w:t>
      </w:r>
      <w:r>
        <w:rPr>
          <w:rFonts w:cs="Times New Roman"/>
          <w:color w:val="17365D"/>
          <w:szCs w:val="24"/>
        </w:rPr>
        <w:t xml:space="preserve">) </w:t>
      </w:r>
      <w:r w:rsidRPr="00DA2B16">
        <w:rPr>
          <w:rFonts w:cs="Times New Roman"/>
          <w:i/>
          <w:color w:val="17365D"/>
          <w:szCs w:val="24"/>
        </w:rPr>
        <w:t>euro</w:t>
      </w:r>
      <w:r w:rsidRPr="00DA2B16">
        <w:rPr>
          <w:rFonts w:cs="Times New Roman"/>
          <w:color w:val="17365D"/>
          <w:szCs w:val="24"/>
        </w:rPr>
        <w:t xml:space="preserve"> vērtībā</w:t>
      </w:r>
      <w:r w:rsidRPr="00A27896">
        <w:rPr>
          <w:rFonts w:cs="Times New Roman"/>
          <w:color w:val="17365D"/>
          <w:szCs w:val="24"/>
        </w:rPr>
        <w:t>;</w:t>
      </w:r>
      <w:r w:rsidRPr="00A27896">
        <w:rPr>
          <w:rFonts w:cs="Times New Roman"/>
          <w:b/>
          <w:bCs/>
          <w:color w:val="17365D"/>
          <w:szCs w:val="24"/>
        </w:rPr>
        <w:t xml:space="preserve"> </w:t>
      </w:r>
    </w:p>
    <w:p w14:paraId="5BFD2DCA" w14:textId="77777777" w:rsidR="00C70F14" w:rsidRPr="00A27896" w:rsidRDefault="00C70F14" w:rsidP="00C70F14">
      <w:pPr>
        <w:spacing w:after="120" w:line="240" w:lineRule="auto"/>
        <w:ind w:left="284"/>
        <w:jc w:val="both"/>
        <w:rPr>
          <w:rFonts w:cs="Times New Roman"/>
          <w:color w:val="17365D"/>
        </w:rPr>
      </w:pPr>
      <w:r w:rsidRPr="00A27896">
        <w:rPr>
          <w:rFonts w:cs="Times New Roman"/>
          <w:b/>
          <w:bCs/>
          <w:color w:val="17365D"/>
          <w:szCs w:val="24"/>
        </w:rPr>
        <w:t>Apgrozāmie līdzekļi</w:t>
      </w:r>
      <w:r w:rsidRPr="00A27896">
        <w:rPr>
          <w:rFonts w:cs="Times New Roman"/>
          <w:color w:val="17365D"/>
          <w:szCs w:val="24"/>
        </w:rPr>
        <w:t xml:space="preserve"> konsolidēti </w:t>
      </w:r>
      <w:r w:rsidRPr="00A27896">
        <w:rPr>
          <w:rFonts w:cs="Times New Roman"/>
          <w:color w:val="17365D"/>
        </w:rPr>
        <w:t xml:space="preserve">bilances postenī: </w:t>
      </w:r>
    </w:p>
    <w:p w14:paraId="1AD276E0" w14:textId="77777777" w:rsidR="00C70F14" w:rsidRPr="00A27896" w:rsidRDefault="00C70F14" w:rsidP="00C70F14">
      <w:pPr>
        <w:numPr>
          <w:ilvl w:val="0"/>
          <w:numId w:val="2"/>
        </w:numPr>
        <w:spacing w:after="120" w:line="240" w:lineRule="auto"/>
        <w:ind w:left="851"/>
        <w:jc w:val="both"/>
        <w:rPr>
          <w:rFonts w:cs="Times New Roman"/>
          <w:bCs/>
          <w:color w:val="17365D"/>
        </w:rPr>
      </w:pPr>
      <w:r w:rsidRPr="00A27896">
        <w:rPr>
          <w:rFonts w:cs="Times New Roman"/>
          <w:b/>
          <w:bCs/>
          <w:color w:val="17365D"/>
        </w:rPr>
        <w:t xml:space="preserve"> “Krājumi” </w:t>
      </w:r>
      <w:r w:rsidRPr="00A27896">
        <w:rPr>
          <w:rFonts w:cs="Times New Roman"/>
          <w:bCs/>
          <w:color w:val="17365D"/>
        </w:rPr>
        <w:t>par valsts budžeta iestāžu,</w:t>
      </w:r>
      <w:r w:rsidRPr="00A27896">
        <w:rPr>
          <w:rFonts w:cs="Times New Roman"/>
          <w:color w:val="17365D"/>
          <w:szCs w:val="24"/>
        </w:rPr>
        <w:t xml:space="preserve"> pašvaldību budžeta iestāžu,</w:t>
      </w:r>
      <w:r w:rsidRPr="00A27896">
        <w:rPr>
          <w:rFonts w:cs="Times New Roman"/>
          <w:bCs/>
          <w:color w:val="17365D"/>
        </w:rPr>
        <w:t xml:space="preserve"> kā arī valsts un pašvaldību budžeta iestāžu </w:t>
      </w:r>
      <w:r w:rsidRPr="00A27896">
        <w:rPr>
          <w:rFonts w:cs="Times New Roman"/>
          <w:color w:val="17365D"/>
          <w:szCs w:val="24"/>
        </w:rPr>
        <w:t>savstarpējiem avansa maksājumiem par krājumiem</w:t>
      </w:r>
      <w:r>
        <w:rPr>
          <w:rFonts w:cs="Times New Roman"/>
          <w:color w:val="17365D"/>
          <w:szCs w:val="24"/>
        </w:rPr>
        <w:t xml:space="preserve"> (</w:t>
      </w:r>
      <w:r w:rsidRPr="00700D29">
        <w:rPr>
          <w:rFonts w:cs="Times New Roman"/>
          <w:color w:val="17365D"/>
          <w:szCs w:val="24"/>
        </w:rPr>
        <w:t>381</w:t>
      </w:r>
      <w:r>
        <w:rPr>
          <w:rFonts w:cs="Times New Roman"/>
          <w:color w:val="17365D"/>
          <w:szCs w:val="24"/>
        </w:rPr>
        <w:t>)</w:t>
      </w:r>
      <w:r w:rsidRPr="00700D29">
        <w:rPr>
          <w:rFonts w:cs="Times New Roman"/>
          <w:i/>
          <w:color w:val="17365D"/>
          <w:szCs w:val="24"/>
        </w:rPr>
        <w:t xml:space="preserve"> </w:t>
      </w:r>
      <w:r w:rsidRPr="00DA2B16">
        <w:rPr>
          <w:rFonts w:cs="Times New Roman"/>
          <w:i/>
          <w:color w:val="17365D"/>
          <w:szCs w:val="24"/>
        </w:rPr>
        <w:t>euro</w:t>
      </w:r>
      <w:r w:rsidRPr="00DA2B16">
        <w:rPr>
          <w:rFonts w:cs="Times New Roman"/>
          <w:color w:val="17365D"/>
          <w:szCs w:val="24"/>
        </w:rPr>
        <w:t xml:space="preserve"> vērtībā</w:t>
      </w:r>
      <w:r w:rsidRPr="00A27896">
        <w:rPr>
          <w:rFonts w:cs="Times New Roman"/>
          <w:color w:val="17365D"/>
          <w:szCs w:val="24"/>
        </w:rPr>
        <w:t>;</w:t>
      </w:r>
    </w:p>
    <w:p w14:paraId="172736B6" w14:textId="77777777" w:rsidR="00C70F14" w:rsidRPr="00A27896" w:rsidRDefault="00C70F14" w:rsidP="00C70F14">
      <w:pPr>
        <w:numPr>
          <w:ilvl w:val="0"/>
          <w:numId w:val="3"/>
        </w:numPr>
        <w:spacing w:after="120" w:line="240" w:lineRule="auto"/>
        <w:ind w:left="851"/>
        <w:jc w:val="both"/>
        <w:rPr>
          <w:rFonts w:cs="Times New Roman"/>
          <w:b/>
          <w:bCs/>
          <w:color w:val="17365D"/>
        </w:rPr>
      </w:pPr>
      <w:r w:rsidRPr="00A27896">
        <w:rPr>
          <w:rFonts w:cs="Times New Roman"/>
          <w:b/>
          <w:color w:val="17365D"/>
        </w:rPr>
        <w:lastRenderedPageBreak/>
        <w:t xml:space="preserve"> “Īstermiņa prasības”</w:t>
      </w:r>
      <w:r w:rsidRPr="00A27896">
        <w:rPr>
          <w:rFonts w:cs="Times New Roman"/>
          <w:color w:val="17365D"/>
        </w:rPr>
        <w:t xml:space="preserve"> par valsts budžeta iestāžu, pašvaldību budžeta iestāžu, kā arī valsts un pašvaldību budžeta iestāžu savstarpējām debitoru prasībām un attiecīgām saistībām</w:t>
      </w:r>
      <w:r>
        <w:rPr>
          <w:rFonts w:cs="Times New Roman"/>
          <w:color w:val="17365D"/>
        </w:rPr>
        <w:t xml:space="preserve"> (</w:t>
      </w:r>
      <w:r w:rsidRPr="00700D29">
        <w:rPr>
          <w:rFonts w:cs="Times New Roman"/>
          <w:color w:val="17365D"/>
        </w:rPr>
        <w:t>254 438</w:t>
      </w:r>
      <w:r>
        <w:rPr>
          <w:rFonts w:cs="Times New Roman"/>
          <w:color w:val="17365D"/>
        </w:rPr>
        <w:t> </w:t>
      </w:r>
      <w:r w:rsidRPr="00700D29">
        <w:rPr>
          <w:rFonts w:cs="Times New Roman"/>
          <w:color w:val="17365D"/>
        </w:rPr>
        <w:t>475</w:t>
      </w:r>
      <w:r>
        <w:rPr>
          <w:rFonts w:cs="Times New Roman"/>
          <w:color w:val="17365D"/>
        </w:rPr>
        <w:t>)</w:t>
      </w:r>
      <w:r w:rsidRPr="00700D29">
        <w:rPr>
          <w:rFonts w:cs="Times New Roman"/>
          <w:i/>
          <w:color w:val="17365D"/>
          <w:szCs w:val="24"/>
        </w:rPr>
        <w:t xml:space="preserve"> </w:t>
      </w:r>
      <w:r w:rsidRPr="00DA2B16">
        <w:rPr>
          <w:rFonts w:cs="Times New Roman"/>
          <w:i/>
          <w:color w:val="17365D"/>
          <w:szCs w:val="24"/>
        </w:rPr>
        <w:t>euro</w:t>
      </w:r>
      <w:r w:rsidRPr="00DA2B16">
        <w:rPr>
          <w:rFonts w:cs="Times New Roman"/>
          <w:color w:val="17365D"/>
          <w:szCs w:val="24"/>
        </w:rPr>
        <w:t xml:space="preserve"> vērtībā</w:t>
      </w:r>
      <w:r w:rsidRPr="00A27896">
        <w:rPr>
          <w:rFonts w:cs="Times New Roman"/>
          <w:color w:val="17365D"/>
        </w:rPr>
        <w:t>;</w:t>
      </w:r>
    </w:p>
    <w:p w14:paraId="566A9498" w14:textId="77777777" w:rsidR="00C70F14" w:rsidRPr="00A27896" w:rsidRDefault="00C70F14" w:rsidP="00C70F14">
      <w:pPr>
        <w:numPr>
          <w:ilvl w:val="0"/>
          <w:numId w:val="3"/>
        </w:numPr>
        <w:spacing w:after="120" w:line="240" w:lineRule="auto"/>
        <w:ind w:left="851"/>
        <w:jc w:val="both"/>
        <w:rPr>
          <w:rFonts w:cs="Times New Roman"/>
          <w:b/>
          <w:bCs/>
          <w:color w:val="17365D"/>
        </w:rPr>
      </w:pPr>
      <w:r w:rsidRPr="00A27896">
        <w:rPr>
          <w:rFonts w:cs="Times New Roman"/>
          <w:b/>
          <w:color w:val="17365D"/>
        </w:rPr>
        <w:t>“Nākamo periodu izdevumi un avansi par pakalpojumiem un projektiem”</w:t>
      </w:r>
      <w:r w:rsidRPr="00A27896">
        <w:rPr>
          <w:rFonts w:cs="Times New Roman"/>
          <w:color w:val="17365D"/>
        </w:rPr>
        <w:t xml:space="preserve"> konsolidēti par valsts budžeta iestāžu, pašvaldību budžeta iestāžu, valsts un pašvaldību budžeta iestāžu savstarpējiem nākamo periodu izdevumiem un avansiem par pakalpojumiem un projektiem un attiecīgām saistībām</w:t>
      </w:r>
      <w:r>
        <w:rPr>
          <w:rFonts w:cs="Times New Roman"/>
          <w:color w:val="17365D"/>
        </w:rPr>
        <w:t xml:space="preserve"> (</w:t>
      </w:r>
      <w:r w:rsidRPr="00700D29">
        <w:rPr>
          <w:rFonts w:cs="Times New Roman"/>
          <w:color w:val="17365D"/>
        </w:rPr>
        <w:t>208 566</w:t>
      </w:r>
      <w:r>
        <w:rPr>
          <w:rFonts w:cs="Times New Roman"/>
          <w:color w:val="17365D"/>
        </w:rPr>
        <w:t> </w:t>
      </w:r>
      <w:r w:rsidRPr="00700D29">
        <w:rPr>
          <w:rFonts w:cs="Times New Roman"/>
          <w:color w:val="17365D"/>
        </w:rPr>
        <w:t>576</w:t>
      </w:r>
      <w:r>
        <w:rPr>
          <w:rFonts w:cs="Times New Roman"/>
          <w:color w:val="17365D"/>
        </w:rPr>
        <w:t>)</w:t>
      </w:r>
      <w:r w:rsidRPr="00700D29">
        <w:rPr>
          <w:rFonts w:cs="Times New Roman"/>
          <w:i/>
          <w:color w:val="17365D"/>
          <w:szCs w:val="24"/>
        </w:rPr>
        <w:t xml:space="preserve"> </w:t>
      </w:r>
      <w:r w:rsidRPr="00DA2B16">
        <w:rPr>
          <w:rFonts w:cs="Times New Roman"/>
          <w:i/>
          <w:color w:val="17365D"/>
          <w:szCs w:val="24"/>
        </w:rPr>
        <w:t>euro</w:t>
      </w:r>
      <w:r w:rsidRPr="00DA2B16">
        <w:rPr>
          <w:rFonts w:cs="Times New Roman"/>
          <w:color w:val="17365D"/>
          <w:szCs w:val="24"/>
        </w:rPr>
        <w:t xml:space="preserve"> vērtībā</w:t>
      </w:r>
      <w:r w:rsidRPr="00A27896">
        <w:rPr>
          <w:rFonts w:cs="Times New Roman"/>
          <w:color w:val="17365D"/>
        </w:rPr>
        <w:t>;</w:t>
      </w:r>
    </w:p>
    <w:p w14:paraId="51D37910" w14:textId="77777777" w:rsidR="00C70F14" w:rsidRPr="00A27896" w:rsidRDefault="00C70F14" w:rsidP="00C70F14">
      <w:pPr>
        <w:numPr>
          <w:ilvl w:val="0"/>
          <w:numId w:val="3"/>
        </w:numPr>
        <w:spacing w:after="120" w:line="240" w:lineRule="auto"/>
        <w:ind w:left="851"/>
        <w:jc w:val="both"/>
        <w:rPr>
          <w:rFonts w:cs="Times New Roman"/>
          <w:b/>
          <w:bCs/>
          <w:color w:val="17365D"/>
        </w:rPr>
      </w:pPr>
      <w:r w:rsidRPr="00A27896">
        <w:rPr>
          <w:rFonts w:cs="Times New Roman"/>
          <w:b/>
          <w:color w:val="17365D"/>
        </w:rPr>
        <w:t>“Īstermiņa finanšu ieguldījumi”</w:t>
      </w:r>
      <w:r w:rsidRPr="00A27896">
        <w:rPr>
          <w:rFonts w:cs="Times New Roman"/>
          <w:color w:val="17365D"/>
        </w:rPr>
        <w:t xml:space="preserve"> par aizdevumiem valsts un pašvaldību budžeta iestādēm no valsts budžeta</w:t>
      </w:r>
      <w:r w:rsidRPr="00A27896">
        <w:rPr>
          <w:rFonts w:cs="Times New Roman"/>
          <w:color w:val="17365D"/>
          <w:szCs w:val="24"/>
        </w:rPr>
        <w:t xml:space="preserve"> un par valsts budžeta iestāžu noguldījumiem Valsts kasē</w:t>
      </w:r>
      <w:r w:rsidRPr="00700D29">
        <w:t xml:space="preserve"> </w:t>
      </w:r>
      <w:r>
        <w:rPr>
          <w:rFonts w:cs="Times New Roman"/>
          <w:color w:val="17365D"/>
          <w:szCs w:val="24"/>
        </w:rPr>
        <w:t>(</w:t>
      </w:r>
      <w:r w:rsidRPr="00700D29">
        <w:rPr>
          <w:rFonts w:cs="Times New Roman"/>
          <w:color w:val="17365D"/>
          <w:szCs w:val="24"/>
        </w:rPr>
        <w:t>163 572</w:t>
      </w:r>
      <w:r>
        <w:rPr>
          <w:rFonts w:cs="Times New Roman"/>
          <w:color w:val="17365D"/>
          <w:szCs w:val="24"/>
        </w:rPr>
        <w:t> </w:t>
      </w:r>
      <w:r w:rsidRPr="00700D29">
        <w:rPr>
          <w:rFonts w:cs="Times New Roman"/>
          <w:color w:val="17365D"/>
          <w:szCs w:val="24"/>
        </w:rPr>
        <w:t>562</w:t>
      </w:r>
      <w:r>
        <w:rPr>
          <w:rFonts w:cs="Times New Roman"/>
          <w:color w:val="17365D"/>
          <w:szCs w:val="24"/>
        </w:rPr>
        <w:t>)</w:t>
      </w:r>
      <w:r w:rsidRPr="00700D29">
        <w:rPr>
          <w:rFonts w:cs="Times New Roman"/>
          <w:i/>
          <w:color w:val="17365D"/>
          <w:szCs w:val="24"/>
        </w:rPr>
        <w:t xml:space="preserve"> </w:t>
      </w:r>
      <w:r w:rsidRPr="00DA2B16">
        <w:rPr>
          <w:rFonts w:cs="Times New Roman"/>
          <w:i/>
          <w:color w:val="17365D"/>
          <w:szCs w:val="24"/>
        </w:rPr>
        <w:t>euro</w:t>
      </w:r>
      <w:r w:rsidRPr="00DA2B16">
        <w:rPr>
          <w:rFonts w:cs="Times New Roman"/>
          <w:color w:val="17365D"/>
          <w:szCs w:val="24"/>
        </w:rPr>
        <w:t xml:space="preserve"> vērtībā</w:t>
      </w:r>
      <w:r w:rsidRPr="00A27896">
        <w:rPr>
          <w:rFonts w:cs="Times New Roman"/>
          <w:color w:val="17365D"/>
        </w:rPr>
        <w:t>;</w:t>
      </w:r>
    </w:p>
    <w:p w14:paraId="38D83F98" w14:textId="77777777" w:rsidR="00C70F14" w:rsidRPr="00A27896" w:rsidRDefault="00C70F14" w:rsidP="00C70F14">
      <w:pPr>
        <w:numPr>
          <w:ilvl w:val="0"/>
          <w:numId w:val="3"/>
        </w:numPr>
        <w:spacing w:after="120" w:line="240" w:lineRule="auto"/>
        <w:ind w:left="851"/>
        <w:jc w:val="both"/>
        <w:rPr>
          <w:rFonts w:cs="Times New Roman"/>
          <w:b/>
          <w:bCs/>
          <w:color w:val="17365D"/>
        </w:rPr>
      </w:pPr>
      <w:r w:rsidRPr="00A27896">
        <w:rPr>
          <w:rFonts w:cs="Times New Roman"/>
          <w:b/>
          <w:color w:val="17365D"/>
        </w:rPr>
        <w:t>“Naudas līdzekļi”</w:t>
      </w:r>
      <w:r w:rsidRPr="00A27896">
        <w:rPr>
          <w:rFonts w:cs="Times New Roman"/>
          <w:color w:val="17365D"/>
        </w:rPr>
        <w:t xml:space="preserve"> par valsts un pašvaldību budžeta iestāžu naudas līdzekļu atlikumiem Valsts kasē, t.sk. </w:t>
      </w:r>
      <w:r>
        <w:rPr>
          <w:rFonts w:cs="Times New Roman"/>
          <w:bCs/>
          <w:iCs/>
          <w:color w:val="17365D"/>
        </w:rPr>
        <w:t>VID</w:t>
      </w:r>
      <w:r w:rsidRPr="00E72168">
        <w:rPr>
          <w:rFonts w:cs="Times New Roman"/>
          <w:bCs/>
          <w:iCs/>
          <w:color w:val="17365D"/>
        </w:rPr>
        <w:t xml:space="preserve"> administrēto valsts budžeta ieņēmumu uzskaitē </w:t>
      </w:r>
      <w:r w:rsidRPr="00A27896">
        <w:rPr>
          <w:rFonts w:cs="Times New Roman"/>
          <w:color w:val="17365D"/>
        </w:rPr>
        <w:t>atzītajiem naudas līdzekļu atlikumiem</w:t>
      </w:r>
      <w:r w:rsidRPr="00700D29">
        <w:t xml:space="preserve"> </w:t>
      </w:r>
      <w:r>
        <w:rPr>
          <w:rFonts w:cs="Times New Roman"/>
          <w:color w:val="17365D"/>
        </w:rPr>
        <w:t>(</w:t>
      </w:r>
      <w:r w:rsidRPr="00700D29">
        <w:rPr>
          <w:rFonts w:cs="Times New Roman"/>
          <w:color w:val="17365D"/>
        </w:rPr>
        <w:t>2 748 660</w:t>
      </w:r>
      <w:r>
        <w:rPr>
          <w:rFonts w:cs="Times New Roman"/>
          <w:color w:val="17365D"/>
        </w:rPr>
        <w:t> </w:t>
      </w:r>
      <w:r w:rsidRPr="00700D29">
        <w:rPr>
          <w:rFonts w:cs="Times New Roman"/>
          <w:color w:val="17365D"/>
        </w:rPr>
        <w:t>199</w:t>
      </w:r>
      <w:r>
        <w:rPr>
          <w:rFonts w:cs="Times New Roman"/>
          <w:color w:val="17365D"/>
        </w:rPr>
        <w:t>)</w:t>
      </w:r>
      <w:r w:rsidRPr="00700D29">
        <w:rPr>
          <w:rFonts w:cs="Times New Roman"/>
          <w:i/>
          <w:color w:val="17365D"/>
          <w:szCs w:val="24"/>
        </w:rPr>
        <w:t xml:space="preserve"> </w:t>
      </w:r>
      <w:r w:rsidRPr="00DA2B16">
        <w:rPr>
          <w:rFonts w:cs="Times New Roman"/>
          <w:i/>
          <w:color w:val="17365D"/>
          <w:szCs w:val="24"/>
        </w:rPr>
        <w:t>euro</w:t>
      </w:r>
      <w:r w:rsidRPr="00DA2B16">
        <w:rPr>
          <w:rFonts w:cs="Times New Roman"/>
          <w:color w:val="17365D"/>
          <w:szCs w:val="24"/>
        </w:rPr>
        <w:t xml:space="preserve"> vērtībā</w:t>
      </w:r>
      <w:r w:rsidRPr="00A27896">
        <w:rPr>
          <w:rFonts w:cs="Times New Roman"/>
          <w:color w:val="17365D"/>
        </w:rPr>
        <w:t>;</w:t>
      </w:r>
    </w:p>
    <w:p w14:paraId="5B0C6975" w14:textId="77777777" w:rsidR="00C70F14" w:rsidRPr="00A27896" w:rsidRDefault="00C70F14" w:rsidP="00C70F14">
      <w:pPr>
        <w:spacing w:after="120" w:line="240" w:lineRule="auto"/>
        <w:jc w:val="both"/>
        <w:rPr>
          <w:rFonts w:cs="Times New Roman"/>
          <w:color w:val="17365D"/>
        </w:rPr>
      </w:pPr>
      <w:r w:rsidRPr="00A27896">
        <w:rPr>
          <w:rFonts w:cs="Times New Roman"/>
          <w:color w:val="17365D"/>
        </w:rPr>
        <w:t xml:space="preserve">un šādos bilances </w:t>
      </w:r>
      <w:r w:rsidRPr="00A27896">
        <w:rPr>
          <w:rFonts w:cs="Times New Roman"/>
          <w:b/>
          <w:color w:val="17365D"/>
        </w:rPr>
        <w:t>pasīva posteņos:</w:t>
      </w:r>
    </w:p>
    <w:p w14:paraId="06369309" w14:textId="77777777" w:rsidR="00C70F14" w:rsidRPr="00A27896" w:rsidRDefault="00C70F14" w:rsidP="00C70F14">
      <w:pPr>
        <w:spacing w:after="120" w:line="240" w:lineRule="auto"/>
        <w:ind w:left="426" w:hanging="142"/>
        <w:jc w:val="both"/>
        <w:rPr>
          <w:rFonts w:cs="Times New Roman"/>
          <w:color w:val="17365D"/>
        </w:rPr>
      </w:pPr>
      <w:r w:rsidRPr="00A27896">
        <w:rPr>
          <w:rFonts w:cs="Times New Roman"/>
          <w:b/>
          <w:color w:val="17365D"/>
        </w:rPr>
        <w:t xml:space="preserve"> “</w:t>
      </w:r>
      <w:r w:rsidRPr="00EF4622">
        <w:rPr>
          <w:rFonts w:cs="Times New Roman"/>
          <w:b/>
          <w:color w:val="17365D"/>
        </w:rPr>
        <w:t>Saistības</w:t>
      </w:r>
      <w:r w:rsidRPr="00A27896">
        <w:rPr>
          <w:rFonts w:cs="Times New Roman"/>
          <w:b/>
          <w:color w:val="17365D"/>
        </w:rPr>
        <w:t>”</w:t>
      </w:r>
      <w:r w:rsidRPr="00A27896">
        <w:rPr>
          <w:rFonts w:cs="Times New Roman"/>
          <w:color w:val="17365D"/>
        </w:rPr>
        <w:t xml:space="preserve"> bilances postenī:</w:t>
      </w:r>
    </w:p>
    <w:p w14:paraId="76B37876" w14:textId="77777777" w:rsidR="00C70F14" w:rsidRPr="00A27896" w:rsidRDefault="00C70F14" w:rsidP="00C70F14">
      <w:pPr>
        <w:pStyle w:val="ListParagraph"/>
        <w:numPr>
          <w:ilvl w:val="0"/>
          <w:numId w:val="5"/>
        </w:numPr>
        <w:spacing w:after="120" w:line="240" w:lineRule="auto"/>
        <w:ind w:left="851" w:hanging="284"/>
        <w:contextualSpacing w:val="0"/>
        <w:jc w:val="both"/>
        <w:rPr>
          <w:rFonts w:cs="Times New Roman"/>
          <w:color w:val="17365D"/>
        </w:rPr>
      </w:pPr>
      <w:r w:rsidRPr="00A27896">
        <w:rPr>
          <w:rFonts w:cs="Times New Roman"/>
          <w:b/>
          <w:color w:val="17365D"/>
        </w:rPr>
        <w:t>“Ilgtermiņa saistības”</w:t>
      </w:r>
      <w:r w:rsidRPr="00A27896">
        <w:rPr>
          <w:rFonts w:cs="Times New Roman"/>
          <w:color w:val="17365D"/>
        </w:rPr>
        <w:t xml:space="preserve"> par valsts un pašvaldību budžeta iestāžu ilgtermiņa aizņēmumiem no valsts budžeta, par valsts budžeta iestāžu ilgtermiņa noguldījumiem Valsts kasē </w:t>
      </w:r>
      <w:r w:rsidRPr="00A27896">
        <w:rPr>
          <w:rFonts w:cs="Times New Roman"/>
          <w:color w:val="17365D"/>
          <w:szCs w:val="24"/>
        </w:rPr>
        <w:t>un par to ilgtermiņa finanšu prasībām pret Valsts kasi par atlikto procentu maksājumu, kā arī</w:t>
      </w:r>
      <w:r w:rsidRPr="00A27896">
        <w:rPr>
          <w:rFonts w:cs="Times New Roman"/>
          <w:color w:val="17365D"/>
        </w:rPr>
        <w:t xml:space="preserve"> par valsts un pašvaldību budžeta iestāžu savstarpējām ilgtermiņa saistībām un attiecīgām prasībām</w:t>
      </w:r>
      <w:r>
        <w:rPr>
          <w:rFonts w:cs="Times New Roman"/>
          <w:color w:val="17365D"/>
        </w:rPr>
        <w:t xml:space="preserve"> (2 431 </w:t>
      </w:r>
      <w:r w:rsidRPr="00700D29">
        <w:rPr>
          <w:rFonts w:cs="Times New Roman"/>
          <w:color w:val="17365D"/>
        </w:rPr>
        <w:t>860</w:t>
      </w:r>
      <w:r>
        <w:rPr>
          <w:rFonts w:cs="Times New Roman"/>
          <w:color w:val="17365D"/>
        </w:rPr>
        <w:t> </w:t>
      </w:r>
      <w:r w:rsidRPr="00700D29">
        <w:rPr>
          <w:rFonts w:cs="Times New Roman"/>
          <w:color w:val="17365D"/>
        </w:rPr>
        <w:t>775</w:t>
      </w:r>
      <w:r>
        <w:rPr>
          <w:rFonts w:cs="Times New Roman"/>
          <w:color w:val="17365D"/>
        </w:rPr>
        <w:t>)</w:t>
      </w:r>
      <w:r w:rsidRPr="00700D29">
        <w:rPr>
          <w:rFonts w:cs="Times New Roman"/>
          <w:color w:val="17365D"/>
        </w:rPr>
        <w:t xml:space="preserve"> </w:t>
      </w:r>
      <w:r w:rsidRPr="00DA2B16">
        <w:rPr>
          <w:rFonts w:cs="Times New Roman"/>
          <w:i/>
          <w:color w:val="17365D"/>
          <w:szCs w:val="24"/>
        </w:rPr>
        <w:t>euro</w:t>
      </w:r>
      <w:r w:rsidRPr="00DA2B16">
        <w:rPr>
          <w:rFonts w:cs="Times New Roman"/>
          <w:color w:val="17365D"/>
          <w:szCs w:val="24"/>
        </w:rPr>
        <w:t xml:space="preserve"> vērtībā</w:t>
      </w:r>
      <w:r w:rsidRPr="00A27896">
        <w:rPr>
          <w:rFonts w:cs="Times New Roman"/>
          <w:color w:val="17365D"/>
        </w:rPr>
        <w:t>;</w:t>
      </w:r>
    </w:p>
    <w:p w14:paraId="5E214FE9" w14:textId="77777777" w:rsidR="00C70F14" w:rsidRPr="00A27896" w:rsidRDefault="00C70F14" w:rsidP="00C70F14">
      <w:pPr>
        <w:pStyle w:val="ListParagraph"/>
        <w:numPr>
          <w:ilvl w:val="0"/>
          <w:numId w:val="5"/>
        </w:numPr>
        <w:spacing w:after="120" w:line="240" w:lineRule="auto"/>
        <w:ind w:left="851" w:hanging="284"/>
        <w:contextualSpacing w:val="0"/>
        <w:jc w:val="both"/>
        <w:rPr>
          <w:rFonts w:cs="Times New Roman"/>
          <w:color w:val="17365D"/>
        </w:rPr>
      </w:pPr>
      <w:r w:rsidRPr="00A27896">
        <w:rPr>
          <w:rFonts w:cs="Times New Roman"/>
          <w:b/>
          <w:color w:val="17365D"/>
        </w:rPr>
        <w:t>“Īstermiņa saistības”</w:t>
      </w:r>
      <w:r w:rsidRPr="00A27896">
        <w:rPr>
          <w:rFonts w:cs="Times New Roman"/>
          <w:color w:val="17365D"/>
        </w:rPr>
        <w:t xml:space="preserve"> par valsts un pašvaldību budžeta iestāžu īstermiņa aizņēmumiem no valsts budžeta, par valsts budžeta iestāžu īstermiņa noguldījumiem Valsts kasē, par valsts budžeta iestāžu, pašvaldību budžeta iestāžu, kā arī valsts un pašvaldību budžeta iestāžu savstarpējām saistībām un attiecīgām prasībām, t.sk. par valsts budžeta finanšu uzskaitē atzītajām saistībām pret valsts un pašvaldību budžeta iestādēm par naudas līdzekļu atlikumiem Valsts kasē</w:t>
      </w:r>
      <w:r>
        <w:rPr>
          <w:rFonts w:cs="Times New Roman"/>
          <w:color w:val="17365D"/>
        </w:rPr>
        <w:t xml:space="preserve"> (</w:t>
      </w:r>
      <w:r w:rsidRPr="00700D29">
        <w:rPr>
          <w:rFonts w:cs="Times New Roman"/>
          <w:color w:val="17365D"/>
        </w:rPr>
        <w:t>3 375 045</w:t>
      </w:r>
      <w:r>
        <w:rPr>
          <w:rFonts w:cs="Times New Roman"/>
          <w:color w:val="17365D"/>
        </w:rPr>
        <w:t> </w:t>
      </w:r>
      <w:r w:rsidRPr="00700D29">
        <w:rPr>
          <w:rFonts w:cs="Times New Roman"/>
          <w:color w:val="17365D"/>
        </w:rPr>
        <w:t>709</w:t>
      </w:r>
      <w:r>
        <w:rPr>
          <w:rFonts w:cs="Times New Roman"/>
          <w:color w:val="17365D"/>
        </w:rPr>
        <w:t>)</w:t>
      </w:r>
      <w:r w:rsidRPr="00700D29">
        <w:rPr>
          <w:rFonts w:cs="Times New Roman"/>
          <w:color w:val="17365D"/>
        </w:rPr>
        <w:t xml:space="preserve"> </w:t>
      </w:r>
      <w:r w:rsidRPr="00DA2B16">
        <w:rPr>
          <w:rFonts w:cs="Times New Roman"/>
          <w:i/>
          <w:color w:val="17365D"/>
          <w:szCs w:val="24"/>
        </w:rPr>
        <w:t>euro</w:t>
      </w:r>
      <w:r w:rsidRPr="00DA2B16">
        <w:rPr>
          <w:rFonts w:cs="Times New Roman"/>
          <w:color w:val="17365D"/>
          <w:szCs w:val="24"/>
        </w:rPr>
        <w:t xml:space="preserve"> vērtībā</w:t>
      </w:r>
      <w:r w:rsidRPr="00A27896">
        <w:rPr>
          <w:rFonts w:cs="Times New Roman"/>
          <w:color w:val="17365D"/>
        </w:rPr>
        <w:t>.</w:t>
      </w:r>
    </w:p>
    <w:p w14:paraId="045352FB" w14:textId="77777777" w:rsidR="00C70F14" w:rsidRDefault="00C70F14" w:rsidP="00C70F14">
      <w:pPr>
        <w:spacing w:after="120" w:line="240" w:lineRule="auto"/>
        <w:jc w:val="both"/>
        <w:rPr>
          <w:rFonts w:cs="Times New Roman"/>
          <w:b/>
          <w:color w:val="17365D"/>
        </w:rPr>
      </w:pPr>
      <w:r w:rsidRPr="00A27896">
        <w:rPr>
          <w:rFonts w:cs="Times New Roman"/>
          <w:color w:val="17365D"/>
          <w:szCs w:val="24"/>
        </w:rPr>
        <w:t xml:space="preserve">Konsolidētajā bilancē veikta </w:t>
      </w:r>
      <w:r w:rsidRPr="00C70F14">
        <w:rPr>
          <w:rFonts w:cs="Times New Roman"/>
          <w:b/>
          <w:color w:val="17365D"/>
          <w:szCs w:val="24"/>
        </w:rPr>
        <w:t>salīdzinošās informācijas</w:t>
      </w:r>
      <w:r w:rsidRPr="00A27896">
        <w:rPr>
          <w:rFonts w:cs="Times New Roman"/>
          <w:color w:val="17365D"/>
          <w:szCs w:val="24"/>
        </w:rPr>
        <w:t xml:space="preserve"> par valsts budžeta finanšu uzskaites, ministriju, centrālo valsts iestāžu un pašvaldību bilances posteņu atlikumiem korekcija atbilstoši to iepriekšējos periodos konstatēto kļūdu labojumiem, norādīšanas un klasifikācijas maiņai</w:t>
      </w:r>
      <w:r>
        <w:rPr>
          <w:rFonts w:cs="Times New Roman"/>
          <w:color w:val="17365D"/>
          <w:szCs w:val="24"/>
        </w:rPr>
        <w:t xml:space="preserve"> šādos bilances </w:t>
      </w:r>
      <w:r w:rsidRPr="00A27896">
        <w:rPr>
          <w:rFonts w:cs="Times New Roman"/>
          <w:b/>
          <w:color w:val="17365D"/>
        </w:rPr>
        <w:t>aktīva posteņos:</w:t>
      </w:r>
    </w:p>
    <w:p w14:paraId="0BA310C6" w14:textId="77777777" w:rsidR="00C70F14" w:rsidRPr="00A27896" w:rsidRDefault="00C70F14" w:rsidP="00C70F14">
      <w:pPr>
        <w:spacing w:after="120" w:line="240" w:lineRule="auto"/>
        <w:ind w:firstLine="426"/>
        <w:jc w:val="both"/>
        <w:rPr>
          <w:rFonts w:cs="Times New Roman"/>
          <w:b/>
          <w:color w:val="17365D"/>
        </w:rPr>
      </w:pPr>
      <w:r w:rsidRPr="00A27896">
        <w:rPr>
          <w:rFonts w:cs="Times New Roman"/>
          <w:b/>
          <w:bCs/>
          <w:color w:val="17365D"/>
        </w:rPr>
        <w:t>Ilgtermiņa ieguldījumi</w:t>
      </w:r>
      <w:r>
        <w:rPr>
          <w:rFonts w:cs="Times New Roman"/>
          <w:b/>
          <w:bCs/>
          <w:color w:val="17365D"/>
        </w:rPr>
        <w:t>:</w:t>
      </w:r>
    </w:p>
    <w:p w14:paraId="09C72824" w14:textId="77777777" w:rsidR="00C70F14" w:rsidRPr="0027456E" w:rsidRDefault="00C70F14" w:rsidP="00C70F14">
      <w:pPr>
        <w:pStyle w:val="ListParagraph"/>
        <w:numPr>
          <w:ilvl w:val="0"/>
          <w:numId w:val="26"/>
        </w:numPr>
        <w:spacing w:after="120" w:line="240" w:lineRule="auto"/>
        <w:contextualSpacing w:val="0"/>
        <w:jc w:val="both"/>
        <w:rPr>
          <w:rFonts w:cs="Times New Roman"/>
          <w:b/>
          <w:bCs/>
          <w:color w:val="17365D"/>
          <w:szCs w:val="24"/>
        </w:rPr>
      </w:pPr>
      <w:r w:rsidRPr="0027456E">
        <w:rPr>
          <w:rFonts w:cs="Times New Roman"/>
          <w:b/>
          <w:color w:val="17365D"/>
        </w:rPr>
        <w:t>“</w:t>
      </w:r>
      <w:r w:rsidRPr="0027456E">
        <w:rPr>
          <w:rFonts w:cs="Times New Roman"/>
          <w:b/>
          <w:color w:val="17365D"/>
          <w:szCs w:val="24"/>
        </w:rPr>
        <w:t>Nemateriālie ieguldījumi</w:t>
      </w:r>
      <w:r w:rsidRPr="0027456E">
        <w:rPr>
          <w:rFonts w:cs="Times New Roman"/>
          <w:b/>
          <w:color w:val="17365D"/>
        </w:rPr>
        <w:t>”</w:t>
      </w:r>
      <w:r w:rsidRPr="0027456E">
        <w:rPr>
          <w:rFonts w:cs="Times New Roman"/>
          <w:color w:val="17365D"/>
          <w:szCs w:val="24"/>
        </w:rPr>
        <w:t xml:space="preserve"> (30 824) </w:t>
      </w:r>
      <w:r w:rsidRPr="0027456E">
        <w:rPr>
          <w:rFonts w:cs="Times New Roman"/>
          <w:i/>
          <w:color w:val="17365D"/>
          <w:szCs w:val="24"/>
        </w:rPr>
        <w:t>euro</w:t>
      </w:r>
      <w:r w:rsidRPr="0027456E">
        <w:rPr>
          <w:rFonts w:cs="Times New Roman"/>
          <w:color w:val="17365D"/>
          <w:szCs w:val="24"/>
        </w:rPr>
        <w:t xml:space="preserve"> vērtībā;</w:t>
      </w:r>
    </w:p>
    <w:p w14:paraId="385BA700" w14:textId="77777777" w:rsidR="00C70F14" w:rsidRPr="0027456E" w:rsidRDefault="00C70F14" w:rsidP="00C70F14">
      <w:pPr>
        <w:pStyle w:val="ListParagraph"/>
        <w:numPr>
          <w:ilvl w:val="0"/>
          <w:numId w:val="26"/>
        </w:numPr>
        <w:spacing w:after="120" w:line="240" w:lineRule="auto"/>
        <w:contextualSpacing w:val="0"/>
        <w:jc w:val="both"/>
        <w:rPr>
          <w:rFonts w:cs="Times New Roman"/>
          <w:b/>
          <w:bCs/>
          <w:color w:val="17365D"/>
          <w:szCs w:val="24"/>
        </w:rPr>
      </w:pPr>
      <w:r w:rsidRPr="0027456E">
        <w:rPr>
          <w:rFonts w:cs="Times New Roman"/>
          <w:b/>
          <w:color w:val="17365D"/>
        </w:rPr>
        <w:t>“</w:t>
      </w:r>
      <w:r w:rsidRPr="0027456E">
        <w:rPr>
          <w:rFonts w:cs="Times New Roman"/>
          <w:b/>
          <w:color w:val="17365D"/>
          <w:szCs w:val="24"/>
        </w:rPr>
        <w:t>Pamatlīdzekļi</w:t>
      </w:r>
      <w:r w:rsidRPr="0027456E">
        <w:rPr>
          <w:rFonts w:cs="Times New Roman"/>
          <w:b/>
          <w:color w:val="17365D"/>
        </w:rPr>
        <w:t>”</w:t>
      </w:r>
      <w:r w:rsidRPr="0027456E">
        <w:rPr>
          <w:rFonts w:cs="Times New Roman"/>
          <w:b/>
          <w:color w:val="17365D"/>
          <w:szCs w:val="24"/>
        </w:rPr>
        <w:t xml:space="preserve"> </w:t>
      </w:r>
      <w:r w:rsidRPr="0027456E">
        <w:rPr>
          <w:rFonts w:cs="Times New Roman"/>
          <w:color w:val="17365D"/>
          <w:szCs w:val="24"/>
        </w:rPr>
        <w:t>7 960</w:t>
      </w:r>
      <w:r>
        <w:rPr>
          <w:rFonts w:cs="Times New Roman"/>
          <w:color w:val="17365D"/>
          <w:szCs w:val="24"/>
        </w:rPr>
        <w:t> </w:t>
      </w:r>
      <w:r w:rsidRPr="0027456E">
        <w:rPr>
          <w:rFonts w:cs="Times New Roman"/>
          <w:color w:val="17365D"/>
          <w:szCs w:val="24"/>
        </w:rPr>
        <w:t>913</w:t>
      </w:r>
      <w:r>
        <w:rPr>
          <w:rFonts w:cs="Times New Roman"/>
          <w:color w:val="17365D"/>
          <w:szCs w:val="24"/>
        </w:rPr>
        <w:t xml:space="preserve"> </w:t>
      </w:r>
      <w:r w:rsidRPr="0027456E">
        <w:rPr>
          <w:rFonts w:cs="Times New Roman"/>
          <w:i/>
          <w:color w:val="17365D"/>
          <w:szCs w:val="24"/>
        </w:rPr>
        <w:t>euro</w:t>
      </w:r>
      <w:r w:rsidRPr="0027456E">
        <w:rPr>
          <w:rFonts w:cs="Times New Roman"/>
          <w:color w:val="17365D"/>
          <w:szCs w:val="24"/>
        </w:rPr>
        <w:t xml:space="preserve"> vērtībā;</w:t>
      </w:r>
    </w:p>
    <w:p w14:paraId="2F226E23" w14:textId="77777777" w:rsidR="00C70F14" w:rsidRPr="0027456E" w:rsidRDefault="00C70F14" w:rsidP="00C70F14">
      <w:pPr>
        <w:pStyle w:val="ListParagraph"/>
        <w:numPr>
          <w:ilvl w:val="0"/>
          <w:numId w:val="26"/>
        </w:numPr>
        <w:spacing w:after="120" w:line="240" w:lineRule="auto"/>
        <w:contextualSpacing w:val="0"/>
        <w:jc w:val="both"/>
        <w:rPr>
          <w:rFonts w:cs="Times New Roman"/>
          <w:b/>
          <w:bCs/>
          <w:color w:val="17365D"/>
          <w:szCs w:val="24"/>
        </w:rPr>
      </w:pPr>
      <w:r w:rsidRPr="0027456E">
        <w:rPr>
          <w:rFonts w:cs="Times New Roman"/>
          <w:b/>
          <w:bCs/>
          <w:color w:val="17365D"/>
          <w:szCs w:val="24"/>
        </w:rPr>
        <w:t xml:space="preserve">“Ilgtermiņa finanšu ieguldījumi” </w:t>
      </w:r>
      <w:r w:rsidRPr="0027456E">
        <w:rPr>
          <w:rFonts w:cs="Times New Roman"/>
          <w:bCs/>
          <w:color w:val="17365D"/>
          <w:szCs w:val="24"/>
        </w:rPr>
        <w:t>(25 063 349)</w:t>
      </w:r>
      <w:r w:rsidRPr="0027456E">
        <w:rPr>
          <w:rFonts w:cs="Times New Roman"/>
          <w:i/>
          <w:color w:val="17365D"/>
          <w:szCs w:val="24"/>
        </w:rPr>
        <w:t xml:space="preserve"> euro</w:t>
      </w:r>
      <w:r w:rsidRPr="0027456E">
        <w:rPr>
          <w:rFonts w:cs="Times New Roman"/>
          <w:color w:val="17365D"/>
          <w:szCs w:val="24"/>
        </w:rPr>
        <w:t xml:space="preserve"> vērtībā;</w:t>
      </w:r>
    </w:p>
    <w:p w14:paraId="56E804F6" w14:textId="77777777" w:rsidR="00C70F14" w:rsidRPr="0027456E" w:rsidRDefault="00C70F14" w:rsidP="00C70F14">
      <w:pPr>
        <w:pStyle w:val="ListParagraph"/>
        <w:numPr>
          <w:ilvl w:val="0"/>
          <w:numId w:val="26"/>
        </w:numPr>
        <w:spacing w:after="120" w:line="240" w:lineRule="auto"/>
        <w:contextualSpacing w:val="0"/>
        <w:jc w:val="both"/>
        <w:rPr>
          <w:rFonts w:cs="Times New Roman"/>
          <w:b/>
          <w:bCs/>
          <w:color w:val="17365D"/>
          <w:szCs w:val="24"/>
        </w:rPr>
      </w:pPr>
      <w:r w:rsidRPr="0027456E">
        <w:rPr>
          <w:rFonts w:cs="Times New Roman"/>
          <w:b/>
          <w:bCs/>
          <w:color w:val="17365D"/>
          <w:szCs w:val="24"/>
        </w:rPr>
        <w:t xml:space="preserve">“Ilgtermiņa prasības” </w:t>
      </w:r>
      <w:r w:rsidRPr="0027456E">
        <w:rPr>
          <w:rFonts w:cs="Times New Roman"/>
          <w:bCs/>
          <w:color w:val="17365D"/>
          <w:szCs w:val="24"/>
        </w:rPr>
        <w:t>(959 240)</w:t>
      </w:r>
      <w:r w:rsidRPr="0027456E">
        <w:rPr>
          <w:rFonts w:cs="Times New Roman"/>
          <w:i/>
          <w:color w:val="17365D"/>
          <w:szCs w:val="24"/>
        </w:rPr>
        <w:t xml:space="preserve"> euro</w:t>
      </w:r>
      <w:r w:rsidRPr="0027456E">
        <w:rPr>
          <w:rFonts w:cs="Times New Roman"/>
          <w:color w:val="17365D"/>
          <w:szCs w:val="24"/>
        </w:rPr>
        <w:t xml:space="preserve"> vērtībā;</w:t>
      </w:r>
    </w:p>
    <w:p w14:paraId="1E133FD0" w14:textId="77777777" w:rsidR="00C70F14" w:rsidRPr="0027456E" w:rsidRDefault="00C70F14" w:rsidP="00C70F14">
      <w:pPr>
        <w:pStyle w:val="ListParagraph"/>
        <w:numPr>
          <w:ilvl w:val="0"/>
          <w:numId w:val="26"/>
        </w:numPr>
        <w:spacing w:after="120" w:line="240" w:lineRule="auto"/>
        <w:contextualSpacing w:val="0"/>
        <w:jc w:val="both"/>
        <w:rPr>
          <w:rFonts w:cs="Times New Roman"/>
          <w:b/>
          <w:bCs/>
          <w:color w:val="17365D"/>
          <w:szCs w:val="24"/>
        </w:rPr>
      </w:pPr>
      <w:r>
        <w:rPr>
          <w:rFonts w:cs="Times New Roman"/>
          <w:b/>
          <w:bCs/>
          <w:color w:val="17365D"/>
          <w:szCs w:val="24"/>
        </w:rPr>
        <w:t>“</w:t>
      </w:r>
      <w:r w:rsidRPr="0027456E">
        <w:rPr>
          <w:rFonts w:cs="Times New Roman"/>
          <w:b/>
          <w:bCs/>
          <w:color w:val="17365D"/>
          <w:szCs w:val="24"/>
        </w:rPr>
        <w:t>Ieguldījuma īpašumi</w:t>
      </w:r>
      <w:r>
        <w:rPr>
          <w:rFonts w:cs="Times New Roman"/>
          <w:b/>
          <w:bCs/>
          <w:color w:val="17365D"/>
          <w:szCs w:val="24"/>
        </w:rPr>
        <w:t xml:space="preserve">” </w:t>
      </w:r>
      <w:r w:rsidRPr="0027456E">
        <w:rPr>
          <w:rFonts w:cs="Times New Roman"/>
          <w:bCs/>
          <w:color w:val="17365D"/>
          <w:szCs w:val="24"/>
        </w:rPr>
        <w:t>(84 419)</w:t>
      </w:r>
      <w:r w:rsidRPr="0027456E">
        <w:rPr>
          <w:rFonts w:cs="Times New Roman"/>
          <w:i/>
          <w:color w:val="17365D"/>
          <w:szCs w:val="24"/>
        </w:rPr>
        <w:t xml:space="preserve"> euro</w:t>
      </w:r>
      <w:r w:rsidRPr="0027456E">
        <w:rPr>
          <w:rFonts w:cs="Times New Roman"/>
          <w:color w:val="17365D"/>
          <w:szCs w:val="24"/>
        </w:rPr>
        <w:t xml:space="preserve"> vērtībā;</w:t>
      </w:r>
    </w:p>
    <w:p w14:paraId="6383DE5C" w14:textId="77777777" w:rsidR="00C70F14" w:rsidRDefault="00C70F14" w:rsidP="00C70F14">
      <w:pPr>
        <w:spacing w:after="120" w:line="240" w:lineRule="auto"/>
        <w:ind w:firstLine="426"/>
        <w:jc w:val="both"/>
        <w:rPr>
          <w:rFonts w:cs="Times New Roman"/>
          <w:b/>
          <w:bCs/>
          <w:color w:val="17365D"/>
          <w:szCs w:val="24"/>
        </w:rPr>
      </w:pPr>
      <w:r>
        <w:rPr>
          <w:rFonts w:cs="Times New Roman"/>
          <w:b/>
          <w:bCs/>
          <w:color w:val="17365D"/>
          <w:szCs w:val="24"/>
        </w:rPr>
        <w:t>Apgrozāmie līdzekļi:</w:t>
      </w:r>
    </w:p>
    <w:p w14:paraId="54F65A6B" w14:textId="77777777" w:rsidR="00C70F14" w:rsidRPr="0027456E" w:rsidRDefault="00C70F14" w:rsidP="00C70F14">
      <w:pPr>
        <w:pStyle w:val="ListParagraph"/>
        <w:numPr>
          <w:ilvl w:val="0"/>
          <w:numId w:val="50"/>
        </w:numPr>
        <w:spacing w:after="120" w:line="240" w:lineRule="auto"/>
        <w:ind w:left="993" w:hanging="284"/>
        <w:contextualSpacing w:val="0"/>
        <w:jc w:val="both"/>
        <w:rPr>
          <w:rFonts w:cs="Times New Roman"/>
          <w:b/>
          <w:bCs/>
          <w:color w:val="17365D"/>
          <w:szCs w:val="24"/>
        </w:rPr>
      </w:pPr>
      <w:r w:rsidRPr="0027456E">
        <w:rPr>
          <w:rFonts w:cs="Times New Roman"/>
          <w:b/>
          <w:bCs/>
          <w:color w:val="17365D"/>
        </w:rPr>
        <w:t xml:space="preserve">“Krājumi” </w:t>
      </w:r>
      <w:r w:rsidRPr="0027456E">
        <w:rPr>
          <w:rFonts w:cs="Times New Roman"/>
          <w:bCs/>
          <w:color w:val="17365D"/>
        </w:rPr>
        <w:t>(</w:t>
      </w:r>
      <w:r w:rsidRPr="0027456E">
        <w:rPr>
          <w:rFonts w:cs="Times New Roman"/>
          <w:bCs/>
          <w:color w:val="17365D"/>
          <w:szCs w:val="24"/>
        </w:rPr>
        <w:t xml:space="preserve">255 640) </w:t>
      </w:r>
      <w:r w:rsidRPr="0027456E">
        <w:rPr>
          <w:rFonts w:cs="Times New Roman"/>
          <w:i/>
          <w:color w:val="17365D"/>
          <w:szCs w:val="24"/>
        </w:rPr>
        <w:t>euro</w:t>
      </w:r>
      <w:r w:rsidRPr="0027456E">
        <w:rPr>
          <w:rFonts w:cs="Times New Roman"/>
          <w:color w:val="17365D"/>
          <w:szCs w:val="24"/>
        </w:rPr>
        <w:t xml:space="preserve"> vērtībā;</w:t>
      </w:r>
    </w:p>
    <w:p w14:paraId="09F7A366" w14:textId="77777777" w:rsidR="00C70F14" w:rsidRPr="0027456E" w:rsidRDefault="00C70F14" w:rsidP="00C70F14">
      <w:pPr>
        <w:pStyle w:val="ListParagraph"/>
        <w:numPr>
          <w:ilvl w:val="0"/>
          <w:numId w:val="50"/>
        </w:numPr>
        <w:spacing w:after="120" w:line="240" w:lineRule="auto"/>
        <w:ind w:left="993" w:hanging="284"/>
        <w:contextualSpacing w:val="0"/>
        <w:jc w:val="both"/>
        <w:rPr>
          <w:rFonts w:cs="Times New Roman"/>
          <w:bCs/>
          <w:color w:val="17365D"/>
          <w:szCs w:val="24"/>
        </w:rPr>
      </w:pPr>
      <w:r w:rsidRPr="00A27896">
        <w:rPr>
          <w:rFonts w:cs="Times New Roman"/>
          <w:b/>
          <w:color w:val="17365D"/>
        </w:rPr>
        <w:t>“Īstermiņa prasības</w:t>
      </w:r>
      <w:r w:rsidRPr="0027456E">
        <w:rPr>
          <w:rFonts w:cs="Times New Roman"/>
          <w:color w:val="17365D"/>
        </w:rPr>
        <w:t>” (</w:t>
      </w:r>
      <w:r w:rsidRPr="0027456E">
        <w:rPr>
          <w:rFonts w:cs="Times New Roman"/>
          <w:bCs/>
          <w:color w:val="17365D"/>
          <w:szCs w:val="24"/>
        </w:rPr>
        <w:t>77 382 049)</w:t>
      </w:r>
      <w:r w:rsidRPr="0027456E">
        <w:rPr>
          <w:rFonts w:cs="Times New Roman"/>
          <w:i/>
          <w:color w:val="17365D"/>
          <w:szCs w:val="24"/>
        </w:rPr>
        <w:t xml:space="preserve"> euro</w:t>
      </w:r>
      <w:r w:rsidRPr="0027456E">
        <w:rPr>
          <w:rFonts w:cs="Times New Roman"/>
          <w:color w:val="17365D"/>
          <w:szCs w:val="24"/>
        </w:rPr>
        <w:t xml:space="preserve"> vērtībā;</w:t>
      </w:r>
    </w:p>
    <w:p w14:paraId="7C444270" w14:textId="77777777" w:rsidR="00C70F14" w:rsidRPr="0027456E" w:rsidRDefault="00C70F14" w:rsidP="00C70F14">
      <w:pPr>
        <w:pStyle w:val="ListParagraph"/>
        <w:numPr>
          <w:ilvl w:val="0"/>
          <w:numId w:val="50"/>
        </w:numPr>
        <w:spacing w:after="120" w:line="240" w:lineRule="auto"/>
        <w:ind w:left="993" w:hanging="284"/>
        <w:contextualSpacing w:val="0"/>
        <w:jc w:val="both"/>
        <w:rPr>
          <w:rFonts w:cs="Times New Roman"/>
          <w:bCs/>
          <w:color w:val="17365D"/>
          <w:szCs w:val="24"/>
        </w:rPr>
      </w:pPr>
      <w:r w:rsidRPr="0027456E">
        <w:rPr>
          <w:rFonts w:cs="Times New Roman"/>
          <w:b/>
          <w:bCs/>
          <w:color w:val="17365D"/>
          <w:szCs w:val="24"/>
        </w:rPr>
        <w:t>“Nākamo periodu izdevumi un avansi par pakalpojumiem un projektiem”</w:t>
      </w:r>
      <w:r w:rsidRPr="0027456E">
        <w:rPr>
          <w:rFonts w:cs="Times New Roman"/>
          <w:bCs/>
          <w:color w:val="17365D"/>
          <w:szCs w:val="24"/>
        </w:rPr>
        <w:t xml:space="preserve"> </w:t>
      </w:r>
      <w:r>
        <w:rPr>
          <w:rFonts w:cs="Times New Roman"/>
          <w:bCs/>
          <w:color w:val="17365D"/>
          <w:szCs w:val="24"/>
        </w:rPr>
        <w:t>(</w:t>
      </w:r>
      <w:r w:rsidRPr="0027456E">
        <w:rPr>
          <w:rFonts w:cs="Times New Roman"/>
          <w:bCs/>
          <w:color w:val="17365D"/>
          <w:szCs w:val="24"/>
        </w:rPr>
        <w:t>76</w:t>
      </w:r>
      <w:r>
        <w:rPr>
          <w:rFonts w:cs="Times New Roman"/>
          <w:bCs/>
          <w:color w:val="17365D"/>
          <w:szCs w:val="24"/>
        </w:rPr>
        <w:t> </w:t>
      </w:r>
      <w:r w:rsidRPr="0027456E">
        <w:rPr>
          <w:rFonts w:cs="Times New Roman"/>
          <w:bCs/>
          <w:color w:val="17365D"/>
          <w:szCs w:val="24"/>
        </w:rPr>
        <w:t>868</w:t>
      </w:r>
      <w:r>
        <w:rPr>
          <w:rFonts w:cs="Times New Roman"/>
          <w:bCs/>
          <w:color w:val="17365D"/>
          <w:szCs w:val="24"/>
        </w:rPr>
        <w:t>)</w:t>
      </w:r>
      <w:r w:rsidRPr="0027456E">
        <w:rPr>
          <w:rFonts w:cs="Times New Roman"/>
          <w:i/>
          <w:color w:val="17365D"/>
          <w:szCs w:val="24"/>
        </w:rPr>
        <w:t xml:space="preserve"> euro</w:t>
      </w:r>
      <w:r w:rsidRPr="0027456E">
        <w:rPr>
          <w:rFonts w:cs="Times New Roman"/>
          <w:color w:val="17365D"/>
          <w:szCs w:val="24"/>
        </w:rPr>
        <w:t xml:space="preserve"> vērtībā;</w:t>
      </w:r>
    </w:p>
    <w:p w14:paraId="7A1C6620" w14:textId="77777777" w:rsidR="000B176B" w:rsidRDefault="000B176B" w:rsidP="00C70F14">
      <w:pPr>
        <w:spacing w:after="120" w:line="240" w:lineRule="auto"/>
        <w:jc w:val="both"/>
        <w:rPr>
          <w:rFonts w:cs="Times New Roman"/>
          <w:bCs/>
          <w:color w:val="17365D"/>
          <w:szCs w:val="24"/>
        </w:rPr>
      </w:pPr>
    </w:p>
    <w:p w14:paraId="2155BFD9" w14:textId="77777777" w:rsidR="000B176B" w:rsidRDefault="000B176B" w:rsidP="00C70F14">
      <w:pPr>
        <w:spacing w:after="120" w:line="240" w:lineRule="auto"/>
        <w:jc w:val="both"/>
        <w:rPr>
          <w:rFonts w:cs="Times New Roman"/>
          <w:bCs/>
          <w:color w:val="17365D"/>
          <w:szCs w:val="24"/>
        </w:rPr>
      </w:pPr>
    </w:p>
    <w:p w14:paraId="61B5C057" w14:textId="7159E93D" w:rsidR="00C70F14" w:rsidRPr="00EF4622" w:rsidRDefault="00C70F14" w:rsidP="00C70F14">
      <w:pPr>
        <w:spacing w:after="120" w:line="240" w:lineRule="auto"/>
        <w:jc w:val="both"/>
        <w:rPr>
          <w:rFonts w:cs="Times New Roman"/>
          <w:bCs/>
          <w:color w:val="17365D"/>
          <w:szCs w:val="24"/>
        </w:rPr>
      </w:pPr>
      <w:r w:rsidRPr="00EF4622">
        <w:rPr>
          <w:rFonts w:cs="Times New Roman"/>
          <w:bCs/>
          <w:color w:val="17365D"/>
          <w:szCs w:val="24"/>
        </w:rPr>
        <w:lastRenderedPageBreak/>
        <w:t>un šādos bilances</w:t>
      </w:r>
      <w:r>
        <w:rPr>
          <w:rFonts w:cs="Times New Roman"/>
          <w:b/>
          <w:bCs/>
          <w:color w:val="17365D"/>
          <w:szCs w:val="24"/>
        </w:rPr>
        <w:t xml:space="preserve"> pasīva </w:t>
      </w:r>
      <w:r w:rsidRPr="00EF4622">
        <w:rPr>
          <w:rFonts w:cs="Times New Roman"/>
          <w:b/>
          <w:bCs/>
          <w:color w:val="17365D"/>
          <w:szCs w:val="24"/>
        </w:rPr>
        <w:t>posteņos</w:t>
      </w:r>
      <w:r w:rsidRPr="00EF4622">
        <w:rPr>
          <w:rFonts w:cs="Times New Roman"/>
          <w:bCs/>
          <w:color w:val="17365D"/>
          <w:szCs w:val="24"/>
        </w:rPr>
        <w:t>:</w:t>
      </w:r>
    </w:p>
    <w:p w14:paraId="14A0BAFA" w14:textId="09C2FC3E" w:rsidR="00C70F14" w:rsidRPr="00EF4622" w:rsidRDefault="00C70F14" w:rsidP="00C70F14">
      <w:pPr>
        <w:spacing w:after="120" w:line="240" w:lineRule="auto"/>
        <w:ind w:firstLine="426"/>
        <w:jc w:val="both"/>
        <w:rPr>
          <w:rFonts w:cs="Times New Roman"/>
          <w:b/>
          <w:bCs/>
          <w:color w:val="17365D"/>
          <w:szCs w:val="24"/>
        </w:rPr>
      </w:pPr>
      <w:r w:rsidRPr="00EF4622">
        <w:rPr>
          <w:rFonts w:cs="Times New Roman"/>
          <w:b/>
          <w:bCs/>
          <w:color w:val="17365D"/>
          <w:szCs w:val="24"/>
        </w:rPr>
        <w:t>Pašu kapitāls:</w:t>
      </w:r>
    </w:p>
    <w:p w14:paraId="7531B57A" w14:textId="77777777" w:rsidR="00C70F14" w:rsidRPr="00EF4622" w:rsidRDefault="00C70F14" w:rsidP="00C70F14">
      <w:pPr>
        <w:pStyle w:val="ListParagraph"/>
        <w:numPr>
          <w:ilvl w:val="0"/>
          <w:numId w:val="50"/>
        </w:numPr>
        <w:spacing w:after="120" w:line="240" w:lineRule="auto"/>
        <w:ind w:left="993" w:hanging="284"/>
        <w:contextualSpacing w:val="0"/>
        <w:jc w:val="both"/>
        <w:rPr>
          <w:rFonts w:cs="Times New Roman"/>
          <w:b/>
          <w:bCs/>
          <w:color w:val="17365D"/>
          <w:szCs w:val="24"/>
        </w:rPr>
      </w:pPr>
      <w:r>
        <w:rPr>
          <w:rFonts w:cs="Times New Roman"/>
          <w:b/>
          <w:bCs/>
          <w:color w:val="17365D"/>
          <w:szCs w:val="24"/>
        </w:rPr>
        <w:t xml:space="preserve">“Rezerves” </w:t>
      </w:r>
      <w:r w:rsidRPr="00EF4622">
        <w:rPr>
          <w:rFonts w:cs="Times New Roman"/>
          <w:bCs/>
          <w:color w:val="17365D"/>
          <w:szCs w:val="24"/>
        </w:rPr>
        <w:t>59 193 312</w:t>
      </w:r>
      <w:r w:rsidRPr="00EF4622">
        <w:rPr>
          <w:rFonts w:cs="Times New Roman"/>
          <w:i/>
          <w:color w:val="17365D"/>
          <w:szCs w:val="24"/>
        </w:rPr>
        <w:t xml:space="preserve"> </w:t>
      </w:r>
      <w:r w:rsidRPr="0027456E">
        <w:rPr>
          <w:rFonts w:cs="Times New Roman"/>
          <w:i/>
          <w:color w:val="17365D"/>
          <w:szCs w:val="24"/>
        </w:rPr>
        <w:t>euro</w:t>
      </w:r>
      <w:r w:rsidRPr="0027456E">
        <w:rPr>
          <w:rFonts w:cs="Times New Roman"/>
          <w:color w:val="17365D"/>
          <w:szCs w:val="24"/>
        </w:rPr>
        <w:t xml:space="preserve"> vērtībā;</w:t>
      </w:r>
    </w:p>
    <w:p w14:paraId="0F0BED0E" w14:textId="77777777" w:rsidR="00C70F14" w:rsidRPr="00EF4622" w:rsidRDefault="00C70F14" w:rsidP="00B3277B">
      <w:pPr>
        <w:pStyle w:val="ListParagraph"/>
        <w:numPr>
          <w:ilvl w:val="0"/>
          <w:numId w:val="50"/>
        </w:numPr>
        <w:spacing w:after="120" w:line="240" w:lineRule="auto"/>
        <w:ind w:left="993" w:hanging="284"/>
        <w:contextualSpacing w:val="0"/>
        <w:jc w:val="both"/>
        <w:rPr>
          <w:rFonts w:cs="Times New Roman"/>
          <w:b/>
          <w:bCs/>
          <w:color w:val="17365D"/>
          <w:szCs w:val="24"/>
        </w:rPr>
      </w:pPr>
      <w:r>
        <w:rPr>
          <w:rFonts w:cs="Times New Roman"/>
          <w:b/>
          <w:bCs/>
          <w:color w:val="17365D"/>
          <w:szCs w:val="24"/>
        </w:rPr>
        <w:t>“</w:t>
      </w:r>
      <w:r w:rsidRPr="00EF4622">
        <w:rPr>
          <w:rFonts w:cs="Times New Roman"/>
          <w:b/>
          <w:bCs/>
          <w:color w:val="17365D"/>
          <w:szCs w:val="24"/>
        </w:rPr>
        <w:t>Budžeta izpildes rezultāti</w:t>
      </w:r>
      <w:r>
        <w:rPr>
          <w:rFonts w:cs="Times New Roman"/>
          <w:b/>
          <w:bCs/>
          <w:color w:val="17365D"/>
          <w:szCs w:val="24"/>
        </w:rPr>
        <w:t xml:space="preserve">” </w:t>
      </w:r>
      <w:r w:rsidRPr="00EF4622">
        <w:rPr>
          <w:rFonts w:cs="Times New Roman"/>
          <w:bCs/>
          <w:color w:val="17365D"/>
          <w:szCs w:val="24"/>
        </w:rPr>
        <w:t>18 959</w:t>
      </w:r>
      <w:r>
        <w:rPr>
          <w:rFonts w:cs="Times New Roman"/>
          <w:bCs/>
          <w:color w:val="17365D"/>
          <w:szCs w:val="24"/>
        </w:rPr>
        <w:t> </w:t>
      </w:r>
      <w:r w:rsidRPr="00EF4622">
        <w:rPr>
          <w:rFonts w:cs="Times New Roman"/>
          <w:bCs/>
          <w:color w:val="17365D"/>
          <w:szCs w:val="24"/>
        </w:rPr>
        <w:t>620</w:t>
      </w:r>
      <w:r>
        <w:rPr>
          <w:rFonts w:cs="Times New Roman"/>
          <w:bCs/>
          <w:color w:val="17365D"/>
          <w:szCs w:val="24"/>
        </w:rPr>
        <w:t xml:space="preserve"> </w:t>
      </w:r>
      <w:r w:rsidRPr="0027456E">
        <w:rPr>
          <w:rFonts w:cs="Times New Roman"/>
          <w:i/>
          <w:color w:val="17365D"/>
          <w:szCs w:val="24"/>
        </w:rPr>
        <w:t>euro</w:t>
      </w:r>
      <w:r w:rsidRPr="0027456E">
        <w:rPr>
          <w:rFonts w:cs="Times New Roman"/>
          <w:color w:val="17365D"/>
          <w:szCs w:val="24"/>
        </w:rPr>
        <w:t xml:space="preserve"> vērtībā;</w:t>
      </w:r>
    </w:p>
    <w:p w14:paraId="5791DC92" w14:textId="77777777" w:rsidR="00C70F14" w:rsidRPr="00EF4622" w:rsidRDefault="00C70F14" w:rsidP="00C70F14">
      <w:pPr>
        <w:spacing w:after="0" w:line="240" w:lineRule="auto"/>
        <w:ind w:left="426"/>
        <w:jc w:val="both"/>
        <w:rPr>
          <w:rFonts w:eastAsia="Times New Roman" w:cs="Times New Roman"/>
          <w:b/>
          <w:bCs/>
          <w:color w:val="17365D"/>
          <w:szCs w:val="24"/>
          <w:lang w:eastAsia="lv-LV"/>
        </w:rPr>
      </w:pPr>
      <w:r>
        <w:rPr>
          <w:rFonts w:eastAsia="Times New Roman" w:cs="Times New Roman"/>
          <w:b/>
          <w:bCs/>
          <w:color w:val="17365D"/>
          <w:szCs w:val="24"/>
          <w:lang w:eastAsia="lv-LV"/>
        </w:rPr>
        <w:t xml:space="preserve">Saistību </w:t>
      </w:r>
      <w:r w:rsidRPr="001938E1">
        <w:rPr>
          <w:rFonts w:eastAsia="Times New Roman" w:cs="Times New Roman"/>
          <w:bCs/>
          <w:color w:val="17365D"/>
          <w:szCs w:val="24"/>
          <w:lang w:eastAsia="lv-LV"/>
        </w:rPr>
        <w:t xml:space="preserve">atlikums koriģēts bilances postenī </w:t>
      </w:r>
      <w:r>
        <w:rPr>
          <w:rFonts w:eastAsia="Times New Roman" w:cs="Times New Roman"/>
          <w:b/>
          <w:bCs/>
          <w:color w:val="17365D"/>
          <w:szCs w:val="24"/>
          <w:lang w:eastAsia="lv-LV"/>
        </w:rPr>
        <w:t>“Īstermiņa s</w:t>
      </w:r>
      <w:r w:rsidRPr="00EF4622">
        <w:rPr>
          <w:rFonts w:eastAsia="Times New Roman" w:cs="Times New Roman"/>
          <w:b/>
          <w:bCs/>
          <w:color w:val="17365D"/>
          <w:szCs w:val="24"/>
          <w:lang w:eastAsia="lv-LV"/>
        </w:rPr>
        <w:t>aistības</w:t>
      </w:r>
      <w:r>
        <w:rPr>
          <w:rFonts w:eastAsia="Times New Roman" w:cs="Times New Roman"/>
          <w:b/>
          <w:bCs/>
          <w:color w:val="17365D"/>
          <w:szCs w:val="24"/>
          <w:lang w:eastAsia="lv-LV"/>
        </w:rPr>
        <w:t>”</w:t>
      </w:r>
      <w:r w:rsidRPr="00EF4622">
        <w:rPr>
          <w:szCs w:val="24"/>
        </w:rPr>
        <w:t xml:space="preserve"> </w:t>
      </w:r>
      <w:r w:rsidRPr="001938E1">
        <w:rPr>
          <w:rFonts w:eastAsia="Times New Roman" w:cs="Times New Roman"/>
          <w:bCs/>
          <w:color w:val="17365D"/>
          <w:szCs w:val="24"/>
          <w:lang w:eastAsia="lv-LV"/>
        </w:rPr>
        <w:t>(</w:t>
      </w:r>
      <w:r>
        <w:rPr>
          <w:rFonts w:eastAsia="Times New Roman" w:cs="Times New Roman"/>
          <w:bCs/>
          <w:color w:val="17365D"/>
          <w:szCs w:val="24"/>
          <w:lang w:eastAsia="lv-LV"/>
        </w:rPr>
        <w:t>174 </w:t>
      </w:r>
      <w:r w:rsidRPr="001938E1">
        <w:rPr>
          <w:rFonts w:eastAsia="Times New Roman" w:cs="Times New Roman"/>
          <w:bCs/>
          <w:color w:val="17365D"/>
          <w:szCs w:val="24"/>
          <w:lang w:eastAsia="lv-LV"/>
        </w:rPr>
        <w:t>044 408)</w:t>
      </w:r>
      <w:r>
        <w:rPr>
          <w:rFonts w:eastAsia="Times New Roman" w:cs="Times New Roman"/>
          <w:bCs/>
          <w:color w:val="17365D"/>
          <w:szCs w:val="24"/>
          <w:lang w:eastAsia="lv-LV"/>
        </w:rPr>
        <w:t> </w:t>
      </w:r>
      <w:r w:rsidRPr="001938E1">
        <w:rPr>
          <w:rFonts w:cs="Times New Roman"/>
          <w:i/>
          <w:color w:val="17365D"/>
          <w:szCs w:val="24"/>
        </w:rPr>
        <w:t>euro</w:t>
      </w:r>
      <w:r w:rsidRPr="001938E1">
        <w:rPr>
          <w:rFonts w:cs="Times New Roman"/>
          <w:color w:val="17365D"/>
          <w:szCs w:val="24"/>
        </w:rPr>
        <w:t xml:space="preserve"> vērtībā</w:t>
      </w:r>
      <w:r>
        <w:rPr>
          <w:rFonts w:cs="Times New Roman"/>
          <w:color w:val="17365D"/>
          <w:szCs w:val="24"/>
        </w:rPr>
        <w:t>.</w:t>
      </w:r>
    </w:p>
    <w:p w14:paraId="11C7A682" w14:textId="77777777" w:rsidR="00C70F14" w:rsidRPr="00EF4622" w:rsidRDefault="00C70F14" w:rsidP="00C70F14">
      <w:pPr>
        <w:spacing w:after="120" w:line="240" w:lineRule="auto"/>
        <w:ind w:left="426"/>
        <w:jc w:val="both"/>
        <w:rPr>
          <w:rFonts w:cs="Times New Roman"/>
          <w:b/>
          <w:bCs/>
          <w:color w:val="17365D"/>
          <w:szCs w:val="24"/>
        </w:rPr>
      </w:pPr>
    </w:p>
    <w:p w14:paraId="334B780F" w14:textId="77777777" w:rsidR="00C70F14" w:rsidRPr="00191522" w:rsidRDefault="00C70F14" w:rsidP="00C70F14">
      <w:pPr>
        <w:spacing w:after="120" w:line="240" w:lineRule="auto"/>
        <w:jc w:val="both"/>
        <w:rPr>
          <w:rFonts w:cs="Times New Roman"/>
          <w:b/>
          <w:bCs/>
          <w:color w:val="17365D"/>
          <w:szCs w:val="24"/>
        </w:rPr>
      </w:pPr>
      <w:r w:rsidRPr="00191522">
        <w:rPr>
          <w:rFonts w:cs="Times New Roman"/>
          <w:b/>
          <w:bCs/>
          <w:color w:val="17365D"/>
          <w:szCs w:val="24"/>
        </w:rPr>
        <w:t xml:space="preserve">Zembilancē </w:t>
      </w:r>
      <w:r w:rsidRPr="00191522">
        <w:rPr>
          <w:rFonts w:cs="Times New Roman"/>
          <w:bCs/>
          <w:color w:val="17365D"/>
          <w:szCs w:val="24"/>
        </w:rPr>
        <w:t>salīdzinošās informācijas maiņa veikta postenī</w:t>
      </w:r>
      <w:r w:rsidRPr="00191522">
        <w:rPr>
          <w:rFonts w:cs="Times New Roman"/>
          <w:b/>
          <w:bCs/>
          <w:color w:val="17365D"/>
          <w:szCs w:val="24"/>
        </w:rPr>
        <w:t xml:space="preserve"> “Zembilances pasīvi” </w:t>
      </w:r>
      <w:r w:rsidRPr="00191522">
        <w:rPr>
          <w:rFonts w:cs="Times New Roman"/>
          <w:bCs/>
          <w:color w:val="17365D"/>
          <w:szCs w:val="24"/>
        </w:rPr>
        <w:t xml:space="preserve">31 581 454 </w:t>
      </w:r>
      <w:r w:rsidRPr="00191522">
        <w:rPr>
          <w:rFonts w:cs="Times New Roman"/>
          <w:i/>
          <w:color w:val="17365D"/>
          <w:szCs w:val="24"/>
        </w:rPr>
        <w:t>euro</w:t>
      </w:r>
      <w:r w:rsidRPr="00191522">
        <w:rPr>
          <w:rFonts w:cs="Times New Roman"/>
          <w:color w:val="17365D"/>
          <w:szCs w:val="24"/>
        </w:rPr>
        <w:t xml:space="preserve"> vērtībā</w:t>
      </w:r>
      <w:r>
        <w:rPr>
          <w:rFonts w:cs="Times New Roman"/>
          <w:color w:val="17365D"/>
          <w:szCs w:val="24"/>
        </w:rPr>
        <w:t>.</w:t>
      </w:r>
    </w:p>
    <w:p w14:paraId="29E9FD0F" w14:textId="26050817" w:rsidR="00B3277B" w:rsidRDefault="00B3277B" w:rsidP="00B3277B">
      <w:pPr>
        <w:spacing w:after="120" w:line="240" w:lineRule="auto"/>
        <w:ind w:right="255"/>
        <w:jc w:val="both"/>
        <w:rPr>
          <w:rFonts w:cs="Times New Roman"/>
          <w:color w:val="17365D"/>
          <w:szCs w:val="24"/>
        </w:rPr>
      </w:pPr>
      <w:r w:rsidRPr="00C87349">
        <w:rPr>
          <w:rFonts w:cs="Times New Roman"/>
          <w:color w:val="17365D"/>
          <w:szCs w:val="24"/>
        </w:rPr>
        <w:t>Saskaņā ar ministriju un pašvaldību sniegto informāciju par</w:t>
      </w:r>
      <w:r w:rsidRPr="00C87349">
        <w:rPr>
          <w:rFonts w:cs="Times New Roman"/>
          <w:b/>
          <w:bCs/>
          <w:color w:val="17365D"/>
          <w:szCs w:val="24"/>
        </w:rPr>
        <w:t xml:space="preserve"> notikumiem pēc bilances datuma </w:t>
      </w:r>
      <w:r w:rsidRPr="00C87349">
        <w:rPr>
          <w:rFonts w:cs="Times New Roman"/>
          <w:color w:val="17365D"/>
          <w:szCs w:val="24"/>
        </w:rPr>
        <w:t xml:space="preserve">veikta korekcija </w:t>
      </w:r>
      <w:r w:rsidRPr="008662CD">
        <w:rPr>
          <w:rFonts w:cs="Times New Roman"/>
          <w:b/>
          <w:bCs/>
          <w:color w:val="17365D"/>
          <w:szCs w:val="24"/>
        </w:rPr>
        <w:t>pārskata perioda beigās</w:t>
      </w:r>
      <w:r w:rsidRPr="00B3277B">
        <w:rPr>
          <w:rFonts w:cs="Times New Roman"/>
          <w:color w:val="17365D"/>
          <w:szCs w:val="24"/>
        </w:rPr>
        <w:t xml:space="preserve"> </w:t>
      </w:r>
      <w:r w:rsidRPr="00C87349">
        <w:rPr>
          <w:rFonts w:cs="Times New Roman"/>
          <w:color w:val="17365D"/>
          <w:szCs w:val="24"/>
        </w:rPr>
        <w:t>šādos bilances</w:t>
      </w:r>
      <w:r w:rsidRPr="00C87349">
        <w:rPr>
          <w:rFonts w:cs="Times New Roman"/>
          <w:b/>
          <w:bCs/>
          <w:color w:val="17365D"/>
          <w:szCs w:val="24"/>
        </w:rPr>
        <w:t xml:space="preserve"> aktīva posteņos</w:t>
      </w:r>
      <w:r w:rsidRPr="00C87349">
        <w:rPr>
          <w:rFonts w:cs="Times New Roman"/>
          <w:color w:val="17365D"/>
          <w:szCs w:val="24"/>
        </w:rPr>
        <w:t>:</w:t>
      </w:r>
    </w:p>
    <w:p w14:paraId="00D3D45C" w14:textId="2BE262E0" w:rsidR="00B3277B" w:rsidRPr="0027456E" w:rsidRDefault="00B3277B" w:rsidP="00B3277B">
      <w:pPr>
        <w:pStyle w:val="ListParagraph"/>
        <w:numPr>
          <w:ilvl w:val="0"/>
          <w:numId w:val="51"/>
        </w:numPr>
        <w:spacing w:after="120" w:line="240" w:lineRule="auto"/>
        <w:contextualSpacing w:val="0"/>
        <w:jc w:val="both"/>
        <w:rPr>
          <w:rFonts w:cs="Times New Roman"/>
          <w:b/>
          <w:bCs/>
          <w:color w:val="17365D"/>
          <w:szCs w:val="24"/>
        </w:rPr>
      </w:pPr>
      <w:r w:rsidRPr="0027456E">
        <w:rPr>
          <w:rFonts w:cs="Times New Roman"/>
          <w:b/>
          <w:bCs/>
          <w:color w:val="17365D"/>
          <w:szCs w:val="24"/>
        </w:rPr>
        <w:t xml:space="preserve">“Ilgtermiņa finanšu ieguldījumi” </w:t>
      </w:r>
      <w:r w:rsidRPr="00B3277B">
        <w:rPr>
          <w:rFonts w:cs="Times New Roman"/>
          <w:bCs/>
          <w:color w:val="17365D"/>
          <w:szCs w:val="24"/>
        </w:rPr>
        <w:t>12</w:t>
      </w:r>
      <w:r>
        <w:rPr>
          <w:rFonts w:cs="Times New Roman"/>
          <w:bCs/>
          <w:color w:val="17365D"/>
          <w:szCs w:val="24"/>
        </w:rPr>
        <w:t> </w:t>
      </w:r>
      <w:r w:rsidRPr="00B3277B">
        <w:rPr>
          <w:rFonts w:cs="Times New Roman"/>
          <w:bCs/>
          <w:color w:val="17365D"/>
          <w:szCs w:val="24"/>
        </w:rPr>
        <w:t>943</w:t>
      </w:r>
      <w:r>
        <w:rPr>
          <w:rFonts w:cs="Times New Roman"/>
          <w:bCs/>
          <w:color w:val="17365D"/>
          <w:szCs w:val="24"/>
        </w:rPr>
        <w:t> </w:t>
      </w:r>
      <w:r w:rsidRPr="00B3277B">
        <w:rPr>
          <w:rFonts w:cs="Times New Roman"/>
          <w:bCs/>
          <w:color w:val="17365D"/>
          <w:szCs w:val="24"/>
        </w:rPr>
        <w:t>190</w:t>
      </w:r>
      <w:r w:rsidRPr="0027456E">
        <w:rPr>
          <w:rFonts w:cs="Times New Roman"/>
          <w:i/>
          <w:color w:val="17365D"/>
          <w:szCs w:val="24"/>
        </w:rPr>
        <w:t xml:space="preserve"> euro</w:t>
      </w:r>
      <w:r w:rsidRPr="0027456E">
        <w:rPr>
          <w:rFonts w:cs="Times New Roman"/>
          <w:color w:val="17365D"/>
          <w:szCs w:val="24"/>
        </w:rPr>
        <w:t xml:space="preserve"> vērtībā;</w:t>
      </w:r>
    </w:p>
    <w:p w14:paraId="59171D24" w14:textId="246EEE2D" w:rsidR="00B3277B" w:rsidRPr="00C87349" w:rsidRDefault="00B3277B" w:rsidP="00C87349">
      <w:pPr>
        <w:pStyle w:val="ListParagraph"/>
        <w:numPr>
          <w:ilvl w:val="0"/>
          <w:numId w:val="51"/>
        </w:numPr>
        <w:spacing w:after="120" w:line="240" w:lineRule="auto"/>
        <w:ind w:right="255"/>
        <w:contextualSpacing w:val="0"/>
        <w:jc w:val="both"/>
        <w:rPr>
          <w:rFonts w:cs="Times New Roman"/>
          <w:b/>
          <w:bCs/>
          <w:color w:val="17365D"/>
          <w:szCs w:val="24"/>
        </w:rPr>
      </w:pPr>
      <w:r>
        <w:rPr>
          <w:rFonts w:cs="Times New Roman"/>
          <w:b/>
          <w:bCs/>
          <w:color w:val="17365D"/>
          <w:szCs w:val="24"/>
        </w:rPr>
        <w:t>“</w:t>
      </w:r>
      <w:r w:rsidRPr="00B3277B">
        <w:rPr>
          <w:rFonts w:cs="Times New Roman"/>
          <w:b/>
          <w:bCs/>
          <w:color w:val="17365D"/>
          <w:szCs w:val="24"/>
        </w:rPr>
        <w:t>Īstermiņa finanšu ieguldījumi</w:t>
      </w:r>
      <w:r>
        <w:rPr>
          <w:rFonts w:cs="Times New Roman"/>
          <w:b/>
          <w:bCs/>
          <w:color w:val="17365D"/>
          <w:szCs w:val="24"/>
        </w:rPr>
        <w:t xml:space="preserve">” </w:t>
      </w:r>
      <w:r w:rsidRPr="00C87349">
        <w:rPr>
          <w:rFonts w:cs="Times New Roman"/>
          <w:color w:val="17365D"/>
          <w:szCs w:val="24"/>
        </w:rPr>
        <w:t>(25 400)</w:t>
      </w:r>
      <w:r>
        <w:rPr>
          <w:rFonts w:cs="Times New Roman"/>
          <w:b/>
          <w:bCs/>
          <w:color w:val="17365D"/>
          <w:szCs w:val="24"/>
        </w:rPr>
        <w:t xml:space="preserve"> </w:t>
      </w:r>
      <w:r w:rsidRPr="0027456E">
        <w:rPr>
          <w:rFonts w:cs="Times New Roman"/>
          <w:i/>
          <w:color w:val="17365D"/>
          <w:szCs w:val="24"/>
        </w:rPr>
        <w:t>euro</w:t>
      </w:r>
      <w:r w:rsidRPr="0027456E">
        <w:rPr>
          <w:rFonts w:cs="Times New Roman"/>
          <w:color w:val="17365D"/>
          <w:szCs w:val="24"/>
        </w:rPr>
        <w:t xml:space="preserve"> vērtībā</w:t>
      </w:r>
      <w:r>
        <w:rPr>
          <w:rFonts w:cs="Times New Roman"/>
          <w:color w:val="17365D"/>
          <w:szCs w:val="24"/>
        </w:rPr>
        <w:t>;</w:t>
      </w:r>
    </w:p>
    <w:p w14:paraId="2C4CF9DA" w14:textId="4974B73B" w:rsidR="00B3277B" w:rsidRDefault="00FF475C" w:rsidP="00B3277B">
      <w:pPr>
        <w:spacing w:after="120" w:line="240" w:lineRule="auto"/>
        <w:ind w:right="255"/>
        <w:jc w:val="both"/>
        <w:rPr>
          <w:rFonts w:cs="Times New Roman"/>
          <w:b/>
          <w:bCs/>
          <w:color w:val="17365D"/>
          <w:szCs w:val="24"/>
        </w:rPr>
      </w:pPr>
      <w:r w:rsidRPr="00C87349">
        <w:rPr>
          <w:rFonts w:cs="Times New Roman"/>
          <w:color w:val="17365D"/>
          <w:szCs w:val="24"/>
        </w:rPr>
        <w:t>u</w:t>
      </w:r>
      <w:r w:rsidR="00B3277B" w:rsidRPr="00C87349">
        <w:rPr>
          <w:rFonts w:cs="Times New Roman"/>
          <w:color w:val="17365D"/>
          <w:szCs w:val="24"/>
        </w:rPr>
        <w:t>n bilances</w:t>
      </w:r>
      <w:r w:rsidR="00B3277B">
        <w:rPr>
          <w:rFonts w:cs="Times New Roman"/>
          <w:b/>
          <w:bCs/>
          <w:color w:val="17365D"/>
          <w:szCs w:val="24"/>
        </w:rPr>
        <w:t xml:space="preserve"> pasīva posteņos:</w:t>
      </w:r>
    </w:p>
    <w:p w14:paraId="22AC1DFE" w14:textId="21077A49" w:rsidR="00B3277B" w:rsidRPr="009C15C4" w:rsidRDefault="00B3277B" w:rsidP="00C87349">
      <w:pPr>
        <w:pStyle w:val="ListParagraph"/>
        <w:numPr>
          <w:ilvl w:val="0"/>
          <w:numId w:val="51"/>
        </w:numPr>
        <w:spacing w:after="120" w:line="240" w:lineRule="auto"/>
        <w:ind w:right="255"/>
        <w:contextualSpacing w:val="0"/>
        <w:jc w:val="both"/>
        <w:rPr>
          <w:rFonts w:cs="Times New Roman"/>
          <w:b/>
          <w:bCs/>
          <w:color w:val="17365D"/>
          <w:szCs w:val="24"/>
        </w:rPr>
      </w:pPr>
      <w:r>
        <w:rPr>
          <w:rFonts w:cs="Times New Roman"/>
          <w:b/>
          <w:bCs/>
          <w:color w:val="17365D"/>
          <w:szCs w:val="24"/>
        </w:rPr>
        <w:t>“</w:t>
      </w:r>
      <w:r w:rsidRPr="00B3277B">
        <w:rPr>
          <w:rFonts w:cs="Times New Roman"/>
          <w:b/>
          <w:bCs/>
          <w:color w:val="17365D"/>
          <w:szCs w:val="24"/>
        </w:rPr>
        <w:t>Rezerves</w:t>
      </w:r>
      <w:r>
        <w:rPr>
          <w:rFonts w:cs="Times New Roman"/>
          <w:b/>
          <w:bCs/>
          <w:color w:val="17365D"/>
          <w:szCs w:val="24"/>
        </w:rPr>
        <w:t xml:space="preserve">” </w:t>
      </w:r>
      <w:r w:rsidRPr="00C87349">
        <w:rPr>
          <w:rFonts w:cs="Times New Roman"/>
          <w:color w:val="17365D"/>
          <w:szCs w:val="24"/>
        </w:rPr>
        <w:t>23 022 356</w:t>
      </w:r>
      <w:r w:rsidRPr="00B3277B">
        <w:rPr>
          <w:rFonts w:cs="Times New Roman"/>
          <w:i/>
          <w:color w:val="17365D"/>
          <w:szCs w:val="24"/>
        </w:rPr>
        <w:t xml:space="preserve"> </w:t>
      </w:r>
      <w:r w:rsidRPr="0027456E">
        <w:rPr>
          <w:rFonts w:cs="Times New Roman"/>
          <w:i/>
          <w:color w:val="17365D"/>
          <w:szCs w:val="24"/>
        </w:rPr>
        <w:t>euro</w:t>
      </w:r>
      <w:r w:rsidRPr="0027456E">
        <w:rPr>
          <w:rFonts w:cs="Times New Roman"/>
          <w:color w:val="17365D"/>
          <w:szCs w:val="24"/>
        </w:rPr>
        <w:t xml:space="preserve"> vērtībā</w:t>
      </w:r>
      <w:r>
        <w:rPr>
          <w:rFonts w:cs="Times New Roman"/>
          <w:color w:val="17365D"/>
          <w:szCs w:val="24"/>
        </w:rPr>
        <w:t>;</w:t>
      </w:r>
    </w:p>
    <w:p w14:paraId="1C00BF44" w14:textId="1DACC821" w:rsidR="00B3277B" w:rsidRPr="00C87349" w:rsidRDefault="00B3277B" w:rsidP="00C87349">
      <w:pPr>
        <w:pStyle w:val="ListParagraph"/>
        <w:numPr>
          <w:ilvl w:val="0"/>
          <w:numId w:val="51"/>
        </w:numPr>
        <w:spacing w:after="120" w:line="240" w:lineRule="auto"/>
        <w:contextualSpacing w:val="0"/>
        <w:jc w:val="both"/>
        <w:rPr>
          <w:rFonts w:cs="Times New Roman"/>
          <w:b/>
          <w:bCs/>
          <w:color w:val="17365D"/>
          <w:szCs w:val="24"/>
        </w:rPr>
      </w:pPr>
      <w:r w:rsidRPr="00C87349">
        <w:rPr>
          <w:rFonts w:cs="Times New Roman"/>
          <w:b/>
          <w:bCs/>
          <w:color w:val="17365D"/>
          <w:szCs w:val="24"/>
        </w:rPr>
        <w:t>“Budžeta izpildes rezultāti</w:t>
      </w:r>
      <w:r>
        <w:rPr>
          <w:rFonts w:cs="Times New Roman"/>
          <w:b/>
          <w:bCs/>
          <w:color w:val="17365D"/>
          <w:szCs w:val="24"/>
        </w:rPr>
        <w:t xml:space="preserve">” </w:t>
      </w:r>
      <w:r w:rsidRPr="00C87349">
        <w:rPr>
          <w:rFonts w:cs="Times New Roman"/>
          <w:color w:val="17365D"/>
          <w:szCs w:val="24"/>
        </w:rPr>
        <w:t xml:space="preserve">(10 104 566) </w:t>
      </w:r>
      <w:r w:rsidRPr="00C87349">
        <w:rPr>
          <w:rFonts w:cs="Times New Roman"/>
          <w:i/>
          <w:iCs/>
          <w:color w:val="17365D"/>
          <w:szCs w:val="24"/>
        </w:rPr>
        <w:t>euro vērtībā</w:t>
      </w:r>
      <w:r>
        <w:rPr>
          <w:rFonts w:cs="Times New Roman"/>
          <w:color w:val="17365D"/>
          <w:szCs w:val="24"/>
        </w:rPr>
        <w:t>.</w:t>
      </w:r>
    </w:p>
    <w:p w14:paraId="677F135C" w14:textId="4048AB7F" w:rsidR="00FF475C" w:rsidRDefault="00FF475C" w:rsidP="00FF475C">
      <w:pPr>
        <w:spacing w:after="120" w:line="240" w:lineRule="auto"/>
        <w:ind w:right="255"/>
        <w:jc w:val="both"/>
        <w:rPr>
          <w:rFonts w:cs="Times New Roman"/>
          <w:color w:val="17365D"/>
          <w:szCs w:val="24"/>
        </w:rPr>
      </w:pPr>
      <w:r w:rsidRPr="00C87349">
        <w:rPr>
          <w:rFonts w:cs="Times New Roman"/>
          <w:color w:val="17365D"/>
          <w:szCs w:val="24"/>
        </w:rPr>
        <w:t>Bilances</w:t>
      </w:r>
      <w:r>
        <w:rPr>
          <w:rFonts w:cs="Times New Roman"/>
          <w:color w:val="17365D"/>
          <w:szCs w:val="24"/>
        </w:rPr>
        <w:t xml:space="preserve"> salīdzinošās informācijas </w:t>
      </w:r>
      <w:r w:rsidRPr="00C87349">
        <w:rPr>
          <w:rFonts w:cs="Times New Roman"/>
          <w:color w:val="17365D"/>
          <w:szCs w:val="24"/>
        </w:rPr>
        <w:t>korekcija par notikumiem pēc bilances datuma</w:t>
      </w:r>
      <w:r>
        <w:rPr>
          <w:rFonts w:cs="Times New Roman"/>
          <w:b/>
          <w:bCs/>
          <w:color w:val="17365D"/>
          <w:szCs w:val="24"/>
        </w:rPr>
        <w:t xml:space="preserve"> </w:t>
      </w:r>
      <w:r w:rsidRPr="00C87349">
        <w:rPr>
          <w:rFonts w:cs="Times New Roman"/>
          <w:color w:val="17365D"/>
          <w:szCs w:val="24"/>
        </w:rPr>
        <w:t xml:space="preserve">veikta </w:t>
      </w:r>
      <w:r w:rsidRPr="009C15C4">
        <w:rPr>
          <w:rFonts w:cs="Times New Roman"/>
          <w:color w:val="17365D"/>
          <w:szCs w:val="24"/>
        </w:rPr>
        <w:t>bilances</w:t>
      </w:r>
      <w:r w:rsidRPr="009C15C4">
        <w:rPr>
          <w:rFonts w:cs="Times New Roman"/>
          <w:b/>
          <w:bCs/>
          <w:color w:val="17365D"/>
          <w:szCs w:val="24"/>
        </w:rPr>
        <w:t xml:space="preserve"> aktīva poste</w:t>
      </w:r>
      <w:r>
        <w:rPr>
          <w:rFonts w:cs="Times New Roman"/>
          <w:b/>
          <w:bCs/>
          <w:color w:val="17365D"/>
          <w:szCs w:val="24"/>
        </w:rPr>
        <w:t xml:space="preserve">nī </w:t>
      </w:r>
      <w:r w:rsidRPr="0027456E">
        <w:rPr>
          <w:rFonts w:cs="Times New Roman"/>
          <w:b/>
          <w:bCs/>
          <w:color w:val="17365D"/>
          <w:szCs w:val="24"/>
        </w:rPr>
        <w:t xml:space="preserve">“Ilgtermiņa finanšu ieguldījumi” </w:t>
      </w:r>
      <w:r w:rsidRPr="00C87349">
        <w:rPr>
          <w:rFonts w:cs="Times New Roman"/>
          <w:color w:val="17365D"/>
          <w:szCs w:val="24"/>
        </w:rPr>
        <w:t>un bilances</w:t>
      </w:r>
      <w:r>
        <w:rPr>
          <w:rFonts w:cs="Times New Roman"/>
          <w:b/>
          <w:bCs/>
          <w:color w:val="17365D"/>
          <w:szCs w:val="24"/>
        </w:rPr>
        <w:t xml:space="preserve"> pasīva postenī </w:t>
      </w:r>
      <w:r w:rsidRPr="009C15C4">
        <w:rPr>
          <w:rFonts w:cs="Times New Roman"/>
          <w:b/>
          <w:bCs/>
          <w:color w:val="17365D"/>
          <w:szCs w:val="24"/>
        </w:rPr>
        <w:t>“Budžeta izpildes rezultāti</w:t>
      </w:r>
      <w:r>
        <w:rPr>
          <w:rFonts w:cs="Times New Roman"/>
          <w:b/>
          <w:bCs/>
          <w:color w:val="17365D"/>
          <w:szCs w:val="24"/>
        </w:rPr>
        <w:t xml:space="preserve">” </w:t>
      </w:r>
      <w:r w:rsidRPr="00FF475C">
        <w:rPr>
          <w:rFonts w:cs="Times New Roman"/>
          <w:b/>
          <w:bCs/>
          <w:color w:val="17365D"/>
          <w:szCs w:val="24"/>
        </w:rPr>
        <w:t>5 400</w:t>
      </w:r>
      <w:r>
        <w:rPr>
          <w:rFonts w:cs="Times New Roman"/>
          <w:b/>
          <w:bCs/>
          <w:color w:val="17365D"/>
          <w:szCs w:val="24"/>
        </w:rPr>
        <w:t> </w:t>
      </w:r>
      <w:r w:rsidRPr="00FF475C">
        <w:rPr>
          <w:rFonts w:cs="Times New Roman"/>
          <w:b/>
          <w:bCs/>
          <w:color w:val="17365D"/>
          <w:szCs w:val="24"/>
        </w:rPr>
        <w:t>542</w:t>
      </w:r>
      <w:r>
        <w:rPr>
          <w:rFonts w:cs="Times New Roman"/>
          <w:b/>
          <w:bCs/>
          <w:color w:val="17365D"/>
          <w:szCs w:val="24"/>
        </w:rPr>
        <w:t xml:space="preserve"> </w:t>
      </w:r>
      <w:r w:rsidRPr="009C15C4">
        <w:rPr>
          <w:rFonts w:cs="Times New Roman"/>
          <w:i/>
          <w:iCs/>
          <w:color w:val="17365D"/>
          <w:szCs w:val="24"/>
        </w:rPr>
        <w:t>euro vērtībā</w:t>
      </w:r>
      <w:r>
        <w:rPr>
          <w:rFonts w:cs="Times New Roman"/>
          <w:color w:val="17365D"/>
          <w:szCs w:val="24"/>
        </w:rPr>
        <w:t>.</w:t>
      </w:r>
    </w:p>
    <w:p w14:paraId="534E0014" w14:textId="1116A58A" w:rsidR="00B3277B" w:rsidRPr="00C87349" w:rsidRDefault="00B3277B" w:rsidP="00FF475C">
      <w:pPr>
        <w:spacing w:after="120" w:line="240" w:lineRule="auto"/>
        <w:ind w:right="255"/>
        <w:jc w:val="both"/>
        <w:rPr>
          <w:rFonts w:cs="Times New Roman"/>
          <w:b/>
          <w:bCs/>
          <w:color w:val="17365D"/>
          <w:szCs w:val="24"/>
        </w:rPr>
      </w:pPr>
    </w:p>
    <w:p w14:paraId="5FA937A1" w14:textId="77777777" w:rsidR="00B3277B" w:rsidRPr="00C87349" w:rsidRDefault="00B3277B" w:rsidP="00B3277B">
      <w:pPr>
        <w:spacing w:after="120" w:line="240" w:lineRule="auto"/>
        <w:ind w:right="255"/>
        <w:jc w:val="both"/>
        <w:rPr>
          <w:rFonts w:cs="Times New Roman"/>
          <w:b/>
          <w:bCs/>
          <w:color w:val="17365D"/>
          <w:szCs w:val="24"/>
        </w:rPr>
      </w:pPr>
    </w:p>
    <w:p w14:paraId="5434E589" w14:textId="77777777" w:rsidR="00B3277B" w:rsidRPr="00C87349" w:rsidRDefault="00B3277B" w:rsidP="004C7DD0">
      <w:pPr>
        <w:spacing w:after="120" w:line="240" w:lineRule="auto"/>
        <w:ind w:right="255"/>
        <w:jc w:val="both"/>
        <w:rPr>
          <w:rFonts w:cs="Times New Roman"/>
          <w:b/>
          <w:bCs/>
          <w:color w:val="17365D"/>
          <w:szCs w:val="24"/>
        </w:rPr>
        <w:sectPr w:rsidR="00B3277B" w:rsidRPr="00C87349" w:rsidSect="00475A10">
          <w:headerReference w:type="default" r:id="rId14"/>
          <w:footerReference w:type="default" r:id="rId15"/>
          <w:footerReference w:type="first" r:id="rId16"/>
          <w:pgSz w:w="11906" w:h="16838" w:code="9"/>
          <w:pgMar w:top="1134" w:right="851" w:bottom="1134" w:left="1701" w:header="567" w:footer="567" w:gutter="0"/>
          <w:pgNumType w:start="14"/>
          <w:cols w:space="708"/>
          <w:titlePg/>
          <w:docGrid w:linePitch="360"/>
        </w:sectPr>
      </w:pPr>
    </w:p>
    <w:p w14:paraId="38EE7028" w14:textId="039D1880" w:rsidR="008911F1" w:rsidRPr="006B0E02" w:rsidRDefault="008911F1" w:rsidP="004F0B4D">
      <w:pPr>
        <w:pStyle w:val="Heading3"/>
        <w:spacing w:line="240" w:lineRule="auto"/>
      </w:pPr>
      <w:bookmarkStart w:id="67" w:name="_GoBack"/>
      <w:bookmarkEnd w:id="67"/>
      <w:r w:rsidRPr="006B0E02">
        <w:lastRenderedPageBreak/>
        <w:t xml:space="preserve">Paskaidrojumi konsolidētā </w:t>
      </w:r>
      <w:r w:rsidRPr="006B0E02" w:rsidDel="00550C21">
        <w:t>pārskat</w:t>
      </w:r>
      <w:r w:rsidRPr="006B0E02">
        <w:t>a</w:t>
      </w:r>
      <w:r w:rsidRPr="006B0E02" w:rsidDel="00550C21">
        <w:t xml:space="preserve"> par darbības finansiālajiem rezultātiem</w:t>
      </w:r>
      <w:r w:rsidRPr="006B0E02">
        <w:t xml:space="preserve"> posteņiem </w:t>
      </w:r>
    </w:p>
    <w:p w14:paraId="6A7447C1" w14:textId="77777777" w:rsidR="00D74371" w:rsidRPr="00974E43" w:rsidRDefault="00D74371" w:rsidP="00D74371">
      <w:pPr>
        <w:pStyle w:val="Heading3"/>
        <w:rPr>
          <w:lang w:eastAsia="lv-LV"/>
        </w:rPr>
      </w:pPr>
      <w:r w:rsidRPr="00974E43">
        <w:rPr>
          <w:lang w:eastAsia="lv-LV"/>
        </w:rPr>
        <w:t xml:space="preserve">Konsolidētā pārskata </w:t>
      </w:r>
      <w:r w:rsidRPr="00974E43" w:rsidDel="00550C21">
        <w:rPr>
          <w:lang w:eastAsia="lv-LV"/>
        </w:rPr>
        <w:t>par darbības finansiālajiem rezultātiem</w:t>
      </w:r>
      <w:r w:rsidRPr="00974E43">
        <w:rPr>
          <w:lang w:eastAsia="lv-LV"/>
        </w:rPr>
        <w:t xml:space="preserve"> ieņēmumi  </w:t>
      </w:r>
    </w:p>
    <w:p w14:paraId="67FFD4F7" w14:textId="08F58EFA" w:rsidR="008911F1" w:rsidRDefault="002B5703" w:rsidP="00744AE4">
      <w:pPr>
        <w:pStyle w:val="Tabulasnosaukums1"/>
        <w:spacing w:before="0" w:line="240" w:lineRule="auto"/>
        <w:rPr>
          <w:rFonts w:eastAsia="Arial Unicode MS" w:cs="Times New Roman"/>
          <w:i/>
          <w:color w:val="17365D"/>
        </w:rPr>
      </w:pPr>
      <w:r>
        <w:rPr>
          <w:rFonts w:eastAsia="Arial Unicode MS" w:cs="Times New Roman"/>
          <w:i/>
          <w:color w:val="17365D"/>
        </w:rPr>
        <w:t>2.1</w:t>
      </w:r>
      <w:r w:rsidR="008911F1" w:rsidRPr="006B0E02">
        <w:rPr>
          <w:rFonts w:eastAsia="Arial Unicode MS" w:cs="Times New Roman"/>
          <w:i/>
          <w:color w:val="17365D"/>
        </w:rPr>
        <w:t>. tabula. Ieņ</w:t>
      </w:r>
      <w:r w:rsidR="008911F1" w:rsidRPr="00A27896">
        <w:rPr>
          <w:rFonts w:eastAsia="Arial Unicode MS" w:cs="Times New Roman"/>
          <w:i/>
          <w:color w:val="17365D"/>
        </w:rPr>
        <w:t>ēmumi (euro)</w:t>
      </w:r>
    </w:p>
    <w:tbl>
      <w:tblPr>
        <w:tblW w:w="9361" w:type="dxa"/>
        <w:tblInd w:w="-5" w:type="dxa"/>
        <w:tblLayout w:type="fixed"/>
        <w:tblLook w:val="04A0" w:firstRow="1" w:lastRow="0" w:firstColumn="1" w:lastColumn="0" w:noHBand="0" w:noVBand="1"/>
      </w:tblPr>
      <w:tblGrid>
        <w:gridCol w:w="98"/>
        <w:gridCol w:w="2709"/>
        <w:gridCol w:w="884"/>
        <w:gridCol w:w="109"/>
        <w:gridCol w:w="1592"/>
        <w:gridCol w:w="1134"/>
        <w:gridCol w:w="425"/>
        <w:gridCol w:w="1418"/>
        <w:gridCol w:w="992"/>
      </w:tblGrid>
      <w:tr w:rsidR="006B0E02" w:rsidRPr="005A0A54" w14:paraId="7E866384" w14:textId="77777777" w:rsidTr="00D95C2C">
        <w:trPr>
          <w:gridBefore w:val="1"/>
          <w:wBefore w:w="98" w:type="dxa"/>
          <w:trHeight w:val="678"/>
          <w:tblHeader/>
        </w:trPr>
        <w:tc>
          <w:tcPr>
            <w:tcW w:w="2709" w:type="dxa"/>
            <w:tcBorders>
              <w:bottom w:val="single" w:sz="4" w:space="0" w:color="012169"/>
            </w:tcBorders>
            <w:shd w:val="clear" w:color="auto" w:fill="B9CDE5"/>
            <w:vAlign w:val="center"/>
            <w:hideMark/>
          </w:tcPr>
          <w:p w14:paraId="0DA79E8C" w14:textId="77777777" w:rsidR="006B0E02" w:rsidRPr="005A0A54" w:rsidRDefault="006B0E02" w:rsidP="006B0E02">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Rādītājs</w:t>
            </w:r>
          </w:p>
        </w:tc>
        <w:tc>
          <w:tcPr>
            <w:tcW w:w="993" w:type="dxa"/>
            <w:gridSpan w:val="2"/>
            <w:tcBorders>
              <w:bottom w:val="single" w:sz="4" w:space="0" w:color="012169"/>
            </w:tcBorders>
            <w:shd w:val="clear" w:color="auto" w:fill="B9CDE5"/>
            <w:vAlign w:val="center"/>
          </w:tcPr>
          <w:p w14:paraId="727A0F50" w14:textId="77777777" w:rsidR="006B0E02" w:rsidRPr="005A0A54" w:rsidRDefault="006B0E02" w:rsidP="006B0E02">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Piezīmes Nr.</w:t>
            </w:r>
          </w:p>
        </w:tc>
        <w:tc>
          <w:tcPr>
            <w:tcW w:w="1592" w:type="dxa"/>
            <w:tcBorders>
              <w:bottom w:val="single" w:sz="4" w:space="0" w:color="012169"/>
            </w:tcBorders>
            <w:shd w:val="clear" w:color="auto" w:fill="B9CDE5"/>
            <w:vAlign w:val="center"/>
          </w:tcPr>
          <w:p w14:paraId="4FAA6194" w14:textId="77777777" w:rsidR="006B0E02" w:rsidRPr="005A0A54" w:rsidRDefault="006B0E02" w:rsidP="006B0E02">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Pārskata periods</w:t>
            </w:r>
          </w:p>
        </w:tc>
        <w:tc>
          <w:tcPr>
            <w:tcW w:w="1559" w:type="dxa"/>
            <w:gridSpan w:val="2"/>
            <w:tcBorders>
              <w:bottom w:val="single" w:sz="4" w:space="0" w:color="012169"/>
            </w:tcBorders>
            <w:shd w:val="clear" w:color="auto" w:fill="B9CDE5"/>
            <w:vAlign w:val="center"/>
          </w:tcPr>
          <w:p w14:paraId="566E4BCC" w14:textId="77777777" w:rsidR="006B0E02" w:rsidRPr="005A0A54" w:rsidRDefault="006B0E02" w:rsidP="006B0E02">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Iepriekšējais pārskata periods</w:t>
            </w:r>
          </w:p>
        </w:tc>
        <w:tc>
          <w:tcPr>
            <w:tcW w:w="1418" w:type="dxa"/>
            <w:tcBorders>
              <w:bottom w:val="single" w:sz="4" w:space="0" w:color="012169"/>
            </w:tcBorders>
            <w:shd w:val="clear" w:color="auto" w:fill="B9CDE5"/>
            <w:vAlign w:val="center"/>
          </w:tcPr>
          <w:p w14:paraId="605EB390" w14:textId="77777777" w:rsidR="006B0E02" w:rsidRPr="005A0A54" w:rsidRDefault="006B0E02" w:rsidP="006B0E02">
            <w:pPr>
              <w:spacing w:after="0" w:line="240" w:lineRule="auto"/>
              <w:ind w:left="-107" w:right="-109"/>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 xml:space="preserve">Palielinājums (+), samazinājums (–) </w:t>
            </w:r>
          </w:p>
          <w:p w14:paraId="2C1B8F14" w14:textId="77777777" w:rsidR="006B0E02" w:rsidRPr="005A0A54" w:rsidRDefault="006B0E02" w:rsidP="006B0E02">
            <w:pPr>
              <w:spacing w:after="0" w:line="240" w:lineRule="auto"/>
              <w:ind w:left="-107" w:right="-109"/>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(1. – 2.)</w:t>
            </w:r>
          </w:p>
        </w:tc>
        <w:tc>
          <w:tcPr>
            <w:tcW w:w="992" w:type="dxa"/>
            <w:tcBorders>
              <w:bottom w:val="single" w:sz="4" w:space="0" w:color="012169"/>
            </w:tcBorders>
            <w:shd w:val="clear" w:color="auto" w:fill="B9CDE5"/>
            <w:vAlign w:val="center"/>
          </w:tcPr>
          <w:p w14:paraId="384CBE18" w14:textId="77777777" w:rsidR="006B0E02" w:rsidRPr="005A0A54" w:rsidRDefault="006B0E02" w:rsidP="006B0E02">
            <w:pPr>
              <w:spacing w:after="0" w:line="240" w:lineRule="auto"/>
              <w:ind w:left="-107" w:right="-109"/>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 xml:space="preserve">Procentuālās izmaiņas </w:t>
            </w:r>
          </w:p>
          <w:p w14:paraId="732571A9" w14:textId="77777777" w:rsidR="006B0E02" w:rsidRPr="005A0A54" w:rsidRDefault="006B0E02" w:rsidP="006B0E02">
            <w:pPr>
              <w:spacing w:after="0" w:line="240" w:lineRule="auto"/>
              <w:ind w:right="-109"/>
              <w:rPr>
                <w:rFonts w:eastAsia="Times New Roman" w:cs="Times New Roman"/>
                <w:b/>
                <w:color w:val="17365D"/>
                <w:sz w:val="16"/>
                <w:szCs w:val="16"/>
                <w:lang w:eastAsia="lv-LV"/>
              </w:rPr>
            </w:pPr>
            <w:r w:rsidRPr="005A0A54">
              <w:rPr>
                <w:rFonts w:eastAsia="Times New Roman" w:cs="Times New Roman"/>
                <w:b/>
                <w:color w:val="17365D"/>
                <w:sz w:val="16"/>
                <w:szCs w:val="16"/>
                <w:lang w:eastAsia="lv-LV"/>
              </w:rPr>
              <w:t>(</w:t>
            </w:r>
            <w:r w:rsidRPr="005A0A54">
              <w:rPr>
                <w:rFonts w:eastAsia="Times New Roman" w:cs="Times New Roman"/>
                <w:b/>
                <w:color w:val="17365D"/>
                <w:sz w:val="18"/>
                <w:szCs w:val="18"/>
                <w:lang w:eastAsia="lv-LV"/>
              </w:rPr>
              <w:t>3./2. * 100)</w:t>
            </w:r>
          </w:p>
        </w:tc>
      </w:tr>
      <w:tr w:rsidR="006B0E02" w:rsidRPr="005A0A54" w14:paraId="1C7ED611" w14:textId="77777777" w:rsidTr="00C87349">
        <w:trPr>
          <w:gridBefore w:val="1"/>
          <w:wBefore w:w="98" w:type="dxa"/>
          <w:trHeight w:val="97"/>
          <w:tblHeader/>
        </w:trPr>
        <w:tc>
          <w:tcPr>
            <w:tcW w:w="2709" w:type="dxa"/>
            <w:tcBorders>
              <w:top w:val="single" w:sz="4" w:space="0" w:color="012169"/>
              <w:bottom w:val="single" w:sz="4" w:space="0" w:color="auto"/>
            </w:tcBorders>
            <w:shd w:val="clear" w:color="auto" w:fill="auto"/>
            <w:vAlign w:val="center"/>
            <w:hideMark/>
          </w:tcPr>
          <w:p w14:paraId="04A4BA5D" w14:textId="77777777" w:rsidR="006B0E02" w:rsidRPr="005A0A54" w:rsidRDefault="006B0E02" w:rsidP="006B0E02">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A</w:t>
            </w:r>
          </w:p>
        </w:tc>
        <w:tc>
          <w:tcPr>
            <w:tcW w:w="993" w:type="dxa"/>
            <w:gridSpan w:val="2"/>
            <w:tcBorders>
              <w:top w:val="single" w:sz="4" w:space="0" w:color="012169"/>
              <w:bottom w:val="single" w:sz="4" w:space="0" w:color="auto"/>
            </w:tcBorders>
            <w:shd w:val="clear" w:color="auto" w:fill="auto"/>
            <w:vAlign w:val="center"/>
            <w:hideMark/>
          </w:tcPr>
          <w:p w14:paraId="3E8E3B8E" w14:textId="77777777" w:rsidR="006B0E02" w:rsidRPr="005A0A54" w:rsidRDefault="006B0E02" w:rsidP="006B0E02">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B</w:t>
            </w:r>
          </w:p>
        </w:tc>
        <w:tc>
          <w:tcPr>
            <w:tcW w:w="1592" w:type="dxa"/>
            <w:tcBorders>
              <w:top w:val="single" w:sz="4" w:space="0" w:color="012169"/>
              <w:bottom w:val="single" w:sz="4" w:space="0" w:color="auto"/>
            </w:tcBorders>
            <w:shd w:val="clear" w:color="auto" w:fill="auto"/>
            <w:vAlign w:val="center"/>
            <w:hideMark/>
          </w:tcPr>
          <w:p w14:paraId="718F9225" w14:textId="77777777" w:rsidR="006B0E02" w:rsidRPr="005A0A54" w:rsidRDefault="006B0E02" w:rsidP="006B0E02">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1</w:t>
            </w:r>
          </w:p>
        </w:tc>
        <w:tc>
          <w:tcPr>
            <w:tcW w:w="1559" w:type="dxa"/>
            <w:gridSpan w:val="2"/>
            <w:tcBorders>
              <w:top w:val="single" w:sz="4" w:space="0" w:color="012169"/>
              <w:bottom w:val="single" w:sz="4" w:space="0" w:color="auto"/>
            </w:tcBorders>
            <w:shd w:val="clear" w:color="auto" w:fill="auto"/>
            <w:vAlign w:val="center"/>
            <w:hideMark/>
          </w:tcPr>
          <w:p w14:paraId="2BE6944C" w14:textId="77777777" w:rsidR="006B0E02" w:rsidRPr="005A0A54" w:rsidRDefault="006B0E02" w:rsidP="006B0E02">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2</w:t>
            </w:r>
          </w:p>
        </w:tc>
        <w:tc>
          <w:tcPr>
            <w:tcW w:w="1418" w:type="dxa"/>
            <w:tcBorders>
              <w:top w:val="single" w:sz="4" w:space="0" w:color="012169"/>
              <w:bottom w:val="single" w:sz="4" w:space="0" w:color="auto"/>
            </w:tcBorders>
            <w:shd w:val="clear" w:color="auto" w:fill="auto"/>
            <w:vAlign w:val="center"/>
            <w:hideMark/>
          </w:tcPr>
          <w:p w14:paraId="47D3EF04" w14:textId="77777777" w:rsidR="006B0E02" w:rsidRPr="005A0A54" w:rsidRDefault="006B0E02" w:rsidP="006B0E02">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3</w:t>
            </w:r>
          </w:p>
        </w:tc>
        <w:tc>
          <w:tcPr>
            <w:tcW w:w="992" w:type="dxa"/>
            <w:tcBorders>
              <w:top w:val="single" w:sz="4" w:space="0" w:color="012169"/>
              <w:bottom w:val="single" w:sz="4" w:space="0" w:color="auto"/>
            </w:tcBorders>
            <w:shd w:val="clear" w:color="auto" w:fill="auto"/>
            <w:vAlign w:val="center"/>
            <w:hideMark/>
          </w:tcPr>
          <w:p w14:paraId="28854A44" w14:textId="77777777" w:rsidR="006B0E02" w:rsidRPr="005A0A54" w:rsidRDefault="006B0E02" w:rsidP="006B0E02">
            <w:pPr>
              <w:spacing w:after="0" w:line="240" w:lineRule="auto"/>
              <w:jc w:val="center"/>
              <w:rPr>
                <w:rFonts w:eastAsia="Times New Roman" w:cs="Times New Roman"/>
                <w:b/>
                <w:color w:val="17365D"/>
                <w:sz w:val="18"/>
                <w:szCs w:val="18"/>
                <w:lang w:eastAsia="lv-LV"/>
              </w:rPr>
            </w:pPr>
            <w:r w:rsidRPr="005A0A54">
              <w:rPr>
                <w:rFonts w:eastAsia="Times New Roman" w:cs="Times New Roman"/>
                <w:b/>
                <w:color w:val="17365D"/>
                <w:sz w:val="18"/>
                <w:szCs w:val="18"/>
                <w:lang w:eastAsia="lv-LV"/>
              </w:rPr>
              <w:t>4</w:t>
            </w:r>
          </w:p>
        </w:tc>
      </w:tr>
      <w:tr w:rsidR="00D95C2C" w:rsidRPr="005A0A54" w14:paraId="6D79D4E0" w14:textId="77777777" w:rsidTr="00C87349">
        <w:trPr>
          <w:gridBefore w:val="1"/>
          <w:wBefore w:w="98" w:type="dxa"/>
          <w:trHeight w:val="262"/>
        </w:trPr>
        <w:tc>
          <w:tcPr>
            <w:tcW w:w="2709" w:type="dxa"/>
            <w:tcBorders>
              <w:top w:val="single" w:sz="4" w:space="0" w:color="auto"/>
              <w:bottom w:val="single" w:sz="4" w:space="0" w:color="auto"/>
            </w:tcBorders>
            <w:shd w:val="clear" w:color="auto" w:fill="auto"/>
            <w:vAlign w:val="center"/>
            <w:hideMark/>
          </w:tcPr>
          <w:p w14:paraId="48E708F7" w14:textId="50227BBC" w:rsidR="00D95C2C" w:rsidRPr="005A0A54" w:rsidRDefault="00D95C2C" w:rsidP="00D95C2C">
            <w:pPr>
              <w:spacing w:after="0" w:line="240" w:lineRule="auto"/>
              <w:rPr>
                <w:rFonts w:eastAsia="Times New Roman" w:cs="Times New Roman"/>
                <w:color w:val="17365D"/>
                <w:sz w:val="18"/>
                <w:szCs w:val="18"/>
                <w:lang w:eastAsia="lv-LV"/>
              </w:rPr>
            </w:pPr>
            <w:r>
              <w:rPr>
                <w:rFonts w:eastAsia="Times New Roman" w:cs="Times New Roman"/>
                <w:b/>
                <w:bCs/>
                <w:color w:val="17365D"/>
                <w:sz w:val="18"/>
                <w:szCs w:val="18"/>
                <w:lang w:eastAsia="lv-LV"/>
              </w:rPr>
              <w:t>Ieņēmumi</w:t>
            </w:r>
          </w:p>
        </w:tc>
        <w:tc>
          <w:tcPr>
            <w:tcW w:w="993" w:type="dxa"/>
            <w:gridSpan w:val="2"/>
            <w:tcBorders>
              <w:top w:val="single" w:sz="4" w:space="0" w:color="auto"/>
              <w:bottom w:val="single" w:sz="4" w:space="0" w:color="012169"/>
            </w:tcBorders>
            <w:shd w:val="clear" w:color="auto" w:fill="auto"/>
            <w:noWrap/>
            <w:vAlign w:val="center"/>
            <w:hideMark/>
          </w:tcPr>
          <w:p w14:paraId="624FCDCF" w14:textId="77777777" w:rsidR="00D95C2C" w:rsidRPr="002716E4" w:rsidRDefault="00D95C2C" w:rsidP="00D95C2C">
            <w:pPr>
              <w:spacing w:after="0" w:line="240" w:lineRule="auto"/>
              <w:jc w:val="center"/>
              <w:rPr>
                <w:rFonts w:eastAsia="Times New Roman" w:cs="Times New Roman"/>
                <w:b/>
                <w:color w:val="17365D"/>
                <w:sz w:val="18"/>
                <w:szCs w:val="18"/>
                <w:lang w:eastAsia="lv-LV"/>
              </w:rPr>
            </w:pPr>
            <w:r w:rsidRPr="002716E4">
              <w:rPr>
                <w:rFonts w:eastAsia="Times New Roman" w:cs="Times New Roman"/>
                <w:b/>
                <w:color w:val="17365D"/>
                <w:sz w:val="18"/>
                <w:szCs w:val="18"/>
                <w:lang w:eastAsia="lv-LV"/>
              </w:rPr>
              <w:t>FD.A1.</w:t>
            </w:r>
          </w:p>
        </w:tc>
        <w:tc>
          <w:tcPr>
            <w:tcW w:w="1592" w:type="dxa"/>
            <w:tcBorders>
              <w:top w:val="single" w:sz="4" w:space="0" w:color="auto"/>
              <w:bottom w:val="single" w:sz="4" w:space="0" w:color="000000"/>
            </w:tcBorders>
            <w:shd w:val="clear" w:color="F2F2F2" w:fill="FFFFFF"/>
            <w:noWrap/>
            <w:vAlign w:val="center"/>
          </w:tcPr>
          <w:p w14:paraId="2A97757D" w14:textId="4F9FE822"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17 471 342 401</w:t>
            </w:r>
          </w:p>
        </w:tc>
        <w:tc>
          <w:tcPr>
            <w:tcW w:w="1559" w:type="dxa"/>
            <w:gridSpan w:val="2"/>
            <w:tcBorders>
              <w:top w:val="single" w:sz="4" w:space="0" w:color="auto"/>
              <w:bottom w:val="single" w:sz="4" w:space="0" w:color="000000"/>
            </w:tcBorders>
            <w:shd w:val="clear" w:color="F2F2F2" w:fill="FFFFFF"/>
            <w:noWrap/>
            <w:vAlign w:val="center"/>
          </w:tcPr>
          <w:p w14:paraId="0F82F67C" w14:textId="4499516B"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16 957 299 707</w:t>
            </w:r>
          </w:p>
        </w:tc>
        <w:tc>
          <w:tcPr>
            <w:tcW w:w="1418" w:type="dxa"/>
            <w:tcBorders>
              <w:top w:val="single" w:sz="4" w:space="0" w:color="auto"/>
              <w:bottom w:val="single" w:sz="4" w:space="0" w:color="auto"/>
            </w:tcBorders>
            <w:shd w:val="clear" w:color="auto" w:fill="auto"/>
            <w:noWrap/>
            <w:vAlign w:val="center"/>
          </w:tcPr>
          <w:p w14:paraId="2E369DC2" w14:textId="48D55362"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514 042 694</w:t>
            </w:r>
          </w:p>
        </w:tc>
        <w:tc>
          <w:tcPr>
            <w:tcW w:w="992" w:type="dxa"/>
            <w:tcBorders>
              <w:top w:val="single" w:sz="4" w:space="0" w:color="auto"/>
              <w:bottom w:val="single" w:sz="4" w:space="0" w:color="auto"/>
            </w:tcBorders>
            <w:shd w:val="clear" w:color="auto" w:fill="auto"/>
            <w:vAlign w:val="center"/>
          </w:tcPr>
          <w:p w14:paraId="004EE37D" w14:textId="236DC56B"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3.03</w:t>
            </w:r>
          </w:p>
        </w:tc>
      </w:tr>
      <w:tr w:rsidR="00D95C2C" w:rsidRPr="005A0A54" w14:paraId="4F8058FF" w14:textId="77777777" w:rsidTr="00C87349">
        <w:trPr>
          <w:gridBefore w:val="1"/>
          <w:wBefore w:w="98" w:type="dxa"/>
          <w:trHeight w:val="64"/>
        </w:trPr>
        <w:tc>
          <w:tcPr>
            <w:tcW w:w="2709" w:type="dxa"/>
            <w:tcBorders>
              <w:top w:val="single" w:sz="4" w:space="0" w:color="auto"/>
              <w:bottom w:val="single" w:sz="4" w:space="0" w:color="auto"/>
            </w:tcBorders>
            <w:shd w:val="clear" w:color="auto" w:fill="auto"/>
            <w:vAlign w:val="center"/>
          </w:tcPr>
          <w:p w14:paraId="75E8847E" w14:textId="77777777" w:rsidR="00D95C2C" w:rsidRPr="005A0A54" w:rsidRDefault="00D95C2C" w:rsidP="00D95C2C">
            <w:pPr>
              <w:spacing w:after="0" w:line="240" w:lineRule="auto"/>
              <w:rPr>
                <w:rFonts w:eastAsia="Times New Roman" w:cs="Times New Roman"/>
                <w:bCs/>
                <w:color w:val="17365D"/>
                <w:sz w:val="18"/>
                <w:szCs w:val="18"/>
                <w:lang w:eastAsia="lv-LV"/>
              </w:rPr>
            </w:pPr>
            <w:r w:rsidRPr="005A0A54">
              <w:rPr>
                <w:rFonts w:eastAsia="Times New Roman" w:cs="Times New Roman"/>
                <w:bCs/>
                <w:color w:val="17365D"/>
                <w:sz w:val="18"/>
                <w:szCs w:val="18"/>
                <w:lang w:eastAsia="lv-LV"/>
              </w:rPr>
              <w:t>Nodokļu ieņēmumi</w:t>
            </w:r>
          </w:p>
        </w:tc>
        <w:tc>
          <w:tcPr>
            <w:tcW w:w="993" w:type="dxa"/>
            <w:gridSpan w:val="2"/>
            <w:tcBorders>
              <w:top w:val="single" w:sz="4" w:space="0" w:color="012169"/>
              <w:bottom w:val="single" w:sz="4" w:space="0" w:color="012169"/>
            </w:tcBorders>
            <w:shd w:val="clear" w:color="auto" w:fill="auto"/>
            <w:noWrap/>
            <w:vAlign w:val="center"/>
          </w:tcPr>
          <w:p w14:paraId="742FCC62" w14:textId="77777777" w:rsidR="00D95C2C" w:rsidRPr="002716E4" w:rsidRDefault="00D95C2C" w:rsidP="00D95C2C">
            <w:pPr>
              <w:spacing w:after="0" w:line="240" w:lineRule="auto"/>
              <w:jc w:val="center"/>
              <w:rPr>
                <w:rFonts w:eastAsia="Times New Roman" w:cs="Times New Roman"/>
                <w:color w:val="17365D"/>
                <w:sz w:val="18"/>
                <w:szCs w:val="18"/>
                <w:lang w:eastAsia="lv-LV"/>
              </w:rPr>
            </w:pPr>
          </w:p>
        </w:tc>
        <w:tc>
          <w:tcPr>
            <w:tcW w:w="1592" w:type="dxa"/>
            <w:tcBorders>
              <w:top w:val="nil"/>
              <w:bottom w:val="single" w:sz="4" w:space="0" w:color="000000"/>
            </w:tcBorders>
            <w:shd w:val="clear" w:color="F2F2F2" w:fill="FFFFFF"/>
            <w:noWrap/>
            <w:vAlign w:val="center"/>
          </w:tcPr>
          <w:p w14:paraId="68C0BA1E" w14:textId="1015D55E"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12 630 112 242</w:t>
            </w:r>
          </w:p>
        </w:tc>
        <w:tc>
          <w:tcPr>
            <w:tcW w:w="1559" w:type="dxa"/>
            <w:gridSpan w:val="2"/>
            <w:tcBorders>
              <w:top w:val="nil"/>
              <w:bottom w:val="single" w:sz="4" w:space="0" w:color="000000"/>
            </w:tcBorders>
            <w:shd w:val="clear" w:color="F2F2F2" w:fill="FFFFFF"/>
            <w:noWrap/>
            <w:vAlign w:val="center"/>
          </w:tcPr>
          <w:p w14:paraId="44B10E1B" w14:textId="30A736EA"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11 689 499 898</w:t>
            </w:r>
          </w:p>
        </w:tc>
        <w:tc>
          <w:tcPr>
            <w:tcW w:w="1418" w:type="dxa"/>
            <w:tcBorders>
              <w:top w:val="nil"/>
              <w:bottom w:val="single" w:sz="4" w:space="0" w:color="auto"/>
            </w:tcBorders>
            <w:shd w:val="clear" w:color="auto" w:fill="auto"/>
            <w:noWrap/>
            <w:vAlign w:val="center"/>
          </w:tcPr>
          <w:p w14:paraId="5776E94A" w14:textId="19F27897"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940 612 344</w:t>
            </w:r>
          </w:p>
        </w:tc>
        <w:tc>
          <w:tcPr>
            <w:tcW w:w="992" w:type="dxa"/>
            <w:tcBorders>
              <w:top w:val="nil"/>
              <w:bottom w:val="single" w:sz="4" w:space="0" w:color="auto"/>
            </w:tcBorders>
            <w:shd w:val="clear" w:color="auto" w:fill="auto"/>
            <w:vAlign w:val="center"/>
          </w:tcPr>
          <w:p w14:paraId="07E0A0AA" w14:textId="218171FB"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8.05</w:t>
            </w:r>
          </w:p>
        </w:tc>
      </w:tr>
      <w:tr w:rsidR="00D95C2C" w:rsidRPr="005A0A54" w14:paraId="39E91441" w14:textId="77777777" w:rsidTr="00C87349">
        <w:trPr>
          <w:gridBefore w:val="1"/>
          <w:wBefore w:w="98" w:type="dxa"/>
          <w:trHeight w:val="64"/>
        </w:trPr>
        <w:tc>
          <w:tcPr>
            <w:tcW w:w="2709" w:type="dxa"/>
            <w:tcBorders>
              <w:top w:val="single" w:sz="4" w:space="0" w:color="auto"/>
              <w:bottom w:val="single" w:sz="4" w:space="0" w:color="auto"/>
            </w:tcBorders>
            <w:shd w:val="clear" w:color="auto" w:fill="auto"/>
            <w:vAlign w:val="center"/>
          </w:tcPr>
          <w:p w14:paraId="09E3142B" w14:textId="77777777" w:rsidR="00D95C2C" w:rsidRPr="005A0A54" w:rsidRDefault="00D95C2C" w:rsidP="00D95C2C">
            <w:pPr>
              <w:spacing w:after="0" w:line="240" w:lineRule="auto"/>
              <w:rPr>
                <w:rFonts w:eastAsia="Times New Roman" w:cs="Times New Roman"/>
                <w:bCs/>
                <w:color w:val="17365D"/>
                <w:sz w:val="18"/>
                <w:szCs w:val="18"/>
                <w:lang w:eastAsia="lv-LV"/>
              </w:rPr>
            </w:pPr>
            <w:r w:rsidRPr="005A0A54">
              <w:rPr>
                <w:rFonts w:eastAsia="Times New Roman" w:cs="Times New Roman"/>
                <w:bCs/>
                <w:color w:val="17365D"/>
                <w:sz w:val="18"/>
                <w:szCs w:val="18"/>
                <w:lang w:eastAsia="lv-LV"/>
              </w:rPr>
              <w:t>Nenodokļu ieņēmumi</w:t>
            </w:r>
          </w:p>
        </w:tc>
        <w:tc>
          <w:tcPr>
            <w:tcW w:w="993" w:type="dxa"/>
            <w:gridSpan w:val="2"/>
            <w:tcBorders>
              <w:top w:val="single" w:sz="4" w:space="0" w:color="012169"/>
              <w:bottom w:val="single" w:sz="4" w:space="0" w:color="012169"/>
            </w:tcBorders>
            <w:shd w:val="clear" w:color="auto" w:fill="auto"/>
            <w:noWrap/>
            <w:vAlign w:val="center"/>
          </w:tcPr>
          <w:p w14:paraId="67896DD1" w14:textId="77777777" w:rsidR="00D95C2C" w:rsidRPr="002716E4" w:rsidRDefault="00D95C2C" w:rsidP="00D95C2C">
            <w:pPr>
              <w:spacing w:after="0" w:line="240" w:lineRule="auto"/>
              <w:jc w:val="center"/>
              <w:rPr>
                <w:rFonts w:eastAsia="Times New Roman" w:cs="Times New Roman"/>
                <w:color w:val="17365D"/>
                <w:sz w:val="18"/>
                <w:szCs w:val="18"/>
                <w:lang w:eastAsia="lv-LV"/>
              </w:rPr>
            </w:pPr>
            <w:r w:rsidRPr="002716E4">
              <w:rPr>
                <w:rFonts w:eastAsia="Times New Roman" w:cs="Times New Roman"/>
                <w:color w:val="17365D"/>
                <w:sz w:val="18"/>
                <w:szCs w:val="18"/>
                <w:lang w:eastAsia="lv-LV"/>
              </w:rPr>
              <w:t>FD.A12.</w:t>
            </w:r>
          </w:p>
        </w:tc>
        <w:tc>
          <w:tcPr>
            <w:tcW w:w="1592" w:type="dxa"/>
            <w:tcBorders>
              <w:top w:val="nil"/>
              <w:bottom w:val="single" w:sz="4" w:space="0" w:color="000000"/>
            </w:tcBorders>
            <w:shd w:val="clear" w:color="F2F2F2" w:fill="FFFFFF"/>
            <w:noWrap/>
            <w:vAlign w:val="center"/>
          </w:tcPr>
          <w:p w14:paraId="1E46CD9C" w14:textId="7DFE73D6"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904 398 448</w:t>
            </w:r>
          </w:p>
        </w:tc>
        <w:tc>
          <w:tcPr>
            <w:tcW w:w="1559" w:type="dxa"/>
            <w:gridSpan w:val="2"/>
            <w:tcBorders>
              <w:top w:val="nil"/>
              <w:bottom w:val="single" w:sz="4" w:space="0" w:color="000000"/>
            </w:tcBorders>
            <w:shd w:val="clear" w:color="F2F2F2" w:fill="FFFFFF"/>
            <w:noWrap/>
            <w:vAlign w:val="center"/>
          </w:tcPr>
          <w:p w14:paraId="1D4A959E" w14:textId="25AEC7CA"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817 652 890</w:t>
            </w:r>
          </w:p>
        </w:tc>
        <w:tc>
          <w:tcPr>
            <w:tcW w:w="1418" w:type="dxa"/>
            <w:tcBorders>
              <w:top w:val="nil"/>
              <w:bottom w:val="single" w:sz="4" w:space="0" w:color="auto"/>
            </w:tcBorders>
            <w:shd w:val="clear" w:color="auto" w:fill="auto"/>
            <w:noWrap/>
            <w:vAlign w:val="center"/>
          </w:tcPr>
          <w:p w14:paraId="515A8DDD" w14:textId="3D334B5A"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86 745 558</w:t>
            </w:r>
          </w:p>
        </w:tc>
        <w:tc>
          <w:tcPr>
            <w:tcW w:w="992" w:type="dxa"/>
            <w:tcBorders>
              <w:top w:val="nil"/>
              <w:bottom w:val="single" w:sz="4" w:space="0" w:color="auto"/>
            </w:tcBorders>
            <w:shd w:val="clear" w:color="auto" w:fill="auto"/>
            <w:vAlign w:val="center"/>
          </w:tcPr>
          <w:p w14:paraId="1A012B5B" w14:textId="3CD39DAD"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10.61</w:t>
            </w:r>
          </w:p>
        </w:tc>
      </w:tr>
      <w:tr w:rsidR="00D95C2C" w:rsidRPr="005A0A54" w14:paraId="6A6C8B1D" w14:textId="77777777" w:rsidTr="00C87349">
        <w:trPr>
          <w:gridBefore w:val="1"/>
          <w:wBefore w:w="98" w:type="dxa"/>
          <w:trHeight w:val="382"/>
        </w:trPr>
        <w:tc>
          <w:tcPr>
            <w:tcW w:w="2709" w:type="dxa"/>
            <w:tcBorders>
              <w:top w:val="single" w:sz="4" w:space="0" w:color="auto"/>
              <w:bottom w:val="single" w:sz="4" w:space="0" w:color="auto"/>
            </w:tcBorders>
            <w:shd w:val="clear" w:color="auto" w:fill="auto"/>
            <w:vAlign w:val="center"/>
          </w:tcPr>
          <w:p w14:paraId="3DBAE56B" w14:textId="77777777" w:rsidR="00D95C2C" w:rsidRPr="005A0A54" w:rsidRDefault="00D95C2C" w:rsidP="00D95C2C">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Maksas pakalpojumi un citi pašu ieņēmumi</w:t>
            </w:r>
          </w:p>
        </w:tc>
        <w:tc>
          <w:tcPr>
            <w:tcW w:w="993" w:type="dxa"/>
            <w:gridSpan w:val="2"/>
            <w:tcBorders>
              <w:top w:val="single" w:sz="4" w:space="0" w:color="012169"/>
              <w:bottom w:val="single" w:sz="4" w:space="0" w:color="012169"/>
            </w:tcBorders>
            <w:shd w:val="clear" w:color="auto" w:fill="auto"/>
            <w:noWrap/>
            <w:vAlign w:val="center"/>
          </w:tcPr>
          <w:p w14:paraId="4600119D" w14:textId="77777777" w:rsidR="00D95C2C" w:rsidRPr="002716E4" w:rsidRDefault="00D95C2C" w:rsidP="00D95C2C">
            <w:pPr>
              <w:spacing w:after="0" w:line="240" w:lineRule="auto"/>
              <w:jc w:val="center"/>
              <w:rPr>
                <w:rFonts w:eastAsia="Times New Roman" w:cs="Times New Roman"/>
                <w:color w:val="17365D"/>
                <w:sz w:val="18"/>
                <w:szCs w:val="18"/>
                <w:lang w:eastAsia="lv-LV"/>
              </w:rPr>
            </w:pPr>
          </w:p>
        </w:tc>
        <w:tc>
          <w:tcPr>
            <w:tcW w:w="1592" w:type="dxa"/>
            <w:tcBorders>
              <w:top w:val="nil"/>
              <w:bottom w:val="single" w:sz="4" w:space="0" w:color="000000"/>
            </w:tcBorders>
            <w:shd w:val="clear" w:color="F2F2F2" w:fill="FFFFFF"/>
            <w:noWrap/>
            <w:vAlign w:val="center"/>
          </w:tcPr>
          <w:p w14:paraId="0BB0826A" w14:textId="1D54C340"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511 054 463</w:t>
            </w:r>
          </w:p>
        </w:tc>
        <w:tc>
          <w:tcPr>
            <w:tcW w:w="1559" w:type="dxa"/>
            <w:gridSpan w:val="2"/>
            <w:tcBorders>
              <w:top w:val="nil"/>
              <w:bottom w:val="single" w:sz="4" w:space="0" w:color="000000"/>
            </w:tcBorders>
            <w:shd w:val="clear" w:color="F2F2F2" w:fill="FFFFFF"/>
            <w:noWrap/>
            <w:vAlign w:val="center"/>
          </w:tcPr>
          <w:p w14:paraId="0D87CFD6" w14:textId="57D33A14"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453 731 611</w:t>
            </w:r>
          </w:p>
        </w:tc>
        <w:tc>
          <w:tcPr>
            <w:tcW w:w="1418" w:type="dxa"/>
            <w:tcBorders>
              <w:top w:val="nil"/>
              <w:bottom w:val="single" w:sz="4" w:space="0" w:color="auto"/>
            </w:tcBorders>
            <w:shd w:val="clear" w:color="auto" w:fill="auto"/>
            <w:noWrap/>
            <w:vAlign w:val="center"/>
          </w:tcPr>
          <w:p w14:paraId="2E3D087B" w14:textId="5D67E436"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57 322 852</w:t>
            </w:r>
          </w:p>
        </w:tc>
        <w:tc>
          <w:tcPr>
            <w:tcW w:w="992" w:type="dxa"/>
            <w:tcBorders>
              <w:top w:val="nil"/>
              <w:bottom w:val="single" w:sz="4" w:space="0" w:color="auto"/>
            </w:tcBorders>
            <w:shd w:val="clear" w:color="auto" w:fill="auto"/>
            <w:vAlign w:val="center"/>
          </w:tcPr>
          <w:p w14:paraId="767B11F3" w14:textId="33D60622"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12.63</w:t>
            </w:r>
          </w:p>
        </w:tc>
      </w:tr>
      <w:tr w:rsidR="00D95C2C" w:rsidRPr="005A0A54" w14:paraId="1D269B7F" w14:textId="77777777" w:rsidTr="00C87349">
        <w:trPr>
          <w:gridBefore w:val="1"/>
          <w:wBefore w:w="98" w:type="dxa"/>
          <w:trHeight w:val="64"/>
        </w:trPr>
        <w:tc>
          <w:tcPr>
            <w:tcW w:w="2709" w:type="dxa"/>
            <w:tcBorders>
              <w:top w:val="single" w:sz="4" w:space="0" w:color="auto"/>
              <w:bottom w:val="single" w:sz="4" w:space="0" w:color="auto"/>
            </w:tcBorders>
            <w:shd w:val="clear" w:color="auto" w:fill="auto"/>
            <w:vAlign w:val="center"/>
          </w:tcPr>
          <w:p w14:paraId="6121D0D8" w14:textId="77777777" w:rsidR="00D95C2C" w:rsidRPr="005A0A54" w:rsidRDefault="00D95C2C" w:rsidP="00D95C2C">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Ārvalstu finanšu palīdzība</w:t>
            </w:r>
          </w:p>
        </w:tc>
        <w:tc>
          <w:tcPr>
            <w:tcW w:w="993" w:type="dxa"/>
            <w:gridSpan w:val="2"/>
            <w:tcBorders>
              <w:top w:val="single" w:sz="4" w:space="0" w:color="012169"/>
              <w:bottom w:val="single" w:sz="4" w:space="0" w:color="012169"/>
            </w:tcBorders>
            <w:shd w:val="clear" w:color="auto" w:fill="auto"/>
            <w:noWrap/>
            <w:vAlign w:val="center"/>
          </w:tcPr>
          <w:p w14:paraId="6955CB3A" w14:textId="77777777" w:rsidR="00D95C2C" w:rsidRPr="002716E4" w:rsidRDefault="00D95C2C" w:rsidP="00D95C2C">
            <w:pPr>
              <w:spacing w:after="0" w:line="240" w:lineRule="auto"/>
              <w:jc w:val="center"/>
              <w:rPr>
                <w:rFonts w:eastAsia="Times New Roman" w:cs="Times New Roman"/>
                <w:color w:val="17365D"/>
                <w:sz w:val="18"/>
                <w:szCs w:val="18"/>
                <w:lang w:eastAsia="lv-LV"/>
              </w:rPr>
            </w:pPr>
          </w:p>
        </w:tc>
        <w:tc>
          <w:tcPr>
            <w:tcW w:w="1592" w:type="dxa"/>
            <w:tcBorders>
              <w:top w:val="nil"/>
              <w:bottom w:val="single" w:sz="4" w:space="0" w:color="000000"/>
            </w:tcBorders>
            <w:shd w:val="clear" w:color="F2F2F2" w:fill="FFFFFF"/>
            <w:noWrap/>
            <w:vAlign w:val="center"/>
          </w:tcPr>
          <w:p w14:paraId="1B626B54" w14:textId="34B6188D"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1 416 718 656</w:t>
            </w:r>
          </w:p>
        </w:tc>
        <w:tc>
          <w:tcPr>
            <w:tcW w:w="1559" w:type="dxa"/>
            <w:gridSpan w:val="2"/>
            <w:tcBorders>
              <w:top w:val="nil"/>
              <w:bottom w:val="single" w:sz="4" w:space="0" w:color="000000"/>
            </w:tcBorders>
            <w:shd w:val="clear" w:color="F2F2F2" w:fill="FFFFFF"/>
            <w:noWrap/>
            <w:vAlign w:val="center"/>
          </w:tcPr>
          <w:p w14:paraId="29BC47A4" w14:textId="48D896AA"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1 410 156 690</w:t>
            </w:r>
          </w:p>
        </w:tc>
        <w:tc>
          <w:tcPr>
            <w:tcW w:w="1418" w:type="dxa"/>
            <w:tcBorders>
              <w:top w:val="nil"/>
              <w:bottom w:val="single" w:sz="4" w:space="0" w:color="auto"/>
            </w:tcBorders>
            <w:shd w:val="clear" w:color="auto" w:fill="auto"/>
            <w:noWrap/>
            <w:vAlign w:val="center"/>
          </w:tcPr>
          <w:p w14:paraId="3715150D" w14:textId="2ADD2FE0"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6 561 966</w:t>
            </w:r>
          </w:p>
        </w:tc>
        <w:tc>
          <w:tcPr>
            <w:tcW w:w="992" w:type="dxa"/>
            <w:tcBorders>
              <w:top w:val="nil"/>
              <w:bottom w:val="single" w:sz="4" w:space="0" w:color="auto"/>
            </w:tcBorders>
            <w:shd w:val="clear" w:color="auto" w:fill="auto"/>
            <w:vAlign w:val="center"/>
          </w:tcPr>
          <w:p w14:paraId="3ED56F96" w14:textId="632B15E9"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0.47</w:t>
            </w:r>
          </w:p>
        </w:tc>
      </w:tr>
      <w:tr w:rsidR="00D95C2C" w:rsidRPr="005A0A54" w14:paraId="02C2F38E" w14:textId="77777777" w:rsidTr="00C87349">
        <w:trPr>
          <w:gridBefore w:val="1"/>
          <w:wBefore w:w="98" w:type="dxa"/>
          <w:trHeight w:val="64"/>
        </w:trPr>
        <w:tc>
          <w:tcPr>
            <w:tcW w:w="2709" w:type="dxa"/>
            <w:tcBorders>
              <w:top w:val="single" w:sz="4" w:space="0" w:color="auto"/>
              <w:bottom w:val="single" w:sz="4" w:space="0" w:color="012169"/>
            </w:tcBorders>
            <w:shd w:val="clear" w:color="auto" w:fill="auto"/>
            <w:vAlign w:val="center"/>
          </w:tcPr>
          <w:p w14:paraId="6D280DFB" w14:textId="77777777" w:rsidR="00D95C2C" w:rsidRPr="005A0A54" w:rsidRDefault="00D95C2C" w:rsidP="00D95C2C">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Ziedojumi un dāvinājumi</w:t>
            </w:r>
          </w:p>
        </w:tc>
        <w:tc>
          <w:tcPr>
            <w:tcW w:w="993" w:type="dxa"/>
            <w:gridSpan w:val="2"/>
            <w:tcBorders>
              <w:top w:val="single" w:sz="4" w:space="0" w:color="012169"/>
              <w:bottom w:val="single" w:sz="4" w:space="0" w:color="012169"/>
            </w:tcBorders>
            <w:shd w:val="clear" w:color="auto" w:fill="auto"/>
            <w:noWrap/>
            <w:vAlign w:val="center"/>
          </w:tcPr>
          <w:p w14:paraId="34AD54E3" w14:textId="77777777" w:rsidR="00D95C2C" w:rsidRPr="002716E4" w:rsidRDefault="00D95C2C" w:rsidP="00D95C2C">
            <w:pPr>
              <w:spacing w:after="0" w:line="240" w:lineRule="auto"/>
              <w:jc w:val="center"/>
              <w:rPr>
                <w:rFonts w:eastAsia="Times New Roman" w:cs="Times New Roman"/>
                <w:color w:val="17365D"/>
                <w:sz w:val="18"/>
                <w:szCs w:val="18"/>
                <w:lang w:eastAsia="lv-LV"/>
              </w:rPr>
            </w:pPr>
          </w:p>
        </w:tc>
        <w:tc>
          <w:tcPr>
            <w:tcW w:w="1592" w:type="dxa"/>
            <w:tcBorders>
              <w:top w:val="nil"/>
              <w:bottom w:val="single" w:sz="4" w:space="0" w:color="000000"/>
            </w:tcBorders>
            <w:shd w:val="clear" w:color="F2F2F2" w:fill="FFFFFF"/>
            <w:noWrap/>
            <w:vAlign w:val="center"/>
          </w:tcPr>
          <w:p w14:paraId="789E684C" w14:textId="06F46D48"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55 338 680</w:t>
            </w:r>
          </w:p>
        </w:tc>
        <w:tc>
          <w:tcPr>
            <w:tcW w:w="1559" w:type="dxa"/>
            <w:gridSpan w:val="2"/>
            <w:tcBorders>
              <w:top w:val="nil"/>
              <w:bottom w:val="single" w:sz="4" w:space="0" w:color="000000"/>
            </w:tcBorders>
            <w:shd w:val="clear" w:color="F2F2F2" w:fill="FFFFFF"/>
            <w:noWrap/>
            <w:vAlign w:val="center"/>
          </w:tcPr>
          <w:p w14:paraId="701411A9" w14:textId="6A112145"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22 170 906</w:t>
            </w:r>
          </w:p>
        </w:tc>
        <w:tc>
          <w:tcPr>
            <w:tcW w:w="1418" w:type="dxa"/>
            <w:tcBorders>
              <w:top w:val="nil"/>
              <w:bottom w:val="single" w:sz="4" w:space="0" w:color="auto"/>
            </w:tcBorders>
            <w:shd w:val="clear" w:color="auto" w:fill="auto"/>
            <w:noWrap/>
            <w:vAlign w:val="center"/>
          </w:tcPr>
          <w:p w14:paraId="4CF66985" w14:textId="2E364429"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33 167 774</w:t>
            </w:r>
          </w:p>
        </w:tc>
        <w:tc>
          <w:tcPr>
            <w:tcW w:w="992" w:type="dxa"/>
            <w:tcBorders>
              <w:top w:val="nil"/>
              <w:bottom w:val="single" w:sz="4" w:space="0" w:color="auto"/>
            </w:tcBorders>
            <w:shd w:val="clear" w:color="auto" w:fill="auto"/>
            <w:vAlign w:val="center"/>
          </w:tcPr>
          <w:p w14:paraId="243AE72A" w14:textId="560BB98E"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149.60</w:t>
            </w:r>
          </w:p>
        </w:tc>
      </w:tr>
      <w:tr w:rsidR="00D95C2C" w:rsidRPr="005A0A54" w14:paraId="3DE5680A" w14:textId="77777777" w:rsidTr="00C87349">
        <w:trPr>
          <w:gridBefore w:val="1"/>
          <w:wBefore w:w="98" w:type="dxa"/>
          <w:trHeight w:val="64"/>
        </w:trPr>
        <w:tc>
          <w:tcPr>
            <w:tcW w:w="2709" w:type="dxa"/>
            <w:tcBorders>
              <w:top w:val="single" w:sz="4" w:space="0" w:color="012169"/>
              <w:bottom w:val="single" w:sz="4" w:space="0" w:color="012169"/>
            </w:tcBorders>
            <w:shd w:val="clear" w:color="auto" w:fill="auto"/>
            <w:vAlign w:val="center"/>
          </w:tcPr>
          <w:p w14:paraId="0C063208" w14:textId="77777777" w:rsidR="00D95C2C" w:rsidRPr="005A0A54" w:rsidRDefault="00D95C2C" w:rsidP="00D95C2C">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Procentu ieņēmumi</w:t>
            </w:r>
          </w:p>
        </w:tc>
        <w:tc>
          <w:tcPr>
            <w:tcW w:w="993" w:type="dxa"/>
            <w:gridSpan w:val="2"/>
            <w:tcBorders>
              <w:top w:val="single" w:sz="4" w:space="0" w:color="012169"/>
              <w:bottom w:val="single" w:sz="4" w:space="0" w:color="012169"/>
            </w:tcBorders>
            <w:shd w:val="clear" w:color="auto" w:fill="auto"/>
            <w:noWrap/>
            <w:vAlign w:val="center"/>
          </w:tcPr>
          <w:p w14:paraId="64BA0D29" w14:textId="77777777" w:rsidR="00D95C2C" w:rsidRPr="002716E4" w:rsidRDefault="00D95C2C" w:rsidP="00D95C2C">
            <w:pPr>
              <w:spacing w:after="0" w:line="240" w:lineRule="auto"/>
              <w:jc w:val="center"/>
              <w:rPr>
                <w:rFonts w:eastAsia="Times New Roman" w:cs="Times New Roman"/>
                <w:color w:val="17365D"/>
                <w:sz w:val="18"/>
                <w:szCs w:val="18"/>
                <w:lang w:eastAsia="lv-LV"/>
              </w:rPr>
            </w:pPr>
            <w:r w:rsidRPr="00C52C70">
              <w:rPr>
                <w:rFonts w:eastAsia="Times New Roman" w:cs="Times New Roman"/>
                <w:color w:val="17365D"/>
                <w:sz w:val="18"/>
                <w:szCs w:val="18"/>
                <w:lang w:eastAsia="lv-LV"/>
              </w:rPr>
              <w:t>FD.A1</w:t>
            </w:r>
            <w:r>
              <w:rPr>
                <w:rFonts w:eastAsia="Times New Roman" w:cs="Times New Roman"/>
                <w:color w:val="17365D"/>
                <w:sz w:val="18"/>
                <w:szCs w:val="18"/>
                <w:lang w:eastAsia="lv-LV"/>
              </w:rPr>
              <w:t>8</w:t>
            </w:r>
          </w:p>
        </w:tc>
        <w:tc>
          <w:tcPr>
            <w:tcW w:w="1592" w:type="dxa"/>
            <w:tcBorders>
              <w:top w:val="nil"/>
              <w:bottom w:val="single" w:sz="4" w:space="0" w:color="000000"/>
            </w:tcBorders>
            <w:shd w:val="clear" w:color="F2F2F2" w:fill="FFFFFF"/>
            <w:noWrap/>
            <w:vAlign w:val="center"/>
          </w:tcPr>
          <w:p w14:paraId="5097CDD4" w14:textId="1ADA6D81"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173 777 043</w:t>
            </w:r>
          </w:p>
        </w:tc>
        <w:tc>
          <w:tcPr>
            <w:tcW w:w="1559" w:type="dxa"/>
            <w:gridSpan w:val="2"/>
            <w:tcBorders>
              <w:top w:val="nil"/>
              <w:bottom w:val="single" w:sz="4" w:space="0" w:color="000000"/>
            </w:tcBorders>
            <w:shd w:val="clear" w:color="F2F2F2" w:fill="FFFFFF"/>
            <w:noWrap/>
            <w:vAlign w:val="center"/>
          </w:tcPr>
          <w:p w14:paraId="6AC016CE" w14:textId="48A7BD70"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62 438 548</w:t>
            </w:r>
          </w:p>
        </w:tc>
        <w:tc>
          <w:tcPr>
            <w:tcW w:w="1418" w:type="dxa"/>
            <w:tcBorders>
              <w:top w:val="nil"/>
              <w:bottom w:val="single" w:sz="4" w:space="0" w:color="auto"/>
            </w:tcBorders>
            <w:shd w:val="clear" w:color="auto" w:fill="auto"/>
            <w:noWrap/>
            <w:vAlign w:val="center"/>
          </w:tcPr>
          <w:p w14:paraId="6637C00A" w14:textId="661B47C7"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111 338 495</w:t>
            </w:r>
          </w:p>
        </w:tc>
        <w:tc>
          <w:tcPr>
            <w:tcW w:w="992" w:type="dxa"/>
            <w:tcBorders>
              <w:top w:val="nil"/>
              <w:bottom w:val="single" w:sz="4" w:space="0" w:color="auto"/>
            </w:tcBorders>
            <w:shd w:val="clear" w:color="auto" w:fill="auto"/>
            <w:vAlign w:val="center"/>
          </w:tcPr>
          <w:p w14:paraId="03CF2C5C" w14:textId="1AFDD657"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178.32</w:t>
            </w:r>
          </w:p>
        </w:tc>
      </w:tr>
      <w:tr w:rsidR="00D95C2C" w:rsidRPr="005A0A54" w14:paraId="0E4B1694" w14:textId="77777777" w:rsidTr="00C87349">
        <w:trPr>
          <w:gridBefore w:val="1"/>
          <w:wBefore w:w="98" w:type="dxa"/>
          <w:trHeight w:val="64"/>
        </w:trPr>
        <w:tc>
          <w:tcPr>
            <w:tcW w:w="2709" w:type="dxa"/>
            <w:tcBorders>
              <w:top w:val="single" w:sz="4" w:space="0" w:color="012169"/>
              <w:bottom w:val="single" w:sz="4" w:space="0" w:color="012169"/>
            </w:tcBorders>
            <w:shd w:val="clear" w:color="auto" w:fill="auto"/>
            <w:vAlign w:val="center"/>
          </w:tcPr>
          <w:p w14:paraId="24D51E54" w14:textId="77777777" w:rsidR="00D95C2C" w:rsidRPr="005A0A54" w:rsidRDefault="00D95C2C" w:rsidP="00D95C2C">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Pārējie ieņēmumi, kas nav klasificēti A11 līdz A18 rindā</w:t>
            </w:r>
          </w:p>
        </w:tc>
        <w:tc>
          <w:tcPr>
            <w:tcW w:w="993" w:type="dxa"/>
            <w:gridSpan w:val="2"/>
            <w:tcBorders>
              <w:top w:val="single" w:sz="4" w:space="0" w:color="012169"/>
              <w:bottom w:val="single" w:sz="4" w:space="0" w:color="012169"/>
            </w:tcBorders>
            <w:shd w:val="clear" w:color="auto" w:fill="auto"/>
            <w:noWrap/>
            <w:vAlign w:val="center"/>
          </w:tcPr>
          <w:p w14:paraId="1EF93610" w14:textId="77777777" w:rsidR="00D95C2C" w:rsidRPr="002716E4" w:rsidRDefault="00D95C2C" w:rsidP="00D95C2C">
            <w:pPr>
              <w:spacing w:after="0" w:line="240" w:lineRule="auto"/>
              <w:jc w:val="center"/>
              <w:rPr>
                <w:rFonts w:eastAsia="Times New Roman" w:cs="Times New Roman"/>
                <w:color w:val="17365D"/>
                <w:sz w:val="18"/>
                <w:szCs w:val="18"/>
                <w:lang w:eastAsia="lv-LV"/>
              </w:rPr>
            </w:pPr>
            <w:r w:rsidRPr="002716E4">
              <w:rPr>
                <w:rFonts w:eastAsia="Times New Roman" w:cs="Times New Roman"/>
                <w:color w:val="17365D"/>
                <w:sz w:val="18"/>
                <w:szCs w:val="18"/>
                <w:lang w:eastAsia="lv-LV"/>
              </w:rPr>
              <w:t>FD.A19</w:t>
            </w:r>
          </w:p>
        </w:tc>
        <w:tc>
          <w:tcPr>
            <w:tcW w:w="1592" w:type="dxa"/>
            <w:tcBorders>
              <w:top w:val="nil"/>
              <w:bottom w:val="single" w:sz="4" w:space="0" w:color="auto"/>
            </w:tcBorders>
            <w:shd w:val="clear" w:color="F2F2F2" w:fill="FFFFFF"/>
            <w:noWrap/>
            <w:vAlign w:val="center"/>
          </w:tcPr>
          <w:p w14:paraId="599BCA78" w14:textId="1714831A"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1 779 942 869</w:t>
            </w:r>
          </w:p>
        </w:tc>
        <w:tc>
          <w:tcPr>
            <w:tcW w:w="1559" w:type="dxa"/>
            <w:gridSpan w:val="2"/>
            <w:tcBorders>
              <w:top w:val="nil"/>
              <w:bottom w:val="single" w:sz="4" w:space="0" w:color="auto"/>
            </w:tcBorders>
            <w:shd w:val="clear" w:color="F2F2F2" w:fill="FFFFFF"/>
            <w:noWrap/>
            <w:vAlign w:val="center"/>
          </w:tcPr>
          <w:p w14:paraId="48B34272" w14:textId="08F63877" w:rsidR="00D95C2C" w:rsidRPr="00942883" w:rsidRDefault="00D95C2C" w:rsidP="00D95C2C">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2 501 649 164</w:t>
            </w:r>
          </w:p>
        </w:tc>
        <w:tc>
          <w:tcPr>
            <w:tcW w:w="1418" w:type="dxa"/>
            <w:tcBorders>
              <w:top w:val="nil"/>
              <w:bottom w:val="single" w:sz="4" w:space="0" w:color="auto"/>
            </w:tcBorders>
            <w:shd w:val="clear" w:color="auto" w:fill="auto"/>
            <w:noWrap/>
            <w:vAlign w:val="center"/>
          </w:tcPr>
          <w:p w14:paraId="2008FBFD" w14:textId="7CF25F56"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-721 706 295</w:t>
            </w:r>
          </w:p>
        </w:tc>
        <w:tc>
          <w:tcPr>
            <w:tcW w:w="992" w:type="dxa"/>
            <w:tcBorders>
              <w:top w:val="nil"/>
              <w:bottom w:val="single" w:sz="4" w:space="0" w:color="auto"/>
            </w:tcBorders>
            <w:shd w:val="clear" w:color="auto" w:fill="auto"/>
            <w:vAlign w:val="center"/>
          </w:tcPr>
          <w:p w14:paraId="13B7D3F5" w14:textId="30696DD3" w:rsidR="00D95C2C" w:rsidRPr="00942883" w:rsidRDefault="00D95C2C" w:rsidP="00942883">
            <w:pPr>
              <w:spacing w:after="0" w:line="240" w:lineRule="auto"/>
              <w:jc w:val="right"/>
              <w:rPr>
                <w:rFonts w:eastAsia="Times New Roman" w:cs="Times New Roman"/>
                <w:color w:val="17365D"/>
                <w:sz w:val="18"/>
                <w:szCs w:val="18"/>
                <w:lang w:eastAsia="lv-LV"/>
              </w:rPr>
            </w:pPr>
            <w:r w:rsidRPr="00942883">
              <w:rPr>
                <w:rFonts w:eastAsia="Times New Roman" w:cs="Times New Roman"/>
                <w:color w:val="17365D"/>
                <w:sz w:val="18"/>
                <w:szCs w:val="18"/>
                <w:lang w:eastAsia="lv-LV"/>
              </w:rPr>
              <w:t>-28.85</w:t>
            </w:r>
          </w:p>
        </w:tc>
      </w:tr>
      <w:tr w:rsidR="006B0E02" w:rsidRPr="005A0A54" w14:paraId="37422614" w14:textId="77777777" w:rsidTr="006B0E02">
        <w:tblPrEx>
          <w:tblBorders>
            <w:insideH w:val="single" w:sz="4" w:space="0" w:color="auto"/>
          </w:tblBorders>
        </w:tblPrEx>
        <w:trPr>
          <w:trHeight w:val="70"/>
        </w:trPr>
        <w:tc>
          <w:tcPr>
            <w:tcW w:w="3691" w:type="dxa"/>
            <w:gridSpan w:val="3"/>
            <w:tcBorders>
              <w:top w:val="single" w:sz="4" w:space="0" w:color="17365D"/>
            </w:tcBorders>
            <w:shd w:val="clear" w:color="auto" w:fill="B8CCE4"/>
            <w:vAlign w:val="center"/>
          </w:tcPr>
          <w:p w14:paraId="71ADE48F" w14:textId="77777777" w:rsidR="006B0E02" w:rsidRPr="005A0A54" w:rsidRDefault="006B0E02" w:rsidP="006B0E02">
            <w:pPr>
              <w:spacing w:after="0" w:line="240" w:lineRule="auto"/>
              <w:rPr>
                <w:rFonts w:eastAsia="Times New Roman" w:cs="Times New Roman"/>
                <w:color w:val="17365D"/>
                <w:sz w:val="18"/>
                <w:szCs w:val="18"/>
                <w:lang w:eastAsia="lv-LV"/>
              </w:rPr>
            </w:pPr>
          </w:p>
        </w:tc>
        <w:tc>
          <w:tcPr>
            <w:tcW w:w="2835" w:type="dxa"/>
            <w:gridSpan w:val="3"/>
            <w:tcBorders>
              <w:top w:val="single" w:sz="4" w:space="0" w:color="17365D"/>
            </w:tcBorders>
            <w:shd w:val="clear" w:color="auto" w:fill="B8CCE4"/>
            <w:vAlign w:val="center"/>
          </w:tcPr>
          <w:p w14:paraId="37263604" w14:textId="77777777" w:rsidR="006B0E02" w:rsidRPr="005A0A54" w:rsidRDefault="006B0E02" w:rsidP="006B0E02">
            <w:pPr>
              <w:spacing w:after="0" w:line="240" w:lineRule="auto"/>
              <w:jc w:val="right"/>
              <w:rPr>
                <w:rFonts w:eastAsia="Times New Roman" w:cs="Times New Roman"/>
                <w:color w:val="17365D"/>
                <w:sz w:val="18"/>
                <w:szCs w:val="18"/>
                <w:lang w:eastAsia="lv-LV"/>
              </w:rPr>
            </w:pPr>
          </w:p>
        </w:tc>
        <w:tc>
          <w:tcPr>
            <w:tcW w:w="2835" w:type="dxa"/>
            <w:gridSpan w:val="3"/>
            <w:tcBorders>
              <w:top w:val="single" w:sz="4" w:space="0" w:color="17365D"/>
            </w:tcBorders>
            <w:shd w:val="clear" w:color="auto" w:fill="B8CCE4"/>
          </w:tcPr>
          <w:p w14:paraId="4FF2F8DD" w14:textId="77777777" w:rsidR="006B0E02" w:rsidRPr="005A0A54" w:rsidRDefault="006B0E02" w:rsidP="006B0E02">
            <w:pPr>
              <w:spacing w:after="0" w:line="240" w:lineRule="auto"/>
              <w:jc w:val="right"/>
              <w:rPr>
                <w:rFonts w:eastAsia="Times New Roman" w:cs="Times New Roman"/>
                <w:color w:val="17365D"/>
                <w:sz w:val="18"/>
                <w:szCs w:val="18"/>
                <w:lang w:eastAsia="lv-LV"/>
              </w:rPr>
            </w:pPr>
          </w:p>
        </w:tc>
      </w:tr>
    </w:tbl>
    <w:p w14:paraId="00D97AD0" w14:textId="77777777" w:rsidR="006B0E02" w:rsidRPr="00A27896" w:rsidRDefault="006B0E02" w:rsidP="00744AE4">
      <w:pPr>
        <w:pStyle w:val="Tabulasnosaukums1"/>
        <w:spacing w:before="0" w:line="240" w:lineRule="auto"/>
        <w:rPr>
          <w:rFonts w:eastAsia="Arial Unicode MS" w:cs="Times New Roman"/>
          <w:i/>
          <w:color w:val="17365D"/>
        </w:rPr>
      </w:pPr>
    </w:p>
    <w:p w14:paraId="165E8B90" w14:textId="39B906A5" w:rsidR="006B0E02" w:rsidRPr="005A0A54" w:rsidRDefault="006B0E02" w:rsidP="00B71BCE">
      <w:pPr>
        <w:spacing w:after="120" w:line="240" w:lineRule="auto"/>
        <w:ind w:firstLine="284"/>
        <w:jc w:val="both"/>
        <w:rPr>
          <w:rFonts w:eastAsia="Arial Unicode MS" w:cs="Times New Roman"/>
          <w:color w:val="17365D"/>
          <w:szCs w:val="24"/>
        </w:rPr>
      </w:pPr>
      <w:r w:rsidRPr="005A0A54">
        <w:rPr>
          <w:rFonts w:eastAsia="Arial Unicode MS" w:cs="Times New Roman"/>
          <w:color w:val="17365D"/>
          <w:szCs w:val="24"/>
          <w:u w:val="single"/>
        </w:rPr>
        <w:t xml:space="preserve">Ieņēmumi </w:t>
      </w:r>
      <w:r w:rsidRPr="005A0A54">
        <w:rPr>
          <w:rFonts w:eastAsia="Arial Unicode MS" w:cs="Times New Roman"/>
          <w:color w:val="17365D"/>
          <w:szCs w:val="24"/>
        </w:rPr>
        <w:t>salīdzinājumā ar 2022. gadu palielinājušies par </w:t>
      </w:r>
      <w:r w:rsidR="00FF475C" w:rsidRPr="00FF475C">
        <w:rPr>
          <w:rFonts w:eastAsia="Arial Unicode MS" w:cs="Times New Roman"/>
          <w:color w:val="17365D"/>
          <w:szCs w:val="24"/>
        </w:rPr>
        <w:t>514 042</w:t>
      </w:r>
      <w:r w:rsidR="00FF475C">
        <w:rPr>
          <w:rFonts w:eastAsia="Arial Unicode MS" w:cs="Times New Roman"/>
          <w:color w:val="17365D"/>
          <w:szCs w:val="24"/>
        </w:rPr>
        <w:t> </w:t>
      </w:r>
      <w:r w:rsidR="00FF475C" w:rsidRPr="00FF475C">
        <w:rPr>
          <w:rFonts w:eastAsia="Arial Unicode MS" w:cs="Times New Roman"/>
          <w:color w:val="17365D"/>
          <w:szCs w:val="24"/>
        </w:rPr>
        <w:t>694</w:t>
      </w:r>
      <w:r w:rsidR="00FF475C">
        <w:rPr>
          <w:rFonts w:eastAsia="Arial Unicode MS" w:cs="Times New Roman"/>
          <w:color w:val="17365D"/>
          <w:szCs w:val="24"/>
        </w:rPr>
        <w:t xml:space="preserve"> </w:t>
      </w:r>
      <w:r w:rsidRPr="005A0A54">
        <w:rPr>
          <w:rFonts w:eastAsia="Arial Unicode MS" w:cs="Times New Roman"/>
          <w:i/>
          <w:color w:val="17365D"/>
          <w:szCs w:val="24"/>
        </w:rPr>
        <w:t>euro.</w:t>
      </w:r>
      <w:r w:rsidRPr="005A0A54">
        <w:rPr>
          <w:rFonts w:eastAsia="Arial Unicode MS" w:cs="Times New Roman"/>
          <w:color w:val="17365D"/>
          <w:szCs w:val="24"/>
        </w:rPr>
        <w:t xml:space="preserve"> </w:t>
      </w:r>
    </w:p>
    <w:p w14:paraId="2809A6EB" w14:textId="77777777" w:rsidR="00D74371" w:rsidRPr="00974E43" w:rsidRDefault="00D74371" w:rsidP="00D74371">
      <w:pPr>
        <w:pStyle w:val="Heading4"/>
        <w:rPr>
          <w:rFonts w:cs="Times New Roman"/>
        </w:rPr>
      </w:pPr>
      <w:r w:rsidRPr="00974E43">
        <w:rPr>
          <w:rFonts w:cs="Times New Roman"/>
        </w:rPr>
        <w:t>Piezīme Nr. FD.A11 Informācija par nodokļu ieņēmumiem</w:t>
      </w:r>
    </w:p>
    <w:p w14:paraId="15555A6B" w14:textId="77777777" w:rsidR="00D74371" w:rsidRPr="005A0A54" w:rsidRDefault="00D74371" w:rsidP="00D74371">
      <w:pPr>
        <w:pStyle w:val="Tabulasnosaukums1"/>
        <w:spacing w:before="0" w:line="240" w:lineRule="auto"/>
        <w:rPr>
          <w:rFonts w:eastAsia="Arial Unicode MS" w:cs="Times New Roman"/>
          <w:i/>
          <w:color w:val="17365D"/>
        </w:rPr>
      </w:pPr>
      <w:r>
        <w:rPr>
          <w:rFonts w:eastAsia="Arial Unicode MS" w:cs="Times New Roman"/>
          <w:i/>
          <w:color w:val="17365D"/>
        </w:rPr>
        <w:t>2.2</w:t>
      </w:r>
      <w:r w:rsidRPr="005A0A54">
        <w:rPr>
          <w:rFonts w:eastAsia="Arial Unicode MS" w:cs="Times New Roman"/>
          <w:i/>
          <w:color w:val="17365D"/>
        </w:rPr>
        <w:t>. tabula. Nodokļu ieņēmumi (euro)</w:t>
      </w:r>
    </w:p>
    <w:tbl>
      <w:tblPr>
        <w:tblW w:w="9361" w:type="dxa"/>
        <w:tblInd w:w="-5" w:type="dxa"/>
        <w:tblBorders>
          <w:insideH w:val="single" w:sz="4" w:space="0" w:color="auto"/>
        </w:tblBorders>
        <w:tblLook w:val="04A0" w:firstRow="1" w:lastRow="0" w:firstColumn="1" w:lastColumn="0" w:noHBand="0" w:noVBand="1"/>
      </w:tblPr>
      <w:tblGrid>
        <w:gridCol w:w="4683"/>
        <w:gridCol w:w="2552"/>
        <w:gridCol w:w="2126"/>
      </w:tblGrid>
      <w:tr w:rsidR="00D74371" w:rsidRPr="005A0A54" w14:paraId="4DDFEC2B" w14:textId="77777777" w:rsidTr="00D74371">
        <w:trPr>
          <w:trHeight w:val="329"/>
        </w:trPr>
        <w:tc>
          <w:tcPr>
            <w:tcW w:w="4683" w:type="dxa"/>
            <w:tcBorders>
              <w:bottom w:val="single" w:sz="4" w:space="0" w:color="17365D"/>
            </w:tcBorders>
            <w:shd w:val="clear" w:color="auto" w:fill="B8CCE4"/>
            <w:vAlign w:val="center"/>
            <w:hideMark/>
          </w:tcPr>
          <w:p w14:paraId="067A7492" w14:textId="77777777" w:rsidR="00D74371" w:rsidRPr="005A0A54" w:rsidRDefault="00D74371" w:rsidP="00D74371">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Nodokļa veids</w:t>
            </w:r>
          </w:p>
        </w:tc>
        <w:tc>
          <w:tcPr>
            <w:tcW w:w="2552" w:type="dxa"/>
            <w:tcBorders>
              <w:bottom w:val="single" w:sz="4" w:space="0" w:color="17365D"/>
            </w:tcBorders>
            <w:shd w:val="clear" w:color="auto" w:fill="B8CCE4"/>
            <w:vAlign w:val="center"/>
            <w:hideMark/>
          </w:tcPr>
          <w:p w14:paraId="22D6B346" w14:textId="77777777" w:rsidR="00D74371" w:rsidRPr="005A0A54" w:rsidRDefault="00D74371" w:rsidP="00D74371">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Pārskata periodā</w:t>
            </w:r>
          </w:p>
        </w:tc>
        <w:tc>
          <w:tcPr>
            <w:tcW w:w="2126" w:type="dxa"/>
            <w:tcBorders>
              <w:bottom w:val="single" w:sz="4" w:space="0" w:color="17365D"/>
            </w:tcBorders>
            <w:shd w:val="clear" w:color="auto" w:fill="B8CCE4"/>
            <w:vAlign w:val="center"/>
          </w:tcPr>
          <w:p w14:paraId="21A83AAE" w14:textId="77777777" w:rsidR="00D74371" w:rsidRPr="005A0A54" w:rsidRDefault="00D74371" w:rsidP="00D74371">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Iepriekšējā pārskata periodā</w:t>
            </w:r>
          </w:p>
        </w:tc>
      </w:tr>
      <w:tr w:rsidR="00D74371" w:rsidRPr="005A0A54" w14:paraId="6D9DC252" w14:textId="77777777" w:rsidTr="00D74371">
        <w:trPr>
          <w:trHeight w:val="255"/>
        </w:trPr>
        <w:tc>
          <w:tcPr>
            <w:tcW w:w="4683" w:type="dxa"/>
            <w:tcBorders>
              <w:top w:val="single" w:sz="4" w:space="0" w:color="17365D"/>
              <w:bottom w:val="single" w:sz="4" w:space="0" w:color="auto"/>
            </w:tcBorders>
            <w:shd w:val="clear" w:color="auto" w:fill="auto"/>
            <w:vAlign w:val="center"/>
            <w:hideMark/>
          </w:tcPr>
          <w:p w14:paraId="227407FD" w14:textId="77777777" w:rsidR="00D74371" w:rsidRPr="005A0A54" w:rsidRDefault="00D74371" w:rsidP="00D74371">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A</w:t>
            </w:r>
          </w:p>
        </w:tc>
        <w:tc>
          <w:tcPr>
            <w:tcW w:w="2552" w:type="dxa"/>
            <w:tcBorders>
              <w:top w:val="single" w:sz="4" w:space="0" w:color="17365D"/>
              <w:bottom w:val="single" w:sz="4" w:space="0" w:color="auto"/>
            </w:tcBorders>
            <w:shd w:val="clear" w:color="auto" w:fill="auto"/>
            <w:vAlign w:val="center"/>
            <w:hideMark/>
          </w:tcPr>
          <w:p w14:paraId="58632AA2" w14:textId="77777777" w:rsidR="00D74371" w:rsidRPr="005A0A54" w:rsidRDefault="00D74371" w:rsidP="00D74371">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1</w:t>
            </w:r>
          </w:p>
        </w:tc>
        <w:tc>
          <w:tcPr>
            <w:tcW w:w="2126" w:type="dxa"/>
            <w:tcBorders>
              <w:top w:val="single" w:sz="4" w:space="0" w:color="17365D"/>
              <w:bottom w:val="single" w:sz="4" w:space="0" w:color="auto"/>
            </w:tcBorders>
            <w:vAlign w:val="center"/>
          </w:tcPr>
          <w:p w14:paraId="6F676BC1" w14:textId="77777777" w:rsidR="00D74371" w:rsidRPr="005A0A54" w:rsidRDefault="00D74371" w:rsidP="00D74371">
            <w:pPr>
              <w:spacing w:after="0" w:line="240" w:lineRule="auto"/>
              <w:jc w:val="center"/>
              <w:rPr>
                <w:rFonts w:eastAsia="Arial Unicode MS" w:cs="Times New Roman"/>
                <w:b/>
                <w:color w:val="17365D"/>
                <w:sz w:val="18"/>
                <w:szCs w:val="18"/>
              </w:rPr>
            </w:pPr>
            <w:r w:rsidRPr="005A0A54">
              <w:rPr>
                <w:rFonts w:eastAsia="Arial Unicode MS" w:cs="Times New Roman"/>
                <w:b/>
                <w:color w:val="17365D"/>
                <w:sz w:val="18"/>
                <w:szCs w:val="18"/>
              </w:rPr>
              <w:t>2</w:t>
            </w:r>
          </w:p>
        </w:tc>
      </w:tr>
      <w:tr w:rsidR="00D74371" w:rsidRPr="005A0A54" w14:paraId="1BC2A8CB" w14:textId="77777777" w:rsidTr="00D74371">
        <w:trPr>
          <w:trHeight w:val="255"/>
        </w:trPr>
        <w:tc>
          <w:tcPr>
            <w:tcW w:w="4683" w:type="dxa"/>
            <w:tcBorders>
              <w:top w:val="single" w:sz="4" w:space="0" w:color="auto"/>
              <w:left w:val="nil"/>
              <w:bottom w:val="single" w:sz="4" w:space="0" w:color="000000"/>
              <w:right w:val="nil"/>
            </w:tcBorders>
            <w:shd w:val="clear" w:color="auto" w:fill="auto"/>
            <w:vAlign w:val="center"/>
            <w:hideMark/>
          </w:tcPr>
          <w:p w14:paraId="5834C3B1" w14:textId="33F00C9C" w:rsidR="00D74371" w:rsidRPr="002716E4" w:rsidRDefault="00CB200B" w:rsidP="00D74371">
            <w:pPr>
              <w:spacing w:after="0" w:line="240" w:lineRule="auto"/>
              <w:rPr>
                <w:rFonts w:eastAsia="Times New Roman" w:cs="Times New Roman"/>
                <w:b/>
                <w:color w:val="17365D"/>
                <w:sz w:val="18"/>
                <w:szCs w:val="18"/>
                <w:lang w:eastAsia="lv-LV"/>
              </w:rPr>
            </w:pPr>
            <w:r>
              <w:rPr>
                <w:rFonts w:eastAsia="Times New Roman" w:cs="Times New Roman"/>
                <w:b/>
                <w:color w:val="17365D"/>
                <w:sz w:val="18"/>
                <w:szCs w:val="18"/>
                <w:lang w:eastAsia="lv-LV"/>
              </w:rPr>
              <w:t>Nodokļu ieņēmumi</w:t>
            </w:r>
          </w:p>
        </w:tc>
        <w:tc>
          <w:tcPr>
            <w:tcW w:w="2552" w:type="dxa"/>
            <w:tcBorders>
              <w:top w:val="single" w:sz="4" w:space="0" w:color="auto"/>
              <w:left w:val="nil"/>
              <w:bottom w:val="single" w:sz="4" w:space="0" w:color="000000"/>
              <w:right w:val="nil"/>
            </w:tcBorders>
            <w:shd w:val="clear" w:color="auto" w:fill="auto"/>
            <w:vAlign w:val="center"/>
            <w:hideMark/>
          </w:tcPr>
          <w:p w14:paraId="7B443989" w14:textId="71EBC44A" w:rsidR="00D74371" w:rsidRPr="005822EE" w:rsidRDefault="00D95C2C" w:rsidP="00D95C2C">
            <w:pPr>
              <w:spacing w:after="0" w:line="240" w:lineRule="auto"/>
              <w:jc w:val="right"/>
              <w:rPr>
                <w:rFonts w:eastAsia="Times New Roman" w:cs="Times New Roman"/>
                <w:b/>
                <w:color w:val="17365D"/>
                <w:sz w:val="18"/>
                <w:szCs w:val="18"/>
                <w:lang w:eastAsia="lv-LV"/>
              </w:rPr>
            </w:pPr>
            <w:r w:rsidRPr="00D95C2C">
              <w:rPr>
                <w:rFonts w:eastAsia="Times New Roman" w:cs="Times New Roman"/>
                <w:b/>
                <w:color w:val="17365D"/>
                <w:sz w:val="18"/>
                <w:szCs w:val="18"/>
                <w:lang w:eastAsia="lv-LV"/>
              </w:rPr>
              <w:t>12 630 112 242</w:t>
            </w:r>
          </w:p>
        </w:tc>
        <w:tc>
          <w:tcPr>
            <w:tcW w:w="2126" w:type="dxa"/>
            <w:tcBorders>
              <w:top w:val="single" w:sz="4" w:space="0" w:color="auto"/>
              <w:left w:val="nil"/>
              <w:bottom w:val="single" w:sz="4" w:space="0" w:color="000000"/>
              <w:right w:val="nil"/>
            </w:tcBorders>
            <w:shd w:val="clear" w:color="auto" w:fill="auto"/>
            <w:vAlign w:val="center"/>
          </w:tcPr>
          <w:p w14:paraId="03602D9E" w14:textId="77777777" w:rsidR="00D74371" w:rsidRPr="005822EE" w:rsidRDefault="00D74371" w:rsidP="00D74371">
            <w:pPr>
              <w:spacing w:after="0" w:line="240" w:lineRule="auto"/>
              <w:jc w:val="right"/>
              <w:rPr>
                <w:rFonts w:eastAsia="Times New Roman" w:cs="Times New Roman"/>
                <w:b/>
                <w:color w:val="17365D"/>
                <w:sz w:val="18"/>
                <w:szCs w:val="18"/>
                <w:lang w:eastAsia="lv-LV"/>
              </w:rPr>
            </w:pPr>
            <w:r w:rsidRPr="005822EE">
              <w:rPr>
                <w:rFonts w:eastAsia="Times New Roman" w:cs="Times New Roman"/>
                <w:b/>
                <w:color w:val="17365D"/>
                <w:sz w:val="18"/>
                <w:szCs w:val="18"/>
                <w:lang w:eastAsia="lv-LV"/>
              </w:rPr>
              <w:t>11 689 499 898</w:t>
            </w:r>
          </w:p>
        </w:tc>
      </w:tr>
      <w:tr w:rsidR="00D74371" w:rsidRPr="005A0A54" w14:paraId="67D75E71" w14:textId="77777777" w:rsidTr="00D74371">
        <w:trPr>
          <w:trHeight w:val="255"/>
        </w:trPr>
        <w:tc>
          <w:tcPr>
            <w:tcW w:w="4683" w:type="dxa"/>
            <w:tcBorders>
              <w:top w:val="single" w:sz="4" w:space="0" w:color="auto"/>
              <w:bottom w:val="single" w:sz="4" w:space="0" w:color="auto"/>
              <w:right w:val="nil"/>
            </w:tcBorders>
            <w:shd w:val="clear" w:color="auto" w:fill="auto"/>
            <w:vAlign w:val="center"/>
            <w:hideMark/>
          </w:tcPr>
          <w:p w14:paraId="15D23589" w14:textId="77777777" w:rsidR="00D74371" w:rsidRPr="005A0A54" w:rsidRDefault="00D74371" w:rsidP="00D74371">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Ienākuma nodokļi</w:t>
            </w:r>
          </w:p>
        </w:tc>
        <w:tc>
          <w:tcPr>
            <w:tcW w:w="2552" w:type="dxa"/>
            <w:tcBorders>
              <w:top w:val="nil"/>
              <w:left w:val="nil"/>
              <w:bottom w:val="single" w:sz="4" w:space="0" w:color="000000"/>
              <w:right w:val="nil"/>
            </w:tcBorders>
            <w:shd w:val="clear" w:color="auto" w:fill="auto"/>
            <w:vAlign w:val="center"/>
            <w:hideMark/>
          </w:tcPr>
          <w:p w14:paraId="3C5C8EAE" w14:textId="18179378" w:rsidR="00D74371" w:rsidRPr="005822EE" w:rsidRDefault="00D95C2C" w:rsidP="00D74371">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3</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087</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968</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044</w:t>
            </w:r>
          </w:p>
        </w:tc>
        <w:tc>
          <w:tcPr>
            <w:tcW w:w="2126" w:type="dxa"/>
            <w:tcBorders>
              <w:top w:val="nil"/>
              <w:left w:val="nil"/>
              <w:bottom w:val="single" w:sz="4" w:space="0" w:color="000000"/>
              <w:right w:val="nil"/>
            </w:tcBorders>
            <w:shd w:val="clear" w:color="auto" w:fill="auto"/>
            <w:vAlign w:val="center"/>
          </w:tcPr>
          <w:p w14:paraId="45DA6EBF" w14:textId="77777777" w:rsidR="00D74371" w:rsidRPr="005822EE" w:rsidRDefault="00D74371" w:rsidP="00D74371">
            <w:pPr>
              <w:spacing w:after="0" w:line="240" w:lineRule="auto"/>
              <w:jc w:val="right"/>
              <w:rPr>
                <w:rFonts w:eastAsia="Times New Roman" w:cs="Times New Roman"/>
                <w:color w:val="17365D"/>
                <w:sz w:val="18"/>
                <w:szCs w:val="18"/>
                <w:lang w:eastAsia="lv-LV"/>
              </w:rPr>
            </w:pPr>
            <w:r w:rsidRPr="005822EE">
              <w:rPr>
                <w:rFonts w:eastAsia="Times New Roman" w:cs="Times New Roman"/>
                <w:color w:val="17365D"/>
                <w:sz w:val="18"/>
                <w:szCs w:val="18"/>
                <w:lang w:eastAsia="lv-LV"/>
              </w:rPr>
              <w:t>2 556 262 742</w:t>
            </w:r>
          </w:p>
        </w:tc>
      </w:tr>
      <w:tr w:rsidR="00D74371" w:rsidRPr="005A0A54" w14:paraId="3C7A0065" w14:textId="77777777" w:rsidTr="00D74371">
        <w:trPr>
          <w:trHeight w:val="257"/>
        </w:trPr>
        <w:tc>
          <w:tcPr>
            <w:tcW w:w="4683" w:type="dxa"/>
            <w:tcBorders>
              <w:top w:val="single" w:sz="4" w:space="0" w:color="auto"/>
              <w:bottom w:val="single" w:sz="4" w:space="0" w:color="auto"/>
              <w:right w:val="nil"/>
            </w:tcBorders>
            <w:shd w:val="clear" w:color="auto" w:fill="auto"/>
            <w:vAlign w:val="center"/>
            <w:hideMark/>
          </w:tcPr>
          <w:p w14:paraId="4C4EF2B6" w14:textId="77777777" w:rsidR="00D74371" w:rsidRPr="005A0A54" w:rsidRDefault="00D74371" w:rsidP="00D74371">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Sociālās apdrošināšanas iemaksas</w:t>
            </w:r>
          </w:p>
        </w:tc>
        <w:tc>
          <w:tcPr>
            <w:tcW w:w="2552" w:type="dxa"/>
            <w:tcBorders>
              <w:top w:val="single" w:sz="4" w:space="0" w:color="000000"/>
              <w:left w:val="nil"/>
              <w:bottom w:val="single" w:sz="4" w:space="0" w:color="000000"/>
              <w:right w:val="nil"/>
            </w:tcBorders>
            <w:shd w:val="clear" w:color="auto" w:fill="auto"/>
            <w:vAlign w:val="center"/>
            <w:hideMark/>
          </w:tcPr>
          <w:p w14:paraId="0BC20BE8" w14:textId="438F8832" w:rsidR="00D74371" w:rsidRPr="005822EE" w:rsidRDefault="00162DB2" w:rsidP="00D74371">
            <w:pPr>
              <w:spacing w:after="0" w:line="240" w:lineRule="auto"/>
              <w:jc w:val="right"/>
              <w:rPr>
                <w:rFonts w:eastAsia="Times New Roman" w:cs="Times New Roman"/>
                <w:color w:val="17365D"/>
                <w:sz w:val="18"/>
                <w:szCs w:val="18"/>
                <w:lang w:eastAsia="lv-LV"/>
              </w:rPr>
            </w:pPr>
            <w:r w:rsidRPr="00162DB2">
              <w:rPr>
                <w:rFonts w:eastAsia="Times New Roman" w:cs="Times New Roman"/>
                <w:color w:val="17365D"/>
                <w:sz w:val="18"/>
                <w:szCs w:val="18"/>
                <w:lang w:eastAsia="lv-LV"/>
              </w:rPr>
              <w:t>3</w:t>
            </w:r>
            <w:r>
              <w:rPr>
                <w:rFonts w:eastAsia="Times New Roman" w:cs="Times New Roman"/>
                <w:color w:val="17365D"/>
                <w:sz w:val="18"/>
                <w:szCs w:val="18"/>
                <w:lang w:eastAsia="lv-LV"/>
              </w:rPr>
              <w:t xml:space="preserve"> </w:t>
            </w:r>
            <w:r w:rsidRPr="00162DB2">
              <w:rPr>
                <w:rFonts w:eastAsia="Times New Roman" w:cs="Times New Roman"/>
                <w:color w:val="17365D"/>
                <w:sz w:val="18"/>
                <w:szCs w:val="18"/>
                <w:lang w:eastAsia="lv-LV"/>
              </w:rPr>
              <w:t>983</w:t>
            </w:r>
            <w:r>
              <w:rPr>
                <w:rFonts w:eastAsia="Times New Roman" w:cs="Times New Roman"/>
                <w:color w:val="17365D"/>
                <w:sz w:val="18"/>
                <w:szCs w:val="18"/>
                <w:lang w:eastAsia="lv-LV"/>
              </w:rPr>
              <w:t xml:space="preserve"> </w:t>
            </w:r>
            <w:r w:rsidRPr="00162DB2">
              <w:rPr>
                <w:rFonts w:eastAsia="Times New Roman" w:cs="Times New Roman"/>
                <w:color w:val="17365D"/>
                <w:sz w:val="18"/>
                <w:szCs w:val="18"/>
                <w:lang w:eastAsia="lv-LV"/>
              </w:rPr>
              <w:t>870</w:t>
            </w:r>
            <w:r>
              <w:rPr>
                <w:rFonts w:eastAsia="Times New Roman" w:cs="Times New Roman"/>
                <w:color w:val="17365D"/>
                <w:sz w:val="18"/>
                <w:szCs w:val="18"/>
                <w:lang w:eastAsia="lv-LV"/>
              </w:rPr>
              <w:t xml:space="preserve"> </w:t>
            </w:r>
            <w:r w:rsidRPr="00162DB2">
              <w:rPr>
                <w:rFonts w:eastAsia="Times New Roman" w:cs="Times New Roman"/>
                <w:color w:val="17365D"/>
                <w:sz w:val="18"/>
                <w:szCs w:val="18"/>
                <w:lang w:eastAsia="lv-LV"/>
              </w:rPr>
              <w:t>956</w:t>
            </w:r>
          </w:p>
        </w:tc>
        <w:tc>
          <w:tcPr>
            <w:tcW w:w="2126" w:type="dxa"/>
            <w:tcBorders>
              <w:top w:val="single" w:sz="4" w:space="0" w:color="000000"/>
              <w:left w:val="nil"/>
              <w:bottom w:val="single" w:sz="4" w:space="0" w:color="000000"/>
              <w:right w:val="nil"/>
            </w:tcBorders>
            <w:shd w:val="clear" w:color="auto" w:fill="auto"/>
            <w:vAlign w:val="center"/>
          </w:tcPr>
          <w:p w14:paraId="2E4F8A51" w14:textId="77777777" w:rsidR="00D74371" w:rsidRPr="005822EE" w:rsidRDefault="00D74371" w:rsidP="00D74371">
            <w:pPr>
              <w:spacing w:after="0" w:line="240" w:lineRule="auto"/>
              <w:jc w:val="right"/>
              <w:rPr>
                <w:rFonts w:eastAsia="Times New Roman" w:cs="Times New Roman"/>
                <w:color w:val="17365D"/>
                <w:sz w:val="18"/>
                <w:szCs w:val="18"/>
                <w:lang w:eastAsia="lv-LV"/>
              </w:rPr>
            </w:pPr>
            <w:r w:rsidRPr="005822EE">
              <w:rPr>
                <w:rFonts w:eastAsia="Times New Roman" w:cs="Times New Roman"/>
                <w:color w:val="17365D"/>
                <w:sz w:val="18"/>
                <w:szCs w:val="18"/>
                <w:lang w:eastAsia="lv-LV"/>
              </w:rPr>
              <w:t>3 519 901 429</w:t>
            </w:r>
          </w:p>
        </w:tc>
      </w:tr>
      <w:tr w:rsidR="00D74371" w:rsidRPr="005A0A54" w14:paraId="6241952F" w14:textId="77777777" w:rsidTr="00D74371">
        <w:trPr>
          <w:trHeight w:val="255"/>
        </w:trPr>
        <w:tc>
          <w:tcPr>
            <w:tcW w:w="4683" w:type="dxa"/>
            <w:tcBorders>
              <w:top w:val="single" w:sz="4" w:space="0" w:color="auto"/>
              <w:bottom w:val="single" w:sz="4" w:space="0" w:color="auto"/>
              <w:right w:val="nil"/>
            </w:tcBorders>
            <w:shd w:val="clear" w:color="auto" w:fill="auto"/>
            <w:vAlign w:val="center"/>
            <w:hideMark/>
          </w:tcPr>
          <w:p w14:paraId="2F6DFAA9" w14:textId="77777777" w:rsidR="00D74371" w:rsidRPr="005A0A54" w:rsidRDefault="00D74371" w:rsidP="00D74371">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Īpašuma nodokļi</w:t>
            </w:r>
          </w:p>
        </w:tc>
        <w:tc>
          <w:tcPr>
            <w:tcW w:w="2552" w:type="dxa"/>
            <w:tcBorders>
              <w:top w:val="nil"/>
              <w:left w:val="nil"/>
              <w:bottom w:val="single" w:sz="4" w:space="0" w:color="000000"/>
              <w:right w:val="nil"/>
            </w:tcBorders>
            <w:shd w:val="clear" w:color="auto" w:fill="auto"/>
            <w:vAlign w:val="center"/>
            <w:hideMark/>
          </w:tcPr>
          <w:p w14:paraId="2935E250" w14:textId="7B65755F" w:rsidR="00D74371" w:rsidRPr="005822EE" w:rsidRDefault="00D95C2C" w:rsidP="00D74371">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235</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115</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804</w:t>
            </w:r>
          </w:p>
        </w:tc>
        <w:tc>
          <w:tcPr>
            <w:tcW w:w="2126" w:type="dxa"/>
            <w:tcBorders>
              <w:top w:val="nil"/>
              <w:left w:val="nil"/>
              <w:bottom w:val="single" w:sz="4" w:space="0" w:color="000000"/>
              <w:right w:val="nil"/>
            </w:tcBorders>
            <w:shd w:val="clear" w:color="auto" w:fill="auto"/>
            <w:vAlign w:val="center"/>
          </w:tcPr>
          <w:p w14:paraId="1337E464" w14:textId="77777777" w:rsidR="00D74371" w:rsidRPr="005822EE" w:rsidRDefault="00D74371" w:rsidP="00D74371">
            <w:pPr>
              <w:spacing w:after="0" w:line="240" w:lineRule="auto"/>
              <w:jc w:val="right"/>
              <w:rPr>
                <w:rFonts w:eastAsia="Times New Roman" w:cs="Times New Roman"/>
                <w:color w:val="17365D"/>
                <w:sz w:val="18"/>
                <w:szCs w:val="18"/>
                <w:lang w:eastAsia="lv-LV"/>
              </w:rPr>
            </w:pPr>
            <w:r w:rsidRPr="005822EE">
              <w:rPr>
                <w:rFonts w:eastAsia="Times New Roman" w:cs="Times New Roman"/>
                <w:color w:val="17365D"/>
                <w:sz w:val="18"/>
                <w:szCs w:val="18"/>
                <w:lang w:eastAsia="lv-LV"/>
              </w:rPr>
              <w:t>229 318 219</w:t>
            </w:r>
          </w:p>
        </w:tc>
      </w:tr>
      <w:tr w:rsidR="00D74371" w:rsidRPr="005A0A54" w14:paraId="665BF97C" w14:textId="77777777" w:rsidTr="00D74371">
        <w:trPr>
          <w:trHeight w:val="255"/>
        </w:trPr>
        <w:tc>
          <w:tcPr>
            <w:tcW w:w="4683" w:type="dxa"/>
            <w:tcBorders>
              <w:top w:val="single" w:sz="4" w:space="0" w:color="auto"/>
              <w:bottom w:val="single" w:sz="4" w:space="0" w:color="auto"/>
              <w:right w:val="nil"/>
            </w:tcBorders>
            <w:shd w:val="clear" w:color="auto" w:fill="auto"/>
            <w:vAlign w:val="center"/>
          </w:tcPr>
          <w:p w14:paraId="09052982" w14:textId="77777777" w:rsidR="00D74371" w:rsidRPr="005A0A54" w:rsidRDefault="00D74371" w:rsidP="00D74371">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Muitas nodoklis</w:t>
            </w:r>
          </w:p>
        </w:tc>
        <w:tc>
          <w:tcPr>
            <w:tcW w:w="2552" w:type="dxa"/>
            <w:tcBorders>
              <w:top w:val="nil"/>
              <w:left w:val="nil"/>
              <w:bottom w:val="single" w:sz="4" w:space="0" w:color="000000"/>
              <w:right w:val="nil"/>
            </w:tcBorders>
            <w:shd w:val="clear" w:color="auto" w:fill="auto"/>
            <w:vAlign w:val="center"/>
          </w:tcPr>
          <w:p w14:paraId="26161640" w14:textId="7303DCAA" w:rsidR="00D74371" w:rsidRPr="005822EE" w:rsidRDefault="00D95C2C" w:rsidP="00D74371">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56 795 504</w:t>
            </w:r>
          </w:p>
        </w:tc>
        <w:tc>
          <w:tcPr>
            <w:tcW w:w="2126" w:type="dxa"/>
            <w:tcBorders>
              <w:top w:val="nil"/>
              <w:left w:val="nil"/>
              <w:bottom w:val="single" w:sz="4" w:space="0" w:color="000000"/>
              <w:right w:val="nil"/>
            </w:tcBorders>
            <w:shd w:val="clear" w:color="auto" w:fill="auto"/>
            <w:vAlign w:val="center"/>
          </w:tcPr>
          <w:p w14:paraId="38606DAB" w14:textId="77777777" w:rsidR="00D74371" w:rsidRPr="005822EE" w:rsidRDefault="00D74371" w:rsidP="00D74371">
            <w:pPr>
              <w:spacing w:after="0" w:line="240" w:lineRule="auto"/>
              <w:jc w:val="right"/>
              <w:rPr>
                <w:rFonts w:eastAsia="Times New Roman" w:cs="Times New Roman"/>
                <w:color w:val="17365D"/>
                <w:sz w:val="18"/>
                <w:szCs w:val="18"/>
                <w:lang w:eastAsia="lv-LV"/>
              </w:rPr>
            </w:pPr>
            <w:r w:rsidRPr="005822EE">
              <w:rPr>
                <w:rFonts w:eastAsia="Times New Roman" w:cs="Times New Roman"/>
                <w:color w:val="17365D"/>
                <w:sz w:val="18"/>
                <w:szCs w:val="18"/>
                <w:lang w:eastAsia="lv-LV"/>
              </w:rPr>
              <w:t>86 908 465</w:t>
            </w:r>
          </w:p>
        </w:tc>
      </w:tr>
      <w:tr w:rsidR="00D74371" w:rsidRPr="005A0A54" w14:paraId="594599F2" w14:textId="77777777" w:rsidTr="00D74371">
        <w:trPr>
          <w:trHeight w:val="255"/>
        </w:trPr>
        <w:tc>
          <w:tcPr>
            <w:tcW w:w="4683" w:type="dxa"/>
            <w:tcBorders>
              <w:top w:val="single" w:sz="4" w:space="0" w:color="auto"/>
              <w:bottom w:val="single" w:sz="4" w:space="0" w:color="auto"/>
              <w:right w:val="nil"/>
            </w:tcBorders>
            <w:shd w:val="clear" w:color="auto" w:fill="auto"/>
            <w:vAlign w:val="center"/>
            <w:hideMark/>
          </w:tcPr>
          <w:p w14:paraId="717EE502" w14:textId="77777777" w:rsidR="00D74371" w:rsidRPr="005A0A54" w:rsidRDefault="00D74371" w:rsidP="00D74371">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Nodokļi par pakalpojumiem un precēm</w:t>
            </w:r>
          </w:p>
        </w:tc>
        <w:tc>
          <w:tcPr>
            <w:tcW w:w="2552" w:type="dxa"/>
            <w:tcBorders>
              <w:top w:val="single" w:sz="4" w:space="0" w:color="000000"/>
              <w:left w:val="nil"/>
              <w:bottom w:val="single" w:sz="4" w:space="0" w:color="000000"/>
              <w:right w:val="nil"/>
            </w:tcBorders>
            <w:shd w:val="clear" w:color="auto" w:fill="auto"/>
            <w:vAlign w:val="center"/>
            <w:hideMark/>
          </w:tcPr>
          <w:p w14:paraId="2C246B33" w14:textId="10BCBED0" w:rsidR="00D74371" w:rsidRPr="005822EE" w:rsidRDefault="00D95C2C" w:rsidP="00D74371">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5</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244</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761</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808</w:t>
            </w:r>
          </w:p>
        </w:tc>
        <w:tc>
          <w:tcPr>
            <w:tcW w:w="2126" w:type="dxa"/>
            <w:tcBorders>
              <w:top w:val="single" w:sz="4" w:space="0" w:color="000000"/>
              <w:left w:val="nil"/>
              <w:bottom w:val="single" w:sz="4" w:space="0" w:color="000000"/>
              <w:right w:val="nil"/>
            </w:tcBorders>
            <w:shd w:val="clear" w:color="auto" w:fill="auto"/>
            <w:vAlign w:val="center"/>
          </w:tcPr>
          <w:p w14:paraId="0C31458B" w14:textId="77777777" w:rsidR="00D74371" w:rsidRPr="005822EE" w:rsidRDefault="00D74371" w:rsidP="00D74371">
            <w:pPr>
              <w:spacing w:after="0" w:line="240" w:lineRule="auto"/>
              <w:jc w:val="right"/>
              <w:rPr>
                <w:rFonts w:eastAsia="Times New Roman" w:cs="Times New Roman"/>
                <w:color w:val="17365D"/>
                <w:sz w:val="18"/>
                <w:szCs w:val="18"/>
                <w:lang w:eastAsia="lv-LV"/>
              </w:rPr>
            </w:pPr>
            <w:r w:rsidRPr="005822EE">
              <w:rPr>
                <w:rFonts w:eastAsia="Times New Roman" w:cs="Times New Roman"/>
                <w:color w:val="17365D"/>
                <w:sz w:val="18"/>
                <w:szCs w:val="18"/>
                <w:lang w:eastAsia="lv-LV"/>
              </w:rPr>
              <w:t>5 274 888 989</w:t>
            </w:r>
          </w:p>
        </w:tc>
      </w:tr>
      <w:tr w:rsidR="00D74371" w:rsidRPr="005A0A54" w14:paraId="4C7D50C8" w14:textId="77777777" w:rsidTr="00D74371">
        <w:trPr>
          <w:trHeight w:val="255"/>
        </w:trPr>
        <w:tc>
          <w:tcPr>
            <w:tcW w:w="4683" w:type="dxa"/>
            <w:tcBorders>
              <w:top w:val="single" w:sz="4" w:space="0" w:color="auto"/>
              <w:bottom w:val="single" w:sz="4" w:space="0" w:color="auto"/>
              <w:right w:val="nil"/>
            </w:tcBorders>
            <w:shd w:val="clear" w:color="auto" w:fill="auto"/>
            <w:vAlign w:val="center"/>
          </w:tcPr>
          <w:p w14:paraId="5E2FB872" w14:textId="77777777" w:rsidR="00D74371" w:rsidRPr="005A0A54" w:rsidRDefault="00D74371" w:rsidP="00D74371">
            <w:pPr>
              <w:spacing w:after="0" w:line="240" w:lineRule="auto"/>
              <w:rPr>
                <w:rFonts w:eastAsia="Times New Roman" w:cs="Times New Roman"/>
                <w:color w:val="17365D"/>
                <w:sz w:val="18"/>
                <w:szCs w:val="18"/>
                <w:lang w:eastAsia="lv-LV"/>
              </w:rPr>
            </w:pPr>
            <w:r w:rsidRPr="005A0A54">
              <w:rPr>
                <w:rFonts w:eastAsia="Times New Roman" w:cs="Times New Roman"/>
                <w:color w:val="17365D"/>
                <w:sz w:val="18"/>
                <w:szCs w:val="18"/>
                <w:lang w:eastAsia="lv-LV"/>
              </w:rPr>
              <w:t>Ieņēmumi no speciālajiem nodokļu režīmiem</w:t>
            </w:r>
          </w:p>
        </w:tc>
        <w:tc>
          <w:tcPr>
            <w:tcW w:w="2552" w:type="dxa"/>
            <w:tcBorders>
              <w:top w:val="nil"/>
              <w:left w:val="nil"/>
              <w:bottom w:val="single" w:sz="4" w:space="0" w:color="000000"/>
              <w:right w:val="nil"/>
            </w:tcBorders>
            <w:shd w:val="clear" w:color="auto" w:fill="auto"/>
            <w:vAlign w:val="center"/>
          </w:tcPr>
          <w:p w14:paraId="67C3DDF4" w14:textId="142673F6" w:rsidR="00D74371" w:rsidRPr="002716E4" w:rsidRDefault="00D95C2C" w:rsidP="00D74371">
            <w:pPr>
              <w:spacing w:after="0" w:line="240" w:lineRule="auto"/>
              <w:jc w:val="right"/>
              <w:rPr>
                <w:rFonts w:eastAsia="Times New Roman" w:cs="Times New Roman"/>
                <w:color w:val="17365D"/>
                <w:sz w:val="18"/>
                <w:szCs w:val="18"/>
                <w:lang w:eastAsia="lv-LV"/>
              </w:rPr>
            </w:pPr>
            <w:r w:rsidRPr="00D95C2C">
              <w:rPr>
                <w:rFonts w:eastAsia="Times New Roman" w:cs="Times New Roman"/>
                <w:color w:val="17365D"/>
                <w:sz w:val="18"/>
                <w:szCs w:val="18"/>
                <w:lang w:eastAsia="lv-LV"/>
              </w:rPr>
              <w:t>21</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600</w:t>
            </w:r>
            <w:r>
              <w:rPr>
                <w:rFonts w:eastAsia="Times New Roman" w:cs="Times New Roman"/>
                <w:color w:val="17365D"/>
                <w:sz w:val="18"/>
                <w:szCs w:val="18"/>
                <w:lang w:eastAsia="lv-LV"/>
              </w:rPr>
              <w:t xml:space="preserve"> </w:t>
            </w:r>
            <w:r w:rsidRPr="00D95C2C">
              <w:rPr>
                <w:rFonts w:eastAsia="Times New Roman" w:cs="Times New Roman"/>
                <w:color w:val="17365D"/>
                <w:sz w:val="18"/>
                <w:szCs w:val="18"/>
                <w:lang w:eastAsia="lv-LV"/>
              </w:rPr>
              <w:t>126</w:t>
            </w:r>
          </w:p>
        </w:tc>
        <w:tc>
          <w:tcPr>
            <w:tcW w:w="2126" w:type="dxa"/>
            <w:tcBorders>
              <w:top w:val="nil"/>
              <w:left w:val="nil"/>
              <w:bottom w:val="single" w:sz="4" w:space="0" w:color="000000"/>
              <w:right w:val="nil"/>
            </w:tcBorders>
            <w:shd w:val="clear" w:color="auto" w:fill="auto"/>
            <w:vAlign w:val="center"/>
          </w:tcPr>
          <w:p w14:paraId="6026D319" w14:textId="77777777" w:rsidR="00D74371" w:rsidRPr="002716E4" w:rsidRDefault="00D74371" w:rsidP="00D74371">
            <w:pPr>
              <w:spacing w:after="0" w:line="240" w:lineRule="auto"/>
              <w:jc w:val="right"/>
              <w:rPr>
                <w:rFonts w:eastAsia="Times New Roman" w:cs="Times New Roman"/>
                <w:color w:val="17365D"/>
                <w:sz w:val="18"/>
                <w:szCs w:val="18"/>
                <w:lang w:eastAsia="lv-LV"/>
              </w:rPr>
            </w:pPr>
            <w:r w:rsidRPr="003672DF">
              <w:rPr>
                <w:rFonts w:eastAsia="Times New Roman" w:cs="Times New Roman"/>
                <w:color w:val="17365D"/>
                <w:sz w:val="18"/>
                <w:szCs w:val="18"/>
                <w:lang w:eastAsia="lv-LV"/>
              </w:rPr>
              <w:t>22 220 054</w:t>
            </w:r>
          </w:p>
        </w:tc>
      </w:tr>
      <w:tr w:rsidR="00D74371" w:rsidRPr="005A0A54" w14:paraId="5E307C22" w14:textId="77777777" w:rsidTr="00D74371">
        <w:trPr>
          <w:trHeight w:val="70"/>
        </w:trPr>
        <w:tc>
          <w:tcPr>
            <w:tcW w:w="4683" w:type="dxa"/>
            <w:tcBorders>
              <w:top w:val="single" w:sz="4" w:space="0" w:color="auto"/>
            </w:tcBorders>
            <w:shd w:val="clear" w:color="auto" w:fill="B8CCE4"/>
            <w:vAlign w:val="center"/>
          </w:tcPr>
          <w:p w14:paraId="7E90D54E" w14:textId="77777777" w:rsidR="00D74371" w:rsidRPr="005A0A54" w:rsidRDefault="00D74371" w:rsidP="00D74371">
            <w:pPr>
              <w:spacing w:after="0" w:line="240" w:lineRule="auto"/>
              <w:rPr>
                <w:rFonts w:eastAsia="Times New Roman" w:cs="Times New Roman"/>
                <w:color w:val="17365D"/>
                <w:sz w:val="18"/>
                <w:szCs w:val="18"/>
                <w:lang w:eastAsia="lv-LV"/>
              </w:rPr>
            </w:pPr>
          </w:p>
        </w:tc>
        <w:tc>
          <w:tcPr>
            <w:tcW w:w="2552" w:type="dxa"/>
            <w:tcBorders>
              <w:top w:val="single" w:sz="4" w:space="0" w:color="auto"/>
            </w:tcBorders>
            <w:shd w:val="clear" w:color="auto" w:fill="B8CCE4"/>
            <w:vAlign w:val="center"/>
          </w:tcPr>
          <w:p w14:paraId="15540A93" w14:textId="77777777" w:rsidR="00D74371" w:rsidRPr="005A0A54" w:rsidRDefault="00D74371" w:rsidP="00D74371">
            <w:pPr>
              <w:spacing w:after="0" w:line="240" w:lineRule="auto"/>
              <w:jc w:val="center"/>
              <w:rPr>
                <w:rFonts w:eastAsia="Times New Roman" w:cs="Times New Roman"/>
                <w:color w:val="17365D"/>
                <w:sz w:val="18"/>
                <w:szCs w:val="18"/>
                <w:lang w:eastAsia="lv-LV"/>
              </w:rPr>
            </w:pPr>
          </w:p>
        </w:tc>
        <w:tc>
          <w:tcPr>
            <w:tcW w:w="2126" w:type="dxa"/>
            <w:tcBorders>
              <w:top w:val="single" w:sz="4" w:space="0" w:color="auto"/>
            </w:tcBorders>
            <w:shd w:val="clear" w:color="auto" w:fill="B8CCE4"/>
          </w:tcPr>
          <w:p w14:paraId="542658FB" w14:textId="77777777" w:rsidR="00D74371" w:rsidRPr="005A0A54" w:rsidRDefault="00D74371" w:rsidP="00D74371">
            <w:pPr>
              <w:spacing w:after="0" w:line="240" w:lineRule="auto"/>
              <w:jc w:val="right"/>
              <w:rPr>
                <w:rFonts w:eastAsia="Times New Roman" w:cs="Times New Roman"/>
                <w:color w:val="17365D"/>
                <w:sz w:val="18"/>
                <w:szCs w:val="18"/>
                <w:lang w:eastAsia="lv-LV"/>
              </w:rPr>
            </w:pPr>
          </w:p>
        </w:tc>
      </w:tr>
    </w:tbl>
    <w:p w14:paraId="25C3C997" w14:textId="77777777" w:rsidR="00D74371" w:rsidRPr="00E05702" w:rsidRDefault="00D74371" w:rsidP="00D74371">
      <w:pPr>
        <w:pStyle w:val="Heading4"/>
        <w:rPr>
          <w:rFonts w:cs="Times New Roman"/>
        </w:rPr>
      </w:pPr>
      <w:r w:rsidRPr="00E05702">
        <w:rPr>
          <w:rFonts w:cs="Times New Roman"/>
        </w:rPr>
        <w:t>Piezīme N</w:t>
      </w:r>
      <w:r>
        <w:rPr>
          <w:rFonts w:cs="Times New Roman"/>
        </w:rPr>
        <w:t>r</w:t>
      </w:r>
      <w:r w:rsidRPr="00E05702">
        <w:rPr>
          <w:rFonts w:cs="Times New Roman"/>
        </w:rPr>
        <w:t>. FD.A12. Nenodokļu ieņēmumi</w:t>
      </w:r>
    </w:p>
    <w:p w14:paraId="63196FE2" w14:textId="0A40C7A1" w:rsidR="00D74371" w:rsidRPr="00411B64" w:rsidRDefault="00D74371" w:rsidP="00D74371">
      <w:pPr>
        <w:spacing w:after="120" w:line="240" w:lineRule="auto"/>
        <w:ind w:firstLine="360"/>
        <w:jc w:val="both"/>
        <w:rPr>
          <w:rFonts w:eastAsia="Arial Unicode MS" w:cs="Times New Roman"/>
          <w:color w:val="17365D"/>
          <w:szCs w:val="24"/>
        </w:rPr>
      </w:pPr>
      <w:r w:rsidRPr="00411B64">
        <w:rPr>
          <w:rFonts w:eastAsia="Times New Roman" w:cs="Times New Roman"/>
          <w:noProof/>
          <w:color w:val="17365D"/>
          <w:szCs w:val="24"/>
          <w:lang w:eastAsia="lv-LV"/>
        </w:rPr>
        <w:t>Lielāk</w:t>
      </w:r>
      <w:r w:rsidR="00A5127A">
        <w:rPr>
          <w:rFonts w:eastAsia="Times New Roman" w:cs="Times New Roman"/>
          <w:noProof/>
          <w:color w:val="17365D"/>
          <w:szCs w:val="24"/>
          <w:lang w:eastAsia="lv-LV"/>
        </w:rPr>
        <w:t>ā</w:t>
      </w:r>
      <w:r w:rsidRPr="00411B64">
        <w:rPr>
          <w:rFonts w:eastAsia="Times New Roman" w:cs="Times New Roman"/>
          <w:noProof/>
          <w:color w:val="17365D"/>
          <w:szCs w:val="24"/>
          <w:lang w:eastAsia="lv-LV"/>
        </w:rPr>
        <w:t xml:space="preserve">s </w:t>
      </w:r>
      <w:r>
        <w:rPr>
          <w:rFonts w:eastAsia="Times New Roman" w:cs="Times New Roman"/>
          <w:noProof/>
          <w:color w:val="17365D"/>
          <w:szCs w:val="24"/>
          <w:lang w:eastAsia="lv-LV"/>
        </w:rPr>
        <w:t>izmaiņas</w:t>
      </w:r>
      <w:r w:rsidRPr="00411B64">
        <w:rPr>
          <w:rFonts w:eastAsia="Times New Roman" w:cs="Times New Roman"/>
          <w:noProof/>
          <w:color w:val="17365D"/>
          <w:szCs w:val="24"/>
          <w:lang w:eastAsia="lv-LV"/>
        </w:rPr>
        <w:t xml:space="preserve"> poste</w:t>
      </w:r>
      <w:r>
        <w:rPr>
          <w:rFonts w:eastAsia="Times New Roman" w:cs="Times New Roman"/>
          <w:noProof/>
          <w:color w:val="17365D"/>
          <w:szCs w:val="24"/>
          <w:lang w:eastAsia="lv-LV"/>
        </w:rPr>
        <w:t>nī</w:t>
      </w:r>
      <w:r w:rsidRPr="00411B64">
        <w:rPr>
          <w:rFonts w:eastAsia="Times New Roman" w:cs="Times New Roman"/>
          <w:noProof/>
          <w:color w:val="17365D"/>
          <w:szCs w:val="24"/>
          <w:lang w:eastAsia="lv-LV"/>
        </w:rPr>
        <w:t xml:space="preserve"> </w:t>
      </w:r>
      <w:r>
        <w:rPr>
          <w:rFonts w:eastAsia="Times New Roman" w:cs="Times New Roman"/>
          <w:noProof/>
          <w:color w:val="17365D"/>
          <w:szCs w:val="24"/>
          <w:lang w:eastAsia="lv-LV"/>
        </w:rPr>
        <w:t>bija</w:t>
      </w:r>
      <w:r w:rsidRPr="00411B64">
        <w:rPr>
          <w:rFonts w:eastAsia="Times New Roman" w:cs="Times New Roman"/>
          <w:noProof/>
          <w:color w:val="17365D"/>
          <w:szCs w:val="24"/>
          <w:lang w:eastAsia="lv-LV"/>
        </w:rPr>
        <w:t xml:space="preserve"> </w:t>
      </w:r>
      <w:r w:rsidRPr="001D29DC">
        <w:rPr>
          <w:rFonts w:eastAsia="Arial Unicode MS" w:cs="Times New Roman"/>
          <w:color w:val="17365D"/>
          <w:szCs w:val="24"/>
        </w:rPr>
        <w:t>Valsts ieņēmumu dienesta administrēto valsts budžeta ieņēmumu uzskait</w:t>
      </w:r>
      <w:r>
        <w:rPr>
          <w:rFonts w:eastAsia="Arial Unicode MS" w:cs="Times New Roman"/>
          <w:color w:val="17365D"/>
          <w:szCs w:val="24"/>
        </w:rPr>
        <w:t xml:space="preserve">ē </w:t>
      </w:r>
      <w:r w:rsidRPr="00411B64">
        <w:rPr>
          <w:rFonts w:eastAsia="Arial Unicode MS" w:cs="Times New Roman"/>
          <w:color w:val="17365D"/>
          <w:szCs w:val="24"/>
        </w:rPr>
        <w:t xml:space="preserve">146 978 865 </w:t>
      </w:r>
      <w:r w:rsidRPr="00411B64">
        <w:rPr>
          <w:rFonts w:eastAsia="Arial Unicode MS" w:cs="Times New Roman"/>
          <w:i/>
          <w:color w:val="17365D"/>
          <w:szCs w:val="24"/>
        </w:rPr>
        <w:t>euro</w:t>
      </w:r>
      <w:r w:rsidRPr="00411B64">
        <w:rPr>
          <w:rFonts w:eastAsia="Arial Unicode MS" w:cs="Times New Roman"/>
          <w:color w:val="17365D"/>
          <w:szCs w:val="24"/>
        </w:rPr>
        <w:t xml:space="preserve"> vērtībā,</w:t>
      </w:r>
      <w:r>
        <w:rPr>
          <w:rFonts w:eastAsia="Arial Unicode MS" w:cs="Times New Roman"/>
          <w:color w:val="17365D"/>
          <w:szCs w:val="24"/>
        </w:rPr>
        <w:t xml:space="preserve"> kur</w:t>
      </w:r>
      <w:r w:rsidRPr="00411B64">
        <w:rPr>
          <w:rFonts w:eastAsia="Arial Unicode MS" w:cs="Times New Roman"/>
          <w:color w:val="17365D"/>
          <w:szCs w:val="24"/>
        </w:rPr>
        <w:t xml:space="preserve"> izmaiņas saistītas ar atzītiem ieņēmumiem par dividendēm no valsts kapitāla izmantošanas</w:t>
      </w:r>
    </w:p>
    <w:p w14:paraId="61E61C9F" w14:textId="77777777" w:rsidR="00D74371" w:rsidRPr="00411B64" w:rsidRDefault="00D74371" w:rsidP="00D74371">
      <w:pPr>
        <w:spacing w:after="120" w:line="240" w:lineRule="auto"/>
        <w:ind w:firstLine="360"/>
        <w:jc w:val="both"/>
        <w:rPr>
          <w:rFonts w:eastAsia="Arial Unicode MS" w:cs="Times New Roman"/>
          <w:color w:val="17365D"/>
          <w:szCs w:val="24"/>
        </w:rPr>
      </w:pPr>
      <w:r w:rsidRPr="00411B64">
        <w:rPr>
          <w:rFonts w:eastAsia="Arial Unicode MS" w:cs="Times New Roman"/>
          <w:color w:val="17365D"/>
          <w:szCs w:val="24"/>
        </w:rPr>
        <w:t xml:space="preserve">Klimata un enerģētikas ministrijai </w:t>
      </w:r>
      <w:r>
        <w:rPr>
          <w:rFonts w:eastAsia="Arial Unicode MS" w:cs="Times New Roman"/>
          <w:color w:val="17365D"/>
          <w:szCs w:val="24"/>
        </w:rPr>
        <w:t xml:space="preserve">posteņa </w:t>
      </w:r>
      <w:r w:rsidRPr="00411B64">
        <w:rPr>
          <w:rFonts w:eastAsia="Arial Unicode MS" w:cs="Times New Roman"/>
          <w:color w:val="17365D"/>
          <w:szCs w:val="24"/>
        </w:rPr>
        <w:t xml:space="preserve">izmaiņas 92 171 750 </w:t>
      </w:r>
      <w:r w:rsidRPr="00411B64">
        <w:rPr>
          <w:rFonts w:eastAsia="Arial Unicode MS" w:cs="Times New Roman"/>
          <w:i/>
          <w:color w:val="17365D"/>
          <w:szCs w:val="24"/>
        </w:rPr>
        <w:t>euro</w:t>
      </w:r>
      <w:r w:rsidRPr="00411B64">
        <w:rPr>
          <w:rFonts w:eastAsia="Arial Unicode MS" w:cs="Times New Roman"/>
          <w:color w:val="17365D"/>
          <w:szCs w:val="24"/>
        </w:rPr>
        <w:t xml:space="preserve"> vērtībā saistītas ar atzītiem ieņēmumiem no emisijas kvotu aktīvu atzīšanas, kuras ieejamas pārdošanai un kuras paredzētas izsolīt;</w:t>
      </w:r>
    </w:p>
    <w:p w14:paraId="53E4F2B3" w14:textId="77777777" w:rsidR="00D74371" w:rsidRPr="00411B64" w:rsidRDefault="00D74371" w:rsidP="00D74371">
      <w:pPr>
        <w:spacing w:after="120" w:line="240" w:lineRule="auto"/>
        <w:ind w:firstLine="360"/>
        <w:jc w:val="both"/>
        <w:rPr>
          <w:rFonts w:eastAsia="Arial Unicode MS" w:cs="Times New Roman"/>
          <w:color w:val="17365D"/>
          <w:szCs w:val="24"/>
        </w:rPr>
      </w:pPr>
      <w:r w:rsidRPr="00411B64">
        <w:rPr>
          <w:rFonts w:eastAsia="Arial Unicode MS" w:cs="Times New Roman"/>
          <w:color w:val="17365D"/>
          <w:szCs w:val="24"/>
        </w:rPr>
        <w:t xml:space="preserve">Labklājības ministrijai ieņēmumu </w:t>
      </w:r>
      <w:r>
        <w:rPr>
          <w:rFonts w:eastAsia="Arial Unicode MS" w:cs="Times New Roman"/>
          <w:color w:val="17365D"/>
          <w:szCs w:val="24"/>
        </w:rPr>
        <w:t>izmaiņas</w:t>
      </w:r>
      <w:r w:rsidRPr="00411B64">
        <w:rPr>
          <w:rFonts w:eastAsia="Arial Unicode MS" w:cs="Times New Roman"/>
          <w:color w:val="17365D"/>
          <w:szCs w:val="24"/>
        </w:rPr>
        <w:t xml:space="preserve"> (7 969 929) </w:t>
      </w:r>
      <w:r w:rsidRPr="00411B64">
        <w:rPr>
          <w:rFonts w:eastAsia="Arial Unicode MS" w:cs="Times New Roman"/>
          <w:i/>
          <w:color w:val="17365D"/>
          <w:szCs w:val="24"/>
        </w:rPr>
        <w:t>euro</w:t>
      </w:r>
      <w:r w:rsidRPr="00411B64">
        <w:rPr>
          <w:rFonts w:eastAsia="Arial Unicode MS" w:cs="Times New Roman"/>
          <w:color w:val="17365D"/>
          <w:szCs w:val="24"/>
        </w:rPr>
        <w:t xml:space="preserve"> vērtībā</w:t>
      </w:r>
      <w:r>
        <w:rPr>
          <w:rFonts w:eastAsia="Arial Unicode MS" w:cs="Times New Roman"/>
          <w:color w:val="17365D"/>
          <w:szCs w:val="24"/>
        </w:rPr>
        <w:t>,</w:t>
      </w:r>
      <w:r w:rsidRPr="00411B64">
        <w:rPr>
          <w:rFonts w:eastAsia="Arial Unicode MS" w:cs="Times New Roman"/>
          <w:color w:val="17365D"/>
          <w:szCs w:val="24"/>
        </w:rPr>
        <w:t xml:space="preserve"> </w:t>
      </w:r>
      <w:r w:rsidRPr="00C357A4">
        <w:rPr>
          <w:rFonts w:eastAsia="Arial Unicode MS" w:cs="Times New Roman"/>
          <w:color w:val="17365D"/>
          <w:szCs w:val="24"/>
        </w:rPr>
        <w:t>pārskata periodā samazinājušās iemaksas uzkrātā fondēto pensiju kapitālā</w:t>
      </w:r>
      <w:r w:rsidRPr="00411B64">
        <w:rPr>
          <w:rFonts w:eastAsia="Arial Unicode MS" w:cs="Times New Roman"/>
          <w:color w:val="17365D"/>
          <w:szCs w:val="24"/>
        </w:rPr>
        <w:t>.</w:t>
      </w:r>
    </w:p>
    <w:p w14:paraId="5316E1A5" w14:textId="3891EE2D" w:rsidR="00D74371" w:rsidRPr="00F159D0" w:rsidRDefault="00D74371" w:rsidP="00D74371">
      <w:pPr>
        <w:pStyle w:val="Heading4"/>
        <w:rPr>
          <w:rFonts w:cs="Times New Roman"/>
        </w:rPr>
      </w:pPr>
      <w:r w:rsidRPr="00E05702">
        <w:rPr>
          <w:rFonts w:cs="Times New Roman"/>
        </w:rPr>
        <w:t>Piezīme N</w:t>
      </w:r>
      <w:r>
        <w:rPr>
          <w:rFonts w:cs="Times New Roman"/>
        </w:rPr>
        <w:t>r.</w:t>
      </w:r>
      <w:r w:rsidRPr="00F159D0">
        <w:rPr>
          <w:rFonts w:cs="Times New Roman"/>
        </w:rPr>
        <w:t xml:space="preserve"> FD.A18. Procentu ieņ</w:t>
      </w:r>
      <w:r w:rsidR="002D64B0">
        <w:rPr>
          <w:rFonts w:cs="Times New Roman"/>
        </w:rPr>
        <w:t>ēmumi</w:t>
      </w:r>
    </w:p>
    <w:p w14:paraId="2FDB5E58" w14:textId="77777777" w:rsidR="00D74371" w:rsidRDefault="00D74371" w:rsidP="00D74371">
      <w:pPr>
        <w:pStyle w:val="Pamatteksts1"/>
        <w:ind w:left="284" w:firstLine="0"/>
        <w:rPr>
          <w:rFonts w:eastAsia="Arial Unicode MS"/>
          <w:color w:val="17365D"/>
        </w:rPr>
      </w:pPr>
      <w:r w:rsidRPr="00E60F26">
        <w:rPr>
          <w:rFonts w:eastAsia="Arial Unicode MS"/>
          <w:color w:val="17365D"/>
        </w:rPr>
        <w:t xml:space="preserve">Lielākais šī posteņa palielinājums </w:t>
      </w:r>
      <w:r>
        <w:rPr>
          <w:rFonts w:eastAsia="Arial Unicode MS"/>
          <w:color w:val="17365D"/>
        </w:rPr>
        <w:t>bija</w:t>
      </w:r>
      <w:r w:rsidRPr="00E60F26">
        <w:rPr>
          <w:rFonts w:eastAsia="Arial Unicode MS"/>
          <w:color w:val="17365D"/>
        </w:rPr>
        <w:t xml:space="preserve"> </w:t>
      </w:r>
      <w:r>
        <w:rPr>
          <w:rFonts w:eastAsia="Arial Unicode MS"/>
          <w:color w:val="17365D"/>
        </w:rPr>
        <w:t>v</w:t>
      </w:r>
      <w:r w:rsidRPr="00E60F26">
        <w:rPr>
          <w:rFonts w:eastAsia="Arial Unicode MS"/>
          <w:color w:val="17365D"/>
        </w:rPr>
        <w:t>alsts budžeta finanšu uzskaitē</w:t>
      </w:r>
      <w:r>
        <w:rPr>
          <w:rFonts w:eastAsia="Arial Unicode MS"/>
          <w:color w:val="17365D"/>
        </w:rPr>
        <w:t>:</w:t>
      </w:r>
      <w:r w:rsidRPr="00E60F26">
        <w:rPr>
          <w:rFonts w:eastAsia="Arial Unicode MS"/>
          <w:color w:val="17365D"/>
        </w:rPr>
        <w:t xml:space="preserve"> </w:t>
      </w:r>
    </w:p>
    <w:p w14:paraId="0DBF22EC" w14:textId="77777777" w:rsidR="00D74371" w:rsidRPr="00E60F26" w:rsidRDefault="00D74371" w:rsidP="00146A16">
      <w:pPr>
        <w:pStyle w:val="Pamatteksts1"/>
        <w:numPr>
          <w:ilvl w:val="1"/>
          <w:numId w:val="43"/>
        </w:numPr>
        <w:ind w:left="851" w:hanging="284"/>
        <w:rPr>
          <w:rFonts w:eastAsia="Arial Unicode MS"/>
          <w:color w:val="17365D"/>
        </w:rPr>
      </w:pPr>
      <w:r w:rsidRPr="00E60F26">
        <w:rPr>
          <w:rFonts w:eastAsia="Arial Unicode MS"/>
          <w:color w:val="17365D"/>
        </w:rPr>
        <w:t>izmaiņas 56</w:t>
      </w:r>
      <w:r>
        <w:rPr>
          <w:rFonts w:eastAsia="Arial Unicode MS"/>
          <w:color w:val="17365D"/>
        </w:rPr>
        <w:t> </w:t>
      </w:r>
      <w:r w:rsidRPr="00E60F26">
        <w:rPr>
          <w:rFonts w:eastAsia="Arial Unicode MS"/>
          <w:color w:val="17365D"/>
        </w:rPr>
        <w:t xml:space="preserve">439 450 </w:t>
      </w:r>
      <w:r w:rsidRPr="00E60F26">
        <w:rPr>
          <w:i/>
          <w:noProof w:val="0"/>
          <w:color w:val="17365D"/>
          <w:lang w:eastAsia="en-US"/>
        </w:rPr>
        <w:t>euro</w:t>
      </w:r>
      <w:r w:rsidRPr="00E60F26">
        <w:rPr>
          <w:noProof w:val="0"/>
          <w:color w:val="17365D"/>
          <w:lang w:eastAsia="en-US"/>
        </w:rPr>
        <w:t xml:space="preserve"> vērtībā</w:t>
      </w:r>
      <w:r w:rsidRPr="00E60F26">
        <w:rPr>
          <w:rFonts w:eastAsia="Arial Unicode MS"/>
          <w:color w:val="17365D"/>
        </w:rPr>
        <w:t xml:space="preserve"> saistītas ar atzītajiem procentu ieņēmumiem par Valsts kases kont</w:t>
      </w:r>
      <w:r>
        <w:rPr>
          <w:rFonts w:eastAsia="Arial Unicode MS"/>
          <w:color w:val="17365D"/>
        </w:rPr>
        <w:t>u</w:t>
      </w:r>
      <w:r w:rsidRPr="00E60F26">
        <w:rPr>
          <w:rFonts w:eastAsia="Arial Unicode MS"/>
          <w:color w:val="17365D"/>
        </w:rPr>
        <w:t xml:space="preserve"> atlikumiem XDR, USD un EUR valūtā;</w:t>
      </w:r>
    </w:p>
    <w:p w14:paraId="78AB801D" w14:textId="77777777" w:rsidR="00D74371" w:rsidRPr="00E60F26" w:rsidRDefault="00D74371" w:rsidP="00146A16">
      <w:pPr>
        <w:pStyle w:val="Pamatteksts1"/>
        <w:numPr>
          <w:ilvl w:val="1"/>
          <w:numId w:val="43"/>
        </w:numPr>
        <w:ind w:left="851" w:hanging="284"/>
        <w:rPr>
          <w:rFonts w:eastAsia="Arial Unicode MS"/>
          <w:color w:val="17365D"/>
        </w:rPr>
      </w:pPr>
      <w:r>
        <w:rPr>
          <w:rFonts w:eastAsia="Arial Unicode MS"/>
          <w:color w:val="17365D"/>
        </w:rPr>
        <w:t>izmaiņas</w:t>
      </w:r>
      <w:r w:rsidRPr="00E60F26">
        <w:rPr>
          <w:rFonts w:eastAsia="Arial Unicode MS"/>
          <w:color w:val="17365D"/>
        </w:rPr>
        <w:t xml:space="preserve"> 51</w:t>
      </w:r>
      <w:r>
        <w:rPr>
          <w:rFonts w:eastAsia="Arial Unicode MS"/>
          <w:color w:val="17365D"/>
        </w:rPr>
        <w:t> </w:t>
      </w:r>
      <w:r w:rsidRPr="00E60F26">
        <w:rPr>
          <w:rFonts w:eastAsia="Arial Unicode MS"/>
          <w:color w:val="17365D"/>
        </w:rPr>
        <w:t>494</w:t>
      </w:r>
      <w:r>
        <w:rPr>
          <w:rFonts w:eastAsia="Arial Unicode MS"/>
          <w:color w:val="17365D"/>
        </w:rPr>
        <w:t> </w:t>
      </w:r>
      <w:r w:rsidRPr="00E60F26">
        <w:rPr>
          <w:rFonts w:eastAsia="Arial Unicode MS"/>
          <w:color w:val="17365D"/>
        </w:rPr>
        <w:t xml:space="preserve">969 </w:t>
      </w:r>
      <w:r w:rsidRPr="00E60F26">
        <w:rPr>
          <w:i/>
          <w:noProof w:val="0"/>
          <w:color w:val="17365D"/>
          <w:lang w:eastAsia="en-US"/>
        </w:rPr>
        <w:t>euro</w:t>
      </w:r>
      <w:r w:rsidRPr="00E60F26">
        <w:rPr>
          <w:noProof w:val="0"/>
          <w:color w:val="17365D"/>
          <w:lang w:eastAsia="en-US"/>
        </w:rPr>
        <w:t xml:space="preserve"> vērtībā</w:t>
      </w:r>
      <w:r w:rsidRPr="00E60F26">
        <w:rPr>
          <w:rFonts w:eastAsia="Arial Unicode MS"/>
          <w:color w:val="17365D"/>
        </w:rPr>
        <w:t xml:space="preserve"> saistītas ar atzītajiem procentu ieņēmumiem par valsts izsniegtajiem aizdevumiem un valsts vārdā sniegtajiem galvojumiem;</w:t>
      </w:r>
    </w:p>
    <w:p w14:paraId="665EC435" w14:textId="77777777" w:rsidR="00D74371" w:rsidRPr="00E60F26" w:rsidRDefault="00D74371" w:rsidP="00146A16">
      <w:pPr>
        <w:pStyle w:val="Pamatteksts1"/>
        <w:numPr>
          <w:ilvl w:val="1"/>
          <w:numId w:val="43"/>
        </w:numPr>
        <w:ind w:left="851" w:hanging="284"/>
        <w:rPr>
          <w:rFonts w:eastAsia="Arial Unicode MS"/>
          <w:color w:val="17365D"/>
        </w:rPr>
      </w:pPr>
      <w:r>
        <w:rPr>
          <w:rFonts w:eastAsia="Arial Unicode MS"/>
          <w:color w:val="17365D"/>
        </w:rPr>
        <w:lastRenderedPageBreak/>
        <w:t>izmaiņas</w:t>
      </w:r>
      <w:r w:rsidRPr="00E60F26">
        <w:rPr>
          <w:rFonts w:eastAsia="Arial Unicode MS"/>
          <w:color w:val="17365D"/>
        </w:rPr>
        <w:t xml:space="preserve"> 7</w:t>
      </w:r>
      <w:r>
        <w:rPr>
          <w:rFonts w:eastAsia="Arial Unicode MS"/>
          <w:color w:val="17365D"/>
        </w:rPr>
        <w:t> </w:t>
      </w:r>
      <w:r w:rsidRPr="00E60F26">
        <w:rPr>
          <w:rFonts w:eastAsia="Arial Unicode MS"/>
          <w:color w:val="17365D"/>
        </w:rPr>
        <w:t xml:space="preserve">449 961 </w:t>
      </w:r>
      <w:r w:rsidRPr="00E60F26">
        <w:rPr>
          <w:i/>
          <w:noProof w:val="0"/>
          <w:color w:val="17365D"/>
          <w:lang w:eastAsia="en-US"/>
        </w:rPr>
        <w:t>euro</w:t>
      </w:r>
      <w:r w:rsidRPr="00E60F26">
        <w:rPr>
          <w:noProof w:val="0"/>
          <w:color w:val="17365D"/>
          <w:lang w:eastAsia="en-US"/>
        </w:rPr>
        <w:t xml:space="preserve"> vērtībā</w:t>
      </w:r>
      <w:r w:rsidRPr="00E60F26">
        <w:rPr>
          <w:rFonts w:eastAsia="Arial Unicode MS"/>
          <w:color w:val="17365D"/>
        </w:rPr>
        <w:t xml:space="preserve"> saistītas ar atzītiem procentu ieņēmumiem par naudas ekvivalentiem, kuru sākotnējais termiņš nepārsniedz 90 dienas.</w:t>
      </w:r>
    </w:p>
    <w:p w14:paraId="5C99FFD7" w14:textId="77777777" w:rsidR="00D74371" w:rsidRPr="00A27896" w:rsidRDefault="00D74371" w:rsidP="00D74371">
      <w:pPr>
        <w:pStyle w:val="Pamatteksts1"/>
        <w:ind w:firstLine="284"/>
        <w:rPr>
          <w:rFonts w:eastAsia="Arial Unicode MS"/>
          <w:noProof w:val="0"/>
          <w:color w:val="17365D"/>
          <w:lang w:eastAsia="en-US"/>
        </w:rPr>
      </w:pPr>
      <w:r>
        <w:rPr>
          <w:rFonts w:eastAsia="Arial Unicode MS"/>
          <w:noProof w:val="0"/>
          <w:color w:val="17365D"/>
          <w:lang w:eastAsia="en-US"/>
        </w:rPr>
        <w:t>Informācija par p</w:t>
      </w:r>
      <w:r w:rsidRPr="00A27896">
        <w:rPr>
          <w:rFonts w:eastAsia="Arial Unicode MS"/>
          <w:noProof w:val="0"/>
          <w:color w:val="17365D"/>
          <w:lang w:eastAsia="en-US"/>
        </w:rPr>
        <w:t>rocentu ieņēmumi</w:t>
      </w:r>
      <w:r>
        <w:rPr>
          <w:rFonts w:eastAsia="Arial Unicode MS"/>
          <w:noProof w:val="0"/>
          <w:color w:val="17365D"/>
          <w:lang w:eastAsia="en-US"/>
        </w:rPr>
        <w:t>em</w:t>
      </w:r>
      <w:r w:rsidRPr="00A27896">
        <w:rPr>
          <w:rFonts w:eastAsia="Arial Unicode MS"/>
          <w:noProof w:val="0"/>
          <w:color w:val="17365D"/>
          <w:lang w:eastAsia="en-US"/>
        </w:rPr>
        <w:t xml:space="preserve"> sadalījumā pa darījuma veidiem norādīti </w:t>
      </w:r>
      <w:r>
        <w:rPr>
          <w:rFonts w:eastAsia="Arial Unicode MS"/>
          <w:noProof w:val="0"/>
          <w:color w:val="17365D"/>
          <w:lang w:eastAsia="en-US"/>
        </w:rPr>
        <w:t>2.3.</w:t>
      </w:r>
      <w:r w:rsidRPr="009C6F0C">
        <w:rPr>
          <w:rFonts w:eastAsia="Arial Unicode MS"/>
          <w:noProof w:val="0"/>
          <w:color w:val="17365D"/>
          <w:lang w:eastAsia="en-US"/>
        </w:rPr>
        <w:t xml:space="preserve"> tabulā</w:t>
      </w:r>
      <w:r w:rsidRPr="00A27896">
        <w:rPr>
          <w:rFonts w:eastAsia="Arial Unicode MS"/>
          <w:noProof w:val="0"/>
          <w:color w:val="17365D"/>
          <w:lang w:eastAsia="en-US"/>
        </w:rPr>
        <w:t>.</w:t>
      </w:r>
    </w:p>
    <w:p w14:paraId="1AF8CC1A" w14:textId="77777777" w:rsidR="00D74371" w:rsidRPr="00A27896" w:rsidRDefault="00D74371" w:rsidP="00D74371">
      <w:pPr>
        <w:pStyle w:val="Tabulasnosaukums1"/>
        <w:spacing w:before="0"/>
        <w:ind w:left="720"/>
        <w:rPr>
          <w:rFonts w:eastAsia="Arial Unicode MS" w:cs="Times New Roman"/>
          <w:i/>
          <w:color w:val="17365D"/>
        </w:rPr>
      </w:pPr>
      <w:r>
        <w:rPr>
          <w:rFonts w:eastAsia="Arial Unicode MS" w:cs="Times New Roman"/>
          <w:i/>
          <w:color w:val="17365D"/>
        </w:rPr>
        <w:t>2.3.</w:t>
      </w:r>
      <w:r w:rsidRPr="00A27896">
        <w:rPr>
          <w:rFonts w:eastAsia="Arial Unicode MS" w:cs="Times New Roman"/>
          <w:i/>
          <w:color w:val="17365D"/>
        </w:rPr>
        <w:t xml:space="preserve"> tabula. Procentu ieņēmumi (euro)</w:t>
      </w:r>
    </w:p>
    <w:tbl>
      <w:tblPr>
        <w:tblW w:w="9361" w:type="dxa"/>
        <w:tblInd w:w="-5" w:type="dxa"/>
        <w:tblLook w:val="04A0" w:firstRow="1" w:lastRow="0" w:firstColumn="1" w:lastColumn="0" w:noHBand="0" w:noVBand="1"/>
      </w:tblPr>
      <w:tblGrid>
        <w:gridCol w:w="10"/>
        <w:gridCol w:w="5240"/>
        <w:gridCol w:w="1274"/>
        <w:gridCol w:w="994"/>
        <w:gridCol w:w="707"/>
        <w:gridCol w:w="1136"/>
      </w:tblGrid>
      <w:tr w:rsidR="00D74371" w:rsidRPr="008A1CD6" w14:paraId="7D915B5C" w14:textId="77777777" w:rsidTr="00566860">
        <w:trPr>
          <w:gridBefore w:val="1"/>
          <w:wBefore w:w="10" w:type="dxa"/>
          <w:trHeight w:val="255"/>
          <w:tblHeader/>
        </w:trPr>
        <w:tc>
          <w:tcPr>
            <w:tcW w:w="5240" w:type="dxa"/>
            <w:tcBorders>
              <w:bottom w:val="single" w:sz="4" w:space="0" w:color="17365D"/>
            </w:tcBorders>
            <w:shd w:val="clear" w:color="auto" w:fill="B8CCE4" w:themeFill="accent1" w:themeFillTint="66"/>
            <w:vAlign w:val="center"/>
            <w:hideMark/>
          </w:tcPr>
          <w:p w14:paraId="55BAB1A0" w14:textId="77777777" w:rsidR="00D74371" w:rsidRPr="008A1CD6" w:rsidRDefault="00D74371" w:rsidP="00D74371">
            <w:pPr>
              <w:spacing w:after="0" w:line="240" w:lineRule="auto"/>
              <w:jc w:val="center"/>
              <w:rPr>
                <w:rFonts w:eastAsia="Arial Unicode MS" w:cs="Times New Roman"/>
                <w:b/>
                <w:color w:val="17365D"/>
                <w:sz w:val="18"/>
                <w:szCs w:val="18"/>
              </w:rPr>
            </w:pPr>
            <w:r w:rsidRPr="008A1CD6">
              <w:rPr>
                <w:rFonts w:eastAsia="Arial Unicode MS" w:cs="Times New Roman"/>
                <w:b/>
                <w:color w:val="17365D"/>
                <w:sz w:val="18"/>
                <w:szCs w:val="18"/>
              </w:rPr>
              <w:t>Darījuma apraksts</w:t>
            </w:r>
          </w:p>
        </w:tc>
        <w:tc>
          <w:tcPr>
            <w:tcW w:w="2268" w:type="dxa"/>
            <w:gridSpan w:val="2"/>
            <w:tcBorders>
              <w:bottom w:val="single" w:sz="4" w:space="0" w:color="17365D"/>
            </w:tcBorders>
            <w:shd w:val="clear" w:color="auto" w:fill="B8CCE4" w:themeFill="accent1" w:themeFillTint="66"/>
            <w:vAlign w:val="center"/>
            <w:hideMark/>
          </w:tcPr>
          <w:p w14:paraId="763D1918" w14:textId="77777777" w:rsidR="00D74371" w:rsidRPr="008A1CD6" w:rsidRDefault="00D74371" w:rsidP="00D74371">
            <w:pPr>
              <w:spacing w:after="0" w:line="240" w:lineRule="auto"/>
              <w:jc w:val="center"/>
              <w:rPr>
                <w:rFonts w:eastAsia="Arial Unicode MS" w:cs="Times New Roman"/>
                <w:b/>
                <w:color w:val="17365D"/>
                <w:sz w:val="18"/>
                <w:szCs w:val="18"/>
              </w:rPr>
            </w:pPr>
            <w:r w:rsidRPr="008A1CD6">
              <w:rPr>
                <w:rFonts w:eastAsia="Arial Unicode MS" w:cs="Times New Roman"/>
                <w:b/>
                <w:color w:val="17365D"/>
                <w:sz w:val="18"/>
                <w:szCs w:val="18"/>
              </w:rPr>
              <w:t>Pārskata periodā</w:t>
            </w:r>
          </w:p>
        </w:tc>
        <w:tc>
          <w:tcPr>
            <w:tcW w:w="1843" w:type="dxa"/>
            <w:gridSpan w:val="2"/>
            <w:tcBorders>
              <w:bottom w:val="single" w:sz="4" w:space="0" w:color="17365D"/>
            </w:tcBorders>
            <w:shd w:val="clear" w:color="auto" w:fill="B8CCE4" w:themeFill="accent1" w:themeFillTint="66"/>
          </w:tcPr>
          <w:p w14:paraId="20F8A2FC" w14:textId="77777777" w:rsidR="00D74371" w:rsidRPr="008A1CD6" w:rsidRDefault="00D74371" w:rsidP="00D74371">
            <w:pPr>
              <w:spacing w:after="0" w:line="240" w:lineRule="auto"/>
              <w:jc w:val="center"/>
              <w:rPr>
                <w:rFonts w:eastAsia="Arial Unicode MS" w:cs="Times New Roman"/>
                <w:b/>
                <w:color w:val="17365D"/>
                <w:sz w:val="18"/>
                <w:szCs w:val="18"/>
              </w:rPr>
            </w:pPr>
            <w:r w:rsidRPr="008A1CD6">
              <w:rPr>
                <w:rFonts w:eastAsia="Arial Unicode MS" w:cs="Times New Roman"/>
                <w:b/>
                <w:color w:val="17365D"/>
                <w:sz w:val="18"/>
                <w:szCs w:val="18"/>
              </w:rPr>
              <w:t>Iepriekšējā pārskata periodā</w:t>
            </w:r>
          </w:p>
        </w:tc>
      </w:tr>
      <w:tr w:rsidR="00D74371" w:rsidRPr="008A1CD6" w14:paraId="6204F784" w14:textId="77777777" w:rsidTr="00475A10">
        <w:trPr>
          <w:gridBefore w:val="1"/>
          <w:wBefore w:w="10" w:type="dxa"/>
          <w:trHeight w:val="255"/>
          <w:tblHeader/>
        </w:trPr>
        <w:tc>
          <w:tcPr>
            <w:tcW w:w="5240" w:type="dxa"/>
            <w:tcBorders>
              <w:top w:val="single" w:sz="4" w:space="0" w:color="17365D"/>
              <w:bottom w:val="single" w:sz="4" w:space="0" w:color="000000"/>
            </w:tcBorders>
            <w:shd w:val="clear" w:color="auto" w:fill="auto"/>
            <w:vAlign w:val="center"/>
            <w:hideMark/>
          </w:tcPr>
          <w:p w14:paraId="4C6AD301" w14:textId="77777777" w:rsidR="00D74371" w:rsidRPr="00475A10" w:rsidRDefault="00D74371" w:rsidP="00D74371">
            <w:pPr>
              <w:spacing w:after="0" w:line="240" w:lineRule="auto"/>
              <w:jc w:val="center"/>
              <w:rPr>
                <w:rFonts w:eastAsia="Arial Unicode MS" w:cs="Times New Roman"/>
                <w:b/>
                <w:color w:val="17365D"/>
                <w:sz w:val="18"/>
                <w:szCs w:val="18"/>
              </w:rPr>
            </w:pPr>
            <w:r w:rsidRPr="00475A10">
              <w:rPr>
                <w:rFonts w:eastAsia="Arial Unicode MS" w:cs="Times New Roman"/>
                <w:b/>
                <w:color w:val="17365D"/>
                <w:sz w:val="18"/>
                <w:szCs w:val="18"/>
              </w:rPr>
              <w:t>A</w:t>
            </w:r>
          </w:p>
        </w:tc>
        <w:tc>
          <w:tcPr>
            <w:tcW w:w="2268" w:type="dxa"/>
            <w:gridSpan w:val="2"/>
            <w:tcBorders>
              <w:top w:val="single" w:sz="4" w:space="0" w:color="17365D"/>
              <w:bottom w:val="single" w:sz="4" w:space="0" w:color="000000"/>
            </w:tcBorders>
            <w:shd w:val="clear" w:color="auto" w:fill="auto"/>
            <w:vAlign w:val="center"/>
            <w:hideMark/>
          </w:tcPr>
          <w:p w14:paraId="392DAD7F" w14:textId="77777777" w:rsidR="00D74371" w:rsidRPr="00475A10" w:rsidRDefault="00D74371" w:rsidP="00D74371">
            <w:pPr>
              <w:spacing w:after="0" w:line="240" w:lineRule="auto"/>
              <w:jc w:val="center"/>
              <w:rPr>
                <w:rFonts w:eastAsia="Arial Unicode MS" w:cs="Times New Roman"/>
                <w:b/>
                <w:color w:val="17365D"/>
                <w:sz w:val="18"/>
                <w:szCs w:val="18"/>
              </w:rPr>
            </w:pPr>
            <w:r w:rsidRPr="00475A10">
              <w:rPr>
                <w:rFonts w:eastAsia="Arial Unicode MS" w:cs="Times New Roman"/>
                <w:b/>
                <w:color w:val="17365D"/>
                <w:sz w:val="18"/>
                <w:szCs w:val="18"/>
              </w:rPr>
              <w:t>1</w:t>
            </w:r>
          </w:p>
        </w:tc>
        <w:tc>
          <w:tcPr>
            <w:tcW w:w="1843" w:type="dxa"/>
            <w:gridSpan w:val="2"/>
            <w:tcBorders>
              <w:top w:val="single" w:sz="4" w:space="0" w:color="17365D"/>
              <w:bottom w:val="single" w:sz="4" w:space="0" w:color="000000"/>
            </w:tcBorders>
            <w:shd w:val="clear" w:color="auto" w:fill="auto"/>
            <w:vAlign w:val="center"/>
          </w:tcPr>
          <w:p w14:paraId="2865BCB3" w14:textId="77777777" w:rsidR="00D74371" w:rsidRPr="00475A10" w:rsidRDefault="00D74371" w:rsidP="00D74371">
            <w:pPr>
              <w:spacing w:after="0" w:line="240" w:lineRule="auto"/>
              <w:jc w:val="center"/>
              <w:rPr>
                <w:rFonts w:eastAsia="Arial Unicode MS" w:cs="Times New Roman"/>
                <w:b/>
                <w:color w:val="17365D"/>
                <w:sz w:val="18"/>
                <w:szCs w:val="18"/>
              </w:rPr>
            </w:pPr>
            <w:r w:rsidRPr="00475A10">
              <w:rPr>
                <w:rFonts w:eastAsia="Arial Unicode MS" w:cs="Times New Roman"/>
                <w:b/>
                <w:color w:val="17365D"/>
                <w:sz w:val="18"/>
                <w:szCs w:val="18"/>
              </w:rPr>
              <w:t>2</w:t>
            </w:r>
          </w:p>
        </w:tc>
      </w:tr>
      <w:tr w:rsidR="00D74371" w:rsidRPr="008A1CD6" w14:paraId="09F8892C" w14:textId="77777777" w:rsidTr="00566860">
        <w:trPr>
          <w:gridBefore w:val="1"/>
          <w:wBefore w:w="10" w:type="dxa"/>
          <w:trHeight w:val="243"/>
        </w:trPr>
        <w:tc>
          <w:tcPr>
            <w:tcW w:w="5240" w:type="dxa"/>
            <w:tcBorders>
              <w:top w:val="single" w:sz="4" w:space="0" w:color="000000"/>
              <w:bottom w:val="single" w:sz="4" w:space="0" w:color="000000"/>
            </w:tcBorders>
            <w:shd w:val="clear" w:color="auto" w:fill="auto"/>
            <w:vAlign w:val="center"/>
          </w:tcPr>
          <w:p w14:paraId="739870A5" w14:textId="77777777" w:rsidR="00D74371" w:rsidRPr="008A1CD6" w:rsidRDefault="00D74371" w:rsidP="00D74371">
            <w:pPr>
              <w:spacing w:after="0" w:line="240" w:lineRule="auto"/>
              <w:rPr>
                <w:rFonts w:eastAsia="Times New Roman" w:cs="Times New Roman"/>
                <w:color w:val="17365D"/>
                <w:sz w:val="18"/>
                <w:szCs w:val="18"/>
                <w:lang w:eastAsia="lv-LV"/>
              </w:rPr>
            </w:pPr>
            <w:r w:rsidRPr="008A1CD6">
              <w:rPr>
                <w:rFonts w:eastAsia="Times New Roman" w:cs="Times New Roman"/>
                <w:b/>
                <w:color w:val="17365D"/>
                <w:sz w:val="18"/>
                <w:szCs w:val="18"/>
                <w:lang w:eastAsia="lv-LV"/>
              </w:rPr>
              <w:t>Procentu ieņēmumi</w:t>
            </w:r>
          </w:p>
        </w:tc>
        <w:tc>
          <w:tcPr>
            <w:tcW w:w="2268" w:type="dxa"/>
            <w:gridSpan w:val="2"/>
            <w:tcBorders>
              <w:top w:val="single" w:sz="4" w:space="0" w:color="000000"/>
              <w:bottom w:val="single" w:sz="4" w:space="0" w:color="000000"/>
            </w:tcBorders>
            <w:shd w:val="clear" w:color="auto" w:fill="auto"/>
            <w:vAlign w:val="center"/>
          </w:tcPr>
          <w:p w14:paraId="3A266726" w14:textId="77777777" w:rsidR="00D74371" w:rsidRPr="008A1CD6" w:rsidRDefault="00D74371" w:rsidP="00D74371">
            <w:pPr>
              <w:spacing w:after="0" w:line="240" w:lineRule="auto"/>
              <w:jc w:val="right"/>
              <w:rPr>
                <w:rFonts w:eastAsia="Times New Roman" w:cs="Times New Roman"/>
                <w:b/>
                <w:color w:val="17365D"/>
                <w:sz w:val="18"/>
                <w:szCs w:val="18"/>
                <w:lang w:eastAsia="lv-LV"/>
              </w:rPr>
            </w:pPr>
            <w:r w:rsidRPr="008A1CD6">
              <w:rPr>
                <w:rFonts w:eastAsia="Times New Roman" w:cs="Times New Roman"/>
                <w:b/>
                <w:color w:val="17365D"/>
                <w:sz w:val="18"/>
                <w:szCs w:val="18"/>
                <w:lang w:eastAsia="lv-LV"/>
              </w:rPr>
              <w:t>173 777 043</w:t>
            </w:r>
          </w:p>
        </w:tc>
        <w:tc>
          <w:tcPr>
            <w:tcW w:w="1843" w:type="dxa"/>
            <w:gridSpan w:val="2"/>
            <w:tcBorders>
              <w:top w:val="single" w:sz="4" w:space="0" w:color="000000"/>
              <w:bottom w:val="single" w:sz="4" w:space="0" w:color="000000"/>
            </w:tcBorders>
            <w:shd w:val="clear" w:color="auto" w:fill="auto"/>
            <w:vAlign w:val="center"/>
          </w:tcPr>
          <w:p w14:paraId="6E4FE45C" w14:textId="77777777" w:rsidR="00D74371" w:rsidRPr="008A1CD6" w:rsidRDefault="00D74371" w:rsidP="00D74371">
            <w:pPr>
              <w:spacing w:after="0" w:line="240" w:lineRule="auto"/>
              <w:jc w:val="right"/>
              <w:rPr>
                <w:rFonts w:eastAsia="Times New Roman" w:cs="Times New Roman"/>
                <w:b/>
                <w:color w:val="17365D"/>
                <w:sz w:val="18"/>
                <w:szCs w:val="18"/>
                <w:lang w:eastAsia="lv-LV"/>
              </w:rPr>
            </w:pPr>
            <w:r w:rsidRPr="008A1CD6">
              <w:rPr>
                <w:rFonts w:eastAsia="Times New Roman" w:cs="Times New Roman"/>
                <w:b/>
                <w:color w:val="17365D"/>
                <w:sz w:val="18"/>
                <w:szCs w:val="18"/>
                <w:lang w:eastAsia="lv-LV"/>
              </w:rPr>
              <w:t>62 438 548</w:t>
            </w:r>
          </w:p>
        </w:tc>
      </w:tr>
      <w:tr w:rsidR="00D74371" w:rsidRPr="008A1CD6" w14:paraId="44CB52FE" w14:textId="77777777" w:rsidTr="00566860">
        <w:trPr>
          <w:gridBefore w:val="1"/>
          <w:wBefore w:w="10" w:type="dxa"/>
          <w:trHeight w:val="510"/>
        </w:trPr>
        <w:tc>
          <w:tcPr>
            <w:tcW w:w="5240" w:type="dxa"/>
            <w:tcBorders>
              <w:top w:val="single" w:sz="4" w:space="0" w:color="000000"/>
              <w:bottom w:val="single" w:sz="4" w:space="0" w:color="000000"/>
            </w:tcBorders>
            <w:shd w:val="clear" w:color="auto" w:fill="auto"/>
            <w:vAlign w:val="center"/>
          </w:tcPr>
          <w:p w14:paraId="1EB31841" w14:textId="77777777" w:rsidR="00D74371" w:rsidRPr="008A1CD6" w:rsidRDefault="00D74371" w:rsidP="00D74371">
            <w:pPr>
              <w:spacing w:after="0" w:line="240" w:lineRule="auto"/>
              <w:rPr>
                <w:rFonts w:eastAsia="Times New Roman" w:cs="Times New Roman"/>
                <w:color w:val="17365D"/>
                <w:sz w:val="18"/>
                <w:szCs w:val="18"/>
                <w:lang w:eastAsia="lv-LV"/>
              </w:rPr>
            </w:pPr>
            <w:r w:rsidRPr="008A1CD6">
              <w:rPr>
                <w:rFonts w:eastAsia="Times New Roman" w:cs="Times New Roman"/>
                <w:color w:val="17365D"/>
                <w:sz w:val="18"/>
                <w:szCs w:val="18"/>
                <w:lang w:eastAsia="lv-LV"/>
              </w:rPr>
              <w:t>Procentu ieņēmumi par kontu atlikumiem un naudas līdzekļu ekvivalentiem</w:t>
            </w:r>
          </w:p>
        </w:tc>
        <w:tc>
          <w:tcPr>
            <w:tcW w:w="2268" w:type="dxa"/>
            <w:gridSpan w:val="2"/>
            <w:tcBorders>
              <w:top w:val="nil"/>
              <w:bottom w:val="single" w:sz="4" w:space="0" w:color="000000"/>
            </w:tcBorders>
            <w:shd w:val="clear" w:color="auto" w:fill="auto"/>
            <w:vAlign w:val="center"/>
          </w:tcPr>
          <w:p w14:paraId="57B64317"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79 116 707</w:t>
            </w:r>
          </w:p>
        </w:tc>
        <w:tc>
          <w:tcPr>
            <w:tcW w:w="1843" w:type="dxa"/>
            <w:gridSpan w:val="2"/>
            <w:tcBorders>
              <w:top w:val="nil"/>
              <w:bottom w:val="single" w:sz="4" w:space="0" w:color="000000"/>
            </w:tcBorders>
            <w:shd w:val="clear" w:color="auto" w:fill="auto"/>
            <w:vAlign w:val="center"/>
          </w:tcPr>
          <w:p w14:paraId="06389C28"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14 345 409</w:t>
            </w:r>
          </w:p>
        </w:tc>
      </w:tr>
      <w:tr w:rsidR="00D74371" w:rsidRPr="008A1CD6" w14:paraId="40133117" w14:textId="77777777" w:rsidTr="00566860">
        <w:trPr>
          <w:gridBefore w:val="1"/>
          <w:wBefore w:w="10" w:type="dxa"/>
          <w:trHeight w:val="510"/>
        </w:trPr>
        <w:tc>
          <w:tcPr>
            <w:tcW w:w="5240" w:type="dxa"/>
            <w:tcBorders>
              <w:top w:val="nil"/>
              <w:bottom w:val="single" w:sz="4" w:space="0" w:color="000000"/>
            </w:tcBorders>
            <w:shd w:val="clear" w:color="auto" w:fill="auto"/>
            <w:vAlign w:val="center"/>
            <w:hideMark/>
          </w:tcPr>
          <w:p w14:paraId="473BB769" w14:textId="77777777" w:rsidR="00D74371" w:rsidRPr="008A1CD6" w:rsidRDefault="00D74371" w:rsidP="00D74371">
            <w:pPr>
              <w:spacing w:after="0" w:line="240" w:lineRule="auto"/>
              <w:rPr>
                <w:rFonts w:eastAsia="Times New Roman" w:cs="Times New Roman"/>
                <w:color w:val="17365D"/>
                <w:sz w:val="18"/>
                <w:szCs w:val="18"/>
                <w:lang w:eastAsia="lv-LV"/>
              </w:rPr>
            </w:pPr>
            <w:r w:rsidRPr="008A1CD6">
              <w:rPr>
                <w:rFonts w:eastAsia="Times New Roman" w:cs="Times New Roman"/>
                <w:color w:val="17365D"/>
                <w:sz w:val="18"/>
                <w:szCs w:val="18"/>
                <w:lang w:eastAsia="lv-LV"/>
              </w:rPr>
              <w:t>Procentu ieņēmumi par finanšu instrumentiem, izņemot PVFA un PVFS:</w:t>
            </w:r>
          </w:p>
        </w:tc>
        <w:tc>
          <w:tcPr>
            <w:tcW w:w="2268" w:type="dxa"/>
            <w:gridSpan w:val="2"/>
            <w:tcBorders>
              <w:top w:val="nil"/>
              <w:bottom w:val="single" w:sz="4" w:space="0" w:color="000000"/>
            </w:tcBorders>
            <w:shd w:val="clear" w:color="auto" w:fill="auto"/>
            <w:vAlign w:val="center"/>
          </w:tcPr>
          <w:p w14:paraId="58F80884"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89 458 164</w:t>
            </w:r>
          </w:p>
        </w:tc>
        <w:tc>
          <w:tcPr>
            <w:tcW w:w="1843" w:type="dxa"/>
            <w:gridSpan w:val="2"/>
            <w:tcBorders>
              <w:top w:val="nil"/>
              <w:bottom w:val="single" w:sz="4" w:space="0" w:color="000000"/>
            </w:tcBorders>
            <w:shd w:val="clear" w:color="auto" w:fill="auto"/>
            <w:vAlign w:val="center"/>
          </w:tcPr>
          <w:p w14:paraId="3E6B93D5"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40 298 380</w:t>
            </w:r>
          </w:p>
        </w:tc>
      </w:tr>
      <w:tr w:rsidR="00D74371" w:rsidRPr="008A1CD6" w14:paraId="389C9F67" w14:textId="77777777" w:rsidTr="00566860">
        <w:trPr>
          <w:gridBefore w:val="1"/>
          <w:wBefore w:w="10" w:type="dxa"/>
          <w:trHeight w:val="255"/>
        </w:trPr>
        <w:tc>
          <w:tcPr>
            <w:tcW w:w="5240" w:type="dxa"/>
            <w:tcBorders>
              <w:top w:val="nil"/>
              <w:bottom w:val="single" w:sz="4" w:space="0" w:color="000000"/>
            </w:tcBorders>
            <w:shd w:val="clear" w:color="auto" w:fill="auto"/>
            <w:vAlign w:val="center"/>
          </w:tcPr>
          <w:p w14:paraId="3B4F099C" w14:textId="77777777" w:rsidR="00D74371" w:rsidRPr="008A1CD6" w:rsidRDefault="00D74371" w:rsidP="00D74371">
            <w:pPr>
              <w:spacing w:after="0" w:line="240" w:lineRule="auto"/>
              <w:ind w:left="175"/>
              <w:rPr>
                <w:rFonts w:eastAsia="Times New Roman" w:cs="Times New Roman"/>
                <w:color w:val="17365D"/>
                <w:sz w:val="18"/>
                <w:szCs w:val="18"/>
                <w:lang w:eastAsia="lv-LV"/>
              </w:rPr>
            </w:pPr>
            <w:r w:rsidRPr="008A1CD6">
              <w:rPr>
                <w:rFonts w:eastAsia="Times New Roman" w:cs="Times New Roman"/>
                <w:color w:val="17365D"/>
                <w:sz w:val="18"/>
                <w:szCs w:val="18"/>
                <w:lang w:eastAsia="lv-LV"/>
              </w:rPr>
              <w:t>Līdz termiņa beigām turētie ieguldījumi</w:t>
            </w:r>
          </w:p>
        </w:tc>
        <w:tc>
          <w:tcPr>
            <w:tcW w:w="2268" w:type="dxa"/>
            <w:gridSpan w:val="2"/>
            <w:tcBorders>
              <w:top w:val="nil"/>
              <w:bottom w:val="single" w:sz="4" w:space="0" w:color="000000"/>
            </w:tcBorders>
            <w:shd w:val="clear" w:color="auto" w:fill="auto"/>
            <w:vAlign w:val="center"/>
          </w:tcPr>
          <w:p w14:paraId="62307FBC"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21 222 923</w:t>
            </w:r>
          </w:p>
        </w:tc>
        <w:tc>
          <w:tcPr>
            <w:tcW w:w="1843" w:type="dxa"/>
            <w:gridSpan w:val="2"/>
            <w:tcBorders>
              <w:top w:val="nil"/>
              <w:bottom w:val="single" w:sz="4" w:space="0" w:color="000000"/>
            </w:tcBorders>
            <w:shd w:val="clear" w:color="auto" w:fill="auto"/>
            <w:vAlign w:val="center"/>
          </w:tcPr>
          <w:p w14:paraId="79A135DF"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4 521 028</w:t>
            </w:r>
          </w:p>
        </w:tc>
      </w:tr>
      <w:tr w:rsidR="00D74371" w:rsidRPr="008A1CD6" w14:paraId="3E7CEC3E" w14:textId="77777777" w:rsidTr="00566860">
        <w:trPr>
          <w:gridBefore w:val="1"/>
          <w:wBefore w:w="10" w:type="dxa"/>
          <w:trHeight w:val="255"/>
        </w:trPr>
        <w:tc>
          <w:tcPr>
            <w:tcW w:w="5240" w:type="dxa"/>
            <w:tcBorders>
              <w:top w:val="nil"/>
              <w:bottom w:val="single" w:sz="4" w:space="0" w:color="000000"/>
            </w:tcBorders>
            <w:shd w:val="clear" w:color="auto" w:fill="auto"/>
            <w:vAlign w:val="center"/>
            <w:hideMark/>
          </w:tcPr>
          <w:p w14:paraId="6B9C01C4" w14:textId="77777777" w:rsidR="00D74371" w:rsidRPr="008A1CD6" w:rsidRDefault="00D74371" w:rsidP="00D74371">
            <w:pPr>
              <w:spacing w:after="0" w:line="240" w:lineRule="auto"/>
              <w:ind w:left="175"/>
              <w:rPr>
                <w:rFonts w:eastAsia="Times New Roman" w:cs="Times New Roman"/>
                <w:color w:val="17365D"/>
                <w:sz w:val="18"/>
                <w:szCs w:val="18"/>
                <w:lang w:eastAsia="lv-LV"/>
              </w:rPr>
            </w:pPr>
            <w:r w:rsidRPr="008A1CD6">
              <w:rPr>
                <w:rFonts w:eastAsia="Times New Roman" w:cs="Times New Roman"/>
                <w:color w:val="17365D"/>
                <w:sz w:val="18"/>
                <w:szCs w:val="18"/>
                <w:lang w:eastAsia="lv-LV"/>
              </w:rPr>
              <w:t>Aizdevumi un prasības</w:t>
            </w:r>
          </w:p>
        </w:tc>
        <w:tc>
          <w:tcPr>
            <w:tcW w:w="2268" w:type="dxa"/>
            <w:gridSpan w:val="2"/>
            <w:tcBorders>
              <w:top w:val="nil"/>
              <w:bottom w:val="single" w:sz="4" w:space="0" w:color="000000"/>
            </w:tcBorders>
            <w:shd w:val="clear" w:color="auto" w:fill="auto"/>
            <w:vAlign w:val="center"/>
          </w:tcPr>
          <w:p w14:paraId="5AFCA3C1"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46 730 723</w:t>
            </w:r>
          </w:p>
        </w:tc>
        <w:tc>
          <w:tcPr>
            <w:tcW w:w="1843" w:type="dxa"/>
            <w:gridSpan w:val="2"/>
            <w:tcBorders>
              <w:top w:val="nil"/>
              <w:bottom w:val="single" w:sz="4" w:space="0" w:color="000000"/>
            </w:tcBorders>
            <w:shd w:val="clear" w:color="auto" w:fill="auto"/>
            <w:vAlign w:val="center"/>
          </w:tcPr>
          <w:p w14:paraId="2922FE27"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16 972 995</w:t>
            </w:r>
          </w:p>
        </w:tc>
      </w:tr>
      <w:tr w:rsidR="00D74371" w:rsidRPr="008A1CD6" w14:paraId="0CBF8167" w14:textId="77777777" w:rsidTr="00566860">
        <w:trPr>
          <w:gridBefore w:val="1"/>
          <w:wBefore w:w="10" w:type="dxa"/>
          <w:trHeight w:val="255"/>
        </w:trPr>
        <w:tc>
          <w:tcPr>
            <w:tcW w:w="5240" w:type="dxa"/>
            <w:tcBorders>
              <w:top w:val="nil"/>
              <w:bottom w:val="single" w:sz="4" w:space="0" w:color="000000"/>
            </w:tcBorders>
            <w:shd w:val="clear" w:color="auto" w:fill="auto"/>
            <w:vAlign w:val="center"/>
            <w:hideMark/>
          </w:tcPr>
          <w:p w14:paraId="597FEAB4" w14:textId="77777777" w:rsidR="00D74371" w:rsidRPr="008A1CD6" w:rsidRDefault="00D74371" w:rsidP="00D74371">
            <w:pPr>
              <w:spacing w:after="0" w:line="240" w:lineRule="auto"/>
              <w:ind w:left="175"/>
              <w:rPr>
                <w:rFonts w:eastAsia="Times New Roman" w:cs="Times New Roman"/>
                <w:color w:val="17365D"/>
                <w:sz w:val="18"/>
                <w:szCs w:val="18"/>
                <w:lang w:eastAsia="lv-LV"/>
              </w:rPr>
            </w:pPr>
            <w:r w:rsidRPr="008A1CD6">
              <w:rPr>
                <w:rFonts w:eastAsia="Times New Roman" w:cs="Times New Roman"/>
                <w:color w:val="17365D"/>
                <w:sz w:val="18"/>
                <w:szCs w:val="18"/>
                <w:lang w:eastAsia="lv-LV"/>
              </w:rPr>
              <w:t>Pārdošanai pieejamie finanšu aktīvi</w:t>
            </w:r>
          </w:p>
        </w:tc>
        <w:tc>
          <w:tcPr>
            <w:tcW w:w="2268" w:type="dxa"/>
            <w:gridSpan w:val="2"/>
            <w:tcBorders>
              <w:top w:val="nil"/>
              <w:bottom w:val="single" w:sz="4" w:space="0" w:color="000000"/>
            </w:tcBorders>
            <w:shd w:val="clear" w:color="auto" w:fill="auto"/>
            <w:vAlign w:val="center"/>
          </w:tcPr>
          <w:p w14:paraId="1B5BCF9D"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75 667</w:t>
            </w:r>
          </w:p>
        </w:tc>
        <w:tc>
          <w:tcPr>
            <w:tcW w:w="1843" w:type="dxa"/>
            <w:gridSpan w:val="2"/>
            <w:tcBorders>
              <w:top w:val="nil"/>
              <w:bottom w:val="single" w:sz="4" w:space="0" w:color="000000"/>
            </w:tcBorders>
            <w:shd w:val="clear" w:color="auto" w:fill="auto"/>
            <w:vAlign w:val="center"/>
          </w:tcPr>
          <w:p w14:paraId="2C3873CE"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202</w:t>
            </w:r>
          </w:p>
        </w:tc>
      </w:tr>
      <w:tr w:rsidR="00D74371" w:rsidRPr="008A1CD6" w14:paraId="319D7F6D" w14:textId="77777777" w:rsidTr="00566860">
        <w:trPr>
          <w:gridBefore w:val="1"/>
          <w:wBefore w:w="10" w:type="dxa"/>
          <w:trHeight w:val="255"/>
        </w:trPr>
        <w:tc>
          <w:tcPr>
            <w:tcW w:w="5240" w:type="dxa"/>
            <w:tcBorders>
              <w:top w:val="nil"/>
              <w:bottom w:val="single" w:sz="4" w:space="0" w:color="000000"/>
            </w:tcBorders>
            <w:shd w:val="clear" w:color="auto" w:fill="auto"/>
            <w:vAlign w:val="center"/>
            <w:hideMark/>
          </w:tcPr>
          <w:p w14:paraId="29D3FE8C" w14:textId="77777777" w:rsidR="00D74371" w:rsidRPr="008A1CD6" w:rsidRDefault="00D74371" w:rsidP="00D74371">
            <w:pPr>
              <w:spacing w:after="0" w:line="240" w:lineRule="auto"/>
              <w:ind w:left="175"/>
              <w:rPr>
                <w:rFonts w:eastAsia="Times New Roman" w:cs="Times New Roman"/>
                <w:color w:val="17365D"/>
                <w:sz w:val="18"/>
                <w:szCs w:val="18"/>
                <w:lang w:eastAsia="lv-LV"/>
              </w:rPr>
            </w:pPr>
            <w:r w:rsidRPr="008A1CD6">
              <w:rPr>
                <w:rFonts w:eastAsia="Times New Roman" w:cs="Times New Roman"/>
                <w:color w:val="17365D"/>
                <w:sz w:val="18"/>
                <w:szCs w:val="18"/>
                <w:lang w:eastAsia="lv-LV"/>
              </w:rPr>
              <w:t>Finanšu saistības, kas novērtētas amortizētajā vērtībā, un citas finanšu saistības</w:t>
            </w:r>
          </w:p>
        </w:tc>
        <w:tc>
          <w:tcPr>
            <w:tcW w:w="2268" w:type="dxa"/>
            <w:gridSpan w:val="2"/>
            <w:tcBorders>
              <w:top w:val="single" w:sz="4" w:space="0" w:color="000000"/>
              <w:bottom w:val="single" w:sz="4" w:space="0" w:color="000000"/>
            </w:tcBorders>
            <w:shd w:val="clear" w:color="auto" w:fill="auto"/>
            <w:vAlign w:val="center"/>
          </w:tcPr>
          <w:p w14:paraId="44D90831"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21 428 851</w:t>
            </w:r>
          </w:p>
        </w:tc>
        <w:tc>
          <w:tcPr>
            <w:tcW w:w="1843" w:type="dxa"/>
            <w:gridSpan w:val="2"/>
            <w:tcBorders>
              <w:top w:val="single" w:sz="4" w:space="0" w:color="000000"/>
              <w:bottom w:val="single" w:sz="4" w:space="0" w:color="000000"/>
            </w:tcBorders>
            <w:shd w:val="clear" w:color="auto" w:fill="auto"/>
            <w:vAlign w:val="center"/>
          </w:tcPr>
          <w:p w14:paraId="551C16A4"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18 804 155</w:t>
            </w:r>
          </w:p>
        </w:tc>
      </w:tr>
      <w:tr w:rsidR="00D74371" w:rsidRPr="008A1CD6" w14:paraId="0CB1C495" w14:textId="77777777" w:rsidTr="00566860">
        <w:trPr>
          <w:gridBefore w:val="1"/>
          <w:wBefore w:w="10" w:type="dxa"/>
          <w:trHeight w:val="255"/>
        </w:trPr>
        <w:tc>
          <w:tcPr>
            <w:tcW w:w="5240" w:type="dxa"/>
            <w:tcBorders>
              <w:top w:val="nil"/>
              <w:bottom w:val="single" w:sz="4" w:space="0" w:color="000000"/>
            </w:tcBorders>
            <w:shd w:val="clear" w:color="auto" w:fill="auto"/>
            <w:vAlign w:val="center"/>
            <w:hideMark/>
          </w:tcPr>
          <w:p w14:paraId="022E3704" w14:textId="77777777" w:rsidR="00D74371" w:rsidRPr="008A1CD6" w:rsidRDefault="00D74371" w:rsidP="00D74371">
            <w:pPr>
              <w:spacing w:after="0" w:line="240" w:lineRule="auto"/>
              <w:rPr>
                <w:rFonts w:eastAsia="Times New Roman" w:cs="Times New Roman"/>
                <w:color w:val="17365D"/>
                <w:sz w:val="18"/>
                <w:szCs w:val="18"/>
                <w:lang w:eastAsia="lv-LV"/>
              </w:rPr>
            </w:pPr>
            <w:r w:rsidRPr="008A1CD6">
              <w:rPr>
                <w:rFonts w:eastAsia="Times New Roman" w:cs="Times New Roman"/>
                <w:color w:val="17365D"/>
                <w:sz w:val="18"/>
                <w:szCs w:val="18"/>
                <w:lang w:eastAsia="lv-LV"/>
              </w:rPr>
              <w:t>Pārējie procentu ieņēmumi</w:t>
            </w:r>
          </w:p>
        </w:tc>
        <w:tc>
          <w:tcPr>
            <w:tcW w:w="2268" w:type="dxa"/>
            <w:gridSpan w:val="2"/>
            <w:tcBorders>
              <w:top w:val="nil"/>
              <w:bottom w:val="single" w:sz="4" w:space="0" w:color="000000"/>
            </w:tcBorders>
            <w:shd w:val="clear" w:color="auto" w:fill="auto"/>
            <w:vAlign w:val="center"/>
          </w:tcPr>
          <w:p w14:paraId="420153B1"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5 202 172</w:t>
            </w:r>
          </w:p>
        </w:tc>
        <w:tc>
          <w:tcPr>
            <w:tcW w:w="1843" w:type="dxa"/>
            <w:gridSpan w:val="2"/>
            <w:tcBorders>
              <w:top w:val="nil"/>
              <w:bottom w:val="single" w:sz="4" w:space="0" w:color="000000"/>
            </w:tcBorders>
            <w:shd w:val="clear" w:color="auto" w:fill="auto"/>
            <w:vAlign w:val="center"/>
          </w:tcPr>
          <w:p w14:paraId="47F492D5" w14:textId="77777777" w:rsidR="00D74371" w:rsidRPr="008A1CD6" w:rsidRDefault="00D74371" w:rsidP="00D74371">
            <w:pPr>
              <w:spacing w:after="0" w:line="240" w:lineRule="auto"/>
              <w:jc w:val="right"/>
              <w:rPr>
                <w:rFonts w:eastAsia="Times New Roman" w:cs="Times New Roman"/>
                <w:color w:val="17365D"/>
                <w:sz w:val="18"/>
                <w:szCs w:val="18"/>
                <w:lang w:eastAsia="lv-LV"/>
              </w:rPr>
            </w:pPr>
            <w:r w:rsidRPr="008A1CD6">
              <w:rPr>
                <w:rFonts w:eastAsia="Times New Roman" w:cs="Times New Roman"/>
                <w:color w:val="17365D"/>
                <w:sz w:val="18"/>
                <w:szCs w:val="18"/>
                <w:lang w:eastAsia="lv-LV"/>
              </w:rPr>
              <w:t>7 794 759</w:t>
            </w:r>
          </w:p>
        </w:tc>
      </w:tr>
      <w:tr w:rsidR="00D74371" w:rsidRPr="005A0A54" w14:paraId="1DA68D06" w14:textId="77777777" w:rsidTr="00566860">
        <w:tblPrEx>
          <w:tblBorders>
            <w:insideH w:val="single" w:sz="4" w:space="0" w:color="auto"/>
          </w:tblBorders>
        </w:tblPrEx>
        <w:trPr>
          <w:trHeight w:val="70"/>
        </w:trPr>
        <w:tc>
          <w:tcPr>
            <w:tcW w:w="6524" w:type="dxa"/>
            <w:gridSpan w:val="3"/>
            <w:tcBorders>
              <w:top w:val="single" w:sz="4" w:space="0" w:color="auto"/>
              <w:bottom w:val="nil"/>
            </w:tcBorders>
            <w:shd w:val="clear" w:color="auto" w:fill="B8CCE4"/>
            <w:vAlign w:val="center"/>
          </w:tcPr>
          <w:p w14:paraId="1ACF3B62" w14:textId="77777777" w:rsidR="00D74371" w:rsidRPr="005A0A54" w:rsidRDefault="00D74371" w:rsidP="00D74371">
            <w:pPr>
              <w:spacing w:after="0" w:line="240" w:lineRule="auto"/>
              <w:rPr>
                <w:rFonts w:eastAsia="Times New Roman" w:cs="Times New Roman"/>
                <w:color w:val="17365D"/>
                <w:sz w:val="18"/>
                <w:szCs w:val="18"/>
                <w:lang w:eastAsia="lv-LV"/>
              </w:rPr>
            </w:pPr>
          </w:p>
        </w:tc>
        <w:tc>
          <w:tcPr>
            <w:tcW w:w="1701" w:type="dxa"/>
            <w:gridSpan w:val="2"/>
            <w:tcBorders>
              <w:top w:val="single" w:sz="4" w:space="0" w:color="auto"/>
              <w:bottom w:val="nil"/>
            </w:tcBorders>
            <w:shd w:val="clear" w:color="auto" w:fill="B8CCE4"/>
            <w:vAlign w:val="center"/>
          </w:tcPr>
          <w:p w14:paraId="1B25DB5F" w14:textId="77777777" w:rsidR="00D74371" w:rsidRPr="005A0A54" w:rsidRDefault="00D74371" w:rsidP="00D74371">
            <w:pPr>
              <w:spacing w:after="0" w:line="240" w:lineRule="auto"/>
              <w:jc w:val="center"/>
              <w:rPr>
                <w:rFonts w:eastAsia="Times New Roman" w:cs="Times New Roman"/>
                <w:color w:val="17365D"/>
                <w:sz w:val="18"/>
                <w:szCs w:val="18"/>
                <w:lang w:eastAsia="lv-LV"/>
              </w:rPr>
            </w:pPr>
          </w:p>
        </w:tc>
        <w:tc>
          <w:tcPr>
            <w:tcW w:w="1136" w:type="dxa"/>
            <w:tcBorders>
              <w:top w:val="single" w:sz="4" w:space="0" w:color="auto"/>
              <w:bottom w:val="nil"/>
            </w:tcBorders>
            <w:shd w:val="clear" w:color="auto" w:fill="B8CCE4"/>
          </w:tcPr>
          <w:p w14:paraId="165D8AE7" w14:textId="77777777" w:rsidR="00D74371" w:rsidRPr="005A0A54" w:rsidRDefault="00D74371" w:rsidP="00D74371">
            <w:pPr>
              <w:spacing w:after="0" w:line="240" w:lineRule="auto"/>
              <w:jc w:val="right"/>
              <w:rPr>
                <w:rFonts w:eastAsia="Times New Roman" w:cs="Times New Roman"/>
                <w:color w:val="17365D"/>
                <w:sz w:val="18"/>
                <w:szCs w:val="18"/>
                <w:lang w:eastAsia="lv-LV"/>
              </w:rPr>
            </w:pPr>
          </w:p>
        </w:tc>
      </w:tr>
    </w:tbl>
    <w:p w14:paraId="197CCF23" w14:textId="77777777" w:rsidR="00D74371" w:rsidRPr="00E24B5B" w:rsidRDefault="00D74371" w:rsidP="00D74371">
      <w:pPr>
        <w:pStyle w:val="Heading4"/>
        <w:rPr>
          <w:noProof/>
          <w:lang w:eastAsia="lv-LV"/>
        </w:rPr>
      </w:pPr>
      <w:r w:rsidRPr="00E05702">
        <w:t>Piezīme N</w:t>
      </w:r>
      <w:r>
        <w:t>r.</w:t>
      </w:r>
      <w:r w:rsidRPr="00F159D0">
        <w:t xml:space="preserve"> </w:t>
      </w:r>
      <w:r w:rsidRPr="00E24B5B">
        <w:rPr>
          <w:noProof/>
          <w:lang w:eastAsia="lv-LV"/>
        </w:rPr>
        <w:t>FD.A19. Pārējie ieņēmumi, kas nav klasificēti A11. līdz A18. rindā</w:t>
      </w:r>
    </w:p>
    <w:p w14:paraId="64232EC8" w14:textId="62E20095" w:rsidR="00D74371" w:rsidRPr="00E24B5B" w:rsidRDefault="00D74371" w:rsidP="00146A16">
      <w:pPr>
        <w:pStyle w:val="ListParagraph"/>
        <w:numPr>
          <w:ilvl w:val="0"/>
          <w:numId w:val="28"/>
        </w:numPr>
        <w:spacing w:after="120" w:line="240" w:lineRule="auto"/>
        <w:ind w:left="567" w:hanging="283"/>
        <w:contextualSpacing w:val="0"/>
        <w:jc w:val="both"/>
        <w:rPr>
          <w:rFonts w:eastAsia="Times New Roman" w:cs="Times New Roman"/>
          <w:noProof/>
          <w:color w:val="17365D"/>
          <w:szCs w:val="24"/>
          <w:lang w:eastAsia="lv-LV"/>
        </w:rPr>
      </w:pPr>
      <w:r w:rsidRPr="00E24B5B">
        <w:rPr>
          <w:rFonts w:eastAsia="Times New Roman" w:cs="Times New Roman"/>
          <w:noProof/>
          <w:color w:val="17365D"/>
          <w:szCs w:val="24"/>
          <w:lang w:eastAsia="lv-LV"/>
        </w:rPr>
        <w:t>Lielāk</w:t>
      </w:r>
      <w:r w:rsidR="00A5127A">
        <w:rPr>
          <w:rFonts w:eastAsia="Times New Roman" w:cs="Times New Roman"/>
          <w:noProof/>
          <w:color w:val="17365D"/>
          <w:szCs w:val="24"/>
          <w:lang w:eastAsia="lv-LV"/>
        </w:rPr>
        <w:t>ās</w:t>
      </w:r>
      <w:r w:rsidRPr="00E24B5B">
        <w:rPr>
          <w:rFonts w:eastAsia="Times New Roman" w:cs="Times New Roman"/>
          <w:noProof/>
          <w:color w:val="17365D"/>
          <w:szCs w:val="24"/>
          <w:lang w:eastAsia="lv-LV"/>
        </w:rPr>
        <w:t xml:space="preserve"> </w:t>
      </w:r>
      <w:r>
        <w:rPr>
          <w:rFonts w:eastAsia="Times New Roman" w:cs="Times New Roman"/>
          <w:noProof/>
          <w:color w:val="17365D"/>
          <w:szCs w:val="24"/>
          <w:lang w:eastAsia="lv-LV"/>
        </w:rPr>
        <w:t>izmaiņas</w:t>
      </w:r>
      <w:r w:rsidRPr="00E24B5B">
        <w:rPr>
          <w:rFonts w:eastAsia="Times New Roman" w:cs="Times New Roman"/>
          <w:noProof/>
          <w:color w:val="17365D"/>
          <w:szCs w:val="24"/>
          <w:lang w:eastAsia="lv-LV"/>
        </w:rPr>
        <w:t xml:space="preserve"> </w:t>
      </w:r>
      <w:r>
        <w:rPr>
          <w:rFonts w:eastAsia="Times New Roman" w:cs="Times New Roman"/>
          <w:noProof/>
          <w:color w:val="17365D"/>
          <w:szCs w:val="24"/>
          <w:lang w:eastAsia="lv-LV"/>
        </w:rPr>
        <w:t>bija</w:t>
      </w:r>
      <w:r w:rsidRPr="00E24B5B">
        <w:rPr>
          <w:rFonts w:eastAsia="Times New Roman" w:cs="Times New Roman"/>
          <w:noProof/>
          <w:color w:val="17365D"/>
          <w:szCs w:val="24"/>
          <w:lang w:eastAsia="lv-LV"/>
        </w:rPr>
        <w:t xml:space="preserve"> </w:t>
      </w:r>
      <w:r w:rsidR="0098708A" w:rsidRPr="0098708A">
        <w:rPr>
          <w:rFonts w:eastAsia="Arial Unicode MS" w:cs="Times New Roman"/>
          <w:color w:val="17365D"/>
          <w:szCs w:val="24"/>
        </w:rPr>
        <w:t>Valsts ieņēmumu dienesta administrēto valsts budžeta ieņēmumu uzskaitē</w:t>
      </w:r>
      <w:r w:rsidR="00E950BE">
        <w:rPr>
          <w:rFonts w:eastAsia="Arial Unicode MS" w:cs="Times New Roman"/>
          <w:color w:val="17365D"/>
          <w:szCs w:val="24"/>
        </w:rPr>
        <w:t xml:space="preserve"> </w:t>
      </w:r>
      <w:r w:rsidR="00E950BE" w:rsidRPr="00E950BE">
        <w:rPr>
          <w:rFonts w:eastAsia="Arial Unicode MS" w:cs="Times New Roman"/>
          <w:color w:val="17365D"/>
          <w:szCs w:val="24"/>
        </w:rPr>
        <w:t>321</w:t>
      </w:r>
      <w:r w:rsidR="00E950BE">
        <w:rPr>
          <w:rFonts w:eastAsia="Arial Unicode MS" w:cs="Times New Roman"/>
          <w:color w:val="17365D"/>
          <w:szCs w:val="24"/>
        </w:rPr>
        <w:t> </w:t>
      </w:r>
      <w:r w:rsidR="00E950BE" w:rsidRPr="00E950BE">
        <w:rPr>
          <w:rFonts w:eastAsia="Arial Unicode MS" w:cs="Times New Roman"/>
          <w:color w:val="17365D"/>
          <w:szCs w:val="24"/>
        </w:rPr>
        <w:t>305</w:t>
      </w:r>
      <w:r w:rsidR="00E950BE">
        <w:rPr>
          <w:rFonts w:eastAsia="Arial Unicode MS" w:cs="Times New Roman"/>
          <w:color w:val="17365D"/>
          <w:szCs w:val="24"/>
        </w:rPr>
        <w:t> </w:t>
      </w:r>
      <w:r w:rsidR="00E950BE" w:rsidRPr="00E950BE">
        <w:rPr>
          <w:rFonts w:eastAsia="Arial Unicode MS" w:cs="Times New Roman"/>
          <w:color w:val="17365D"/>
          <w:szCs w:val="24"/>
        </w:rPr>
        <w:t>312</w:t>
      </w:r>
      <w:r w:rsidR="00E950BE">
        <w:rPr>
          <w:rFonts w:eastAsia="Arial Unicode MS" w:cs="Times New Roman"/>
          <w:color w:val="17365D"/>
          <w:szCs w:val="24"/>
        </w:rPr>
        <w:t xml:space="preserve"> </w:t>
      </w:r>
      <w:r w:rsidRPr="00E24B5B">
        <w:rPr>
          <w:rFonts w:eastAsia="Times New Roman" w:cs="Times New Roman"/>
          <w:i/>
          <w:noProof/>
          <w:color w:val="17365D"/>
          <w:szCs w:val="24"/>
          <w:lang w:eastAsia="lv-LV"/>
        </w:rPr>
        <w:t>euro</w:t>
      </w:r>
      <w:r w:rsidRPr="00E24B5B">
        <w:rPr>
          <w:rFonts w:eastAsia="Times New Roman" w:cs="Times New Roman"/>
          <w:noProof/>
          <w:color w:val="17365D"/>
          <w:szCs w:val="24"/>
          <w:lang w:eastAsia="lv-LV"/>
        </w:rPr>
        <w:t xml:space="preserve"> vērtībā </w:t>
      </w:r>
      <w:r>
        <w:rPr>
          <w:rFonts w:eastAsia="Times New Roman" w:cs="Times New Roman"/>
          <w:noProof/>
          <w:color w:val="17365D"/>
          <w:szCs w:val="24"/>
          <w:lang w:eastAsia="lv-LV"/>
        </w:rPr>
        <w:t>p</w:t>
      </w:r>
      <w:r w:rsidRPr="00E24B5B">
        <w:rPr>
          <w:rFonts w:eastAsia="Times New Roman" w:cs="Times New Roman"/>
          <w:noProof/>
          <w:color w:val="17365D"/>
          <w:szCs w:val="24"/>
          <w:lang w:eastAsia="lv-LV"/>
        </w:rPr>
        <w:t>ar atzītiem ieņēmumiem no vērtības samazinājuma norakstīšanas prasībām par nodokļiem, nodevām un citiem maksājumiem budžetos;</w:t>
      </w:r>
    </w:p>
    <w:p w14:paraId="34C689EB" w14:textId="77777777" w:rsidR="00D74371" w:rsidRPr="00E24B5B" w:rsidRDefault="00D74371" w:rsidP="00146A16">
      <w:pPr>
        <w:pStyle w:val="ListParagraph"/>
        <w:numPr>
          <w:ilvl w:val="0"/>
          <w:numId w:val="28"/>
        </w:numPr>
        <w:spacing w:after="120" w:line="240" w:lineRule="auto"/>
        <w:ind w:left="567" w:hanging="283"/>
        <w:contextualSpacing w:val="0"/>
        <w:jc w:val="both"/>
        <w:rPr>
          <w:rFonts w:eastAsia="Times New Roman" w:cs="Times New Roman"/>
          <w:noProof/>
          <w:color w:val="17365D"/>
          <w:szCs w:val="24"/>
          <w:lang w:eastAsia="lv-LV"/>
        </w:rPr>
      </w:pPr>
      <w:r w:rsidRPr="00E24B5B">
        <w:rPr>
          <w:rFonts w:eastAsia="Times New Roman" w:cs="Times New Roman"/>
          <w:noProof/>
          <w:color w:val="17365D"/>
          <w:szCs w:val="24"/>
          <w:lang w:eastAsia="lv-LV"/>
        </w:rPr>
        <w:t>palielinājums Ekonomikas ministrijai 244</w:t>
      </w:r>
      <w:r>
        <w:rPr>
          <w:rFonts w:eastAsia="Times New Roman" w:cs="Times New Roman"/>
          <w:noProof/>
          <w:color w:val="17365D"/>
          <w:szCs w:val="24"/>
          <w:lang w:eastAsia="lv-LV"/>
        </w:rPr>
        <w:t> </w:t>
      </w:r>
      <w:r w:rsidRPr="00E24B5B">
        <w:rPr>
          <w:rFonts w:eastAsia="Times New Roman" w:cs="Times New Roman"/>
          <w:noProof/>
          <w:color w:val="17365D"/>
          <w:szCs w:val="24"/>
          <w:lang w:eastAsia="lv-LV"/>
        </w:rPr>
        <w:t>118</w:t>
      </w:r>
      <w:r>
        <w:rPr>
          <w:rFonts w:eastAsia="Times New Roman" w:cs="Times New Roman"/>
          <w:noProof/>
          <w:color w:val="17365D"/>
          <w:szCs w:val="24"/>
          <w:lang w:eastAsia="lv-LV"/>
        </w:rPr>
        <w:t> </w:t>
      </w:r>
      <w:r w:rsidRPr="00E24B5B">
        <w:rPr>
          <w:rFonts w:eastAsia="Times New Roman" w:cs="Times New Roman"/>
          <w:noProof/>
          <w:color w:val="17365D"/>
          <w:szCs w:val="24"/>
          <w:lang w:eastAsia="lv-LV"/>
        </w:rPr>
        <w:t xml:space="preserve">546 </w:t>
      </w:r>
      <w:r w:rsidRPr="00E24B5B">
        <w:rPr>
          <w:rFonts w:eastAsia="Times New Roman" w:cs="Times New Roman"/>
          <w:i/>
          <w:noProof/>
          <w:color w:val="17365D"/>
          <w:szCs w:val="24"/>
          <w:lang w:eastAsia="lv-LV"/>
        </w:rPr>
        <w:t>euro</w:t>
      </w:r>
      <w:r w:rsidRPr="00E24B5B">
        <w:rPr>
          <w:rFonts w:eastAsia="Times New Roman" w:cs="Times New Roman"/>
          <w:noProof/>
          <w:color w:val="17365D"/>
          <w:szCs w:val="24"/>
          <w:lang w:eastAsia="lv-LV"/>
        </w:rPr>
        <w:t xml:space="preserve"> vērtībā </w:t>
      </w:r>
      <w:r>
        <w:rPr>
          <w:rFonts w:eastAsia="Times New Roman" w:cs="Times New Roman"/>
          <w:noProof/>
          <w:color w:val="17365D"/>
          <w:szCs w:val="24"/>
          <w:lang w:eastAsia="lv-LV"/>
        </w:rPr>
        <w:t>p</w:t>
      </w:r>
      <w:r w:rsidRPr="00E24B5B">
        <w:rPr>
          <w:rFonts w:eastAsia="Times New Roman" w:cs="Times New Roman"/>
          <w:noProof/>
          <w:color w:val="17365D"/>
          <w:szCs w:val="24"/>
          <w:lang w:eastAsia="lv-LV"/>
        </w:rPr>
        <w:t>ar atzītiem ieņēmumiem no līdzdalības radniecīgās un asociētās kapitālsabiedrībās pārvērtēšanas;</w:t>
      </w:r>
    </w:p>
    <w:p w14:paraId="3FA5DF5A" w14:textId="77777777" w:rsidR="00D74371" w:rsidRPr="00E24B5B" w:rsidRDefault="00D74371" w:rsidP="00146A16">
      <w:pPr>
        <w:pStyle w:val="Pamatteksts1"/>
        <w:numPr>
          <w:ilvl w:val="0"/>
          <w:numId w:val="28"/>
        </w:numPr>
        <w:ind w:left="567" w:hanging="283"/>
        <w:rPr>
          <w:color w:val="17365D"/>
        </w:rPr>
      </w:pPr>
      <w:r w:rsidRPr="00E24B5B">
        <w:rPr>
          <w:color w:val="17365D"/>
        </w:rPr>
        <w:t xml:space="preserve">samazinājums Aizsardzības ministrijai </w:t>
      </w:r>
      <w:r>
        <w:rPr>
          <w:color w:val="17365D"/>
        </w:rPr>
        <w:t>(</w:t>
      </w:r>
      <w:r w:rsidRPr="00E24B5B">
        <w:rPr>
          <w:color w:val="17365D"/>
        </w:rPr>
        <w:t>561</w:t>
      </w:r>
      <w:r>
        <w:rPr>
          <w:color w:val="17365D"/>
        </w:rPr>
        <w:t> </w:t>
      </w:r>
      <w:r w:rsidRPr="00E24B5B">
        <w:rPr>
          <w:color w:val="17365D"/>
        </w:rPr>
        <w:t>415</w:t>
      </w:r>
      <w:r>
        <w:rPr>
          <w:color w:val="17365D"/>
        </w:rPr>
        <w:t> </w:t>
      </w:r>
      <w:r w:rsidRPr="00E24B5B">
        <w:rPr>
          <w:color w:val="17365D"/>
        </w:rPr>
        <w:t>126</w:t>
      </w:r>
      <w:r>
        <w:rPr>
          <w:color w:val="17365D"/>
        </w:rPr>
        <w:t>)</w:t>
      </w:r>
      <w:r w:rsidRPr="00E24B5B">
        <w:rPr>
          <w:color w:val="17365D"/>
        </w:rPr>
        <w:t xml:space="preserve"> </w:t>
      </w:r>
      <w:r w:rsidRPr="00E24B5B">
        <w:rPr>
          <w:i/>
          <w:color w:val="17365D"/>
        </w:rPr>
        <w:t>euro</w:t>
      </w:r>
      <w:r w:rsidRPr="00E24B5B">
        <w:rPr>
          <w:color w:val="17365D"/>
        </w:rPr>
        <w:t xml:space="preserve"> vērtībā </w:t>
      </w:r>
      <w:r>
        <w:rPr>
          <w:color w:val="17365D"/>
        </w:rPr>
        <w:t>p</w:t>
      </w:r>
      <w:r w:rsidRPr="00E24B5B">
        <w:rPr>
          <w:color w:val="17365D"/>
        </w:rPr>
        <w:t>ar ieņēmumu samazinājumu no uzkrājumu norakstīšanas izdienas pensijām un pabalstiem;</w:t>
      </w:r>
    </w:p>
    <w:p w14:paraId="59765783" w14:textId="77777777" w:rsidR="00D74371" w:rsidRPr="00E24B5B" w:rsidRDefault="00D74371" w:rsidP="00146A16">
      <w:pPr>
        <w:pStyle w:val="ListParagraph"/>
        <w:numPr>
          <w:ilvl w:val="0"/>
          <w:numId w:val="28"/>
        </w:numPr>
        <w:spacing w:after="120" w:line="240" w:lineRule="auto"/>
        <w:ind w:left="567" w:hanging="283"/>
        <w:contextualSpacing w:val="0"/>
        <w:jc w:val="both"/>
        <w:rPr>
          <w:rFonts w:eastAsia="Times New Roman" w:cs="Times New Roman"/>
          <w:noProof/>
          <w:color w:val="17365D"/>
          <w:szCs w:val="24"/>
          <w:lang w:eastAsia="lv-LV"/>
        </w:rPr>
      </w:pPr>
      <w:r w:rsidRPr="00E24B5B">
        <w:rPr>
          <w:rFonts w:eastAsia="Times New Roman" w:cs="Times New Roman"/>
          <w:noProof/>
          <w:color w:val="17365D"/>
          <w:szCs w:val="24"/>
          <w:lang w:eastAsia="lv-LV"/>
        </w:rPr>
        <w:t xml:space="preserve">samazinājums Iekšlietu ministrijai </w:t>
      </w:r>
      <w:r>
        <w:rPr>
          <w:rFonts w:eastAsia="Times New Roman" w:cs="Times New Roman"/>
          <w:noProof/>
          <w:color w:val="17365D"/>
          <w:szCs w:val="24"/>
          <w:lang w:eastAsia="lv-LV"/>
        </w:rPr>
        <w:t>(</w:t>
      </w:r>
      <w:r w:rsidRPr="00E24B5B">
        <w:rPr>
          <w:rFonts w:eastAsia="Times New Roman" w:cs="Times New Roman"/>
          <w:noProof/>
          <w:color w:val="17365D"/>
          <w:szCs w:val="24"/>
          <w:lang w:eastAsia="lv-LV"/>
        </w:rPr>
        <w:t>301 059</w:t>
      </w:r>
      <w:r>
        <w:rPr>
          <w:rFonts w:eastAsia="Times New Roman" w:cs="Times New Roman"/>
          <w:noProof/>
          <w:color w:val="17365D"/>
          <w:szCs w:val="24"/>
          <w:lang w:eastAsia="lv-LV"/>
        </w:rPr>
        <w:t> </w:t>
      </w:r>
      <w:r w:rsidRPr="00E24B5B">
        <w:rPr>
          <w:rFonts w:eastAsia="Times New Roman" w:cs="Times New Roman"/>
          <w:noProof/>
          <w:color w:val="17365D"/>
          <w:szCs w:val="24"/>
          <w:lang w:eastAsia="lv-LV"/>
        </w:rPr>
        <w:t>368</w:t>
      </w:r>
      <w:r>
        <w:rPr>
          <w:rFonts w:eastAsia="Times New Roman" w:cs="Times New Roman"/>
          <w:noProof/>
          <w:color w:val="17365D"/>
          <w:szCs w:val="24"/>
          <w:lang w:eastAsia="lv-LV"/>
        </w:rPr>
        <w:t>)</w:t>
      </w:r>
      <w:r w:rsidRPr="00E24B5B">
        <w:rPr>
          <w:rFonts w:eastAsia="Times New Roman" w:cs="Times New Roman"/>
          <w:noProof/>
          <w:color w:val="17365D"/>
          <w:szCs w:val="24"/>
          <w:lang w:eastAsia="lv-LV"/>
        </w:rPr>
        <w:t xml:space="preserve"> </w:t>
      </w:r>
      <w:r w:rsidRPr="00E24B5B">
        <w:rPr>
          <w:rFonts w:eastAsia="Times New Roman" w:cs="Times New Roman"/>
          <w:i/>
          <w:noProof/>
          <w:color w:val="17365D"/>
          <w:szCs w:val="24"/>
          <w:lang w:eastAsia="lv-LV"/>
        </w:rPr>
        <w:t>euro</w:t>
      </w:r>
      <w:r w:rsidRPr="00E24B5B">
        <w:rPr>
          <w:rFonts w:eastAsia="Times New Roman" w:cs="Times New Roman"/>
          <w:noProof/>
          <w:color w:val="17365D"/>
          <w:szCs w:val="24"/>
          <w:lang w:eastAsia="lv-LV"/>
        </w:rPr>
        <w:t xml:space="preserve"> vērtībā </w:t>
      </w:r>
      <w:r>
        <w:rPr>
          <w:rFonts w:eastAsia="Times New Roman" w:cs="Times New Roman"/>
          <w:noProof/>
          <w:color w:val="17365D"/>
          <w:szCs w:val="24"/>
          <w:lang w:eastAsia="lv-LV"/>
        </w:rPr>
        <w:t>p</w:t>
      </w:r>
      <w:r w:rsidRPr="00E24B5B">
        <w:rPr>
          <w:rFonts w:eastAsia="Times New Roman" w:cs="Times New Roman"/>
          <w:noProof/>
          <w:color w:val="17365D"/>
          <w:szCs w:val="24"/>
          <w:lang w:eastAsia="lv-LV"/>
        </w:rPr>
        <w:t>ar ieņēmumu samazinājumu no izveidoto uzkrājumu norakstīšanas izdienas pabalstiem un izdienas pensijām amatpersonām ar speciālo dienesta pakāpi;</w:t>
      </w:r>
    </w:p>
    <w:p w14:paraId="2C0811EF" w14:textId="77777777" w:rsidR="00D74371" w:rsidRPr="00E24B5B" w:rsidRDefault="00D74371" w:rsidP="00146A16">
      <w:pPr>
        <w:pStyle w:val="Pamatteksts1"/>
        <w:numPr>
          <w:ilvl w:val="0"/>
          <w:numId w:val="28"/>
        </w:numPr>
        <w:ind w:left="567" w:hanging="283"/>
        <w:rPr>
          <w:color w:val="17365D"/>
        </w:rPr>
      </w:pPr>
      <w:r w:rsidRPr="00E24B5B">
        <w:rPr>
          <w:color w:val="17365D"/>
        </w:rPr>
        <w:t xml:space="preserve">samazinājums Satiksmes ministrijai </w:t>
      </w:r>
      <w:r>
        <w:rPr>
          <w:color w:val="17365D"/>
        </w:rPr>
        <w:t>(</w:t>
      </w:r>
      <w:r w:rsidRPr="00E24B5B">
        <w:rPr>
          <w:color w:val="17365D"/>
        </w:rPr>
        <w:t>66 502</w:t>
      </w:r>
      <w:r>
        <w:rPr>
          <w:color w:val="17365D"/>
        </w:rPr>
        <w:t> </w:t>
      </w:r>
      <w:r w:rsidRPr="00E24B5B">
        <w:rPr>
          <w:color w:val="17365D"/>
        </w:rPr>
        <w:t>193</w:t>
      </w:r>
      <w:r>
        <w:rPr>
          <w:color w:val="17365D"/>
        </w:rPr>
        <w:t>)</w:t>
      </w:r>
      <w:r w:rsidRPr="00E24B5B">
        <w:rPr>
          <w:color w:val="17365D"/>
        </w:rPr>
        <w:t xml:space="preserve"> </w:t>
      </w:r>
      <w:r w:rsidRPr="00E24B5B">
        <w:rPr>
          <w:i/>
          <w:color w:val="17365D"/>
        </w:rPr>
        <w:t>euro</w:t>
      </w:r>
      <w:r w:rsidRPr="00E24B5B">
        <w:rPr>
          <w:color w:val="17365D"/>
        </w:rPr>
        <w:t xml:space="preserve"> vērtībā </w:t>
      </w:r>
      <w:r>
        <w:rPr>
          <w:color w:val="17365D"/>
        </w:rPr>
        <w:t>p</w:t>
      </w:r>
      <w:r w:rsidRPr="00E24B5B">
        <w:rPr>
          <w:color w:val="17365D"/>
        </w:rPr>
        <w:t>ar ieņēmumu samazinājumu no nemateriālo ieguldījumu un pamatlīdzekļu sākotnējās atzīšanas.</w:t>
      </w:r>
    </w:p>
    <w:p w14:paraId="0D55D751" w14:textId="77777777" w:rsidR="00D74371" w:rsidRDefault="00D74371" w:rsidP="00D74371">
      <w:pPr>
        <w:rPr>
          <w:rFonts w:eastAsia="Times New Roman" w:cs="Times New Roman"/>
          <w:color w:val="17365D"/>
          <w:szCs w:val="24"/>
          <w:lang w:eastAsia="lv-LV"/>
        </w:rPr>
      </w:pPr>
      <w:r w:rsidRPr="00AC0CAE">
        <w:rPr>
          <w:rFonts w:eastAsia="Times New Roman" w:cs="Times New Roman"/>
          <w:color w:val="17365D"/>
          <w:szCs w:val="24"/>
          <w:lang w:eastAsia="lv-LV"/>
        </w:rPr>
        <w:t xml:space="preserve">Informācija par citiem ieņēmumiem </w:t>
      </w:r>
      <w:r w:rsidRPr="009C6F0C">
        <w:rPr>
          <w:rFonts w:eastAsia="Times New Roman" w:cs="Times New Roman"/>
          <w:color w:val="17365D"/>
          <w:szCs w:val="24"/>
          <w:lang w:eastAsia="lv-LV"/>
        </w:rPr>
        <w:t>uzrādīta 2.4. tabulā.</w:t>
      </w:r>
    </w:p>
    <w:p w14:paraId="3131E8C3" w14:textId="77777777" w:rsidR="00D74371" w:rsidRPr="00AC0CAE" w:rsidRDefault="00D74371" w:rsidP="00D74371">
      <w:pPr>
        <w:tabs>
          <w:tab w:val="left" w:pos="6379"/>
          <w:tab w:val="left" w:pos="6663"/>
        </w:tabs>
        <w:spacing w:after="0" w:line="240" w:lineRule="auto"/>
        <w:jc w:val="right"/>
        <w:rPr>
          <w:rFonts w:eastAsia="Arial Unicode MS" w:cs="Times New Roman"/>
          <w:i/>
          <w:color w:val="17365D"/>
          <w:sz w:val="20"/>
          <w:szCs w:val="24"/>
        </w:rPr>
      </w:pPr>
      <w:r>
        <w:rPr>
          <w:rFonts w:eastAsia="Arial Unicode MS" w:cs="Times New Roman"/>
          <w:i/>
          <w:color w:val="17365D"/>
          <w:sz w:val="20"/>
          <w:szCs w:val="24"/>
        </w:rPr>
        <w:t>2.4. tabula. Citi ieņēmumi (euro)</w:t>
      </w:r>
    </w:p>
    <w:tbl>
      <w:tblPr>
        <w:tblW w:w="9356" w:type="dxa"/>
        <w:tblLook w:val="04A0" w:firstRow="1" w:lastRow="0" w:firstColumn="1" w:lastColumn="0" w:noHBand="0" w:noVBand="1"/>
      </w:tblPr>
      <w:tblGrid>
        <w:gridCol w:w="5104"/>
        <w:gridCol w:w="2410"/>
        <w:gridCol w:w="1842"/>
      </w:tblGrid>
      <w:tr w:rsidR="00D74371" w:rsidRPr="00AC0CAE" w14:paraId="12281A46" w14:textId="77777777" w:rsidTr="00475A10">
        <w:trPr>
          <w:trHeight w:val="510"/>
          <w:tblHeader/>
        </w:trPr>
        <w:tc>
          <w:tcPr>
            <w:tcW w:w="5104" w:type="dxa"/>
            <w:tcBorders>
              <w:bottom w:val="single" w:sz="4" w:space="0" w:color="17365D"/>
            </w:tcBorders>
            <w:shd w:val="clear" w:color="auto" w:fill="B8CCE4" w:themeFill="accent1" w:themeFillTint="66"/>
            <w:vAlign w:val="center"/>
            <w:hideMark/>
          </w:tcPr>
          <w:p w14:paraId="62BB4C5E" w14:textId="77777777" w:rsidR="00D74371" w:rsidRPr="00E6180B" w:rsidRDefault="00D74371" w:rsidP="00D74371">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Darījuma apraksts</w:t>
            </w:r>
          </w:p>
        </w:tc>
        <w:tc>
          <w:tcPr>
            <w:tcW w:w="2410" w:type="dxa"/>
            <w:tcBorders>
              <w:bottom w:val="single" w:sz="4" w:space="0" w:color="17365D"/>
            </w:tcBorders>
            <w:shd w:val="clear" w:color="auto" w:fill="B8CCE4" w:themeFill="accent1" w:themeFillTint="66"/>
            <w:vAlign w:val="center"/>
            <w:hideMark/>
          </w:tcPr>
          <w:p w14:paraId="466D8F95" w14:textId="77777777" w:rsidR="00D74371" w:rsidRPr="00E6180B" w:rsidRDefault="00D74371" w:rsidP="00D74371">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Pārskata periodā</w:t>
            </w:r>
          </w:p>
        </w:tc>
        <w:tc>
          <w:tcPr>
            <w:tcW w:w="1842" w:type="dxa"/>
            <w:tcBorders>
              <w:bottom w:val="single" w:sz="4" w:space="0" w:color="17365D"/>
            </w:tcBorders>
            <w:shd w:val="clear" w:color="auto" w:fill="B8CCE4" w:themeFill="accent1" w:themeFillTint="66"/>
            <w:vAlign w:val="center"/>
          </w:tcPr>
          <w:p w14:paraId="742A345F" w14:textId="77777777" w:rsidR="00D74371" w:rsidRPr="00E6180B" w:rsidRDefault="00D74371" w:rsidP="00D74371">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Iepriekšējā pārskata periodā</w:t>
            </w:r>
          </w:p>
        </w:tc>
      </w:tr>
      <w:tr w:rsidR="00D74371" w:rsidRPr="00AC0CAE" w14:paraId="7BE49B91" w14:textId="77777777" w:rsidTr="000B176B">
        <w:trPr>
          <w:trHeight w:val="255"/>
          <w:tblHeader/>
        </w:trPr>
        <w:tc>
          <w:tcPr>
            <w:tcW w:w="5104" w:type="dxa"/>
            <w:tcBorders>
              <w:top w:val="single" w:sz="4" w:space="0" w:color="17365D"/>
              <w:bottom w:val="single" w:sz="4" w:space="0" w:color="17365D"/>
            </w:tcBorders>
            <w:shd w:val="clear" w:color="auto" w:fill="auto"/>
            <w:vAlign w:val="center"/>
            <w:hideMark/>
          </w:tcPr>
          <w:p w14:paraId="2784A95A" w14:textId="77777777" w:rsidR="00D74371" w:rsidRPr="00E6180B" w:rsidRDefault="00D74371" w:rsidP="00D74371">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A</w:t>
            </w:r>
          </w:p>
        </w:tc>
        <w:tc>
          <w:tcPr>
            <w:tcW w:w="2410" w:type="dxa"/>
            <w:tcBorders>
              <w:top w:val="single" w:sz="4" w:space="0" w:color="17365D"/>
              <w:bottom w:val="single" w:sz="4" w:space="0" w:color="17365D"/>
            </w:tcBorders>
            <w:shd w:val="clear" w:color="auto" w:fill="auto"/>
            <w:vAlign w:val="center"/>
            <w:hideMark/>
          </w:tcPr>
          <w:p w14:paraId="2761A4D5" w14:textId="77777777" w:rsidR="00D74371" w:rsidRPr="00E6180B" w:rsidRDefault="00D74371" w:rsidP="00D74371">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1</w:t>
            </w:r>
          </w:p>
        </w:tc>
        <w:tc>
          <w:tcPr>
            <w:tcW w:w="1842" w:type="dxa"/>
            <w:tcBorders>
              <w:top w:val="single" w:sz="4" w:space="0" w:color="17365D"/>
              <w:bottom w:val="single" w:sz="4" w:space="0" w:color="17365D"/>
            </w:tcBorders>
            <w:vAlign w:val="center"/>
          </w:tcPr>
          <w:p w14:paraId="67FD4FA0" w14:textId="77777777" w:rsidR="00D74371" w:rsidRPr="00E6180B" w:rsidRDefault="00D74371" w:rsidP="00D74371">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2</w:t>
            </w:r>
          </w:p>
        </w:tc>
      </w:tr>
      <w:tr w:rsidR="00F263AC" w:rsidRPr="00AC0CAE" w14:paraId="47A1A3B7" w14:textId="77777777" w:rsidTr="00475A10">
        <w:trPr>
          <w:trHeight w:val="255"/>
        </w:trPr>
        <w:tc>
          <w:tcPr>
            <w:tcW w:w="5104" w:type="dxa"/>
            <w:tcBorders>
              <w:top w:val="single" w:sz="4" w:space="0" w:color="17365D"/>
              <w:bottom w:val="single" w:sz="4" w:space="0" w:color="auto"/>
            </w:tcBorders>
            <w:shd w:val="clear" w:color="auto" w:fill="auto"/>
            <w:vAlign w:val="center"/>
          </w:tcPr>
          <w:p w14:paraId="0C30FFD7" w14:textId="3E533C16" w:rsidR="00F263AC" w:rsidRPr="00AC0CAE" w:rsidRDefault="00F263AC" w:rsidP="00F263AC">
            <w:pPr>
              <w:spacing w:after="0" w:line="240" w:lineRule="auto"/>
              <w:rPr>
                <w:rFonts w:eastAsia="Arial Unicode MS" w:cs="Times New Roman"/>
                <w:b/>
                <w:color w:val="17365D"/>
                <w:sz w:val="18"/>
                <w:szCs w:val="18"/>
              </w:rPr>
            </w:pPr>
            <w:r>
              <w:rPr>
                <w:rFonts w:eastAsia="Arial Unicode MS" w:cs="Times New Roman"/>
                <w:b/>
                <w:color w:val="17365D"/>
                <w:sz w:val="18"/>
                <w:szCs w:val="18"/>
              </w:rPr>
              <w:t>C</w:t>
            </w:r>
            <w:r w:rsidRPr="00AC0CAE">
              <w:rPr>
                <w:rFonts w:eastAsia="Arial Unicode MS" w:cs="Times New Roman"/>
                <w:b/>
                <w:color w:val="17365D"/>
                <w:sz w:val="18"/>
                <w:szCs w:val="18"/>
              </w:rPr>
              <w:t>itie</w:t>
            </w:r>
            <w:r>
              <w:rPr>
                <w:rFonts w:eastAsia="Arial Unicode MS" w:cs="Times New Roman"/>
                <w:b/>
                <w:color w:val="17365D"/>
                <w:sz w:val="18"/>
                <w:szCs w:val="18"/>
              </w:rPr>
              <w:t xml:space="preserve"> ieņēmumi</w:t>
            </w:r>
          </w:p>
        </w:tc>
        <w:tc>
          <w:tcPr>
            <w:tcW w:w="2410" w:type="dxa"/>
            <w:tcBorders>
              <w:top w:val="single" w:sz="4" w:space="0" w:color="17365D"/>
              <w:bottom w:val="single" w:sz="4" w:space="0" w:color="auto"/>
            </w:tcBorders>
            <w:shd w:val="clear" w:color="000000" w:fill="FFFFFF"/>
            <w:vAlign w:val="center"/>
          </w:tcPr>
          <w:p w14:paraId="4ED39FD0" w14:textId="02C85834" w:rsidR="00F263AC" w:rsidRPr="00F263AC" w:rsidRDefault="00F263AC" w:rsidP="00F263AC">
            <w:pPr>
              <w:spacing w:after="0" w:line="240" w:lineRule="auto"/>
              <w:jc w:val="right"/>
              <w:rPr>
                <w:rFonts w:eastAsia="Times New Roman" w:cs="Times New Roman"/>
                <w:b/>
                <w:color w:val="17365D"/>
                <w:sz w:val="18"/>
                <w:szCs w:val="18"/>
                <w:lang w:eastAsia="lv-LV"/>
              </w:rPr>
            </w:pPr>
            <w:r w:rsidRPr="00F263AC">
              <w:rPr>
                <w:rFonts w:eastAsia="Times New Roman" w:cs="Times New Roman"/>
                <w:b/>
                <w:color w:val="17365D"/>
                <w:sz w:val="18"/>
                <w:szCs w:val="18"/>
                <w:lang w:eastAsia="lv-LV"/>
              </w:rPr>
              <w:t>1 237 343 371</w:t>
            </w:r>
          </w:p>
        </w:tc>
        <w:tc>
          <w:tcPr>
            <w:tcW w:w="1842" w:type="dxa"/>
            <w:tcBorders>
              <w:top w:val="single" w:sz="4" w:space="0" w:color="17365D"/>
              <w:bottom w:val="single" w:sz="4" w:space="0" w:color="auto"/>
            </w:tcBorders>
            <w:shd w:val="clear" w:color="000000" w:fill="FFFFFF"/>
            <w:vAlign w:val="center"/>
          </w:tcPr>
          <w:p w14:paraId="27A6DE0F" w14:textId="3E742F94" w:rsidR="00F263AC" w:rsidRPr="00F263AC" w:rsidRDefault="00F263AC" w:rsidP="00F263AC">
            <w:pPr>
              <w:spacing w:after="0" w:line="240" w:lineRule="auto"/>
              <w:jc w:val="right"/>
              <w:rPr>
                <w:rFonts w:eastAsia="Times New Roman" w:cs="Times New Roman"/>
                <w:b/>
                <w:color w:val="17365D"/>
                <w:sz w:val="18"/>
                <w:szCs w:val="18"/>
                <w:lang w:eastAsia="lv-LV"/>
              </w:rPr>
            </w:pPr>
            <w:r w:rsidRPr="00F263AC">
              <w:rPr>
                <w:rFonts w:eastAsia="Times New Roman" w:cs="Times New Roman"/>
                <w:b/>
                <w:color w:val="17365D"/>
                <w:sz w:val="18"/>
                <w:szCs w:val="18"/>
                <w:lang w:eastAsia="lv-LV"/>
              </w:rPr>
              <w:t>2 282 319 356</w:t>
            </w:r>
          </w:p>
        </w:tc>
      </w:tr>
      <w:tr w:rsidR="00F263AC" w:rsidRPr="00AC0CAE" w14:paraId="2662A853" w14:textId="77777777" w:rsidTr="004C3FEF">
        <w:trPr>
          <w:trHeight w:val="255"/>
        </w:trPr>
        <w:tc>
          <w:tcPr>
            <w:tcW w:w="5104" w:type="dxa"/>
            <w:tcBorders>
              <w:top w:val="single" w:sz="4" w:space="0" w:color="auto"/>
              <w:bottom w:val="single" w:sz="4" w:space="0" w:color="auto"/>
            </w:tcBorders>
            <w:shd w:val="clear" w:color="auto" w:fill="auto"/>
            <w:vAlign w:val="center"/>
          </w:tcPr>
          <w:p w14:paraId="1F127B26" w14:textId="77777777" w:rsidR="00F263AC" w:rsidRPr="00AC0CAE" w:rsidRDefault="00F263AC" w:rsidP="00F263AC">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saistību, kas nav finanšu instrumenti, dzēšanas</w:t>
            </w:r>
          </w:p>
        </w:tc>
        <w:tc>
          <w:tcPr>
            <w:tcW w:w="2410" w:type="dxa"/>
            <w:tcBorders>
              <w:top w:val="single" w:sz="4" w:space="0" w:color="auto"/>
              <w:bottom w:val="single" w:sz="4" w:space="0" w:color="auto"/>
            </w:tcBorders>
            <w:shd w:val="clear" w:color="auto" w:fill="auto"/>
            <w:vAlign w:val="center"/>
          </w:tcPr>
          <w:p w14:paraId="230B2837" w14:textId="0B77569D" w:rsidR="00F263AC" w:rsidRPr="00AC0CAE" w:rsidRDefault="00F263AC" w:rsidP="00F263AC">
            <w:pPr>
              <w:spacing w:after="0" w:line="240" w:lineRule="auto"/>
              <w:jc w:val="right"/>
              <w:rPr>
                <w:rFonts w:eastAsia="Times New Roman" w:cs="Times New Roman"/>
                <w:color w:val="17365D"/>
                <w:sz w:val="18"/>
                <w:szCs w:val="18"/>
                <w:lang w:eastAsia="lv-LV"/>
              </w:rPr>
            </w:pPr>
            <w:r w:rsidRPr="00F263AC">
              <w:rPr>
                <w:rFonts w:eastAsia="Times New Roman" w:cs="Times New Roman"/>
                <w:color w:val="17365D"/>
                <w:sz w:val="18"/>
                <w:szCs w:val="18"/>
                <w:lang w:eastAsia="lv-LV"/>
              </w:rPr>
              <w:t>7 932 929</w:t>
            </w:r>
          </w:p>
        </w:tc>
        <w:tc>
          <w:tcPr>
            <w:tcW w:w="1842" w:type="dxa"/>
            <w:tcBorders>
              <w:top w:val="single" w:sz="4" w:space="0" w:color="auto"/>
              <w:bottom w:val="single" w:sz="4" w:space="0" w:color="auto"/>
            </w:tcBorders>
            <w:shd w:val="clear" w:color="auto" w:fill="auto"/>
            <w:vAlign w:val="center"/>
          </w:tcPr>
          <w:p w14:paraId="7E127D6D" w14:textId="1C4FB430" w:rsidR="00F263AC" w:rsidRPr="00AC0CAE" w:rsidRDefault="00F263AC" w:rsidP="00F263AC">
            <w:pPr>
              <w:spacing w:after="0" w:line="240" w:lineRule="auto"/>
              <w:jc w:val="right"/>
              <w:rPr>
                <w:rFonts w:eastAsia="Times New Roman" w:cs="Times New Roman"/>
                <w:color w:val="17365D"/>
                <w:sz w:val="18"/>
                <w:szCs w:val="18"/>
                <w:lang w:eastAsia="lv-LV"/>
              </w:rPr>
            </w:pPr>
            <w:r w:rsidRPr="00F263AC">
              <w:rPr>
                <w:rFonts w:eastAsia="Times New Roman" w:cs="Times New Roman"/>
                <w:color w:val="17365D"/>
                <w:sz w:val="18"/>
                <w:szCs w:val="18"/>
                <w:lang w:eastAsia="lv-LV"/>
              </w:rPr>
              <w:t>6 920 449</w:t>
            </w:r>
          </w:p>
        </w:tc>
      </w:tr>
      <w:tr w:rsidR="00F263AC" w:rsidRPr="00AC0CAE" w14:paraId="68A67C91" w14:textId="77777777" w:rsidTr="004C3FEF">
        <w:trPr>
          <w:trHeight w:val="510"/>
        </w:trPr>
        <w:tc>
          <w:tcPr>
            <w:tcW w:w="5104" w:type="dxa"/>
            <w:tcBorders>
              <w:top w:val="single" w:sz="4" w:space="0" w:color="auto"/>
              <w:bottom w:val="single" w:sz="4" w:space="0" w:color="auto"/>
            </w:tcBorders>
            <w:shd w:val="clear" w:color="auto" w:fill="auto"/>
            <w:vAlign w:val="center"/>
            <w:hideMark/>
          </w:tcPr>
          <w:p w14:paraId="31E03705" w14:textId="77777777" w:rsidR="00F263AC" w:rsidRPr="00AC0CAE" w:rsidRDefault="00F263AC" w:rsidP="00F263AC">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ilgtermiņa aktīvu sākotnējās atzīšanas, izņemot bioloģiskos aktīvus lauksaimnieciskajai darbībai</w:t>
            </w:r>
          </w:p>
        </w:tc>
        <w:tc>
          <w:tcPr>
            <w:tcW w:w="2410" w:type="dxa"/>
            <w:tcBorders>
              <w:top w:val="single" w:sz="4" w:space="0" w:color="auto"/>
              <w:bottom w:val="single" w:sz="4" w:space="0" w:color="auto"/>
            </w:tcBorders>
            <w:shd w:val="clear" w:color="auto" w:fill="auto"/>
            <w:vAlign w:val="center"/>
            <w:hideMark/>
          </w:tcPr>
          <w:p w14:paraId="01AB7D82" w14:textId="460A300A" w:rsidR="00F263AC" w:rsidRPr="00AC0CAE" w:rsidRDefault="00F263AC" w:rsidP="00F263AC">
            <w:pPr>
              <w:spacing w:after="0" w:line="240" w:lineRule="auto"/>
              <w:jc w:val="right"/>
              <w:rPr>
                <w:rFonts w:eastAsia="Times New Roman" w:cs="Times New Roman"/>
                <w:color w:val="17365D"/>
                <w:sz w:val="18"/>
                <w:szCs w:val="18"/>
                <w:lang w:eastAsia="lv-LV"/>
              </w:rPr>
            </w:pPr>
            <w:r w:rsidRPr="00F263AC">
              <w:rPr>
                <w:rFonts w:eastAsia="Times New Roman" w:cs="Times New Roman"/>
                <w:color w:val="17365D"/>
                <w:sz w:val="18"/>
                <w:szCs w:val="18"/>
                <w:lang w:eastAsia="lv-LV"/>
              </w:rPr>
              <w:t>154 566 095</w:t>
            </w:r>
          </w:p>
        </w:tc>
        <w:tc>
          <w:tcPr>
            <w:tcW w:w="1842" w:type="dxa"/>
            <w:tcBorders>
              <w:top w:val="single" w:sz="4" w:space="0" w:color="auto"/>
              <w:bottom w:val="single" w:sz="4" w:space="0" w:color="auto"/>
            </w:tcBorders>
            <w:shd w:val="clear" w:color="auto" w:fill="auto"/>
            <w:vAlign w:val="center"/>
          </w:tcPr>
          <w:p w14:paraId="2AFA8AAB" w14:textId="632C01F0" w:rsidR="00F263AC" w:rsidRPr="00AC0CAE" w:rsidRDefault="00F263AC" w:rsidP="00F263AC">
            <w:pPr>
              <w:spacing w:after="0" w:line="240" w:lineRule="auto"/>
              <w:jc w:val="right"/>
              <w:rPr>
                <w:rFonts w:eastAsia="Times New Roman" w:cs="Times New Roman"/>
                <w:color w:val="17365D"/>
                <w:sz w:val="18"/>
                <w:szCs w:val="18"/>
                <w:lang w:eastAsia="lv-LV"/>
              </w:rPr>
            </w:pPr>
            <w:r w:rsidRPr="00F263AC">
              <w:rPr>
                <w:rFonts w:eastAsia="Times New Roman" w:cs="Times New Roman"/>
                <w:color w:val="17365D"/>
                <w:sz w:val="18"/>
                <w:szCs w:val="18"/>
                <w:lang w:eastAsia="lv-LV"/>
              </w:rPr>
              <w:t>256 156 996</w:t>
            </w:r>
          </w:p>
        </w:tc>
      </w:tr>
      <w:tr w:rsidR="00F263AC" w:rsidRPr="00AC0CAE" w14:paraId="3E1D4B2D" w14:textId="77777777" w:rsidTr="004C3FEF">
        <w:trPr>
          <w:trHeight w:val="510"/>
        </w:trPr>
        <w:tc>
          <w:tcPr>
            <w:tcW w:w="5104" w:type="dxa"/>
            <w:tcBorders>
              <w:top w:val="single" w:sz="4" w:space="0" w:color="auto"/>
              <w:bottom w:val="single" w:sz="4" w:space="0" w:color="auto"/>
            </w:tcBorders>
            <w:shd w:val="clear" w:color="auto" w:fill="auto"/>
            <w:vAlign w:val="center"/>
            <w:hideMark/>
          </w:tcPr>
          <w:p w14:paraId="5605AB3B" w14:textId="77777777" w:rsidR="00F263AC" w:rsidRPr="00AC0CAE" w:rsidRDefault="00F263AC" w:rsidP="00F263AC">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īstermiņa aktīvu sākotnējās atzīšanas, izņemot lauksaimniecības produktus</w:t>
            </w:r>
          </w:p>
        </w:tc>
        <w:tc>
          <w:tcPr>
            <w:tcW w:w="2410" w:type="dxa"/>
            <w:tcBorders>
              <w:top w:val="single" w:sz="4" w:space="0" w:color="auto"/>
              <w:bottom w:val="single" w:sz="4" w:space="0" w:color="auto"/>
            </w:tcBorders>
            <w:shd w:val="clear" w:color="auto" w:fill="auto"/>
            <w:vAlign w:val="center"/>
            <w:hideMark/>
          </w:tcPr>
          <w:p w14:paraId="3286C722" w14:textId="5841245D" w:rsidR="00F263AC" w:rsidRPr="00AC0CAE" w:rsidRDefault="00F263AC" w:rsidP="00F263AC">
            <w:pPr>
              <w:spacing w:after="0" w:line="240" w:lineRule="auto"/>
              <w:jc w:val="right"/>
              <w:rPr>
                <w:rFonts w:eastAsia="Times New Roman" w:cs="Times New Roman"/>
                <w:color w:val="17365D"/>
                <w:sz w:val="18"/>
                <w:szCs w:val="18"/>
                <w:lang w:eastAsia="lv-LV"/>
              </w:rPr>
            </w:pPr>
            <w:r w:rsidRPr="00F263AC">
              <w:rPr>
                <w:rFonts w:eastAsia="Times New Roman" w:cs="Times New Roman"/>
                <w:color w:val="17365D"/>
                <w:sz w:val="18"/>
                <w:szCs w:val="18"/>
                <w:lang w:eastAsia="lv-LV"/>
              </w:rPr>
              <w:t>20 494 895</w:t>
            </w:r>
          </w:p>
        </w:tc>
        <w:tc>
          <w:tcPr>
            <w:tcW w:w="1842" w:type="dxa"/>
            <w:tcBorders>
              <w:top w:val="single" w:sz="4" w:space="0" w:color="auto"/>
              <w:bottom w:val="single" w:sz="4" w:space="0" w:color="auto"/>
            </w:tcBorders>
            <w:shd w:val="clear" w:color="auto" w:fill="auto"/>
            <w:vAlign w:val="center"/>
          </w:tcPr>
          <w:p w14:paraId="77922EE0" w14:textId="2DD384C3" w:rsidR="00F263AC" w:rsidRPr="00AC0CAE" w:rsidRDefault="00F263AC" w:rsidP="00F263AC">
            <w:pPr>
              <w:spacing w:after="0" w:line="240" w:lineRule="auto"/>
              <w:jc w:val="right"/>
              <w:rPr>
                <w:rFonts w:eastAsia="Times New Roman" w:cs="Times New Roman"/>
                <w:color w:val="17365D"/>
                <w:sz w:val="18"/>
                <w:szCs w:val="18"/>
                <w:lang w:eastAsia="lv-LV"/>
              </w:rPr>
            </w:pPr>
            <w:r w:rsidRPr="00F263AC">
              <w:rPr>
                <w:rFonts w:eastAsia="Times New Roman" w:cs="Times New Roman"/>
                <w:color w:val="17365D"/>
                <w:sz w:val="18"/>
                <w:szCs w:val="18"/>
                <w:lang w:eastAsia="lv-LV"/>
              </w:rPr>
              <w:t>13 999 825</w:t>
            </w:r>
          </w:p>
        </w:tc>
      </w:tr>
      <w:tr w:rsidR="00F263AC" w:rsidRPr="00AC0CAE" w14:paraId="7BFCFC70" w14:textId="77777777" w:rsidTr="004C3FEF">
        <w:trPr>
          <w:trHeight w:val="255"/>
        </w:trPr>
        <w:tc>
          <w:tcPr>
            <w:tcW w:w="5104" w:type="dxa"/>
            <w:tcBorders>
              <w:top w:val="single" w:sz="4" w:space="0" w:color="auto"/>
              <w:bottom w:val="single" w:sz="4" w:space="0" w:color="auto"/>
            </w:tcBorders>
            <w:shd w:val="clear" w:color="auto" w:fill="auto"/>
            <w:vAlign w:val="center"/>
            <w:hideMark/>
          </w:tcPr>
          <w:p w14:paraId="04D9C44F" w14:textId="77777777" w:rsidR="00F263AC" w:rsidRPr="00AC0CAE" w:rsidRDefault="00F263AC" w:rsidP="00F263AC">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uzkrājumu norakstīšanas</w:t>
            </w:r>
          </w:p>
        </w:tc>
        <w:tc>
          <w:tcPr>
            <w:tcW w:w="2410" w:type="dxa"/>
            <w:tcBorders>
              <w:top w:val="single" w:sz="4" w:space="0" w:color="auto"/>
              <w:bottom w:val="single" w:sz="4" w:space="0" w:color="auto"/>
            </w:tcBorders>
            <w:shd w:val="clear" w:color="auto" w:fill="auto"/>
            <w:vAlign w:val="center"/>
            <w:hideMark/>
          </w:tcPr>
          <w:p w14:paraId="314CBEB3" w14:textId="55B968DE" w:rsidR="00F263AC" w:rsidRPr="00AC0CAE" w:rsidRDefault="00F263AC" w:rsidP="00F263AC">
            <w:pPr>
              <w:spacing w:after="0" w:line="240" w:lineRule="auto"/>
              <w:jc w:val="right"/>
              <w:rPr>
                <w:rFonts w:eastAsia="Times New Roman" w:cs="Times New Roman"/>
                <w:color w:val="17365D"/>
                <w:sz w:val="18"/>
                <w:szCs w:val="18"/>
                <w:lang w:eastAsia="lv-LV"/>
              </w:rPr>
            </w:pPr>
            <w:r w:rsidRPr="00F263AC">
              <w:rPr>
                <w:rFonts w:eastAsia="Times New Roman" w:cs="Times New Roman"/>
                <w:color w:val="17365D"/>
                <w:sz w:val="18"/>
                <w:szCs w:val="18"/>
                <w:lang w:eastAsia="lv-LV"/>
              </w:rPr>
              <w:t>182 154 869</w:t>
            </w:r>
          </w:p>
        </w:tc>
        <w:tc>
          <w:tcPr>
            <w:tcW w:w="1842" w:type="dxa"/>
            <w:tcBorders>
              <w:top w:val="single" w:sz="4" w:space="0" w:color="auto"/>
              <w:bottom w:val="single" w:sz="4" w:space="0" w:color="auto"/>
            </w:tcBorders>
            <w:shd w:val="clear" w:color="auto" w:fill="auto"/>
            <w:vAlign w:val="center"/>
          </w:tcPr>
          <w:p w14:paraId="683CB51D" w14:textId="1D1F0A88" w:rsidR="00F263AC" w:rsidRPr="00AC0CAE" w:rsidRDefault="00F263AC" w:rsidP="00F263AC">
            <w:pPr>
              <w:spacing w:after="0" w:line="240" w:lineRule="auto"/>
              <w:jc w:val="right"/>
              <w:rPr>
                <w:rFonts w:eastAsia="Times New Roman" w:cs="Times New Roman"/>
                <w:color w:val="17365D"/>
                <w:sz w:val="18"/>
                <w:szCs w:val="18"/>
                <w:lang w:eastAsia="lv-LV"/>
              </w:rPr>
            </w:pPr>
            <w:r w:rsidRPr="00F263AC">
              <w:rPr>
                <w:rFonts w:eastAsia="Times New Roman" w:cs="Times New Roman"/>
                <w:color w:val="17365D"/>
                <w:sz w:val="18"/>
                <w:szCs w:val="18"/>
                <w:lang w:eastAsia="lv-LV"/>
              </w:rPr>
              <w:t>1 081 280 951</w:t>
            </w:r>
          </w:p>
        </w:tc>
      </w:tr>
      <w:tr w:rsidR="00D74371" w:rsidRPr="00AC0CAE" w14:paraId="4C0ED59D" w14:textId="77777777" w:rsidTr="004C3FEF">
        <w:trPr>
          <w:trHeight w:val="638"/>
        </w:trPr>
        <w:tc>
          <w:tcPr>
            <w:tcW w:w="5104" w:type="dxa"/>
            <w:tcBorders>
              <w:top w:val="single" w:sz="4" w:space="0" w:color="auto"/>
              <w:bottom w:val="single" w:sz="4" w:space="0" w:color="auto"/>
            </w:tcBorders>
            <w:shd w:val="clear" w:color="auto" w:fill="auto"/>
            <w:vAlign w:val="center"/>
            <w:hideMark/>
          </w:tcPr>
          <w:p w14:paraId="336D4BE6" w14:textId="77777777" w:rsidR="00D74371" w:rsidRPr="00AC0CAE" w:rsidRDefault="00D74371" w:rsidP="00D74371">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bioloģisko aktīvu lauksaimnieciskajai darbībai un lauksaimniecības produktu sākotnējās atzīšanas un uzskaites vērtības izmaiņām pārskata perioda beigās</w:t>
            </w:r>
          </w:p>
        </w:tc>
        <w:tc>
          <w:tcPr>
            <w:tcW w:w="2410" w:type="dxa"/>
            <w:tcBorders>
              <w:top w:val="single" w:sz="4" w:space="0" w:color="auto"/>
              <w:bottom w:val="single" w:sz="4" w:space="0" w:color="auto"/>
            </w:tcBorders>
            <w:shd w:val="clear" w:color="auto" w:fill="auto"/>
            <w:vAlign w:val="center"/>
            <w:hideMark/>
          </w:tcPr>
          <w:p w14:paraId="03059019" w14:textId="77777777" w:rsidR="00D74371" w:rsidRPr="00AC0CAE" w:rsidRDefault="00D74371" w:rsidP="00D74371">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42 123 842</w:t>
            </w:r>
          </w:p>
        </w:tc>
        <w:tc>
          <w:tcPr>
            <w:tcW w:w="1842" w:type="dxa"/>
            <w:tcBorders>
              <w:top w:val="single" w:sz="4" w:space="0" w:color="auto"/>
              <w:bottom w:val="single" w:sz="4" w:space="0" w:color="auto"/>
            </w:tcBorders>
            <w:shd w:val="clear" w:color="auto" w:fill="auto"/>
            <w:vAlign w:val="center"/>
          </w:tcPr>
          <w:p w14:paraId="0775C4E2" w14:textId="77777777" w:rsidR="00D74371" w:rsidRPr="00AC0CAE" w:rsidRDefault="00D74371" w:rsidP="00D74371">
            <w:pPr>
              <w:spacing w:after="0" w:line="240" w:lineRule="auto"/>
              <w:jc w:val="right"/>
              <w:rPr>
                <w:rFonts w:eastAsia="Times New Roman" w:cs="Times New Roman"/>
                <w:color w:val="17365D"/>
                <w:sz w:val="18"/>
                <w:szCs w:val="18"/>
                <w:lang w:eastAsia="lv-LV"/>
              </w:rPr>
            </w:pPr>
            <w:r w:rsidRPr="00AC0CAE">
              <w:rPr>
                <w:rFonts w:eastAsia="Times New Roman" w:cs="Times New Roman"/>
                <w:color w:val="17365D"/>
                <w:sz w:val="18"/>
                <w:szCs w:val="18"/>
                <w:lang w:eastAsia="lv-LV"/>
              </w:rPr>
              <w:t>39 845 503</w:t>
            </w:r>
          </w:p>
        </w:tc>
      </w:tr>
      <w:tr w:rsidR="00D74371" w:rsidRPr="00AC0CAE" w14:paraId="0B9C2DD3" w14:textId="77777777" w:rsidTr="004C3FEF">
        <w:trPr>
          <w:trHeight w:val="540"/>
        </w:trPr>
        <w:tc>
          <w:tcPr>
            <w:tcW w:w="5104" w:type="dxa"/>
            <w:tcBorders>
              <w:top w:val="single" w:sz="4" w:space="0" w:color="auto"/>
              <w:bottom w:val="single" w:sz="4" w:space="0" w:color="auto"/>
            </w:tcBorders>
            <w:shd w:val="clear" w:color="auto" w:fill="auto"/>
            <w:vAlign w:val="center"/>
            <w:hideMark/>
          </w:tcPr>
          <w:p w14:paraId="7025CBC1" w14:textId="77777777" w:rsidR="00D74371" w:rsidRPr="00AC0CAE" w:rsidRDefault="00D74371" w:rsidP="00D74371">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Kompensācija no trešajām pusēm par ilgtermiņa ieguldījuma vērtības samazināšanos, zaudētu vai atdotu ilgtermiņa ieguldījumu</w:t>
            </w:r>
          </w:p>
        </w:tc>
        <w:tc>
          <w:tcPr>
            <w:tcW w:w="2410" w:type="dxa"/>
            <w:tcBorders>
              <w:top w:val="single" w:sz="4" w:space="0" w:color="auto"/>
              <w:bottom w:val="single" w:sz="4" w:space="0" w:color="auto"/>
            </w:tcBorders>
            <w:shd w:val="clear" w:color="auto" w:fill="auto"/>
            <w:vAlign w:val="center"/>
            <w:hideMark/>
          </w:tcPr>
          <w:p w14:paraId="750692F6" w14:textId="77777777" w:rsidR="00D74371" w:rsidRPr="00F263AC" w:rsidRDefault="00D74371" w:rsidP="00D74371">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596 890</w:t>
            </w:r>
          </w:p>
        </w:tc>
        <w:tc>
          <w:tcPr>
            <w:tcW w:w="1842" w:type="dxa"/>
            <w:tcBorders>
              <w:top w:val="single" w:sz="4" w:space="0" w:color="auto"/>
              <w:bottom w:val="single" w:sz="4" w:space="0" w:color="auto"/>
            </w:tcBorders>
            <w:shd w:val="clear" w:color="auto" w:fill="auto"/>
            <w:vAlign w:val="center"/>
          </w:tcPr>
          <w:p w14:paraId="1840DE48" w14:textId="77777777" w:rsidR="00D74371" w:rsidRPr="00F263AC" w:rsidRDefault="00D74371" w:rsidP="00D74371">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217 597</w:t>
            </w:r>
          </w:p>
        </w:tc>
      </w:tr>
      <w:tr w:rsidR="00F263AC" w:rsidRPr="00AC0CAE" w14:paraId="67D609A3" w14:textId="77777777" w:rsidTr="004C3FEF">
        <w:trPr>
          <w:trHeight w:val="510"/>
        </w:trPr>
        <w:tc>
          <w:tcPr>
            <w:tcW w:w="5104" w:type="dxa"/>
            <w:tcBorders>
              <w:top w:val="single" w:sz="4" w:space="0" w:color="auto"/>
              <w:bottom w:val="single" w:sz="4" w:space="0" w:color="auto"/>
            </w:tcBorders>
            <w:shd w:val="clear" w:color="auto" w:fill="auto"/>
            <w:vAlign w:val="center"/>
            <w:hideMark/>
          </w:tcPr>
          <w:p w14:paraId="0196BDF0" w14:textId="77777777" w:rsidR="00F263AC" w:rsidRPr="00AC0CAE" w:rsidRDefault="00F263AC" w:rsidP="00F263AC">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lastRenderedPageBreak/>
              <w:t>Ieņēmumi no ilgtermiņa finanšu ieguldījumu pārvērtēšanas vai pārsnieguma</w:t>
            </w:r>
          </w:p>
        </w:tc>
        <w:tc>
          <w:tcPr>
            <w:tcW w:w="2410" w:type="dxa"/>
            <w:tcBorders>
              <w:top w:val="single" w:sz="4" w:space="0" w:color="auto"/>
              <w:bottom w:val="single" w:sz="4" w:space="0" w:color="auto"/>
            </w:tcBorders>
            <w:shd w:val="clear" w:color="auto" w:fill="auto"/>
            <w:vAlign w:val="center"/>
            <w:hideMark/>
          </w:tcPr>
          <w:p w14:paraId="0F016234" w14:textId="22F7C8E9" w:rsidR="00F263AC" w:rsidRPr="00F263AC"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767 537 389</w:t>
            </w:r>
          </w:p>
        </w:tc>
        <w:tc>
          <w:tcPr>
            <w:tcW w:w="1842" w:type="dxa"/>
            <w:tcBorders>
              <w:top w:val="single" w:sz="4" w:space="0" w:color="auto"/>
              <w:bottom w:val="single" w:sz="4" w:space="0" w:color="auto"/>
            </w:tcBorders>
            <w:shd w:val="clear" w:color="auto" w:fill="auto"/>
            <w:vAlign w:val="center"/>
          </w:tcPr>
          <w:p w14:paraId="43211957" w14:textId="287E9F81" w:rsidR="00F263AC" w:rsidRPr="00F263AC"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471 686 907</w:t>
            </w:r>
          </w:p>
        </w:tc>
      </w:tr>
      <w:tr w:rsidR="00F263AC" w:rsidRPr="00AC0CAE" w14:paraId="27113D0E" w14:textId="77777777" w:rsidTr="004C3FEF">
        <w:trPr>
          <w:trHeight w:val="510"/>
        </w:trPr>
        <w:tc>
          <w:tcPr>
            <w:tcW w:w="5104" w:type="dxa"/>
            <w:tcBorders>
              <w:top w:val="single" w:sz="4" w:space="0" w:color="auto"/>
              <w:bottom w:val="single" w:sz="4" w:space="0" w:color="auto"/>
            </w:tcBorders>
            <w:shd w:val="clear" w:color="auto" w:fill="auto"/>
            <w:vAlign w:val="center"/>
            <w:hideMark/>
          </w:tcPr>
          <w:p w14:paraId="193CB172" w14:textId="77777777" w:rsidR="00F263AC" w:rsidRPr="00AC0CAE" w:rsidRDefault="00F263AC" w:rsidP="00F263AC">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mantiska ieguldījuma radniecīgajās un asociētajās kapitālsabiedrībās</w:t>
            </w:r>
          </w:p>
        </w:tc>
        <w:tc>
          <w:tcPr>
            <w:tcW w:w="2410" w:type="dxa"/>
            <w:tcBorders>
              <w:top w:val="single" w:sz="4" w:space="0" w:color="auto"/>
              <w:bottom w:val="single" w:sz="4" w:space="0" w:color="auto"/>
            </w:tcBorders>
            <w:shd w:val="clear" w:color="auto" w:fill="auto"/>
            <w:vAlign w:val="center"/>
            <w:hideMark/>
          </w:tcPr>
          <w:p w14:paraId="48702639" w14:textId="2177FAB9" w:rsidR="00F263AC" w:rsidRPr="00F263AC"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17 199 891</w:t>
            </w:r>
          </w:p>
        </w:tc>
        <w:tc>
          <w:tcPr>
            <w:tcW w:w="1842" w:type="dxa"/>
            <w:tcBorders>
              <w:top w:val="single" w:sz="4" w:space="0" w:color="auto"/>
              <w:bottom w:val="single" w:sz="4" w:space="0" w:color="auto"/>
            </w:tcBorders>
            <w:shd w:val="clear" w:color="auto" w:fill="auto"/>
            <w:vAlign w:val="center"/>
          </w:tcPr>
          <w:p w14:paraId="1177414F" w14:textId="5E1B9DC6" w:rsidR="00F263AC" w:rsidRPr="00F263AC"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67 226 654</w:t>
            </w:r>
          </w:p>
        </w:tc>
      </w:tr>
      <w:tr w:rsidR="00F263AC" w:rsidRPr="00AC0CAE" w14:paraId="2FAE0D2F" w14:textId="77777777" w:rsidTr="004C3FEF">
        <w:trPr>
          <w:trHeight w:val="510"/>
        </w:trPr>
        <w:tc>
          <w:tcPr>
            <w:tcW w:w="5104" w:type="dxa"/>
            <w:tcBorders>
              <w:top w:val="single" w:sz="4" w:space="0" w:color="auto"/>
              <w:bottom w:val="single" w:sz="4" w:space="0" w:color="auto"/>
            </w:tcBorders>
            <w:shd w:val="clear" w:color="auto" w:fill="auto"/>
            <w:vAlign w:val="center"/>
          </w:tcPr>
          <w:p w14:paraId="5B601541" w14:textId="77777777" w:rsidR="00F263AC" w:rsidRPr="00AC0CAE" w:rsidRDefault="00F263AC" w:rsidP="00F263AC">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valūtas kursu svārstībām, kas neattiecas uz finanšu instrumentiem</w:t>
            </w:r>
          </w:p>
        </w:tc>
        <w:tc>
          <w:tcPr>
            <w:tcW w:w="2410" w:type="dxa"/>
            <w:tcBorders>
              <w:top w:val="single" w:sz="4" w:space="0" w:color="auto"/>
              <w:bottom w:val="single" w:sz="4" w:space="0" w:color="auto"/>
            </w:tcBorders>
            <w:shd w:val="clear" w:color="auto" w:fill="auto"/>
            <w:vAlign w:val="center"/>
          </w:tcPr>
          <w:p w14:paraId="101C5048" w14:textId="344ADDB8" w:rsidR="00F263AC" w:rsidRPr="00F263AC"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2 648 591</w:t>
            </w:r>
          </w:p>
        </w:tc>
        <w:tc>
          <w:tcPr>
            <w:tcW w:w="1842" w:type="dxa"/>
            <w:tcBorders>
              <w:top w:val="single" w:sz="4" w:space="0" w:color="auto"/>
              <w:bottom w:val="single" w:sz="4" w:space="0" w:color="auto"/>
            </w:tcBorders>
            <w:shd w:val="clear" w:color="auto" w:fill="auto"/>
            <w:vAlign w:val="center"/>
          </w:tcPr>
          <w:p w14:paraId="2940A2B0" w14:textId="305E85C8" w:rsidR="00F263AC" w:rsidRPr="00F263AC"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19 486 792</w:t>
            </w:r>
          </w:p>
        </w:tc>
      </w:tr>
      <w:tr w:rsidR="00F263AC" w:rsidRPr="00AC0CAE" w14:paraId="547D7CB1" w14:textId="77777777" w:rsidTr="004C3FEF">
        <w:trPr>
          <w:trHeight w:val="261"/>
        </w:trPr>
        <w:tc>
          <w:tcPr>
            <w:tcW w:w="5104" w:type="dxa"/>
            <w:tcBorders>
              <w:top w:val="single" w:sz="4" w:space="0" w:color="auto"/>
              <w:bottom w:val="single" w:sz="4" w:space="0" w:color="auto"/>
            </w:tcBorders>
            <w:shd w:val="clear" w:color="auto" w:fill="auto"/>
            <w:vAlign w:val="center"/>
          </w:tcPr>
          <w:p w14:paraId="433C9658" w14:textId="77777777" w:rsidR="00F263AC" w:rsidRPr="00AC0CAE" w:rsidRDefault="00F263AC" w:rsidP="00F263AC">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Pārējie darījumi</w:t>
            </w:r>
          </w:p>
        </w:tc>
        <w:tc>
          <w:tcPr>
            <w:tcW w:w="2410" w:type="dxa"/>
            <w:tcBorders>
              <w:top w:val="single" w:sz="4" w:space="0" w:color="auto"/>
              <w:bottom w:val="single" w:sz="4" w:space="0" w:color="auto"/>
            </w:tcBorders>
            <w:shd w:val="clear" w:color="auto" w:fill="auto"/>
            <w:vAlign w:val="center"/>
          </w:tcPr>
          <w:p w14:paraId="066098BF" w14:textId="500E2A28" w:rsidR="00F263AC" w:rsidRPr="00F263AC"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28 629 094</w:t>
            </w:r>
          </w:p>
        </w:tc>
        <w:tc>
          <w:tcPr>
            <w:tcW w:w="1842" w:type="dxa"/>
            <w:tcBorders>
              <w:top w:val="single" w:sz="4" w:space="0" w:color="auto"/>
              <w:bottom w:val="single" w:sz="4" w:space="0" w:color="auto"/>
            </w:tcBorders>
            <w:shd w:val="clear" w:color="auto" w:fill="auto"/>
            <w:vAlign w:val="center"/>
          </w:tcPr>
          <w:p w14:paraId="42D084A5" w14:textId="6363BD56" w:rsidR="00F263AC" w:rsidRPr="00F263AC"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325 397 416</w:t>
            </w:r>
          </w:p>
        </w:tc>
      </w:tr>
      <w:tr w:rsidR="00F263AC" w:rsidRPr="00AC0CAE" w14:paraId="6477FE3D" w14:textId="77777777" w:rsidTr="004C3FEF">
        <w:trPr>
          <w:trHeight w:val="311"/>
        </w:trPr>
        <w:tc>
          <w:tcPr>
            <w:tcW w:w="5104" w:type="dxa"/>
            <w:tcBorders>
              <w:top w:val="single" w:sz="4" w:space="0" w:color="auto"/>
              <w:bottom w:val="single" w:sz="4" w:space="0" w:color="auto"/>
            </w:tcBorders>
            <w:shd w:val="clear" w:color="auto" w:fill="auto"/>
            <w:vAlign w:val="center"/>
          </w:tcPr>
          <w:p w14:paraId="6D256877" w14:textId="77777777" w:rsidR="00F263AC" w:rsidRPr="00AC0CAE" w:rsidRDefault="00F263AC" w:rsidP="00F263AC">
            <w:pPr>
              <w:spacing w:after="0" w:line="240" w:lineRule="auto"/>
              <w:rPr>
                <w:rFonts w:eastAsia="Arial Unicode MS" w:cs="Times New Roman"/>
                <w:color w:val="17365D"/>
                <w:sz w:val="18"/>
                <w:szCs w:val="18"/>
              </w:rPr>
            </w:pPr>
            <w:r w:rsidRPr="00AC0CAE">
              <w:rPr>
                <w:rFonts w:eastAsia="Arial Unicode MS" w:cs="Times New Roman"/>
                <w:color w:val="17365D"/>
                <w:sz w:val="18"/>
                <w:szCs w:val="18"/>
              </w:rPr>
              <w:t>Ieņēmumi no pārējo rezervju izslēgšanas</w:t>
            </w:r>
          </w:p>
        </w:tc>
        <w:tc>
          <w:tcPr>
            <w:tcW w:w="2410" w:type="dxa"/>
            <w:tcBorders>
              <w:top w:val="single" w:sz="4" w:space="0" w:color="auto"/>
              <w:bottom w:val="single" w:sz="4" w:space="0" w:color="auto"/>
            </w:tcBorders>
            <w:shd w:val="clear" w:color="auto" w:fill="auto"/>
            <w:vAlign w:val="center"/>
          </w:tcPr>
          <w:p w14:paraId="4F259916" w14:textId="77E7DBEA" w:rsidR="00F263AC" w:rsidRPr="00F263AC"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13 458 886</w:t>
            </w:r>
          </w:p>
        </w:tc>
        <w:tc>
          <w:tcPr>
            <w:tcW w:w="1842" w:type="dxa"/>
            <w:tcBorders>
              <w:top w:val="single" w:sz="4" w:space="0" w:color="auto"/>
              <w:bottom w:val="single" w:sz="4" w:space="0" w:color="auto"/>
            </w:tcBorders>
            <w:shd w:val="clear" w:color="auto" w:fill="auto"/>
            <w:vAlign w:val="center"/>
          </w:tcPr>
          <w:p w14:paraId="706EC492" w14:textId="5291E2F8" w:rsidR="00F263AC" w:rsidRPr="00F263AC"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100 266</w:t>
            </w:r>
          </w:p>
        </w:tc>
      </w:tr>
      <w:tr w:rsidR="00D74371" w:rsidRPr="00AC0CAE" w14:paraId="1AC75209" w14:textId="77777777" w:rsidTr="004C3FEF">
        <w:trPr>
          <w:trHeight w:val="159"/>
        </w:trPr>
        <w:tc>
          <w:tcPr>
            <w:tcW w:w="5104" w:type="dxa"/>
            <w:tcBorders>
              <w:top w:val="single" w:sz="4" w:space="0" w:color="auto"/>
              <w:bottom w:val="nil"/>
              <w:right w:val="nil"/>
            </w:tcBorders>
            <w:shd w:val="clear" w:color="auto" w:fill="B8CCE4" w:themeFill="accent1" w:themeFillTint="66"/>
            <w:vAlign w:val="center"/>
          </w:tcPr>
          <w:p w14:paraId="6A6144E5" w14:textId="77777777" w:rsidR="00D74371" w:rsidRPr="00A27896" w:rsidRDefault="00D74371" w:rsidP="00D74371">
            <w:pPr>
              <w:spacing w:after="0" w:line="240" w:lineRule="auto"/>
              <w:rPr>
                <w:rFonts w:eastAsia="Arial Unicode MS" w:cs="Times New Roman"/>
                <w:b/>
                <w:color w:val="17365D"/>
                <w:sz w:val="18"/>
                <w:szCs w:val="18"/>
              </w:rPr>
            </w:pPr>
          </w:p>
        </w:tc>
        <w:tc>
          <w:tcPr>
            <w:tcW w:w="2410" w:type="dxa"/>
            <w:tcBorders>
              <w:top w:val="single" w:sz="4" w:space="0" w:color="auto"/>
              <w:left w:val="nil"/>
              <w:bottom w:val="nil"/>
              <w:right w:val="nil"/>
            </w:tcBorders>
            <w:shd w:val="clear" w:color="auto" w:fill="B8CCE4" w:themeFill="accent1" w:themeFillTint="66"/>
            <w:vAlign w:val="center"/>
          </w:tcPr>
          <w:p w14:paraId="309D041F" w14:textId="77777777" w:rsidR="00D74371" w:rsidRPr="00A27896" w:rsidRDefault="00D74371" w:rsidP="00D74371">
            <w:pPr>
              <w:spacing w:after="0" w:line="240" w:lineRule="auto"/>
              <w:jc w:val="right"/>
              <w:rPr>
                <w:rFonts w:eastAsia="Arial Unicode MS" w:cs="Times New Roman"/>
                <w:b/>
                <w:color w:val="17365D"/>
                <w:sz w:val="18"/>
                <w:szCs w:val="18"/>
              </w:rPr>
            </w:pPr>
          </w:p>
        </w:tc>
        <w:tc>
          <w:tcPr>
            <w:tcW w:w="1842" w:type="dxa"/>
            <w:tcBorders>
              <w:top w:val="single" w:sz="4" w:space="0" w:color="auto"/>
              <w:left w:val="nil"/>
              <w:bottom w:val="nil"/>
              <w:right w:val="nil"/>
            </w:tcBorders>
            <w:shd w:val="clear" w:color="auto" w:fill="B8CCE4" w:themeFill="accent1" w:themeFillTint="66"/>
            <w:vAlign w:val="center"/>
          </w:tcPr>
          <w:p w14:paraId="12B3E791" w14:textId="77777777" w:rsidR="00D74371" w:rsidRPr="00A27896" w:rsidRDefault="00D74371" w:rsidP="00D74371">
            <w:pPr>
              <w:spacing w:after="0" w:line="240" w:lineRule="auto"/>
              <w:jc w:val="right"/>
              <w:rPr>
                <w:rFonts w:eastAsia="Arial Unicode MS" w:cs="Times New Roman"/>
                <w:b/>
                <w:color w:val="17365D"/>
                <w:sz w:val="18"/>
                <w:szCs w:val="18"/>
              </w:rPr>
            </w:pPr>
          </w:p>
        </w:tc>
      </w:tr>
    </w:tbl>
    <w:p w14:paraId="6BA2EB20" w14:textId="77777777" w:rsidR="00D74371" w:rsidRPr="00E6180B" w:rsidRDefault="00D74371" w:rsidP="00D74371">
      <w:pPr>
        <w:spacing w:before="240" w:after="120" w:line="240" w:lineRule="auto"/>
        <w:ind w:firstLine="284"/>
        <w:jc w:val="both"/>
        <w:rPr>
          <w:rFonts w:eastAsia="Times New Roman" w:cs="Times New Roman"/>
          <w:noProof/>
          <w:color w:val="17365D"/>
          <w:szCs w:val="24"/>
          <w:lang w:eastAsia="lv-LV"/>
        </w:rPr>
      </w:pPr>
      <w:r w:rsidRPr="00E6180B">
        <w:rPr>
          <w:rFonts w:eastAsia="Times New Roman" w:cs="Times New Roman"/>
          <w:noProof/>
          <w:color w:val="17365D"/>
          <w:szCs w:val="24"/>
          <w:lang w:eastAsia="lv-LV"/>
        </w:rPr>
        <w:t xml:space="preserve">Informācija par ieņēmumiem no aktīvu vērtības samazinājuma norakstīšanas uzrādīta </w:t>
      </w:r>
      <w:r>
        <w:rPr>
          <w:rFonts w:eastAsia="Times New Roman" w:cs="Times New Roman"/>
          <w:noProof/>
          <w:color w:val="17365D"/>
          <w:szCs w:val="24"/>
          <w:lang w:eastAsia="lv-LV"/>
        </w:rPr>
        <w:t>2</w:t>
      </w:r>
      <w:r w:rsidRPr="009C6F0C">
        <w:rPr>
          <w:rFonts w:eastAsia="Times New Roman" w:cs="Times New Roman"/>
          <w:noProof/>
          <w:color w:val="17365D"/>
          <w:szCs w:val="24"/>
          <w:lang w:eastAsia="lv-LV"/>
        </w:rPr>
        <w:t>.5</w:t>
      </w:r>
      <w:r w:rsidRPr="009C6F0C">
        <w:rPr>
          <w:rFonts w:eastAsia="Arial Unicode MS" w:cs="Times New Roman"/>
          <w:noProof/>
          <w:color w:val="17365D"/>
          <w:szCs w:val="24"/>
        </w:rPr>
        <w:t>. tabulā</w:t>
      </w:r>
      <w:r w:rsidRPr="009C6F0C">
        <w:rPr>
          <w:rFonts w:eastAsia="Arial Unicode MS" w:cs="Times New Roman"/>
          <w:i/>
          <w:noProof/>
          <w:color w:val="17365D"/>
          <w:szCs w:val="24"/>
        </w:rPr>
        <w:t>.</w:t>
      </w:r>
    </w:p>
    <w:p w14:paraId="64230BE1" w14:textId="77777777" w:rsidR="00D74371" w:rsidRPr="00E6180B" w:rsidRDefault="00D74371" w:rsidP="00D74371">
      <w:pPr>
        <w:spacing w:after="0" w:line="240" w:lineRule="auto"/>
        <w:jc w:val="right"/>
        <w:rPr>
          <w:rFonts w:eastAsia="Arial Unicode MS" w:cs="Times New Roman"/>
          <w:i/>
          <w:color w:val="17365D"/>
          <w:sz w:val="20"/>
          <w:szCs w:val="24"/>
        </w:rPr>
      </w:pPr>
      <w:r>
        <w:rPr>
          <w:rFonts w:eastAsia="Arial Unicode MS" w:cs="Times New Roman"/>
          <w:i/>
          <w:color w:val="17365D"/>
          <w:sz w:val="20"/>
          <w:szCs w:val="24"/>
        </w:rPr>
        <w:t>2.5</w:t>
      </w:r>
      <w:r w:rsidRPr="00E6180B">
        <w:rPr>
          <w:rFonts w:eastAsia="Arial Unicode MS" w:cs="Times New Roman"/>
          <w:i/>
          <w:color w:val="17365D"/>
          <w:sz w:val="20"/>
          <w:szCs w:val="24"/>
        </w:rPr>
        <w:t>. tabula. Ieņēmumi no aktīvu vērtības samazinājuma norakstīšanas (euro)</w:t>
      </w:r>
    </w:p>
    <w:tbl>
      <w:tblPr>
        <w:tblW w:w="9356" w:type="dxa"/>
        <w:tblLook w:val="04A0" w:firstRow="1" w:lastRow="0" w:firstColumn="1" w:lastColumn="0" w:noHBand="0" w:noVBand="1"/>
      </w:tblPr>
      <w:tblGrid>
        <w:gridCol w:w="5529"/>
        <w:gridCol w:w="1984"/>
        <w:gridCol w:w="1843"/>
      </w:tblGrid>
      <w:tr w:rsidR="00D74371" w:rsidRPr="00E6180B" w14:paraId="00E2BECA" w14:textId="77777777" w:rsidTr="00475A10">
        <w:trPr>
          <w:trHeight w:val="255"/>
          <w:tblHeader/>
        </w:trPr>
        <w:tc>
          <w:tcPr>
            <w:tcW w:w="5529" w:type="dxa"/>
            <w:tcBorders>
              <w:top w:val="nil"/>
              <w:bottom w:val="single" w:sz="4" w:space="0" w:color="17365D"/>
            </w:tcBorders>
            <w:shd w:val="clear" w:color="auto" w:fill="B8CCE4" w:themeFill="accent1" w:themeFillTint="66"/>
            <w:vAlign w:val="center"/>
            <w:hideMark/>
          </w:tcPr>
          <w:p w14:paraId="2F8BAE40" w14:textId="77777777" w:rsidR="00D74371" w:rsidRPr="00E6180B" w:rsidRDefault="00D74371" w:rsidP="00D74371">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Darījuma apraksts</w:t>
            </w:r>
          </w:p>
        </w:tc>
        <w:tc>
          <w:tcPr>
            <w:tcW w:w="1984" w:type="dxa"/>
            <w:tcBorders>
              <w:top w:val="nil"/>
              <w:bottom w:val="single" w:sz="4" w:space="0" w:color="17365D"/>
            </w:tcBorders>
            <w:shd w:val="clear" w:color="auto" w:fill="B8CCE4" w:themeFill="accent1" w:themeFillTint="66"/>
            <w:vAlign w:val="center"/>
            <w:hideMark/>
          </w:tcPr>
          <w:p w14:paraId="1CA89C3A" w14:textId="77777777" w:rsidR="00D74371" w:rsidRPr="00E6180B" w:rsidRDefault="00D74371" w:rsidP="00D74371">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Pārskata periodā</w:t>
            </w:r>
          </w:p>
        </w:tc>
        <w:tc>
          <w:tcPr>
            <w:tcW w:w="1843" w:type="dxa"/>
            <w:tcBorders>
              <w:top w:val="nil"/>
              <w:bottom w:val="single" w:sz="4" w:space="0" w:color="17365D"/>
            </w:tcBorders>
            <w:shd w:val="clear" w:color="auto" w:fill="B8CCE4" w:themeFill="accent1" w:themeFillTint="66"/>
            <w:vAlign w:val="center"/>
          </w:tcPr>
          <w:p w14:paraId="0B7E21C8" w14:textId="77777777" w:rsidR="00D74371" w:rsidRPr="00E6180B" w:rsidRDefault="00D74371" w:rsidP="00D74371">
            <w:pPr>
              <w:spacing w:after="0" w:line="240" w:lineRule="auto"/>
              <w:jc w:val="center"/>
              <w:rPr>
                <w:rFonts w:eastAsia="Arial Unicode MS" w:cs="Times New Roman"/>
                <w:b/>
                <w:color w:val="17365D"/>
                <w:sz w:val="18"/>
                <w:szCs w:val="18"/>
              </w:rPr>
            </w:pPr>
            <w:r w:rsidRPr="00E6180B">
              <w:rPr>
                <w:rFonts w:eastAsia="Arial Unicode MS" w:cs="Times New Roman"/>
                <w:b/>
                <w:color w:val="17365D"/>
                <w:sz w:val="18"/>
                <w:szCs w:val="18"/>
              </w:rPr>
              <w:t>Iepriekšējā pārskata periodā</w:t>
            </w:r>
          </w:p>
        </w:tc>
      </w:tr>
      <w:tr w:rsidR="00475A10" w:rsidRPr="00E6180B" w14:paraId="018A6514" w14:textId="77777777" w:rsidTr="00475A10">
        <w:trPr>
          <w:trHeight w:val="255"/>
          <w:tblHeader/>
        </w:trPr>
        <w:tc>
          <w:tcPr>
            <w:tcW w:w="5529" w:type="dxa"/>
            <w:tcBorders>
              <w:top w:val="single" w:sz="4" w:space="0" w:color="17365D"/>
              <w:bottom w:val="single" w:sz="4" w:space="0" w:color="17365D"/>
            </w:tcBorders>
            <w:shd w:val="clear" w:color="auto" w:fill="auto"/>
            <w:vAlign w:val="center"/>
          </w:tcPr>
          <w:p w14:paraId="0A362A37" w14:textId="2917CA14" w:rsidR="00475A10" w:rsidRPr="00E6180B" w:rsidRDefault="00475A10" w:rsidP="00D74371">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A</w:t>
            </w:r>
          </w:p>
        </w:tc>
        <w:tc>
          <w:tcPr>
            <w:tcW w:w="1984" w:type="dxa"/>
            <w:tcBorders>
              <w:top w:val="single" w:sz="4" w:space="0" w:color="17365D"/>
              <w:bottom w:val="single" w:sz="4" w:space="0" w:color="17365D"/>
            </w:tcBorders>
            <w:shd w:val="clear" w:color="auto" w:fill="auto"/>
            <w:vAlign w:val="center"/>
          </w:tcPr>
          <w:p w14:paraId="5AFE2585" w14:textId="2A5B4506" w:rsidR="00475A10" w:rsidRPr="00E6180B" w:rsidRDefault="00475A10" w:rsidP="00D74371">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1</w:t>
            </w:r>
          </w:p>
        </w:tc>
        <w:tc>
          <w:tcPr>
            <w:tcW w:w="1843" w:type="dxa"/>
            <w:tcBorders>
              <w:top w:val="single" w:sz="4" w:space="0" w:color="17365D"/>
              <w:bottom w:val="single" w:sz="4" w:space="0" w:color="17365D"/>
            </w:tcBorders>
            <w:shd w:val="clear" w:color="auto" w:fill="auto"/>
            <w:vAlign w:val="center"/>
          </w:tcPr>
          <w:p w14:paraId="62F2393B" w14:textId="2B3948E4" w:rsidR="00475A10" w:rsidRPr="00E6180B" w:rsidRDefault="00475A10" w:rsidP="00D74371">
            <w:pPr>
              <w:spacing w:after="0" w:line="240" w:lineRule="auto"/>
              <w:jc w:val="center"/>
              <w:rPr>
                <w:rFonts w:eastAsia="Arial Unicode MS" w:cs="Times New Roman"/>
                <w:b/>
                <w:color w:val="17365D"/>
                <w:sz w:val="18"/>
                <w:szCs w:val="18"/>
              </w:rPr>
            </w:pPr>
            <w:r>
              <w:rPr>
                <w:rFonts w:eastAsia="Arial Unicode MS" w:cs="Times New Roman"/>
                <w:b/>
                <w:color w:val="17365D"/>
                <w:sz w:val="18"/>
                <w:szCs w:val="18"/>
              </w:rPr>
              <w:t>2</w:t>
            </w:r>
          </w:p>
        </w:tc>
      </w:tr>
      <w:tr w:rsidR="00F263AC" w:rsidRPr="00E6180B" w14:paraId="01E53219" w14:textId="77777777" w:rsidTr="00475A10">
        <w:trPr>
          <w:trHeight w:val="243"/>
        </w:trPr>
        <w:tc>
          <w:tcPr>
            <w:tcW w:w="5529" w:type="dxa"/>
            <w:tcBorders>
              <w:top w:val="single" w:sz="4" w:space="0" w:color="17365D"/>
              <w:bottom w:val="single" w:sz="4" w:space="0" w:color="auto"/>
            </w:tcBorders>
            <w:shd w:val="clear" w:color="auto" w:fill="auto"/>
            <w:vAlign w:val="center"/>
          </w:tcPr>
          <w:p w14:paraId="152EF799" w14:textId="77777777" w:rsidR="00F263AC" w:rsidRPr="00E6180B" w:rsidRDefault="00F263AC" w:rsidP="00F263AC">
            <w:pPr>
              <w:spacing w:after="0" w:line="240" w:lineRule="auto"/>
              <w:rPr>
                <w:rFonts w:eastAsia="Arial Unicode MS" w:cs="Times New Roman"/>
                <w:b/>
                <w:color w:val="17365D"/>
                <w:sz w:val="18"/>
                <w:szCs w:val="18"/>
              </w:rPr>
            </w:pPr>
            <w:r w:rsidRPr="00E6180B">
              <w:rPr>
                <w:rFonts w:eastAsia="Arial Unicode MS" w:cs="Times New Roman"/>
                <w:b/>
                <w:color w:val="17365D"/>
                <w:sz w:val="18"/>
                <w:szCs w:val="18"/>
              </w:rPr>
              <w:t>Ieņēmumi no aktīvu vērtības samazinājuma norakstīšanas</w:t>
            </w:r>
          </w:p>
        </w:tc>
        <w:tc>
          <w:tcPr>
            <w:tcW w:w="1984" w:type="dxa"/>
            <w:tcBorders>
              <w:top w:val="single" w:sz="4" w:space="0" w:color="17365D"/>
              <w:bottom w:val="single" w:sz="4" w:space="0" w:color="auto"/>
            </w:tcBorders>
            <w:shd w:val="clear" w:color="auto" w:fill="auto"/>
            <w:vAlign w:val="center"/>
          </w:tcPr>
          <w:p w14:paraId="45DD6559" w14:textId="0AB046D1" w:rsidR="00F263AC" w:rsidRPr="00F263AC" w:rsidRDefault="00F263AC" w:rsidP="00F263AC">
            <w:pPr>
              <w:spacing w:after="0" w:line="240" w:lineRule="auto"/>
              <w:jc w:val="right"/>
              <w:rPr>
                <w:rFonts w:eastAsia="Arial Unicode MS" w:cs="Times New Roman"/>
                <w:b/>
                <w:color w:val="17365D"/>
                <w:sz w:val="18"/>
                <w:szCs w:val="18"/>
              </w:rPr>
            </w:pPr>
            <w:r w:rsidRPr="00F263AC">
              <w:rPr>
                <w:rFonts w:eastAsia="Arial Unicode MS" w:cs="Times New Roman"/>
                <w:b/>
                <w:color w:val="17365D"/>
                <w:sz w:val="18"/>
                <w:szCs w:val="18"/>
              </w:rPr>
              <w:t>542 599 498</w:t>
            </w:r>
          </w:p>
        </w:tc>
        <w:tc>
          <w:tcPr>
            <w:tcW w:w="1843" w:type="dxa"/>
            <w:tcBorders>
              <w:top w:val="single" w:sz="4" w:space="0" w:color="17365D"/>
              <w:bottom w:val="single" w:sz="4" w:space="0" w:color="auto"/>
            </w:tcBorders>
            <w:shd w:val="clear" w:color="auto" w:fill="auto"/>
            <w:vAlign w:val="center"/>
          </w:tcPr>
          <w:p w14:paraId="5985ED15" w14:textId="448E2C5C" w:rsidR="00F263AC" w:rsidRPr="00F263AC" w:rsidRDefault="00F263AC" w:rsidP="00F263AC">
            <w:pPr>
              <w:spacing w:after="0" w:line="240" w:lineRule="auto"/>
              <w:jc w:val="right"/>
              <w:rPr>
                <w:rFonts w:eastAsia="Arial Unicode MS" w:cs="Times New Roman"/>
                <w:b/>
                <w:color w:val="17365D"/>
                <w:sz w:val="18"/>
                <w:szCs w:val="18"/>
              </w:rPr>
            </w:pPr>
            <w:r w:rsidRPr="00F263AC">
              <w:rPr>
                <w:rFonts w:eastAsia="Arial Unicode MS" w:cs="Times New Roman"/>
                <w:b/>
                <w:color w:val="17365D"/>
                <w:sz w:val="18"/>
                <w:szCs w:val="18"/>
              </w:rPr>
              <w:t>219 329 808</w:t>
            </w:r>
          </w:p>
        </w:tc>
      </w:tr>
      <w:tr w:rsidR="00F263AC" w:rsidRPr="00E6180B" w14:paraId="4287C129" w14:textId="77777777" w:rsidTr="00475A10">
        <w:trPr>
          <w:trHeight w:val="510"/>
        </w:trPr>
        <w:tc>
          <w:tcPr>
            <w:tcW w:w="5529" w:type="dxa"/>
            <w:tcBorders>
              <w:top w:val="single" w:sz="4" w:space="0" w:color="auto"/>
              <w:bottom w:val="single" w:sz="4" w:space="0" w:color="auto"/>
            </w:tcBorders>
            <w:shd w:val="clear" w:color="auto" w:fill="auto"/>
            <w:vAlign w:val="center"/>
          </w:tcPr>
          <w:p w14:paraId="50BF9909" w14:textId="77777777" w:rsidR="00F263AC" w:rsidRPr="00E6180B" w:rsidRDefault="00F263AC" w:rsidP="00F263AC">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avansa maksājumiem par nefinanšu aktīviem</w:t>
            </w:r>
          </w:p>
        </w:tc>
        <w:tc>
          <w:tcPr>
            <w:tcW w:w="1984" w:type="dxa"/>
            <w:tcBorders>
              <w:top w:val="single" w:sz="4" w:space="0" w:color="auto"/>
              <w:bottom w:val="single" w:sz="4" w:space="0" w:color="auto"/>
            </w:tcBorders>
            <w:shd w:val="clear" w:color="auto" w:fill="auto"/>
            <w:vAlign w:val="center"/>
          </w:tcPr>
          <w:p w14:paraId="615ED1B3" w14:textId="03639DED" w:rsidR="00F263AC" w:rsidRPr="00E6180B"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820 888</w:t>
            </w:r>
          </w:p>
        </w:tc>
        <w:tc>
          <w:tcPr>
            <w:tcW w:w="1843" w:type="dxa"/>
            <w:tcBorders>
              <w:top w:val="single" w:sz="4" w:space="0" w:color="auto"/>
              <w:bottom w:val="single" w:sz="4" w:space="0" w:color="auto"/>
            </w:tcBorders>
            <w:shd w:val="clear" w:color="auto" w:fill="auto"/>
            <w:vAlign w:val="center"/>
          </w:tcPr>
          <w:p w14:paraId="0D9FB24C" w14:textId="78FECF72" w:rsidR="00F263AC" w:rsidRPr="00E6180B"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1 198 841</w:t>
            </w:r>
          </w:p>
        </w:tc>
      </w:tr>
      <w:tr w:rsidR="00F263AC" w:rsidRPr="00E6180B" w14:paraId="543F62C5" w14:textId="77777777" w:rsidTr="00475A10">
        <w:trPr>
          <w:trHeight w:val="289"/>
        </w:trPr>
        <w:tc>
          <w:tcPr>
            <w:tcW w:w="5529" w:type="dxa"/>
            <w:tcBorders>
              <w:top w:val="single" w:sz="4" w:space="0" w:color="auto"/>
              <w:bottom w:val="single" w:sz="4" w:space="0" w:color="auto"/>
            </w:tcBorders>
            <w:shd w:val="clear" w:color="auto" w:fill="auto"/>
            <w:vAlign w:val="center"/>
          </w:tcPr>
          <w:p w14:paraId="6D0A1A88" w14:textId="77777777" w:rsidR="00F263AC" w:rsidRPr="00E6180B" w:rsidRDefault="00F263AC" w:rsidP="00F263AC">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nefinanšu aktīviem</w:t>
            </w:r>
          </w:p>
        </w:tc>
        <w:tc>
          <w:tcPr>
            <w:tcW w:w="1984" w:type="dxa"/>
            <w:tcBorders>
              <w:top w:val="single" w:sz="4" w:space="0" w:color="auto"/>
              <w:bottom w:val="single" w:sz="4" w:space="0" w:color="auto"/>
            </w:tcBorders>
            <w:shd w:val="clear" w:color="auto" w:fill="auto"/>
            <w:vAlign w:val="center"/>
          </w:tcPr>
          <w:p w14:paraId="37A8CF0A" w14:textId="799E2364" w:rsidR="00F263AC" w:rsidRPr="00E6180B"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293 838</w:t>
            </w:r>
          </w:p>
        </w:tc>
        <w:tc>
          <w:tcPr>
            <w:tcW w:w="1843" w:type="dxa"/>
            <w:tcBorders>
              <w:top w:val="single" w:sz="4" w:space="0" w:color="auto"/>
              <w:bottom w:val="single" w:sz="4" w:space="0" w:color="auto"/>
            </w:tcBorders>
            <w:shd w:val="clear" w:color="auto" w:fill="auto"/>
            <w:vAlign w:val="center"/>
          </w:tcPr>
          <w:p w14:paraId="621B8161" w14:textId="72E87A6D" w:rsidR="00F263AC" w:rsidRPr="00E6180B"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1 307 427</w:t>
            </w:r>
          </w:p>
        </w:tc>
      </w:tr>
      <w:tr w:rsidR="00F263AC" w:rsidRPr="00E6180B" w14:paraId="44252EDF" w14:textId="77777777" w:rsidTr="00475A10">
        <w:trPr>
          <w:trHeight w:val="510"/>
        </w:trPr>
        <w:tc>
          <w:tcPr>
            <w:tcW w:w="5529" w:type="dxa"/>
            <w:tcBorders>
              <w:top w:val="single" w:sz="4" w:space="0" w:color="auto"/>
              <w:bottom w:val="single" w:sz="4" w:space="0" w:color="auto"/>
            </w:tcBorders>
            <w:shd w:val="clear" w:color="auto" w:fill="auto"/>
            <w:vAlign w:val="center"/>
          </w:tcPr>
          <w:p w14:paraId="1EBCF510" w14:textId="77777777" w:rsidR="00F263AC" w:rsidRPr="00E6180B" w:rsidRDefault="00F263AC" w:rsidP="00F263AC">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prasībām un avansa maksājumiem par pakalpojumiem</w:t>
            </w:r>
          </w:p>
        </w:tc>
        <w:tc>
          <w:tcPr>
            <w:tcW w:w="1984" w:type="dxa"/>
            <w:tcBorders>
              <w:top w:val="single" w:sz="4" w:space="0" w:color="auto"/>
              <w:bottom w:val="single" w:sz="4" w:space="0" w:color="auto"/>
            </w:tcBorders>
            <w:shd w:val="clear" w:color="auto" w:fill="auto"/>
            <w:vAlign w:val="center"/>
          </w:tcPr>
          <w:p w14:paraId="521223F4" w14:textId="309DCEB3" w:rsidR="00F263AC" w:rsidRPr="00E6180B"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35 717 457</w:t>
            </w:r>
          </w:p>
        </w:tc>
        <w:tc>
          <w:tcPr>
            <w:tcW w:w="1843" w:type="dxa"/>
            <w:tcBorders>
              <w:top w:val="single" w:sz="4" w:space="0" w:color="auto"/>
              <w:bottom w:val="single" w:sz="4" w:space="0" w:color="auto"/>
            </w:tcBorders>
            <w:shd w:val="clear" w:color="auto" w:fill="auto"/>
            <w:vAlign w:val="center"/>
          </w:tcPr>
          <w:p w14:paraId="1CFA29E0" w14:textId="3A6178BA" w:rsidR="00F263AC" w:rsidRPr="00E6180B"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32 732 822</w:t>
            </w:r>
          </w:p>
        </w:tc>
      </w:tr>
      <w:tr w:rsidR="00F263AC" w:rsidRPr="00E6180B" w14:paraId="0ADA8D67" w14:textId="77777777" w:rsidTr="00475A10">
        <w:trPr>
          <w:trHeight w:val="510"/>
        </w:trPr>
        <w:tc>
          <w:tcPr>
            <w:tcW w:w="5529" w:type="dxa"/>
            <w:tcBorders>
              <w:top w:val="single" w:sz="4" w:space="0" w:color="auto"/>
              <w:bottom w:val="single" w:sz="4" w:space="0" w:color="auto"/>
            </w:tcBorders>
            <w:shd w:val="clear" w:color="auto" w:fill="auto"/>
            <w:vAlign w:val="center"/>
          </w:tcPr>
          <w:p w14:paraId="6183F933" w14:textId="77777777" w:rsidR="00F263AC" w:rsidRPr="00E6180B" w:rsidRDefault="00F263AC" w:rsidP="00F263AC">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prasībām par nodokļiem, nodevām un citiem maksājumiem budžetos</w:t>
            </w:r>
          </w:p>
        </w:tc>
        <w:tc>
          <w:tcPr>
            <w:tcW w:w="1984" w:type="dxa"/>
            <w:tcBorders>
              <w:top w:val="single" w:sz="4" w:space="0" w:color="auto"/>
              <w:bottom w:val="single" w:sz="4" w:space="0" w:color="auto"/>
            </w:tcBorders>
            <w:shd w:val="clear" w:color="auto" w:fill="auto"/>
            <w:vAlign w:val="center"/>
          </w:tcPr>
          <w:p w14:paraId="1EFC11B7" w14:textId="5851DCC1" w:rsidR="00F263AC" w:rsidRPr="00E6180B"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321 811 542</w:t>
            </w:r>
          </w:p>
        </w:tc>
        <w:tc>
          <w:tcPr>
            <w:tcW w:w="1843" w:type="dxa"/>
            <w:tcBorders>
              <w:top w:val="single" w:sz="4" w:space="0" w:color="auto"/>
              <w:bottom w:val="single" w:sz="4" w:space="0" w:color="auto"/>
            </w:tcBorders>
            <w:shd w:val="clear" w:color="auto" w:fill="auto"/>
            <w:vAlign w:val="center"/>
          </w:tcPr>
          <w:p w14:paraId="47405A71" w14:textId="1BC0279D" w:rsidR="00F263AC" w:rsidRPr="00E6180B" w:rsidRDefault="00F263AC" w:rsidP="00F263AC">
            <w:pPr>
              <w:spacing w:after="0" w:line="240" w:lineRule="auto"/>
              <w:jc w:val="right"/>
              <w:rPr>
                <w:rFonts w:eastAsia="Arial Unicode MS" w:cs="Times New Roman"/>
                <w:color w:val="17365D"/>
                <w:sz w:val="18"/>
                <w:szCs w:val="18"/>
              </w:rPr>
            </w:pPr>
            <w:r w:rsidRPr="00F263AC">
              <w:rPr>
                <w:rFonts w:eastAsia="Arial Unicode MS" w:cs="Times New Roman"/>
                <w:color w:val="17365D"/>
                <w:sz w:val="18"/>
                <w:szCs w:val="18"/>
              </w:rPr>
              <w:t>181 244 608</w:t>
            </w:r>
          </w:p>
        </w:tc>
      </w:tr>
      <w:tr w:rsidR="00D74371" w:rsidRPr="00E6180B" w14:paraId="77D42AFA" w14:textId="77777777" w:rsidTr="00475A10">
        <w:trPr>
          <w:trHeight w:val="510"/>
        </w:trPr>
        <w:tc>
          <w:tcPr>
            <w:tcW w:w="5529" w:type="dxa"/>
            <w:tcBorders>
              <w:top w:val="single" w:sz="4" w:space="0" w:color="auto"/>
              <w:bottom w:val="single" w:sz="4" w:space="0" w:color="000000"/>
            </w:tcBorders>
            <w:shd w:val="clear" w:color="auto" w:fill="auto"/>
            <w:vAlign w:val="center"/>
            <w:hideMark/>
          </w:tcPr>
          <w:p w14:paraId="7D6F4E8E" w14:textId="77777777" w:rsidR="00D74371" w:rsidRPr="00E6180B" w:rsidRDefault="00D74371" w:rsidP="00D74371">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finanšu instrumentiem</w:t>
            </w:r>
          </w:p>
        </w:tc>
        <w:tc>
          <w:tcPr>
            <w:tcW w:w="1984" w:type="dxa"/>
            <w:tcBorders>
              <w:top w:val="single" w:sz="4" w:space="0" w:color="auto"/>
              <w:bottom w:val="single" w:sz="4" w:space="0" w:color="000000"/>
            </w:tcBorders>
            <w:shd w:val="clear" w:color="auto" w:fill="auto"/>
            <w:vAlign w:val="center"/>
            <w:hideMark/>
          </w:tcPr>
          <w:p w14:paraId="322588E2" w14:textId="77777777" w:rsidR="00D74371" w:rsidRPr="00E6180B" w:rsidRDefault="00D74371" w:rsidP="00D74371">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20 352 146</w:t>
            </w:r>
          </w:p>
        </w:tc>
        <w:tc>
          <w:tcPr>
            <w:tcW w:w="1843" w:type="dxa"/>
            <w:tcBorders>
              <w:top w:val="single" w:sz="4" w:space="0" w:color="auto"/>
              <w:bottom w:val="single" w:sz="4" w:space="0" w:color="000000"/>
            </w:tcBorders>
            <w:shd w:val="clear" w:color="auto" w:fill="auto"/>
            <w:vAlign w:val="center"/>
          </w:tcPr>
          <w:p w14:paraId="65012422" w14:textId="77777777" w:rsidR="00D74371" w:rsidRPr="00E6180B" w:rsidRDefault="00D74371" w:rsidP="00D74371">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2 622 081</w:t>
            </w:r>
          </w:p>
        </w:tc>
      </w:tr>
      <w:tr w:rsidR="00D74371" w:rsidRPr="00E6180B" w14:paraId="5E4E8FC5" w14:textId="77777777" w:rsidTr="00475A10">
        <w:trPr>
          <w:trHeight w:val="255"/>
        </w:trPr>
        <w:tc>
          <w:tcPr>
            <w:tcW w:w="5529" w:type="dxa"/>
            <w:tcBorders>
              <w:top w:val="nil"/>
              <w:bottom w:val="single" w:sz="4" w:space="0" w:color="000000"/>
            </w:tcBorders>
            <w:shd w:val="clear" w:color="auto" w:fill="auto"/>
            <w:vAlign w:val="center"/>
          </w:tcPr>
          <w:p w14:paraId="2181B7FA" w14:textId="77777777" w:rsidR="00D74371" w:rsidRPr="00E6180B" w:rsidRDefault="00D74371" w:rsidP="00C87349">
            <w:pPr>
              <w:spacing w:after="0" w:line="240" w:lineRule="auto"/>
              <w:ind w:firstLine="318"/>
              <w:rPr>
                <w:rFonts w:eastAsia="Arial Unicode MS" w:cs="Times New Roman"/>
                <w:color w:val="17365D"/>
                <w:sz w:val="18"/>
                <w:szCs w:val="18"/>
              </w:rPr>
            </w:pPr>
            <w:r w:rsidRPr="00E6180B">
              <w:rPr>
                <w:rFonts w:eastAsia="Arial Unicode MS" w:cs="Times New Roman"/>
                <w:color w:val="17365D"/>
                <w:sz w:val="18"/>
                <w:szCs w:val="18"/>
              </w:rPr>
              <w:t>Aizdevumi un prasības</w:t>
            </w:r>
          </w:p>
        </w:tc>
        <w:tc>
          <w:tcPr>
            <w:tcW w:w="1984" w:type="dxa"/>
            <w:tcBorders>
              <w:top w:val="single" w:sz="4" w:space="0" w:color="000000"/>
              <w:bottom w:val="single" w:sz="4" w:space="0" w:color="000000"/>
            </w:tcBorders>
            <w:shd w:val="clear" w:color="auto" w:fill="auto"/>
            <w:vAlign w:val="center"/>
          </w:tcPr>
          <w:p w14:paraId="087BAEBE" w14:textId="77777777" w:rsidR="00D74371" w:rsidRPr="00E6180B" w:rsidRDefault="00D74371" w:rsidP="00D74371">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20 352 146</w:t>
            </w:r>
          </w:p>
        </w:tc>
        <w:tc>
          <w:tcPr>
            <w:tcW w:w="1843" w:type="dxa"/>
            <w:tcBorders>
              <w:top w:val="single" w:sz="4" w:space="0" w:color="000000"/>
              <w:bottom w:val="single" w:sz="4" w:space="0" w:color="000000"/>
            </w:tcBorders>
            <w:shd w:val="clear" w:color="auto" w:fill="auto"/>
            <w:vAlign w:val="center"/>
          </w:tcPr>
          <w:p w14:paraId="0BEB55FD" w14:textId="77777777" w:rsidR="00D74371" w:rsidRPr="00E6180B" w:rsidRDefault="00D74371" w:rsidP="00D74371">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2 621 586</w:t>
            </w:r>
          </w:p>
        </w:tc>
      </w:tr>
      <w:tr w:rsidR="00D74371" w:rsidRPr="00E6180B" w14:paraId="7AE68020" w14:textId="77777777" w:rsidTr="00475A10">
        <w:trPr>
          <w:trHeight w:val="255"/>
        </w:trPr>
        <w:tc>
          <w:tcPr>
            <w:tcW w:w="5529" w:type="dxa"/>
            <w:tcBorders>
              <w:top w:val="nil"/>
              <w:bottom w:val="single" w:sz="4" w:space="0" w:color="000000"/>
            </w:tcBorders>
            <w:shd w:val="clear" w:color="auto" w:fill="auto"/>
            <w:vAlign w:val="center"/>
          </w:tcPr>
          <w:p w14:paraId="06EE4FA3" w14:textId="77777777" w:rsidR="00D74371" w:rsidRPr="00E6180B" w:rsidRDefault="00D74371" w:rsidP="00C87349">
            <w:pPr>
              <w:spacing w:after="0" w:line="240" w:lineRule="auto"/>
              <w:ind w:firstLine="318"/>
              <w:rPr>
                <w:rFonts w:eastAsia="Arial Unicode MS" w:cs="Times New Roman"/>
                <w:color w:val="17365D"/>
                <w:sz w:val="18"/>
                <w:szCs w:val="18"/>
              </w:rPr>
            </w:pPr>
            <w:r w:rsidRPr="00E6180B">
              <w:rPr>
                <w:rFonts w:eastAsia="Arial Unicode MS" w:cs="Times New Roman"/>
                <w:color w:val="17365D"/>
                <w:sz w:val="18"/>
                <w:szCs w:val="18"/>
              </w:rPr>
              <w:t xml:space="preserve">Pārdošanai pieejamie finanšu aktīvi </w:t>
            </w:r>
          </w:p>
        </w:tc>
        <w:tc>
          <w:tcPr>
            <w:tcW w:w="1984" w:type="dxa"/>
            <w:tcBorders>
              <w:top w:val="nil"/>
              <w:bottom w:val="single" w:sz="4" w:space="0" w:color="000000"/>
            </w:tcBorders>
            <w:shd w:val="clear" w:color="auto" w:fill="auto"/>
            <w:vAlign w:val="center"/>
          </w:tcPr>
          <w:p w14:paraId="7F71D63C" w14:textId="77777777" w:rsidR="00D74371" w:rsidRPr="00E6180B" w:rsidRDefault="00D74371" w:rsidP="00D74371">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0</w:t>
            </w:r>
          </w:p>
        </w:tc>
        <w:tc>
          <w:tcPr>
            <w:tcW w:w="1843" w:type="dxa"/>
            <w:tcBorders>
              <w:top w:val="nil"/>
              <w:bottom w:val="single" w:sz="4" w:space="0" w:color="000000"/>
            </w:tcBorders>
            <w:shd w:val="clear" w:color="auto" w:fill="auto"/>
            <w:vAlign w:val="center"/>
          </w:tcPr>
          <w:p w14:paraId="4D34BA93" w14:textId="77777777" w:rsidR="00D74371" w:rsidRPr="00E6180B" w:rsidRDefault="00D74371" w:rsidP="00D74371">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495</w:t>
            </w:r>
          </w:p>
        </w:tc>
      </w:tr>
      <w:tr w:rsidR="00D74371" w:rsidRPr="00E6180B" w14:paraId="5636BD6F" w14:textId="77777777" w:rsidTr="00475A10">
        <w:trPr>
          <w:trHeight w:val="510"/>
        </w:trPr>
        <w:tc>
          <w:tcPr>
            <w:tcW w:w="5529" w:type="dxa"/>
            <w:tcBorders>
              <w:top w:val="nil"/>
              <w:bottom w:val="nil"/>
            </w:tcBorders>
            <w:shd w:val="clear" w:color="auto" w:fill="auto"/>
            <w:vAlign w:val="center"/>
          </w:tcPr>
          <w:p w14:paraId="77CE4CF3" w14:textId="77777777" w:rsidR="00D74371" w:rsidRPr="00E6180B" w:rsidRDefault="00D74371" w:rsidP="00D74371">
            <w:pPr>
              <w:spacing w:after="0" w:line="240" w:lineRule="auto"/>
              <w:rPr>
                <w:rFonts w:eastAsia="Arial Unicode MS" w:cs="Times New Roman"/>
                <w:color w:val="17365D"/>
                <w:sz w:val="18"/>
                <w:szCs w:val="18"/>
              </w:rPr>
            </w:pPr>
            <w:r w:rsidRPr="00E6180B">
              <w:rPr>
                <w:rFonts w:eastAsia="Arial Unicode MS" w:cs="Times New Roman"/>
                <w:color w:val="17365D"/>
                <w:sz w:val="18"/>
                <w:szCs w:val="18"/>
              </w:rPr>
              <w:t>Ieņēmumi no vērtības samazinājuma norakstīšanas aktīviem, kas nav minēti citur</w:t>
            </w:r>
          </w:p>
        </w:tc>
        <w:tc>
          <w:tcPr>
            <w:tcW w:w="1984" w:type="dxa"/>
            <w:tcBorders>
              <w:top w:val="single" w:sz="4" w:space="0" w:color="000000"/>
              <w:bottom w:val="single" w:sz="4" w:space="0" w:color="000000"/>
            </w:tcBorders>
            <w:shd w:val="clear" w:color="auto" w:fill="auto"/>
            <w:noWrap/>
            <w:vAlign w:val="center"/>
          </w:tcPr>
          <w:p w14:paraId="406AF3E6" w14:textId="77777777" w:rsidR="00D74371" w:rsidRPr="00E6180B" w:rsidRDefault="00D74371" w:rsidP="00D74371">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163 603 627</w:t>
            </w:r>
          </w:p>
        </w:tc>
        <w:tc>
          <w:tcPr>
            <w:tcW w:w="1843" w:type="dxa"/>
            <w:tcBorders>
              <w:top w:val="single" w:sz="4" w:space="0" w:color="000000"/>
              <w:bottom w:val="single" w:sz="4" w:space="0" w:color="000000"/>
            </w:tcBorders>
            <w:shd w:val="clear" w:color="auto" w:fill="auto"/>
            <w:vAlign w:val="center"/>
          </w:tcPr>
          <w:p w14:paraId="621B8E80" w14:textId="77777777" w:rsidR="00D74371" w:rsidRPr="00E6180B" w:rsidRDefault="00D74371" w:rsidP="00D74371">
            <w:pPr>
              <w:spacing w:after="0" w:line="240" w:lineRule="auto"/>
              <w:jc w:val="right"/>
              <w:rPr>
                <w:rFonts w:eastAsia="Arial Unicode MS" w:cs="Times New Roman"/>
                <w:color w:val="17365D"/>
                <w:sz w:val="18"/>
                <w:szCs w:val="18"/>
              </w:rPr>
            </w:pPr>
            <w:r w:rsidRPr="00E6180B">
              <w:rPr>
                <w:rFonts w:eastAsia="Arial Unicode MS" w:cs="Times New Roman"/>
                <w:color w:val="17365D"/>
                <w:sz w:val="18"/>
                <w:szCs w:val="18"/>
              </w:rPr>
              <w:t>224 029</w:t>
            </w:r>
          </w:p>
        </w:tc>
      </w:tr>
      <w:tr w:rsidR="00D74371" w:rsidRPr="00E6180B" w14:paraId="59BDB6EF" w14:textId="77777777" w:rsidTr="00475A10">
        <w:trPr>
          <w:trHeight w:val="206"/>
        </w:trPr>
        <w:tc>
          <w:tcPr>
            <w:tcW w:w="5529" w:type="dxa"/>
            <w:tcBorders>
              <w:top w:val="single" w:sz="4" w:space="0" w:color="17365D"/>
            </w:tcBorders>
            <w:shd w:val="clear" w:color="auto" w:fill="B8CCE4" w:themeFill="accent1" w:themeFillTint="66"/>
            <w:vAlign w:val="center"/>
          </w:tcPr>
          <w:p w14:paraId="0D0E2B9C" w14:textId="77777777" w:rsidR="00D74371" w:rsidRPr="00A27896" w:rsidRDefault="00D74371" w:rsidP="00D74371">
            <w:pPr>
              <w:spacing w:after="0" w:line="240" w:lineRule="auto"/>
              <w:rPr>
                <w:rFonts w:eastAsia="Arial Unicode MS" w:cs="Times New Roman"/>
                <w:b/>
                <w:color w:val="17365D"/>
                <w:sz w:val="18"/>
                <w:szCs w:val="18"/>
              </w:rPr>
            </w:pPr>
          </w:p>
        </w:tc>
        <w:tc>
          <w:tcPr>
            <w:tcW w:w="1984" w:type="dxa"/>
            <w:tcBorders>
              <w:top w:val="single" w:sz="4" w:space="0" w:color="17365D"/>
              <w:left w:val="nil"/>
              <w:bottom w:val="nil"/>
              <w:right w:val="nil"/>
            </w:tcBorders>
            <w:shd w:val="clear" w:color="auto" w:fill="B8CCE4" w:themeFill="accent1" w:themeFillTint="66"/>
            <w:noWrap/>
            <w:vAlign w:val="center"/>
          </w:tcPr>
          <w:p w14:paraId="73ABC2CE" w14:textId="77777777" w:rsidR="00D74371" w:rsidRPr="00A27896" w:rsidRDefault="00D74371" w:rsidP="00D74371">
            <w:pPr>
              <w:spacing w:after="0" w:line="240" w:lineRule="auto"/>
              <w:jc w:val="right"/>
              <w:rPr>
                <w:rFonts w:eastAsia="Arial Unicode MS" w:cs="Times New Roman"/>
                <w:b/>
                <w:color w:val="17365D"/>
                <w:sz w:val="18"/>
                <w:szCs w:val="18"/>
              </w:rPr>
            </w:pPr>
          </w:p>
        </w:tc>
        <w:tc>
          <w:tcPr>
            <w:tcW w:w="1843" w:type="dxa"/>
            <w:tcBorders>
              <w:top w:val="single" w:sz="4" w:space="0" w:color="17365D"/>
              <w:left w:val="nil"/>
              <w:bottom w:val="nil"/>
              <w:right w:val="nil"/>
            </w:tcBorders>
            <w:shd w:val="clear" w:color="auto" w:fill="B8CCE4" w:themeFill="accent1" w:themeFillTint="66"/>
            <w:vAlign w:val="center"/>
          </w:tcPr>
          <w:p w14:paraId="1F5D4F73" w14:textId="77777777" w:rsidR="00D74371" w:rsidRPr="00A27896" w:rsidRDefault="00D74371" w:rsidP="00D74371">
            <w:pPr>
              <w:spacing w:after="0" w:line="240" w:lineRule="auto"/>
              <w:jc w:val="right"/>
              <w:rPr>
                <w:rFonts w:eastAsia="Arial Unicode MS" w:cs="Times New Roman"/>
                <w:b/>
                <w:color w:val="17365D"/>
                <w:sz w:val="18"/>
                <w:szCs w:val="18"/>
              </w:rPr>
            </w:pPr>
          </w:p>
        </w:tc>
      </w:tr>
    </w:tbl>
    <w:p w14:paraId="154FA65D" w14:textId="19FFA761" w:rsidR="00566860" w:rsidRPr="00566860" w:rsidRDefault="00566860" w:rsidP="00566860">
      <w:pPr>
        <w:pStyle w:val="Heading3"/>
        <w:rPr>
          <w:lang w:eastAsia="lv-LV"/>
        </w:rPr>
      </w:pPr>
      <w:r w:rsidRPr="00974E43">
        <w:rPr>
          <w:lang w:eastAsia="lv-LV"/>
        </w:rPr>
        <w:t xml:space="preserve">Konsolidētā pārskata </w:t>
      </w:r>
      <w:r w:rsidRPr="00974E43" w:rsidDel="00550C21">
        <w:rPr>
          <w:lang w:eastAsia="lv-LV"/>
        </w:rPr>
        <w:t>par darbības finansiālajiem rezultātiem</w:t>
      </w:r>
      <w:r w:rsidRPr="00974E43">
        <w:rPr>
          <w:lang w:eastAsia="lv-LV"/>
        </w:rPr>
        <w:t xml:space="preserve"> </w:t>
      </w:r>
      <w:r>
        <w:rPr>
          <w:lang w:eastAsia="lv-LV"/>
        </w:rPr>
        <w:t>izdevumi</w:t>
      </w:r>
      <w:r w:rsidRPr="00974E43">
        <w:rPr>
          <w:lang w:eastAsia="lv-LV"/>
        </w:rPr>
        <w:t xml:space="preserve">  </w:t>
      </w:r>
    </w:p>
    <w:p w14:paraId="03EC18BC" w14:textId="7CD5133B" w:rsidR="00D74371" w:rsidRPr="00587EA8" w:rsidRDefault="00D74371" w:rsidP="00475A10">
      <w:pPr>
        <w:spacing w:before="240" w:after="120" w:line="240" w:lineRule="auto"/>
        <w:ind w:firstLine="284"/>
        <w:jc w:val="both"/>
        <w:rPr>
          <w:rFonts w:eastAsia="Times New Roman" w:cs="Times New Roman"/>
          <w:noProof/>
          <w:color w:val="17365D"/>
          <w:szCs w:val="24"/>
          <w:lang w:eastAsia="lv-LV"/>
        </w:rPr>
      </w:pPr>
      <w:r w:rsidRPr="00587EA8">
        <w:rPr>
          <w:rFonts w:eastAsia="Times New Roman" w:cs="Times New Roman"/>
          <w:color w:val="17365D"/>
          <w:szCs w:val="24"/>
          <w:lang w:eastAsia="lv-LV"/>
        </w:rPr>
        <w:t>Konsolidētā pārskata</w:t>
      </w:r>
      <w:r w:rsidRPr="00587EA8" w:rsidDel="00550C21">
        <w:rPr>
          <w:rFonts w:eastAsia="Times New Roman" w:cs="Times New Roman"/>
          <w:iCs/>
          <w:color w:val="17365D"/>
        </w:rPr>
        <w:t xml:space="preserve"> </w:t>
      </w:r>
      <w:r w:rsidRPr="00587EA8" w:rsidDel="00550C21">
        <w:rPr>
          <w:rFonts w:eastAsia="Times New Roman" w:cs="Times New Roman"/>
          <w:iCs/>
          <w:color w:val="17365D"/>
          <w:szCs w:val="24"/>
          <w:lang w:eastAsia="lv-LV"/>
        </w:rPr>
        <w:t>par darbības finansiālajiem rezultātiem</w:t>
      </w:r>
      <w:r w:rsidRPr="00587EA8">
        <w:rPr>
          <w:rFonts w:eastAsia="Times New Roman" w:cs="Times New Roman"/>
          <w:noProof/>
          <w:color w:val="17365D"/>
          <w:szCs w:val="24"/>
          <w:lang w:eastAsia="lv-LV"/>
        </w:rPr>
        <w:t xml:space="preserve"> izdevumu posteņu izmaiņas uzrādītas </w:t>
      </w:r>
      <w:r>
        <w:rPr>
          <w:rFonts w:eastAsia="Times New Roman" w:cs="Times New Roman"/>
          <w:noProof/>
          <w:color w:val="17365D"/>
          <w:szCs w:val="24"/>
          <w:lang w:eastAsia="lv-LV"/>
        </w:rPr>
        <w:t>2.6</w:t>
      </w:r>
      <w:r w:rsidRPr="009C6F0C">
        <w:rPr>
          <w:rFonts w:eastAsia="Times New Roman" w:cs="Times New Roman"/>
          <w:noProof/>
          <w:color w:val="17365D"/>
          <w:szCs w:val="24"/>
          <w:lang w:eastAsia="lv-LV"/>
        </w:rPr>
        <w:t>. tabulā.</w:t>
      </w:r>
    </w:p>
    <w:p w14:paraId="137DA6D6" w14:textId="77777777" w:rsidR="00D74371" w:rsidRDefault="00D74371" w:rsidP="00475A10">
      <w:pPr>
        <w:spacing w:after="0" w:line="240" w:lineRule="auto"/>
        <w:jc w:val="right"/>
        <w:rPr>
          <w:rFonts w:eastAsia="Arial Unicode MS" w:cs="Times New Roman"/>
          <w:i/>
          <w:color w:val="17365D"/>
          <w:sz w:val="20"/>
          <w:szCs w:val="24"/>
        </w:rPr>
      </w:pPr>
      <w:r>
        <w:rPr>
          <w:rFonts w:eastAsia="Arial Unicode MS" w:cs="Times New Roman"/>
          <w:i/>
          <w:color w:val="17365D"/>
          <w:sz w:val="20"/>
          <w:szCs w:val="24"/>
        </w:rPr>
        <w:t>2.6</w:t>
      </w:r>
      <w:r w:rsidRPr="00587EA8">
        <w:rPr>
          <w:rFonts w:eastAsia="Arial Unicode MS" w:cs="Times New Roman"/>
          <w:i/>
          <w:color w:val="17365D"/>
          <w:sz w:val="20"/>
          <w:szCs w:val="24"/>
        </w:rPr>
        <w:t>. tabula. Izdevumi (euro)</w:t>
      </w:r>
    </w:p>
    <w:tbl>
      <w:tblPr>
        <w:tblW w:w="9373" w:type="dxa"/>
        <w:tblLayout w:type="fixed"/>
        <w:tblLook w:val="04A0" w:firstRow="1" w:lastRow="0" w:firstColumn="1" w:lastColumn="0" w:noHBand="0" w:noVBand="1"/>
      </w:tblPr>
      <w:tblGrid>
        <w:gridCol w:w="2977"/>
        <w:gridCol w:w="850"/>
        <w:gridCol w:w="1435"/>
        <w:gridCol w:w="16"/>
        <w:gridCol w:w="1384"/>
        <w:gridCol w:w="584"/>
        <w:gridCol w:w="975"/>
        <w:gridCol w:w="1152"/>
      </w:tblGrid>
      <w:tr w:rsidR="00D74371" w:rsidRPr="00587EA8" w14:paraId="3D628058" w14:textId="77777777" w:rsidTr="0079036F">
        <w:trPr>
          <w:trHeight w:val="791"/>
          <w:tblHeader/>
        </w:trPr>
        <w:tc>
          <w:tcPr>
            <w:tcW w:w="2977" w:type="dxa"/>
            <w:tcBorders>
              <w:bottom w:val="single" w:sz="4" w:space="0" w:color="012169"/>
            </w:tcBorders>
            <w:shd w:val="clear" w:color="auto" w:fill="B9CDE5"/>
            <w:vAlign w:val="center"/>
            <w:hideMark/>
          </w:tcPr>
          <w:p w14:paraId="56761E9B" w14:textId="77777777" w:rsidR="00D74371" w:rsidRPr="00587EA8" w:rsidRDefault="00D74371" w:rsidP="00566860">
            <w:pPr>
              <w:spacing w:after="0" w:line="240" w:lineRule="auto"/>
              <w:ind w:firstLine="38"/>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Rādītājs</w:t>
            </w:r>
          </w:p>
        </w:tc>
        <w:tc>
          <w:tcPr>
            <w:tcW w:w="850" w:type="dxa"/>
            <w:tcBorders>
              <w:bottom w:val="single" w:sz="4" w:space="0" w:color="012169"/>
            </w:tcBorders>
            <w:shd w:val="clear" w:color="auto" w:fill="B9CDE5"/>
            <w:vAlign w:val="center"/>
          </w:tcPr>
          <w:p w14:paraId="0C81095D" w14:textId="77777777" w:rsidR="00D74371" w:rsidRPr="00587EA8" w:rsidRDefault="00D74371" w:rsidP="00475A10">
            <w:pPr>
              <w:spacing w:after="0" w:line="240" w:lineRule="auto"/>
              <w:ind w:left="-57" w:right="-57" w:hanging="72"/>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Piezīmes Nr.</w:t>
            </w:r>
          </w:p>
        </w:tc>
        <w:tc>
          <w:tcPr>
            <w:tcW w:w="1451" w:type="dxa"/>
            <w:gridSpan w:val="2"/>
            <w:tcBorders>
              <w:bottom w:val="single" w:sz="4" w:space="0" w:color="012169"/>
            </w:tcBorders>
            <w:shd w:val="clear" w:color="auto" w:fill="B9CDE5"/>
            <w:vAlign w:val="center"/>
          </w:tcPr>
          <w:p w14:paraId="4D50DB39" w14:textId="77777777" w:rsidR="00D74371" w:rsidRPr="00587EA8" w:rsidRDefault="00D74371" w:rsidP="00D74371">
            <w:pPr>
              <w:spacing w:after="0" w:line="240" w:lineRule="auto"/>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Pārskata periods</w:t>
            </w:r>
          </w:p>
        </w:tc>
        <w:tc>
          <w:tcPr>
            <w:tcW w:w="1384" w:type="dxa"/>
            <w:tcBorders>
              <w:bottom w:val="single" w:sz="4" w:space="0" w:color="012169"/>
            </w:tcBorders>
            <w:shd w:val="clear" w:color="auto" w:fill="B9CDE5"/>
            <w:vAlign w:val="center"/>
          </w:tcPr>
          <w:p w14:paraId="31F6FA84" w14:textId="77777777" w:rsidR="00D74371" w:rsidRPr="00587EA8" w:rsidRDefault="00D74371" w:rsidP="00D74371">
            <w:pPr>
              <w:spacing w:after="0" w:line="240" w:lineRule="auto"/>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Iepriekšējais pārskata periods</w:t>
            </w:r>
          </w:p>
        </w:tc>
        <w:tc>
          <w:tcPr>
            <w:tcW w:w="1559" w:type="dxa"/>
            <w:gridSpan w:val="2"/>
            <w:tcBorders>
              <w:bottom w:val="single" w:sz="4" w:space="0" w:color="012169"/>
            </w:tcBorders>
            <w:shd w:val="clear" w:color="auto" w:fill="B9CDE5"/>
            <w:vAlign w:val="center"/>
          </w:tcPr>
          <w:p w14:paraId="6AF56780" w14:textId="77777777" w:rsidR="00D74371" w:rsidRPr="00587EA8" w:rsidRDefault="00D74371" w:rsidP="00566860">
            <w:pPr>
              <w:spacing w:after="0" w:line="240" w:lineRule="auto"/>
              <w:ind w:left="-57" w:right="-57"/>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Palielinājums (+), samazinājums (–) (1. – 2.)</w:t>
            </w:r>
          </w:p>
        </w:tc>
        <w:tc>
          <w:tcPr>
            <w:tcW w:w="1151" w:type="dxa"/>
            <w:tcBorders>
              <w:bottom w:val="single" w:sz="4" w:space="0" w:color="012169"/>
            </w:tcBorders>
            <w:shd w:val="clear" w:color="auto" w:fill="B9CDE5"/>
            <w:vAlign w:val="center"/>
          </w:tcPr>
          <w:p w14:paraId="639099A0" w14:textId="77777777" w:rsidR="00D74371" w:rsidRPr="00587EA8" w:rsidRDefault="00D74371" w:rsidP="00D74371">
            <w:pPr>
              <w:spacing w:after="0" w:line="240" w:lineRule="auto"/>
              <w:ind w:left="-57" w:right="-57"/>
              <w:jc w:val="center"/>
              <w:rPr>
                <w:rFonts w:eastAsia="Times New Roman" w:cs="Times New Roman"/>
                <w:b/>
                <w:color w:val="17365D"/>
                <w:sz w:val="18"/>
                <w:szCs w:val="18"/>
                <w:lang w:eastAsia="lv-LV"/>
              </w:rPr>
            </w:pPr>
            <w:r w:rsidRPr="00587EA8">
              <w:rPr>
                <w:rFonts w:eastAsia="Times New Roman" w:cs="Times New Roman"/>
                <w:b/>
                <w:color w:val="17365D"/>
                <w:sz w:val="18"/>
                <w:szCs w:val="18"/>
                <w:lang w:eastAsia="lv-LV"/>
              </w:rPr>
              <w:t xml:space="preserve">Procentuālās izmaiņas </w:t>
            </w:r>
            <w:r w:rsidRPr="00587EA8">
              <w:rPr>
                <w:rFonts w:eastAsia="Times New Roman" w:cs="Times New Roman"/>
                <w:b/>
                <w:color w:val="17365D"/>
                <w:sz w:val="18"/>
                <w:szCs w:val="18"/>
                <w:lang w:eastAsia="lv-LV"/>
              </w:rPr>
              <w:br/>
              <w:t>(3./2. x 100)</w:t>
            </w:r>
          </w:p>
        </w:tc>
      </w:tr>
      <w:tr w:rsidR="00D74371" w:rsidRPr="00587EA8" w14:paraId="4701C2AD" w14:textId="77777777" w:rsidTr="0079036F">
        <w:trPr>
          <w:trHeight w:val="56"/>
          <w:tblHeader/>
        </w:trPr>
        <w:tc>
          <w:tcPr>
            <w:tcW w:w="2977" w:type="dxa"/>
            <w:tcBorders>
              <w:top w:val="single" w:sz="4" w:space="0" w:color="012169"/>
              <w:bottom w:val="single" w:sz="4" w:space="0" w:color="012169"/>
            </w:tcBorders>
            <w:shd w:val="clear" w:color="auto" w:fill="auto"/>
            <w:vAlign w:val="center"/>
          </w:tcPr>
          <w:p w14:paraId="06E2750E" w14:textId="77777777" w:rsidR="00D74371" w:rsidRPr="00587EA8" w:rsidRDefault="00D74371" w:rsidP="00D74371">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A</w:t>
            </w:r>
          </w:p>
        </w:tc>
        <w:tc>
          <w:tcPr>
            <w:tcW w:w="850" w:type="dxa"/>
            <w:tcBorders>
              <w:top w:val="single" w:sz="4" w:space="0" w:color="012169"/>
              <w:bottom w:val="single" w:sz="4" w:space="0" w:color="012169"/>
            </w:tcBorders>
            <w:shd w:val="clear" w:color="auto" w:fill="auto"/>
            <w:vAlign w:val="center"/>
          </w:tcPr>
          <w:p w14:paraId="38B15FB2" w14:textId="77777777" w:rsidR="00D74371" w:rsidRPr="00587EA8" w:rsidRDefault="00D74371" w:rsidP="00D74371">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B</w:t>
            </w:r>
          </w:p>
        </w:tc>
        <w:tc>
          <w:tcPr>
            <w:tcW w:w="1451" w:type="dxa"/>
            <w:gridSpan w:val="2"/>
            <w:tcBorders>
              <w:top w:val="single" w:sz="4" w:space="0" w:color="012169"/>
              <w:bottom w:val="single" w:sz="4" w:space="0" w:color="012169"/>
            </w:tcBorders>
            <w:shd w:val="clear" w:color="auto" w:fill="auto"/>
            <w:vAlign w:val="center"/>
          </w:tcPr>
          <w:p w14:paraId="07B0FFB1" w14:textId="77777777" w:rsidR="00D74371" w:rsidRPr="00587EA8" w:rsidRDefault="00D74371" w:rsidP="00D74371">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1</w:t>
            </w:r>
          </w:p>
        </w:tc>
        <w:tc>
          <w:tcPr>
            <w:tcW w:w="1384" w:type="dxa"/>
            <w:tcBorders>
              <w:top w:val="single" w:sz="4" w:space="0" w:color="012169"/>
              <w:bottom w:val="single" w:sz="4" w:space="0" w:color="012169"/>
            </w:tcBorders>
            <w:shd w:val="clear" w:color="auto" w:fill="auto"/>
            <w:vAlign w:val="center"/>
          </w:tcPr>
          <w:p w14:paraId="2C4DDC7A" w14:textId="77777777" w:rsidR="00D74371" w:rsidRPr="00587EA8" w:rsidRDefault="00D74371" w:rsidP="00D74371">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2</w:t>
            </w:r>
          </w:p>
        </w:tc>
        <w:tc>
          <w:tcPr>
            <w:tcW w:w="1559" w:type="dxa"/>
            <w:gridSpan w:val="2"/>
            <w:tcBorders>
              <w:top w:val="single" w:sz="4" w:space="0" w:color="012169"/>
              <w:bottom w:val="single" w:sz="4" w:space="0" w:color="012169"/>
            </w:tcBorders>
            <w:shd w:val="clear" w:color="auto" w:fill="auto"/>
            <w:vAlign w:val="center"/>
          </w:tcPr>
          <w:p w14:paraId="4210107B" w14:textId="77777777" w:rsidR="00D74371" w:rsidRPr="00587EA8" w:rsidRDefault="00D74371" w:rsidP="00D74371">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3</w:t>
            </w:r>
          </w:p>
        </w:tc>
        <w:tc>
          <w:tcPr>
            <w:tcW w:w="1151" w:type="dxa"/>
            <w:tcBorders>
              <w:top w:val="single" w:sz="4" w:space="0" w:color="012169"/>
              <w:bottom w:val="single" w:sz="4" w:space="0" w:color="012169"/>
            </w:tcBorders>
            <w:shd w:val="clear" w:color="auto" w:fill="auto"/>
            <w:vAlign w:val="center"/>
          </w:tcPr>
          <w:p w14:paraId="7D55288E" w14:textId="77777777" w:rsidR="00D74371" w:rsidRPr="00587EA8" w:rsidRDefault="00D74371" w:rsidP="00D74371">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4</w:t>
            </w:r>
          </w:p>
        </w:tc>
      </w:tr>
      <w:tr w:rsidR="004C3FEF" w:rsidRPr="00587EA8" w14:paraId="2B7E5996" w14:textId="77777777" w:rsidTr="0079036F">
        <w:trPr>
          <w:trHeight w:val="383"/>
        </w:trPr>
        <w:tc>
          <w:tcPr>
            <w:tcW w:w="2977" w:type="dxa"/>
            <w:tcBorders>
              <w:top w:val="single" w:sz="4" w:space="0" w:color="012169"/>
              <w:bottom w:val="single" w:sz="4" w:space="0" w:color="auto"/>
            </w:tcBorders>
            <w:shd w:val="clear" w:color="auto" w:fill="auto"/>
            <w:vAlign w:val="center"/>
          </w:tcPr>
          <w:p w14:paraId="299640B0" w14:textId="2AE49833" w:rsidR="004C3FEF" w:rsidRPr="00587EA8" w:rsidRDefault="004C3FEF" w:rsidP="004C3FEF">
            <w:pPr>
              <w:spacing w:after="0" w:line="240" w:lineRule="auto"/>
              <w:rPr>
                <w:rFonts w:eastAsia="Times New Roman" w:cs="Times New Roman"/>
                <w:color w:val="17365D"/>
                <w:sz w:val="18"/>
                <w:szCs w:val="18"/>
              </w:rPr>
            </w:pPr>
            <w:r w:rsidRPr="00587EA8">
              <w:rPr>
                <w:rFonts w:eastAsia="Times New Roman" w:cs="Times New Roman"/>
                <w:b/>
                <w:color w:val="17365D"/>
                <w:sz w:val="18"/>
                <w:szCs w:val="18"/>
              </w:rPr>
              <w:t xml:space="preserve">Izdevumi </w:t>
            </w:r>
          </w:p>
        </w:tc>
        <w:tc>
          <w:tcPr>
            <w:tcW w:w="850" w:type="dxa"/>
            <w:tcBorders>
              <w:top w:val="single" w:sz="4" w:space="0" w:color="012169"/>
              <w:bottom w:val="single" w:sz="4" w:space="0" w:color="auto"/>
            </w:tcBorders>
            <w:shd w:val="clear" w:color="auto" w:fill="auto"/>
            <w:vAlign w:val="center"/>
          </w:tcPr>
          <w:p w14:paraId="043C719D" w14:textId="77777777" w:rsidR="004C3FEF" w:rsidRPr="00587EA8" w:rsidRDefault="004C3FEF" w:rsidP="004C3FEF">
            <w:pPr>
              <w:spacing w:after="0" w:line="240" w:lineRule="auto"/>
              <w:jc w:val="center"/>
              <w:rPr>
                <w:rFonts w:eastAsia="Times New Roman" w:cs="Times New Roman"/>
                <w:b/>
                <w:color w:val="17365D"/>
                <w:sz w:val="18"/>
                <w:szCs w:val="18"/>
              </w:rPr>
            </w:pPr>
            <w:r w:rsidRPr="00587EA8">
              <w:rPr>
                <w:rFonts w:eastAsia="Times New Roman" w:cs="Times New Roman"/>
                <w:b/>
                <w:color w:val="17365D"/>
                <w:sz w:val="18"/>
                <w:szCs w:val="18"/>
              </w:rPr>
              <w:t>FD.A2.</w:t>
            </w:r>
          </w:p>
        </w:tc>
        <w:tc>
          <w:tcPr>
            <w:tcW w:w="1451" w:type="dxa"/>
            <w:gridSpan w:val="2"/>
            <w:tcBorders>
              <w:top w:val="single" w:sz="4" w:space="0" w:color="012169"/>
              <w:bottom w:val="single" w:sz="4" w:space="0" w:color="auto"/>
            </w:tcBorders>
            <w:shd w:val="clear" w:color="F2F2F2" w:fill="FFFFFF"/>
            <w:vAlign w:val="center"/>
          </w:tcPr>
          <w:p w14:paraId="1DDF4710" w14:textId="607C1785" w:rsidR="004C3FEF" w:rsidRPr="004C3FEF" w:rsidRDefault="004C3FEF" w:rsidP="004C3FEF">
            <w:pPr>
              <w:spacing w:after="0" w:line="240" w:lineRule="auto"/>
              <w:jc w:val="right"/>
              <w:rPr>
                <w:rFonts w:eastAsia="Arial Unicode MS" w:cs="Times New Roman"/>
                <w:b/>
                <w:color w:val="17365D"/>
                <w:sz w:val="18"/>
                <w:szCs w:val="18"/>
              </w:rPr>
            </w:pPr>
            <w:r w:rsidRPr="004C3FEF">
              <w:rPr>
                <w:rFonts w:eastAsia="Arial Unicode MS" w:cs="Times New Roman"/>
                <w:b/>
                <w:color w:val="17365D"/>
                <w:sz w:val="18"/>
                <w:szCs w:val="18"/>
              </w:rPr>
              <w:t>17 444 073 423</w:t>
            </w:r>
          </w:p>
        </w:tc>
        <w:tc>
          <w:tcPr>
            <w:tcW w:w="1384" w:type="dxa"/>
            <w:tcBorders>
              <w:top w:val="single" w:sz="4" w:space="0" w:color="012169"/>
              <w:bottom w:val="single" w:sz="4" w:space="0" w:color="auto"/>
            </w:tcBorders>
            <w:shd w:val="clear" w:color="F2F2F2" w:fill="FFFFFF"/>
            <w:vAlign w:val="center"/>
          </w:tcPr>
          <w:p w14:paraId="19B5FF0A" w14:textId="5FF6EEF2" w:rsidR="004C3FEF" w:rsidRPr="004C3FEF" w:rsidRDefault="004C3FEF" w:rsidP="004C3FEF">
            <w:pPr>
              <w:spacing w:after="0" w:line="240" w:lineRule="auto"/>
              <w:jc w:val="right"/>
              <w:rPr>
                <w:rFonts w:eastAsia="Arial Unicode MS" w:cs="Times New Roman"/>
                <w:b/>
                <w:color w:val="17365D"/>
                <w:sz w:val="18"/>
                <w:szCs w:val="18"/>
              </w:rPr>
            </w:pPr>
            <w:r w:rsidRPr="004C3FEF">
              <w:rPr>
                <w:rFonts w:eastAsia="Arial Unicode MS" w:cs="Times New Roman"/>
                <w:b/>
                <w:color w:val="17365D"/>
                <w:sz w:val="18"/>
                <w:szCs w:val="18"/>
              </w:rPr>
              <w:t>16 401 626 037</w:t>
            </w:r>
          </w:p>
        </w:tc>
        <w:tc>
          <w:tcPr>
            <w:tcW w:w="1559" w:type="dxa"/>
            <w:gridSpan w:val="2"/>
            <w:tcBorders>
              <w:top w:val="single" w:sz="4" w:space="0" w:color="012169"/>
              <w:bottom w:val="single" w:sz="4" w:space="0" w:color="auto"/>
            </w:tcBorders>
            <w:shd w:val="clear" w:color="auto" w:fill="auto"/>
            <w:vAlign w:val="center"/>
          </w:tcPr>
          <w:p w14:paraId="7605EE62" w14:textId="00647397" w:rsidR="004C3FEF" w:rsidRPr="004C3FEF" w:rsidRDefault="004C3FEF" w:rsidP="00942883">
            <w:pPr>
              <w:spacing w:after="0" w:line="240" w:lineRule="auto"/>
              <w:jc w:val="center"/>
              <w:rPr>
                <w:rFonts w:eastAsia="Arial Unicode MS" w:cs="Times New Roman"/>
                <w:b/>
                <w:color w:val="17365D"/>
                <w:sz w:val="18"/>
                <w:szCs w:val="18"/>
              </w:rPr>
            </w:pPr>
            <w:bookmarkStart w:id="68" w:name="_Hlk171759345"/>
            <w:r w:rsidRPr="004C3FEF">
              <w:rPr>
                <w:rFonts w:eastAsia="Arial Unicode MS" w:cs="Times New Roman"/>
                <w:b/>
                <w:color w:val="17365D"/>
                <w:sz w:val="18"/>
                <w:szCs w:val="18"/>
              </w:rPr>
              <w:t>1 042 447 386</w:t>
            </w:r>
            <w:bookmarkEnd w:id="68"/>
          </w:p>
        </w:tc>
        <w:tc>
          <w:tcPr>
            <w:tcW w:w="1151" w:type="dxa"/>
            <w:tcBorders>
              <w:top w:val="single" w:sz="4" w:space="0" w:color="012169"/>
              <w:bottom w:val="single" w:sz="4" w:space="0" w:color="auto"/>
            </w:tcBorders>
            <w:shd w:val="clear" w:color="auto" w:fill="auto"/>
            <w:vAlign w:val="center"/>
          </w:tcPr>
          <w:p w14:paraId="5C9717F1" w14:textId="78749156" w:rsidR="004C3FEF" w:rsidRPr="004C3FEF" w:rsidRDefault="004C3FEF" w:rsidP="00942883">
            <w:pPr>
              <w:spacing w:after="0" w:line="240" w:lineRule="auto"/>
              <w:jc w:val="right"/>
              <w:rPr>
                <w:rFonts w:eastAsia="Arial Unicode MS" w:cs="Times New Roman"/>
                <w:b/>
                <w:color w:val="17365D"/>
                <w:sz w:val="18"/>
                <w:szCs w:val="18"/>
              </w:rPr>
            </w:pPr>
            <w:r w:rsidRPr="004C3FEF">
              <w:rPr>
                <w:rFonts w:eastAsia="Arial Unicode MS" w:cs="Times New Roman"/>
                <w:b/>
                <w:color w:val="17365D"/>
                <w:sz w:val="18"/>
                <w:szCs w:val="18"/>
              </w:rPr>
              <w:t>6.36</w:t>
            </w:r>
          </w:p>
        </w:tc>
      </w:tr>
      <w:tr w:rsidR="00942883" w:rsidRPr="00587EA8" w14:paraId="429AA44D" w14:textId="77777777" w:rsidTr="0079036F">
        <w:trPr>
          <w:trHeight w:val="278"/>
        </w:trPr>
        <w:tc>
          <w:tcPr>
            <w:tcW w:w="2977" w:type="dxa"/>
            <w:tcBorders>
              <w:top w:val="single" w:sz="4" w:space="0" w:color="auto"/>
              <w:bottom w:val="single" w:sz="4" w:space="0" w:color="auto"/>
            </w:tcBorders>
            <w:shd w:val="clear" w:color="auto" w:fill="auto"/>
            <w:vAlign w:val="center"/>
          </w:tcPr>
          <w:p w14:paraId="293F8B96" w14:textId="77777777" w:rsidR="004C3FEF" w:rsidRPr="00587EA8" w:rsidRDefault="004C3FEF" w:rsidP="004C3FEF">
            <w:pPr>
              <w:spacing w:after="0" w:line="240" w:lineRule="auto"/>
              <w:rPr>
                <w:rFonts w:eastAsia="Times New Roman" w:cs="Times New Roman"/>
                <w:color w:val="17365D"/>
                <w:sz w:val="18"/>
                <w:szCs w:val="18"/>
              </w:rPr>
            </w:pPr>
            <w:r w:rsidRPr="00587EA8">
              <w:rPr>
                <w:rFonts w:eastAsia="Times New Roman" w:cs="Times New Roman"/>
                <w:color w:val="17365D"/>
                <w:sz w:val="18"/>
                <w:szCs w:val="18"/>
              </w:rPr>
              <w:t>Atalgojums</w:t>
            </w:r>
          </w:p>
        </w:tc>
        <w:tc>
          <w:tcPr>
            <w:tcW w:w="850" w:type="dxa"/>
            <w:tcBorders>
              <w:top w:val="single" w:sz="4" w:space="0" w:color="auto"/>
              <w:bottom w:val="single" w:sz="4" w:space="0" w:color="auto"/>
            </w:tcBorders>
            <w:shd w:val="clear" w:color="auto" w:fill="auto"/>
            <w:vAlign w:val="center"/>
          </w:tcPr>
          <w:p w14:paraId="05DAC6E6" w14:textId="77777777" w:rsidR="004C3FEF" w:rsidRPr="00587EA8" w:rsidRDefault="004C3FEF" w:rsidP="004C3FEF">
            <w:pPr>
              <w:spacing w:after="0" w:line="240" w:lineRule="auto"/>
              <w:jc w:val="center"/>
              <w:rPr>
                <w:rFonts w:eastAsia="Times New Roman" w:cs="Times New Roman"/>
                <w:color w:val="17365D"/>
                <w:sz w:val="18"/>
                <w:szCs w:val="18"/>
              </w:rPr>
            </w:pPr>
            <w:r w:rsidRPr="00587EA8">
              <w:rPr>
                <w:rFonts w:eastAsia="Times New Roman" w:cs="Times New Roman"/>
                <w:color w:val="17365D"/>
                <w:sz w:val="18"/>
                <w:szCs w:val="18"/>
              </w:rPr>
              <w:t>FD A21.</w:t>
            </w:r>
          </w:p>
        </w:tc>
        <w:tc>
          <w:tcPr>
            <w:tcW w:w="1451" w:type="dxa"/>
            <w:gridSpan w:val="2"/>
            <w:tcBorders>
              <w:top w:val="single" w:sz="4" w:space="0" w:color="auto"/>
              <w:bottom w:val="single" w:sz="4" w:space="0" w:color="auto"/>
            </w:tcBorders>
            <w:shd w:val="clear" w:color="F2F2F2" w:fill="FFFFFF"/>
            <w:vAlign w:val="center"/>
          </w:tcPr>
          <w:p w14:paraId="350D0B05" w14:textId="1AE1E691"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2 774 714 087</w:t>
            </w:r>
          </w:p>
        </w:tc>
        <w:tc>
          <w:tcPr>
            <w:tcW w:w="1384" w:type="dxa"/>
            <w:tcBorders>
              <w:top w:val="single" w:sz="4" w:space="0" w:color="auto"/>
              <w:bottom w:val="single" w:sz="4" w:space="0" w:color="auto"/>
            </w:tcBorders>
            <w:shd w:val="clear" w:color="F2F2F2" w:fill="FFFFFF"/>
            <w:vAlign w:val="center"/>
          </w:tcPr>
          <w:p w14:paraId="506C91C3" w14:textId="13DF9E9F"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2 386 748 635</w:t>
            </w:r>
          </w:p>
        </w:tc>
        <w:tc>
          <w:tcPr>
            <w:tcW w:w="1559" w:type="dxa"/>
            <w:gridSpan w:val="2"/>
            <w:tcBorders>
              <w:top w:val="single" w:sz="4" w:space="0" w:color="auto"/>
              <w:bottom w:val="single" w:sz="4" w:space="0" w:color="auto"/>
            </w:tcBorders>
            <w:shd w:val="clear" w:color="auto" w:fill="auto"/>
            <w:vAlign w:val="center"/>
          </w:tcPr>
          <w:p w14:paraId="7020C299" w14:textId="784D66F1" w:rsidR="004C3FEF" w:rsidRPr="00587EA8" w:rsidRDefault="004C3FEF" w:rsidP="00942883">
            <w:pPr>
              <w:spacing w:after="0" w:line="240" w:lineRule="auto"/>
              <w:jc w:val="center"/>
              <w:rPr>
                <w:rFonts w:eastAsia="Arial Unicode MS" w:cs="Times New Roman"/>
                <w:color w:val="17365D"/>
                <w:sz w:val="18"/>
                <w:szCs w:val="18"/>
              </w:rPr>
            </w:pPr>
            <w:r w:rsidRPr="004C3FEF">
              <w:rPr>
                <w:rFonts w:eastAsia="Arial Unicode MS" w:cs="Times New Roman"/>
                <w:color w:val="17365D"/>
                <w:sz w:val="18"/>
                <w:szCs w:val="18"/>
              </w:rPr>
              <w:t>387 965 452</w:t>
            </w:r>
          </w:p>
        </w:tc>
        <w:tc>
          <w:tcPr>
            <w:tcW w:w="1151" w:type="dxa"/>
            <w:tcBorders>
              <w:top w:val="single" w:sz="4" w:space="0" w:color="auto"/>
              <w:bottom w:val="single" w:sz="4" w:space="0" w:color="auto"/>
            </w:tcBorders>
            <w:shd w:val="clear" w:color="auto" w:fill="auto"/>
            <w:vAlign w:val="center"/>
          </w:tcPr>
          <w:p w14:paraId="33D662D7" w14:textId="7623A24F" w:rsidR="004C3FEF" w:rsidRPr="00587EA8" w:rsidRDefault="004C3FEF" w:rsidP="00942883">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16.25</w:t>
            </w:r>
          </w:p>
        </w:tc>
      </w:tr>
      <w:tr w:rsidR="004C3FEF" w:rsidRPr="00587EA8" w14:paraId="5E711019" w14:textId="77777777" w:rsidTr="0079036F">
        <w:trPr>
          <w:trHeight w:val="319"/>
        </w:trPr>
        <w:tc>
          <w:tcPr>
            <w:tcW w:w="2977" w:type="dxa"/>
            <w:tcBorders>
              <w:top w:val="single" w:sz="4" w:space="0" w:color="auto"/>
              <w:bottom w:val="single" w:sz="4" w:space="0" w:color="auto"/>
            </w:tcBorders>
            <w:shd w:val="clear" w:color="auto" w:fill="auto"/>
            <w:vAlign w:val="center"/>
          </w:tcPr>
          <w:p w14:paraId="419E01C7" w14:textId="77777777" w:rsidR="004C3FEF" w:rsidRPr="00587EA8" w:rsidRDefault="004C3FEF" w:rsidP="004C3FEF">
            <w:pPr>
              <w:spacing w:after="0" w:line="240" w:lineRule="auto"/>
              <w:rPr>
                <w:rFonts w:eastAsia="Times New Roman" w:cs="Times New Roman"/>
                <w:color w:val="17365D"/>
                <w:sz w:val="18"/>
                <w:szCs w:val="18"/>
              </w:rPr>
            </w:pPr>
            <w:r w:rsidRPr="00587EA8">
              <w:rPr>
                <w:rFonts w:eastAsia="Times New Roman" w:cs="Times New Roman"/>
                <w:color w:val="17365D"/>
                <w:sz w:val="18"/>
                <w:szCs w:val="18"/>
              </w:rPr>
              <w:t>Darba devēja sociālās apdrošināšanas iemaksas, pabalsti un kompensācijas</w:t>
            </w:r>
          </w:p>
        </w:tc>
        <w:tc>
          <w:tcPr>
            <w:tcW w:w="850" w:type="dxa"/>
            <w:tcBorders>
              <w:top w:val="single" w:sz="4" w:space="0" w:color="auto"/>
              <w:bottom w:val="single" w:sz="4" w:space="0" w:color="auto"/>
            </w:tcBorders>
            <w:shd w:val="clear" w:color="auto" w:fill="auto"/>
            <w:vAlign w:val="center"/>
          </w:tcPr>
          <w:p w14:paraId="65B70708" w14:textId="77777777" w:rsidR="004C3FEF" w:rsidRPr="00587EA8" w:rsidRDefault="004C3FEF" w:rsidP="004C3FEF">
            <w:pPr>
              <w:spacing w:after="0" w:line="240" w:lineRule="auto"/>
              <w:jc w:val="center"/>
              <w:rPr>
                <w:rFonts w:eastAsia="Times New Roman" w:cs="Times New Roman"/>
                <w:color w:val="17365D"/>
                <w:sz w:val="18"/>
                <w:szCs w:val="18"/>
              </w:rPr>
            </w:pPr>
            <w:r w:rsidRPr="00587EA8">
              <w:rPr>
                <w:rFonts w:eastAsia="Times New Roman" w:cs="Times New Roman"/>
                <w:color w:val="17365D"/>
                <w:sz w:val="18"/>
                <w:szCs w:val="18"/>
              </w:rPr>
              <w:t>FD A22.</w:t>
            </w:r>
          </w:p>
        </w:tc>
        <w:tc>
          <w:tcPr>
            <w:tcW w:w="1451" w:type="dxa"/>
            <w:gridSpan w:val="2"/>
            <w:tcBorders>
              <w:top w:val="single" w:sz="4" w:space="0" w:color="auto"/>
              <w:bottom w:val="single" w:sz="4" w:space="0" w:color="auto"/>
            </w:tcBorders>
            <w:shd w:val="clear" w:color="F2F2F2" w:fill="FFFFFF"/>
            <w:vAlign w:val="center"/>
          </w:tcPr>
          <w:p w14:paraId="3995B2A5" w14:textId="0E1527B4"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912 193 793</w:t>
            </w:r>
          </w:p>
        </w:tc>
        <w:tc>
          <w:tcPr>
            <w:tcW w:w="1384" w:type="dxa"/>
            <w:tcBorders>
              <w:top w:val="single" w:sz="4" w:space="0" w:color="auto"/>
              <w:bottom w:val="single" w:sz="4" w:space="0" w:color="auto"/>
            </w:tcBorders>
            <w:shd w:val="clear" w:color="F2F2F2" w:fill="FFFFFF"/>
            <w:vAlign w:val="center"/>
          </w:tcPr>
          <w:p w14:paraId="3EF33DA2" w14:textId="24A82D3E"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754 375 699</w:t>
            </w:r>
          </w:p>
        </w:tc>
        <w:tc>
          <w:tcPr>
            <w:tcW w:w="1559" w:type="dxa"/>
            <w:gridSpan w:val="2"/>
            <w:tcBorders>
              <w:top w:val="single" w:sz="4" w:space="0" w:color="auto"/>
              <w:bottom w:val="single" w:sz="4" w:space="0" w:color="auto"/>
            </w:tcBorders>
            <w:shd w:val="clear" w:color="auto" w:fill="auto"/>
            <w:vAlign w:val="center"/>
          </w:tcPr>
          <w:p w14:paraId="14903397" w14:textId="3A1C4B82" w:rsidR="004C3FEF" w:rsidRPr="00587EA8" w:rsidRDefault="004C3FEF" w:rsidP="00942883">
            <w:pPr>
              <w:spacing w:after="0" w:line="240" w:lineRule="auto"/>
              <w:jc w:val="center"/>
              <w:rPr>
                <w:rFonts w:eastAsia="Arial Unicode MS" w:cs="Times New Roman"/>
                <w:color w:val="17365D"/>
                <w:sz w:val="18"/>
                <w:szCs w:val="18"/>
              </w:rPr>
            </w:pPr>
            <w:r w:rsidRPr="004C3FEF">
              <w:rPr>
                <w:rFonts w:eastAsia="Arial Unicode MS" w:cs="Times New Roman"/>
                <w:color w:val="17365D"/>
                <w:sz w:val="18"/>
                <w:szCs w:val="18"/>
              </w:rPr>
              <w:t>157 818 094</w:t>
            </w:r>
          </w:p>
        </w:tc>
        <w:tc>
          <w:tcPr>
            <w:tcW w:w="1151" w:type="dxa"/>
            <w:tcBorders>
              <w:top w:val="single" w:sz="4" w:space="0" w:color="auto"/>
              <w:bottom w:val="single" w:sz="4" w:space="0" w:color="auto"/>
            </w:tcBorders>
            <w:shd w:val="clear" w:color="auto" w:fill="auto"/>
            <w:vAlign w:val="center"/>
          </w:tcPr>
          <w:p w14:paraId="7B17E31F" w14:textId="3B21C06D" w:rsidR="004C3FEF" w:rsidRPr="00587EA8" w:rsidRDefault="004C3FEF" w:rsidP="00942883">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20.92</w:t>
            </w:r>
          </w:p>
        </w:tc>
      </w:tr>
      <w:tr w:rsidR="004C3FEF" w:rsidRPr="00587EA8" w14:paraId="63DB985E" w14:textId="77777777" w:rsidTr="0079036F">
        <w:trPr>
          <w:trHeight w:val="319"/>
        </w:trPr>
        <w:tc>
          <w:tcPr>
            <w:tcW w:w="2977" w:type="dxa"/>
            <w:tcBorders>
              <w:top w:val="single" w:sz="4" w:space="0" w:color="auto"/>
              <w:bottom w:val="single" w:sz="4" w:space="0" w:color="auto"/>
            </w:tcBorders>
            <w:shd w:val="clear" w:color="auto" w:fill="auto"/>
            <w:vAlign w:val="center"/>
          </w:tcPr>
          <w:p w14:paraId="32838864" w14:textId="77777777" w:rsidR="004C3FEF" w:rsidRPr="00587EA8" w:rsidRDefault="004C3FEF" w:rsidP="004C3FEF">
            <w:pPr>
              <w:spacing w:after="0" w:line="240" w:lineRule="auto"/>
              <w:rPr>
                <w:rFonts w:eastAsia="Times New Roman" w:cs="Times New Roman"/>
                <w:color w:val="17365D"/>
                <w:sz w:val="18"/>
                <w:szCs w:val="18"/>
              </w:rPr>
            </w:pPr>
            <w:r w:rsidRPr="00587EA8">
              <w:rPr>
                <w:rFonts w:eastAsia="Times New Roman" w:cs="Times New Roman"/>
                <w:color w:val="17365D"/>
                <w:sz w:val="18"/>
                <w:szCs w:val="18"/>
              </w:rPr>
              <w:t>Mācību, darba un dienesta komandējumi un dienesta, darba braucieni</w:t>
            </w:r>
          </w:p>
        </w:tc>
        <w:tc>
          <w:tcPr>
            <w:tcW w:w="850" w:type="dxa"/>
            <w:tcBorders>
              <w:top w:val="single" w:sz="4" w:space="0" w:color="auto"/>
              <w:bottom w:val="single" w:sz="4" w:space="0" w:color="auto"/>
            </w:tcBorders>
            <w:shd w:val="clear" w:color="auto" w:fill="auto"/>
            <w:vAlign w:val="center"/>
          </w:tcPr>
          <w:p w14:paraId="7B144116" w14:textId="77777777" w:rsidR="004C3FEF" w:rsidRPr="00587EA8" w:rsidRDefault="004C3FEF" w:rsidP="004C3FEF">
            <w:pPr>
              <w:spacing w:after="0" w:line="240" w:lineRule="auto"/>
              <w:jc w:val="center"/>
              <w:rPr>
                <w:rFonts w:eastAsia="Times New Roman" w:cs="Times New Roman"/>
                <w:color w:val="17365D"/>
                <w:sz w:val="18"/>
                <w:szCs w:val="18"/>
              </w:rPr>
            </w:pPr>
          </w:p>
        </w:tc>
        <w:tc>
          <w:tcPr>
            <w:tcW w:w="1451" w:type="dxa"/>
            <w:gridSpan w:val="2"/>
            <w:tcBorders>
              <w:top w:val="single" w:sz="4" w:space="0" w:color="auto"/>
              <w:bottom w:val="single" w:sz="4" w:space="0" w:color="auto"/>
            </w:tcBorders>
            <w:shd w:val="clear" w:color="F2F2F2" w:fill="FFFFFF"/>
            <w:vAlign w:val="center"/>
          </w:tcPr>
          <w:p w14:paraId="5311E440" w14:textId="60D4DA29"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44 168 832</w:t>
            </w:r>
          </w:p>
        </w:tc>
        <w:tc>
          <w:tcPr>
            <w:tcW w:w="1384" w:type="dxa"/>
            <w:tcBorders>
              <w:top w:val="single" w:sz="4" w:space="0" w:color="auto"/>
              <w:bottom w:val="single" w:sz="4" w:space="0" w:color="auto"/>
            </w:tcBorders>
            <w:shd w:val="clear" w:color="F2F2F2" w:fill="FFFFFF"/>
            <w:vAlign w:val="center"/>
          </w:tcPr>
          <w:p w14:paraId="706E3D72" w14:textId="186964B7"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40 497 148</w:t>
            </w:r>
          </w:p>
        </w:tc>
        <w:tc>
          <w:tcPr>
            <w:tcW w:w="1559" w:type="dxa"/>
            <w:gridSpan w:val="2"/>
            <w:tcBorders>
              <w:top w:val="single" w:sz="4" w:space="0" w:color="auto"/>
              <w:bottom w:val="single" w:sz="4" w:space="0" w:color="auto"/>
            </w:tcBorders>
            <w:shd w:val="clear" w:color="auto" w:fill="auto"/>
            <w:vAlign w:val="center"/>
          </w:tcPr>
          <w:p w14:paraId="50382238" w14:textId="0716FFF5" w:rsidR="004C3FEF" w:rsidRPr="00587EA8" w:rsidRDefault="004C3FEF" w:rsidP="00942883">
            <w:pPr>
              <w:spacing w:after="0" w:line="240" w:lineRule="auto"/>
              <w:jc w:val="center"/>
              <w:rPr>
                <w:rFonts w:eastAsia="Arial Unicode MS" w:cs="Times New Roman"/>
                <w:color w:val="17365D"/>
                <w:sz w:val="18"/>
                <w:szCs w:val="18"/>
              </w:rPr>
            </w:pPr>
            <w:r w:rsidRPr="004C3FEF">
              <w:rPr>
                <w:rFonts w:eastAsia="Arial Unicode MS" w:cs="Times New Roman"/>
                <w:color w:val="17365D"/>
                <w:sz w:val="18"/>
                <w:szCs w:val="18"/>
              </w:rPr>
              <w:t>3 671 684</w:t>
            </w:r>
          </w:p>
        </w:tc>
        <w:tc>
          <w:tcPr>
            <w:tcW w:w="1151" w:type="dxa"/>
            <w:tcBorders>
              <w:top w:val="single" w:sz="4" w:space="0" w:color="auto"/>
              <w:bottom w:val="single" w:sz="4" w:space="0" w:color="auto"/>
            </w:tcBorders>
            <w:shd w:val="clear" w:color="auto" w:fill="auto"/>
            <w:vAlign w:val="center"/>
          </w:tcPr>
          <w:p w14:paraId="14859616" w14:textId="20228235" w:rsidR="004C3FEF" w:rsidRPr="00587EA8" w:rsidRDefault="004C3FEF" w:rsidP="00942883">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9.07</w:t>
            </w:r>
          </w:p>
        </w:tc>
      </w:tr>
      <w:tr w:rsidR="004C3FEF" w:rsidRPr="00587EA8" w14:paraId="5A34B34B" w14:textId="77777777" w:rsidTr="0079036F">
        <w:trPr>
          <w:trHeight w:val="319"/>
        </w:trPr>
        <w:tc>
          <w:tcPr>
            <w:tcW w:w="2977" w:type="dxa"/>
            <w:tcBorders>
              <w:top w:val="single" w:sz="4" w:space="0" w:color="auto"/>
              <w:bottom w:val="single" w:sz="4" w:space="0" w:color="auto"/>
            </w:tcBorders>
            <w:shd w:val="clear" w:color="auto" w:fill="auto"/>
            <w:vAlign w:val="center"/>
          </w:tcPr>
          <w:p w14:paraId="7A7127D6" w14:textId="77777777" w:rsidR="004C3FEF" w:rsidRPr="00587EA8" w:rsidRDefault="004C3FEF" w:rsidP="004C3FEF">
            <w:pPr>
              <w:spacing w:after="0" w:line="240" w:lineRule="auto"/>
              <w:rPr>
                <w:rFonts w:eastAsia="Times New Roman" w:cs="Times New Roman"/>
                <w:color w:val="17365D"/>
                <w:sz w:val="18"/>
                <w:szCs w:val="18"/>
              </w:rPr>
            </w:pPr>
            <w:r w:rsidRPr="00587EA8">
              <w:rPr>
                <w:rFonts w:eastAsia="Times New Roman" w:cs="Times New Roman"/>
                <w:color w:val="17365D"/>
                <w:sz w:val="18"/>
                <w:szCs w:val="18"/>
              </w:rPr>
              <w:t>Pakalpojumi</w:t>
            </w:r>
          </w:p>
        </w:tc>
        <w:tc>
          <w:tcPr>
            <w:tcW w:w="850" w:type="dxa"/>
            <w:tcBorders>
              <w:top w:val="single" w:sz="4" w:space="0" w:color="auto"/>
              <w:bottom w:val="single" w:sz="4" w:space="0" w:color="auto"/>
            </w:tcBorders>
            <w:shd w:val="clear" w:color="auto" w:fill="auto"/>
            <w:vAlign w:val="center"/>
          </w:tcPr>
          <w:p w14:paraId="621226D7" w14:textId="77777777" w:rsidR="004C3FEF" w:rsidRPr="00587EA8" w:rsidRDefault="004C3FEF" w:rsidP="004C3FEF">
            <w:pPr>
              <w:spacing w:after="0" w:line="240" w:lineRule="auto"/>
              <w:jc w:val="center"/>
              <w:rPr>
                <w:rFonts w:eastAsia="Times New Roman" w:cs="Times New Roman"/>
                <w:color w:val="17365D"/>
                <w:sz w:val="18"/>
                <w:szCs w:val="18"/>
              </w:rPr>
            </w:pPr>
            <w:r w:rsidRPr="00587EA8">
              <w:rPr>
                <w:rFonts w:eastAsia="Times New Roman" w:cs="Times New Roman"/>
                <w:color w:val="17365D"/>
                <w:sz w:val="18"/>
                <w:szCs w:val="18"/>
              </w:rPr>
              <w:t>FD A24.</w:t>
            </w:r>
          </w:p>
        </w:tc>
        <w:tc>
          <w:tcPr>
            <w:tcW w:w="1451" w:type="dxa"/>
            <w:gridSpan w:val="2"/>
            <w:tcBorders>
              <w:top w:val="single" w:sz="4" w:space="0" w:color="auto"/>
              <w:bottom w:val="single" w:sz="4" w:space="0" w:color="auto"/>
            </w:tcBorders>
            <w:shd w:val="clear" w:color="F2F2F2" w:fill="FFFFFF"/>
            <w:vAlign w:val="center"/>
          </w:tcPr>
          <w:p w14:paraId="6D68E7BC" w14:textId="3970AB4C"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1 303 402 551</w:t>
            </w:r>
          </w:p>
        </w:tc>
        <w:tc>
          <w:tcPr>
            <w:tcW w:w="1384" w:type="dxa"/>
            <w:tcBorders>
              <w:top w:val="single" w:sz="4" w:space="0" w:color="auto"/>
              <w:bottom w:val="single" w:sz="4" w:space="0" w:color="auto"/>
            </w:tcBorders>
            <w:shd w:val="clear" w:color="F2F2F2" w:fill="FFFFFF"/>
            <w:vAlign w:val="center"/>
          </w:tcPr>
          <w:p w14:paraId="6C8F0B22" w14:textId="69D78C20"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1 161 414 820</w:t>
            </w:r>
          </w:p>
        </w:tc>
        <w:tc>
          <w:tcPr>
            <w:tcW w:w="1559" w:type="dxa"/>
            <w:gridSpan w:val="2"/>
            <w:tcBorders>
              <w:top w:val="single" w:sz="4" w:space="0" w:color="auto"/>
              <w:bottom w:val="single" w:sz="4" w:space="0" w:color="auto"/>
            </w:tcBorders>
            <w:shd w:val="clear" w:color="auto" w:fill="auto"/>
            <w:vAlign w:val="center"/>
          </w:tcPr>
          <w:p w14:paraId="46AB10A9" w14:textId="44EE26BB" w:rsidR="004C3FEF" w:rsidRPr="00587EA8" w:rsidRDefault="004C3FEF" w:rsidP="00942883">
            <w:pPr>
              <w:spacing w:after="0" w:line="240" w:lineRule="auto"/>
              <w:jc w:val="center"/>
              <w:rPr>
                <w:rFonts w:eastAsia="Arial Unicode MS" w:cs="Times New Roman"/>
                <w:color w:val="17365D"/>
                <w:sz w:val="18"/>
                <w:szCs w:val="18"/>
              </w:rPr>
            </w:pPr>
            <w:r w:rsidRPr="004C3FEF">
              <w:rPr>
                <w:rFonts w:eastAsia="Arial Unicode MS" w:cs="Times New Roman"/>
                <w:color w:val="17365D"/>
                <w:sz w:val="18"/>
                <w:szCs w:val="18"/>
              </w:rPr>
              <w:t>141 987 731</w:t>
            </w:r>
          </w:p>
        </w:tc>
        <w:tc>
          <w:tcPr>
            <w:tcW w:w="1151" w:type="dxa"/>
            <w:tcBorders>
              <w:top w:val="single" w:sz="4" w:space="0" w:color="auto"/>
              <w:bottom w:val="single" w:sz="4" w:space="0" w:color="auto"/>
            </w:tcBorders>
            <w:shd w:val="clear" w:color="auto" w:fill="auto"/>
            <w:vAlign w:val="center"/>
          </w:tcPr>
          <w:p w14:paraId="2BAB003B" w14:textId="562CEAD5" w:rsidR="004C3FEF" w:rsidRPr="00587EA8" w:rsidRDefault="004C3FEF" w:rsidP="00942883">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12.23</w:t>
            </w:r>
          </w:p>
        </w:tc>
      </w:tr>
      <w:tr w:rsidR="004C3FEF" w:rsidRPr="00587EA8" w14:paraId="4857CB42" w14:textId="77777777" w:rsidTr="0079036F">
        <w:trPr>
          <w:trHeight w:val="319"/>
        </w:trPr>
        <w:tc>
          <w:tcPr>
            <w:tcW w:w="2977" w:type="dxa"/>
            <w:tcBorders>
              <w:top w:val="single" w:sz="4" w:space="0" w:color="auto"/>
              <w:bottom w:val="single" w:sz="4" w:space="0" w:color="auto"/>
            </w:tcBorders>
            <w:shd w:val="clear" w:color="auto" w:fill="auto"/>
            <w:vAlign w:val="center"/>
          </w:tcPr>
          <w:p w14:paraId="32CF389C" w14:textId="77777777" w:rsidR="004C3FEF" w:rsidRPr="00587EA8" w:rsidRDefault="004C3FEF" w:rsidP="004C3FEF">
            <w:pPr>
              <w:spacing w:after="0" w:line="240" w:lineRule="auto"/>
              <w:rPr>
                <w:rFonts w:eastAsia="Times New Roman" w:cs="Times New Roman"/>
                <w:color w:val="17365D"/>
                <w:sz w:val="18"/>
                <w:szCs w:val="18"/>
              </w:rPr>
            </w:pPr>
            <w:r w:rsidRPr="00587EA8">
              <w:rPr>
                <w:rFonts w:eastAsia="Times New Roman" w:cs="Times New Roman"/>
                <w:color w:val="17365D"/>
                <w:sz w:val="18"/>
                <w:szCs w:val="18"/>
              </w:rPr>
              <w:t>Krājumi, materiāli, energoresursi, preces, biroja preces un inventārs, periodika</w:t>
            </w:r>
          </w:p>
        </w:tc>
        <w:tc>
          <w:tcPr>
            <w:tcW w:w="850" w:type="dxa"/>
            <w:tcBorders>
              <w:top w:val="single" w:sz="4" w:space="0" w:color="auto"/>
              <w:bottom w:val="single" w:sz="4" w:space="0" w:color="auto"/>
            </w:tcBorders>
            <w:shd w:val="clear" w:color="auto" w:fill="auto"/>
            <w:vAlign w:val="center"/>
          </w:tcPr>
          <w:p w14:paraId="52BB95E2" w14:textId="77777777" w:rsidR="004C3FEF" w:rsidRPr="00587EA8" w:rsidRDefault="004C3FEF" w:rsidP="004C3FEF">
            <w:pPr>
              <w:spacing w:after="0" w:line="240" w:lineRule="auto"/>
              <w:jc w:val="center"/>
              <w:rPr>
                <w:rFonts w:eastAsia="Times New Roman" w:cs="Times New Roman"/>
                <w:color w:val="17365D"/>
                <w:sz w:val="18"/>
                <w:szCs w:val="18"/>
              </w:rPr>
            </w:pPr>
          </w:p>
        </w:tc>
        <w:tc>
          <w:tcPr>
            <w:tcW w:w="1451" w:type="dxa"/>
            <w:gridSpan w:val="2"/>
            <w:tcBorders>
              <w:top w:val="single" w:sz="4" w:space="0" w:color="auto"/>
              <w:bottom w:val="single" w:sz="4" w:space="0" w:color="auto"/>
            </w:tcBorders>
            <w:shd w:val="clear" w:color="F2F2F2" w:fill="FFFFFF"/>
            <w:vAlign w:val="center"/>
          </w:tcPr>
          <w:p w14:paraId="0171D772" w14:textId="08D8B2CB"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606 879 486</w:t>
            </w:r>
          </w:p>
        </w:tc>
        <w:tc>
          <w:tcPr>
            <w:tcW w:w="1384" w:type="dxa"/>
            <w:tcBorders>
              <w:top w:val="single" w:sz="4" w:space="0" w:color="auto"/>
              <w:bottom w:val="single" w:sz="4" w:space="0" w:color="auto"/>
            </w:tcBorders>
            <w:shd w:val="clear" w:color="F2F2F2" w:fill="FFFFFF"/>
            <w:vAlign w:val="center"/>
          </w:tcPr>
          <w:p w14:paraId="0762E9D0" w14:textId="1CE45600"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570 626 196</w:t>
            </w:r>
          </w:p>
        </w:tc>
        <w:tc>
          <w:tcPr>
            <w:tcW w:w="1559" w:type="dxa"/>
            <w:gridSpan w:val="2"/>
            <w:tcBorders>
              <w:top w:val="single" w:sz="4" w:space="0" w:color="auto"/>
              <w:bottom w:val="single" w:sz="4" w:space="0" w:color="auto"/>
            </w:tcBorders>
            <w:shd w:val="clear" w:color="auto" w:fill="auto"/>
            <w:vAlign w:val="center"/>
          </w:tcPr>
          <w:p w14:paraId="78B08948" w14:textId="412D034C" w:rsidR="004C3FEF" w:rsidRPr="00587EA8" w:rsidRDefault="004C3FEF" w:rsidP="00942883">
            <w:pPr>
              <w:spacing w:after="0" w:line="240" w:lineRule="auto"/>
              <w:jc w:val="center"/>
              <w:rPr>
                <w:rFonts w:eastAsia="Arial Unicode MS" w:cs="Times New Roman"/>
                <w:color w:val="17365D"/>
                <w:sz w:val="18"/>
                <w:szCs w:val="18"/>
              </w:rPr>
            </w:pPr>
            <w:r w:rsidRPr="004C3FEF">
              <w:rPr>
                <w:rFonts w:eastAsia="Arial Unicode MS" w:cs="Times New Roman"/>
                <w:color w:val="17365D"/>
                <w:sz w:val="18"/>
                <w:szCs w:val="18"/>
              </w:rPr>
              <w:t>36 253 290</w:t>
            </w:r>
          </w:p>
        </w:tc>
        <w:tc>
          <w:tcPr>
            <w:tcW w:w="1151" w:type="dxa"/>
            <w:tcBorders>
              <w:top w:val="single" w:sz="4" w:space="0" w:color="auto"/>
              <w:bottom w:val="single" w:sz="4" w:space="0" w:color="auto"/>
            </w:tcBorders>
            <w:shd w:val="clear" w:color="auto" w:fill="auto"/>
            <w:vAlign w:val="center"/>
          </w:tcPr>
          <w:p w14:paraId="278F87C1" w14:textId="32827AB0" w:rsidR="004C3FEF" w:rsidRPr="00587EA8" w:rsidRDefault="004C3FEF" w:rsidP="00942883">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6.35</w:t>
            </w:r>
          </w:p>
        </w:tc>
      </w:tr>
      <w:tr w:rsidR="004C3FEF" w:rsidRPr="00587EA8" w14:paraId="2E991EA3" w14:textId="77777777" w:rsidTr="0079036F">
        <w:trPr>
          <w:trHeight w:val="319"/>
        </w:trPr>
        <w:tc>
          <w:tcPr>
            <w:tcW w:w="2977" w:type="dxa"/>
            <w:tcBorders>
              <w:top w:val="single" w:sz="4" w:space="0" w:color="auto"/>
              <w:bottom w:val="single" w:sz="4" w:space="0" w:color="auto"/>
            </w:tcBorders>
            <w:shd w:val="clear" w:color="auto" w:fill="auto"/>
            <w:vAlign w:val="center"/>
          </w:tcPr>
          <w:p w14:paraId="6B1D7C24" w14:textId="77777777" w:rsidR="004C3FEF" w:rsidRPr="00587EA8" w:rsidRDefault="004C3FEF" w:rsidP="004C3FEF">
            <w:pPr>
              <w:spacing w:after="0" w:line="240" w:lineRule="auto"/>
              <w:rPr>
                <w:rFonts w:eastAsia="Times New Roman" w:cs="Times New Roman"/>
                <w:color w:val="17365D"/>
                <w:sz w:val="18"/>
                <w:szCs w:val="18"/>
              </w:rPr>
            </w:pPr>
            <w:r w:rsidRPr="00587EA8">
              <w:rPr>
                <w:rFonts w:eastAsia="Times New Roman" w:cs="Times New Roman"/>
                <w:color w:val="17365D"/>
                <w:sz w:val="18"/>
                <w:szCs w:val="18"/>
              </w:rPr>
              <w:lastRenderedPageBreak/>
              <w:t>Nodokļu, nodevu un naudas sodu maksājumi</w:t>
            </w:r>
          </w:p>
        </w:tc>
        <w:tc>
          <w:tcPr>
            <w:tcW w:w="850" w:type="dxa"/>
            <w:tcBorders>
              <w:top w:val="single" w:sz="4" w:space="0" w:color="auto"/>
              <w:bottom w:val="single" w:sz="4" w:space="0" w:color="auto"/>
            </w:tcBorders>
            <w:shd w:val="clear" w:color="auto" w:fill="auto"/>
            <w:vAlign w:val="center"/>
          </w:tcPr>
          <w:p w14:paraId="653050C2" w14:textId="77777777" w:rsidR="004C3FEF" w:rsidRPr="00587EA8" w:rsidRDefault="004C3FEF" w:rsidP="004C3FEF">
            <w:pPr>
              <w:spacing w:after="0" w:line="240" w:lineRule="auto"/>
              <w:jc w:val="center"/>
              <w:rPr>
                <w:rFonts w:eastAsia="Times New Roman" w:cs="Times New Roman"/>
                <w:color w:val="17365D"/>
                <w:sz w:val="18"/>
                <w:szCs w:val="18"/>
              </w:rPr>
            </w:pPr>
          </w:p>
        </w:tc>
        <w:tc>
          <w:tcPr>
            <w:tcW w:w="1451" w:type="dxa"/>
            <w:gridSpan w:val="2"/>
            <w:tcBorders>
              <w:top w:val="single" w:sz="4" w:space="0" w:color="auto"/>
              <w:bottom w:val="single" w:sz="4" w:space="0" w:color="auto"/>
            </w:tcBorders>
            <w:shd w:val="clear" w:color="F2F2F2" w:fill="FFFFFF"/>
            <w:vAlign w:val="center"/>
          </w:tcPr>
          <w:p w14:paraId="09972109" w14:textId="4DE29D46"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32 123 173</w:t>
            </w:r>
          </w:p>
        </w:tc>
        <w:tc>
          <w:tcPr>
            <w:tcW w:w="1384" w:type="dxa"/>
            <w:tcBorders>
              <w:top w:val="single" w:sz="4" w:space="0" w:color="auto"/>
              <w:bottom w:val="single" w:sz="4" w:space="0" w:color="auto"/>
            </w:tcBorders>
            <w:shd w:val="clear" w:color="F2F2F2" w:fill="FFFFFF"/>
            <w:vAlign w:val="center"/>
          </w:tcPr>
          <w:p w14:paraId="05DB01BB" w14:textId="02D3376A"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31 086 600</w:t>
            </w:r>
          </w:p>
        </w:tc>
        <w:tc>
          <w:tcPr>
            <w:tcW w:w="1559" w:type="dxa"/>
            <w:gridSpan w:val="2"/>
            <w:tcBorders>
              <w:top w:val="single" w:sz="4" w:space="0" w:color="auto"/>
              <w:bottom w:val="single" w:sz="4" w:space="0" w:color="auto"/>
            </w:tcBorders>
            <w:shd w:val="clear" w:color="auto" w:fill="auto"/>
            <w:vAlign w:val="center"/>
          </w:tcPr>
          <w:p w14:paraId="3DDE23E6" w14:textId="60CE001F" w:rsidR="004C3FEF" w:rsidRPr="00587EA8" w:rsidRDefault="004C3FEF" w:rsidP="00942883">
            <w:pPr>
              <w:spacing w:after="0" w:line="240" w:lineRule="auto"/>
              <w:jc w:val="center"/>
              <w:rPr>
                <w:rFonts w:eastAsia="Arial Unicode MS" w:cs="Times New Roman"/>
                <w:color w:val="17365D"/>
                <w:sz w:val="18"/>
                <w:szCs w:val="18"/>
              </w:rPr>
            </w:pPr>
            <w:r w:rsidRPr="004C3FEF">
              <w:rPr>
                <w:rFonts w:eastAsia="Arial Unicode MS" w:cs="Times New Roman"/>
                <w:color w:val="17365D"/>
                <w:sz w:val="18"/>
                <w:szCs w:val="18"/>
              </w:rPr>
              <w:t>1 036 573</w:t>
            </w:r>
          </w:p>
        </w:tc>
        <w:tc>
          <w:tcPr>
            <w:tcW w:w="1151" w:type="dxa"/>
            <w:tcBorders>
              <w:top w:val="single" w:sz="4" w:space="0" w:color="auto"/>
              <w:bottom w:val="single" w:sz="4" w:space="0" w:color="auto"/>
            </w:tcBorders>
            <w:shd w:val="clear" w:color="auto" w:fill="auto"/>
            <w:vAlign w:val="center"/>
          </w:tcPr>
          <w:p w14:paraId="0E13F48B" w14:textId="20A21E84" w:rsidR="004C3FEF" w:rsidRPr="00587EA8" w:rsidRDefault="004C3FEF" w:rsidP="00942883">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3.33</w:t>
            </w:r>
          </w:p>
        </w:tc>
      </w:tr>
      <w:tr w:rsidR="004C3FEF" w:rsidRPr="00587EA8" w14:paraId="44B3014D" w14:textId="77777777" w:rsidTr="0079036F">
        <w:trPr>
          <w:trHeight w:val="319"/>
        </w:trPr>
        <w:tc>
          <w:tcPr>
            <w:tcW w:w="2977" w:type="dxa"/>
            <w:tcBorders>
              <w:top w:val="single" w:sz="4" w:space="0" w:color="auto"/>
              <w:bottom w:val="single" w:sz="4" w:space="0" w:color="auto"/>
            </w:tcBorders>
            <w:shd w:val="clear" w:color="auto" w:fill="auto"/>
            <w:vAlign w:val="center"/>
          </w:tcPr>
          <w:p w14:paraId="43391826" w14:textId="77777777" w:rsidR="004C3FEF" w:rsidRPr="00587EA8" w:rsidRDefault="004C3FEF" w:rsidP="004C3FEF">
            <w:pPr>
              <w:spacing w:after="0" w:line="240" w:lineRule="auto"/>
              <w:rPr>
                <w:rFonts w:eastAsia="Times New Roman" w:cs="Times New Roman"/>
                <w:color w:val="17365D"/>
                <w:sz w:val="18"/>
                <w:szCs w:val="18"/>
              </w:rPr>
            </w:pPr>
            <w:r w:rsidRPr="00587EA8">
              <w:rPr>
                <w:rFonts w:eastAsia="Times New Roman" w:cs="Times New Roman"/>
                <w:color w:val="17365D"/>
                <w:sz w:val="18"/>
                <w:szCs w:val="18"/>
              </w:rPr>
              <w:t>Subsīdijas, dotācijas un sociālie pabalsti, kārtējie maksājumi Eiropas Savienības budžetā un starptautiskā sadarbība</w:t>
            </w:r>
          </w:p>
        </w:tc>
        <w:tc>
          <w:tcPr>
            <w:tcW w:w="850" w:type="dxa"/>
            <w:tcBorders>
              <w:top w:val="single" w:sz="4" w:space="0" w:color="auto"/>
              <w:bottom w:val="single" w:sz="4" w:space="0" w:color="auto"/>
            </w:tcBorders>
            <w:shd w:val="clear" w:color="auto" w:fill="auto"/>
            <w:vAlign w:val="center"/>
          </w:tcPr>
          <w:p w14:paraId="006047D8" w14:textId="77777777" w:rsidR="004C3FEF" w:rsidRPr="00587EA8" w:rsidRDefault="004C3FEF" w:rsidP="004C3FEF">
            <w:pPr>
              <w:spacing w:after="0" w:line="240" w:lineRule="auto"/>
              <w:jc w:val="center"/>
              <w:rPr>
                <w:rFonts w:eastAsia="Times New Roman" w:cs="Times New Roman"/>
                <w:color w:val="17365D"/>
                <w:sz w:val="18"/>
                <w:szCs w:val="18"/>
              </w:rPr>
            </w:pPr>
          </w:p>
        </w:tc>
        <w:tc>
          <w:tcPr>
            <w:tcW w:w="1451" w:type="dxa"/>
            <w:gridSpan w:val="2"/>
            <w:tcBorders>
              <w:top w:val="single" w:sz="4" w:space="0" w:color="auto"/>
              <w:bottom w:val="single" w:sz="4" w:space="0" w:color="auto"/>
            </w:tcBorders>
            <w:shd w:val="clear" w:color="F2F2F2" w:fill="FFFFFF"/>
            <w:vAlign w:val="center"/>
          </w:tcPr>
          <w:p w14:paraId="08B0DB60" w14:textId="7D4A6036"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8 890 022 394</w:t>
            </w:r>
          </w:p>
        </w:tc>
        <w:tc>
          <w:tcPr>
            <w:tcW w:w="1384" w:type="dxa"/>
            <w:tcBorders>
              <w:top w:val="single" w:sz="4" w:space="0" w:color="auto"/>
              <w:bottom w:val="single" w:sz="4" w:space="0" w:color="auto"/>
            </w:tcBorders>
            <w:shd w:val="clear" w:color="F2F2F2" w:fill="FFFFFF"/>
            <w:vAlign w:val="center"/>
          </w:tcPr>
          <w:p w14:paraId="03DCA44F" w14:textId="7A1AD554" w:rsidR="004C3FEF" w:rsidRPr="00587EA8" w:rsidRDefault="004C3FEF" w:rsidP="004C3FEF">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8 470 811 904</w:t>
            </w:r>
          </w:p>
        </w:tc>
        <w:tc>
          <w:tcPr>
            <w:tcW w:w="1559" w:type="dxa"/>
            <w:gridSpan w:val="2"/>
            <w:tcBorders>
              <w:top w:val="single" w:sz="4" w:space="0" w:color="auto"/>
              <w:bottom w:val="single" w:sz="4" w:space="0" w:color="auto"/>
            </w:tcBorders>
            <w:shd w:val="clear" w:color="auto" w:fill="auto"/>
            <w:vAlign w:val="center"/>
          </w:tcPr>
          <w:p w14:paraId="42980F8E" w14:textId="5758130B" w:rsidR="004C3FEF" w:rsidRPr="00587EA8" w:rsidRDefault="004C3FEF" w:rsidP="00942883">
            <w:pPr>
              <w:spacing w:after="0" w:line="240" w:lineRule="auto"/>
              <w:jc w:val="center"/>
              <w:rPr>
                <w:rFonts w:eastAsia="Arial Unicode MS" w:cs="Times New Roman"/>
                <w:color w:val="17365D"/>
                <w:sz w:val="18"/>
                <w:szCs w:val="18"/>
              </w:rPr>
            </w:pPr>
            <w:r w:rsidRPr="004C3FEF">
              <w:rPr>
                <w:rFonts w:eastAsia="Arial Unicode MS" w:cs="Times New Roman"/>
                <w:color w:val="17365D"/>
                <w:sz w:val="18"/>
                <w:szCs w:val="18"/>
              </w:rPr>
              <w:t>419 210 490</w:t>
            </w:r>
          </w:p>
        </w:tc>
        <w:tc>
          <w:tcPr>
            <w:tcW w:w="1151" w:type="dxa"/>
            <w:tcBorders>
              <w:top w:val="single" w:sz="4" w:space="0" w:color="auto"/>
              <w:bottom w:val="single" w:sz="4" w:space="0" w:color="auto"/>
            </w:tcBorders>
            <w:shd w:val="clear" w:color="auto" w:fill="auto"/>
            <w:vAlign w:val="center"/>
          </w:tcPr>
          <w:p w14:paraId="5E999341" w14:textId="5EAF6372" w:rsidR="004C3FEF" w:rsidRPr="00587EA8" w:rsidRDefault="004C3FEF" w:rsidP="00942883">
            <w:pPr>
              <w:spacing w:after="0" w:line="240" w:lineRule="auto"/>
              <w:jc w:val="right"/>
              <w:rPr>
                <w:rFonts w:eastAsia="Arial Unicode MS" w:cs="Times New Roman"/>
                <w:color w:val="17365D"/>
                <w:sz w:val="18"/>
                <w:szCs w:val="18"/>
              </w:rPr>
            </w:pPr>
            <w:r w:rsidRPr="004C3FEF">
              <w:rPr>
                <w:rFonts w:eastAsia="Arial Unicode MS" w:cs="Times New Roman"/>
                <w:color w:val="17365D"/>
                <w:sz w:val="18"/>
                <w:szCs w:val="18"/>
              </w:rPr>
              <w:t>4.95</w:t>
            </w:r>
          </w:p>
        </w:tc>
      </w:tr>
      <w:tr w:rsidR="00D74371" w:rsidRPr="00587EA8" w14:paraId="2B788400" w14:textId="77777777" w:rsidTr="0079036F">
        <w:trPr>
          <w:trHeight w:val="319"/>
        </w:trPr>
        <w:tc>
          <w:tcPr>
            <w:tcW w:w="2977" w:type="dxa"/>
            <w:tcBorders>
              <w:top w:val="single" w:sz="4" w:space="0" w:color="auto"/>
              <w:bottom w:val="single" w:sz="4" w:space="0" w:color="auto"/>
            </w:tcBorders>
            <w:shd w:val="clear" w:color="auto" w:fill="auto"/>
            <w:vAlign w:val="center"/>
          </w:tcPr>
          <w:p w14:paraId="2245B4E6" w14:textId="77777777" w:rsidR="00D74371" w:rsidRPr="00587EA8" w:rsidRDefault="00D74371" w:rsidP="00D74371">
            <w:pPr>
              <w:spacing w:after="0" w:line="240" w:lineRule="auto"/>
              <w:rPr>
                <w:rFonts w:eastAsia="Times New Roman" w:cs="Times New Roman"/>
                <w:color w:val="17365D"/>
                <w:sz w:val="18"/>
                <w:szCs w:val="18"/>
              </w:rPr>
            </w:pPr>
            <w:r w:rsidRPr="00587EA8">
              <w:rPr>
                <w:rFonts w:eastAsia="Times New Roman" w:cs="Times New Roman"/>
                <w:color w:val="17365D"/>
                <w:sz w:val="18"/>
                <w:szCs w:val="18"/>
              </w:rPr>
              <w:t>Procentu izdevumi</w:t>
            </w:r>
          </w:p>
        </w:tc>
        <w:tc>
          <w:tcPr>
            <w:tcW w:w="850" w:type="dxa"/>
            <w:tcBorders>
              <w:top w:val="single" w:sz="4" w:space="0" w:color="auto"/>
              <w:bottom w:val="single" w:sz="4" w:space="0" w:color="auto"/>
            </w:tcBorders>
            <w:shd w:val="clear" w:color="auto" w:fill="auto"/>
            <w:vAlign w:val="center"/>
          </w:tcPr>
          <w:p w14:paraId="6739B1CC" w14:textId="77777777" w:rsidR="00D74371" w:rsidRPr="00587EA8" w:rsidRDefault="00D74371" w:rsidP="00D74371">
            <w:pPr>
              <w:spacing w:after="0" w:line="240" w:lineRule="auto"/>
              <w:jc w:val="center"/>
              <w:rPr>
                <w:rFonts w:eastAsia="Times New Roman" w:cs="Times New Roman"/>
                <w:color w:val="17365D"/>
                <w:sz w:val="18"/>
                <w:szCs w:val="18"/>
              </w:rPr>
            </w:pPr>
            <w:r w:rsidRPr="00587EA8">
              <w:rPr>
                <w:rFonts w:eastAsia="Times New Roman" w:cs="Times New Roman"/>
                <w:color w:val="17365D"/>
                <w:sz w:val="18"/>
                <w:szCs w:val="18"/>
              </w:rPr>
              <w:t>FD A28.</w:t>
            </w:r>
          </w:p>
        </w:tc>
        <w:tc>
          <w:tcPr>
            <w:tcW w:w="1451" w:type="dxa"/>
            <w:gridSpan w:val="2"/>
            <w:tcBorders>
              <w:top w:val="single" w:sz="4" w:space="0" w:color="auto"/>
              <w:bottom w:val="single" w:sz="4" w:space="0" w:color="auto"/>
            </w:tcBorders>
            <w:shd w:val="clear" w:color="F2F2F2" w:fill="FFFFFF"/>
            <w:vAlign w:val="center"/>
          </w:tcPr>
          <w:p w14:paraId="2B66BB93" w14:textId="77777777" w:rsidR="00D74371" w:rsidRPr="00587EA8" w:rsidRDefault="00D74371" w:rsidP="00D74371">
            <w:pPr>
              <w:spacing w:after="0" w:line="240" w:lineRule="auto"/>
              <w:jc w:val="right"/>
              <w:rPr>
                <w:rFonts w:eastAsia="Arial Unicode MS" w:cs="Times New Roman"/>
                <w:color w:val="17365D"/>
                <w:sz w:val="18"/>
                <w:szCs w:val="18"/>
              </w:rPr>
            </w:pPr>
            <w:r w:rsidRPr="00587EA8">
              <w:rPr>
                <w:rFonts w:eastAsia="Arial Unicode MS" w:cs="Times New Roman"/>
                <w:color w:val="17365D"/>
                <w:sz w:val="18"/>
                <w:szCs w:val="18"/>
              </w:rPr>
              <w:t>374 713 753</w:t>
            </w:r>
          </w:p>
        </w:tc>
        <w:tc>
          <w:tcPr>
            <w:tcW w:w="1384" w:type="dxa"/>
            <w:tcBorders>
              <w:top w:val="single" w:sz="4" w:space="0" w:color="auto"/>
              <w:bottom w:val="single" w:sz="4" w:space="0" w:color="auto"/>
            </w:tcBorders>
            <w:shd w:val="clear" w:color="F2F2F2" w:fill="FFFFFF"/>
            <w:vAlign w:val="center"/>
          </w:tcPr>
          <w:p w14:paraId="1F36AF6D" w14:textId="77777777" w:rsidR="00D74371" w:rsidRPr="00587EA8" w:rsidRDefault="00D74371" w:rsidP="00D74371">
            <w:pPr>
              <w:spacing w:after="0" w:line="240" w:lineRule="auto"/>
              <w:jc w:val="right"/>
              <w:rPr>
                <w:rFonts w:eastAsia="Arial Unicode MS" w:cs="Times New Roman"/>
                <w:color w:val="17365D"/>
                <w:sz w:val="18"/>
                <w:szCs w:val="18"/>
              </w:rPr>
            </w:pPr>
            <w:r w:rsidRPr="00587EA8">
              <w:rPr>
                <w:rFonts w:eastAsia="Arial Unicode MS" w:cs="Times New Roman"/>
                <w:color w:val="17365D"/>
                <w:sz w:val="18"/>
                <w:szCs w:val="18"/>
              </w:rPr>
              <w:t>206 176 935</w:t>
            </w:r>
          </w:p>
        </w:tc>
        <w:tc>
          <w:tcPr>
            <w:tcW w:w="1559" w:type="dxa"/>
            <w:gridSpan w:val="2"/>
            <w:tcBorders>
              <w:top w:val="single" w:sz="4" w:space="0" w:color="auto"/>
              <w:bottom w:val="single" w:sz="4" w:space="0" w:color="auto"/>
            </w:tcBorders>
            <w:shd w:val="clear" w:color="F2F2F2" w:fill="FFFFFF"/>
            <w:vAlign w:val="center"/>
          </w:tcPr>
          <w:p w14:paraId="0FF4A4D8" w14:textId="77777777" w:rsidR="00D74371" w:rsidRPr="00587EA8" w:rsidRDefault="00D74371" w:rsidP="00942883">
            <w:pPr>
              <w:spacing w:after="0" w:line="240" w:lineRule="auto"/>
              <w:jc w:val="center"/>
              <w:rPr>
                <w:rFonts w:eastAsia="Arial Unicode MS" w:cs="Times New Roman"/>
                <w:color w:val="17365D"/>
                <w:sz w:val="18"/>
                <w:szCs w:val="18"/>
              </w:rPr>
            </w:pPr>
            <w:r w:rsidRPr="00587EA8">
              <w:rPr>
                <w:rFonts w:eastAsia="Arial Unicode MS" w:cs="Times New Roman"/>
                <w:color w:val="17365D"/>
                <w:sz w:val="18"/>
                <w:szCs w:val="18"/>
              </w:rPr>
              <w:t>168 536 818</w:t>
            </w:r>
          </w:p>
        </w:tc>
        <w:tc>
          <w:tcPr>
            <w:tcW w:w="1151" w:type="dxa"/>
            <w:tcBorders>
              <w:top w:val="single" w:sz="4" w:space="0" w:color="auto"/>
              <w:bottom w:val="single" w:sz="4" w:space="0" w:color="auto"/>
            </w:tcBorders>
            <w:shd w:val="clear" w:color="F2F2F2" w:fill="FFFFFF"/>
            <w:vAlign w:val="center"/>
          </w:tcPr>
          <w:p w14:paraId="3764A772" w14:textId="6A54A820" w:rsidR="00D74371" w:rsidRPr="00587EA8" w:rsidRDefault="00D74371" w:rsidP="00D74371">
            <w:pPr>
              <w:spacing w:after="0" w:line="240" w:lineRule="auto"/>
              <w:jc w:val="right"/>
              <w:rPr>
                <w:rFonts w:eastAsia="Arial Unicode MS" w:cs="Times New Roman"/>
                <w:color w:val="17365D"/>
                <w:sz w:val="18"/>
                <w:szCs w:val="18"/>
              </w:rPr>
            </w:pPr>
            <w:r w:rsidRPr="00587EA8">
              <w:rPr>
                <w:rFonts w:eastAsia="Arial Unicode MS" w:cs="Times New Roman"/>
                <w:color w:val="17365D"/>
                <w:sz w:val="18"/>
                <w:szCs w:val="18"/>
              </w:rPr>
              <w:t>81.7</w:t>
            </w:r>
            <w:r w:rsidR="001E6CF9">
              <w:rPr>
                <w:rFonts w:eastAsia="Arial Unicode MS" w:cs="Times New Roman"/>
                <w:color w:val="17365D"/>
                <w:sz w:val="18"/>
                <w:szCs w:val="18"/>
              </w:rPr>
              <w:t>4</w:t>
            </w:r>
          </w:p>
        </w:tc>
      </w:tr>
      <w:tr w:rsidR="00AF53BD" w:rsidRPr="00587EA8" w14:paraId="1A115586" w14:textId="77777777" w:rsidTr="0079036F">
        <w:trPr>
          <w:trHeight w:val="319"/>
        </w:trPr>
        <w:tc>
          <w:tcPr>
            <w:tcW w:w="2977" w:type="dxa"/>
            <w:tcBorders>
              <w:top w:val="single" w:sz="4" w:space="0" w:color="auto"/>
              <w:bottom w:val="single" w:sz="4" w:space="0" w:color="auto"/>
            </w:tcBorders>
            <w:shd w:val="clear" w:color="auto" w:fill="auto"/>
            <w:vAlign w:val="center"/>
          </w:tcPr>
          <w:p w14:paraId="496CC7B2" w14:textId="77777777" w:rsidR="00AF53BD" w:rsidRPr="00587EA8" w:rsidRDefault="00AF53BD" w:rsidP="00AF53BD">
            <w:pPr>
              <w:spacing w:after="0" w:line="240" w:lineRule="auto"/>
              <w:rPr>
                <w:rFonts w:eastAsia="Times New Roman" w:cs="Times New Roman"/>
                <w:color w:val="17365D"/>
                <w:sz w:val="18"/>
                <w:szCs w:val="18"/>
              </w:rPr>
            </w:pPr>
            <w:r w:rsidRPr="00587EA8">
              <w:rPr>
                <w:rFonts w:eastAsia="Times New Roman" w:cs="Times New Roman"/>
                <w:color w:val="17365D"/>
                <w:sz w:val="18"/>
                <w:szCs w:val="18"/>
              </w:rPr>
              <w:t xml:space="preserve">Nolietojuma un amortizācijas izmaksas </w:t>
            </w:r>
          </w:p>
        </w:tc>
        <w:tc>
          <w:tcPr>
            <w:tcW w:w="850" w:type="dxa"/>
            <w:tcBorders>
              <w:top w:val="single" w:sz="4" w:space="0" w:color="auto"/>
              <w:bottom w:val="single" w:sz="4" w:space="0" w:color="auto"/>
            </w:tcBorders>
            <w:shd w:val="clear" w:color="auto" w:fill="auto"/>
            <w:vAlign w:val="center"/>
          </w:tcPr>
          <w:p w14:paraId="6D35CD61" w14:textId="77777777" w:rsidR="00AF53BD" w:rsidRPr="00587EA8" w:rsidRDefault="00AF53BD" w:rsidP="00AF53BD">
            <w:pPr>
              <w:spacing w:after="0" w:line="240" w:lineRule="auto"/>
              <w:jc w:val="center"/>
              <w:rPr>
                <w:rFonts w:eastAsia="Times New Roman" w:cs="Times New Roman"/>
                <w:color w:val="17365D"/>
                <w:sz w:val="18"/>
                <w:szCs w:val="18"/>
              </w:rPr>
            </w:pPr>
          </w:p>
        </w:tc>
        <w:tc>
          <w:tcPr>
            <w:tcW w:w="1451" w:type="dxa"/>
            <w:gridSpan w:val="2"/>
            <w:tcBorders>
              <w:top w:val="single" w:sz="4" w:space="0" w:color="auto"/>
              <w:bottom w:val="single" w:sz="4" w:space="0" w:color="auto"/>
            </w:tcBorders>
            <w:shd w:val="clear" w:color="F2F2F2" w:fill="FFFFFF"/>
            <w:vAlign w:val="center"/>
          </w:tcPr>
          <w:p w14:paraId="4414FAA6" w14:textId="66EAB8BD" w:rsidR="00AF53BD" w:rsidRPr="00587EA8" w:rsidRDefault="00AF53BD" w:rsidP="00AF53BD">
            <w:pPr>
              <w:spacing w:after="0" w:line="240" w:lineRule="auto"/>
              <w:jc w:val="right"/>
              <w:rPr>
                <w:rFonts w:eastAsia="Arial Unicode MS" w:cs="Times New Roman"/>
                <w:color w:val="17365D"/>
                <w:sz w:val="18"/>
                <w:szCs w:val="18"/>
              </w:rPr>
            </w:pPr>
            <w:r w:rsidRPr="00AF53BD">
              <w:rPr>
                <w:rFonts w:eastAsia="Arial Unicode MS" w:cs="Times New Roman"/>
                <w:color w:val="17365D"/>
                <w:sz w:val="18"/>
                <w:szCs w:val="18"/>
              </w:rPr>
              <w:t>817 640 385</w:t>
            </w:r>
          </w:p>
        </w:tc>
        <w:tc>
          <w:tcPr>
            <w:tcW w:w="1384" w:type="dxa"/>
            <w:tcBorders>
              <w:top w:val="single" w:sz="4" w:space="0" w:color="auto"/>
              <w:bottom w:val="single" w:sz="4" w:space="0" w:color="auto"/>
            </w:tcBorders>
            <w:shd w:val="clear" w:color="F2F2F2" w:fill="FFFFFF"/>
            <w:vAlign w:val="center"/>
          </w:tcPr>
          <w:p w14:paraId="73E0883F" w14:textId="78EA0FB3" w:rsidR="00AF53BD" w:rsidRPr="00587EA8" w:rsidRDefault="00AF53BD" w:rsidP="00AF53BD">
            <w:pPr>
              <w:spacing w:after="0" w:line="240" w:lineRule="auto"/>
              <w:jc w:val="right"/>
              <w:rPr>
                <w:rFonts w:eastAsia="Arial Unicode MS" w:cs="Times New Roman"/>
                <w:color w:val="17365D"/>
                <w:sz w:val="18"/>
                <w:szCs w:val="18"/>
              </w:rPr>
            </w:pPr>
            <w:r w:rsidRPr="00AF53BD">
              <w:rPr>
                <w:rFonts w:eastAsia="Arial Unicode MS" w:cs="Times New Roman"/>
                <w:color w:val="17365D"/>
                <w:sz w:val="18"/>
                <w:szCs w:val="18"/>
              </w:rPr>
              <w:t>783 021 716</w:t>
            </w:r>
          </w:p>
        </w:tc>
        <w:tc>
          <w:tcPr>
            <w:tcW w:w="1559" w:type="dxa"/>
            <w:gridSpan w:val="2"/>
            <w:tcBorders>
              <w:top w:val="single" w:sz="4" w:space="0" w:color="auto"/>
              <w:bottom w:val="single" w:sz="4" w:space="0" w:color="auto"/>
            </w:tcBorders>
            <w:shd w:val="clear" w:color="auto" w:fill="auto"/>
            <w:vAlign w:val="center"/>
          </w:tcPr>
          <w:p w14:paraId="07D7BFD8" w14:textId="4DF7AB5B" w:rsidR="00AF53BD" w:rsidRPr="00587EA8" w:rsidRDefault="00AF53BD" w:rsidP="00942883">
            <w:pPr>
              <w:spacing w:after="0" w:line="240" w:lineRule="auto"/>
              <w:jc w:val="center"/>
              <w:rPr>
                <w:rFonts w:eastAsia="Arial Unicode MS" w:cs="Times New Roman"/>
                <w:color w:val="17365D"/>
                <w:sz w:val="18"/>
                <w:szCs w:val="18"/>
              </w:rPr>
            </w:pPr>
            <w:r w:rsidRPr="00AF53BD">
              <w:rPr>
                <w:rFonts w:eastAsia="Arial Unicode MS" w:cs="Times New Roman"/>
                <w:color w:val="17365D"/>
                <w:sz w:val="18"/>
                <w:szCs w:val="18"/>
              </w:rPr>
              <w:t>34 618 669</w:t>
            </w:r>
          </w:p>
        </w:tc>
        <w:tc>
          <w:tcPr>
            <w:tcW w:w="1151" w:type="dxa"/>
            <w:tcBorders>
              <w:top w:val="single" w:sz="4" w:space="0" w:color="auto"/>
              <w:bottom w:val="single" w:sz="4" w:space="0" w:color="auto"/>
            </w:tcBorders>
            <w:shd w:val="clear" w:color="auto" w:fill="auto"/>
            <w:vAlign w:val="center"/>
          </w:tcPr>
          <w:p w14:paraId="7AE764C2" w14:textId="07803D04" w:rsidR="00AF53BD" w:rsidRPr="00587EA8" w:rsidRDefault="00AF53BD" w:rsidP="00942883">
            <w:pPr>
              <w:spacing w:after="0" w:line="240" w:lineRule="auto"/>
              <w:jc w:val="right"/>
              <w:rPr>
                <w:rFonts w:eastAsia="Arial Unicode MS" w:cs="Times New Roman"/>
                <w:color w:val="17365D"/>
                <w:sz w:val="18"/>
                <w:szCs w:val="18"/>
              </w:rPr>
            </w:pPr>
            <w:r w:rsidRPr="00AF53BD">
              <w:rPr>
                <w:rFonts w:eastAsia="Arial Unicode MS" w:cs="Times New Roman"/>
                <w:color w:val="17365D"/>
                <w:sz w:val="18"/>
                <w:szCs w:val="18"/>
              </w:rPr>
              <w:t>4.42</w:t>
            </w:r>
          </w:p>
        </w:tc>
      </w:tr>
      <w:tr w:rsidR="00AF53BD" w:rsidRPr="00587EA8" w14:paraId="20A7D8C6" w14:textId="77777777" w:rsidTr="0079036F">
        <w:trPr>
          <w:trHeight w:val="319"/>
        </w:trPr>
        <w:tc>
          <w:tcPr>
            <w:tcW w:w="2977" w:type="dxa"/>
            <w:tcBorders>
              <w:top w:val="single" w:sz="4" w:space="0" w:color="auto"/>
              <w:bottom w:val="single" w:sz="4" w:space="0" w:color="012169"/>
            </w:tcBorders>
            <w:shd w:val="clear" w:color="auto" w:fill="auto"/>
            <w:vAlign w:val="center"/>
          </w:tcPr>
          <w:p w14:paraId="260AB0A6" w14:textId="77777777" w:rsidR="00AF53BD" w:rsidRPr="00587EA8" w:rsidRDefault="00AF53BD" w:rsidP="00AF53BD">
            <w:pPr>
              <w:spacing w:after="0" w:line="240" w:lineRule="auto"/>
              <w:rPr>
                <w:rFonts w:eastAsia="Times New Roman" w:cs="Times New Roman"/>
                <w:color w:val="17365D"/>
                <w:sz w:val="18"/>
                <w:szCs w:val="18"/>
              </w:rPr>
            </w:pPr>
            <w:r w:rsidRPr="00587EA8">
              <w:rPr>
                <w:rFonts w:eastAsia="Times New Roman" w:cs="Times New Roman"/>
                <w:color w:val="17365D"/>
                <w:sz w:val="18"/>
                <w:szCs w:val="18"/>
              </w:rPr>
              <w:t>Pārējie izdevumi, kas nav klasificēti A21 līdz A30 rindā</w:t>
            </w:r>
          </w:p>
        </w:tc>
        <w:tc>
          <w:tcPr>
            <w:tcW w:w="850" w:type="dxa"/>
            <w:tcBorders>
              <w:top w:val="single" w:sz="4" w:space="0" w:color="auto"/>
            </w:tcBorders>
            <w:shd w:val="clear" w:color="auto" w:fill="auto"/>
            <w:vAlign w:val="center"/>
          </w:tcPr>
          <w:p w14:paraId="0327A846" w14:textId="0D1A7F85" w:rsidR="00AF53BD" w:rsidRPr="00587EA8" w:rsidRDefault="00AF53BD" w:rsidP="00AF53BD">
            <w:pPr>
              <w:spacing w:after="0" w:line="240" w:lineRule="auto"/>
              <w:jc w:val="center"/>
              <w:rPr>
                <w:rFonts w:eastAsia="Times New Roman" w:cs="Times New Roman"/>
                <w:color w:val="17365D"/>
                <w:sz w:val="18"/>
                <w:szCs w:val="18"/>
              </w:rPr>
            </w:pPr>
            <w:r w:rsidRPr="00587EA8">
              <w:rPr>
                <w:rFonts w:eastAsia="Times New Roman" w:cs="Times New Roman"/>
                <w:color w:val="17365D"/>
                <w:sz w:val="18"/>
                <w:szCs w:val="18"/>
              </w:rPr>
              <w:t>FD A</w:t>
            </w:r>
            <w:r>
              <w:rPr>
                <w:rFonts w:eastAsia="Times New Roman" w:cs="Times New Roman"/>
                <w:color w:val="17365D"/>
                <w:sz w:val="18"/>
                <w:szCs w:val="18"/>
              </w:rPr>
              <w:t>31</w:t>
            </w:r>
            <w:r w:rsidRPr="00587EA8">
              <w:rPr>
                <w:rFonts w:eastAsia="Times New Roman" w:cs="Times New Roman"/>
                <w:color w:val="17365D"/>
                <w:sz w:val="18"/>
                <w:szCs w:val="18"/>
              </w:rPr>
              <w:t>.</w:t>
            </w:r>
          </w:p>
        </w:tc>
        <w:tc>
          <w:tcPr>
            <w:tcW w:w="1451" w:type="dxa"/>
            <w:gridSpan w:val="2"/>
            <w:tcBorders>
              <w:top w:val="single" w:sz="4" w:space="0" w:color="auto"/>
            </w:tcBorders>
            <w:shd w:val="clear" w:color="F2F2F2" w:fill="FFFFFF"/>
            <w:vAlign w:val="center"/>
          </w:tcPr>
          <w:p w14:paraId="236F4259" w14:textId="7BCF5F96" w:rsidR="00AF53BD" w:rsidRPr="00587EA8" w:rsidRDefault="00AF53BD" w:rsidP="00AF53BD">
            <w:pPr>
              <w:spacing w:after="0" w:line="240" w:lineRule="auto"/>
              <w:jc w:val="right"/>
              <w:rPr>
                <w:rFonts w:eastAsia="Arial Unicode MS" w:cs="Times New Roman"/>
                <w:color w:val="17365D"/>
                <w:sz w:val="18"/>
                <w:szCs w:val="18"/>
              </w:rPr>
            </w:pPr>
            <w:r w:rsidRPr="00AF53BD">
              <w:rPr>
                <w:rFonts w:eastAsia="Arial Unicode MS" w:cs="Times New Roman"/>
                <w:color w:val="17365D"/>
                <w:sz w:val="18"/>
                <w:szCs w:val="18"/>
              </w:rPr>
              <w:t>1 688 214 969</w:t>
            </w:r>
          </w:p>
        </w:tc>
        <w:tc>
          <w:tcPr>
            <w:tcW w:w="1384" w:type="dxa"/>
            <w:tcBorders>
              <w:top w:val="single" w:sz="4" w:space="0" w:color="auto"/>
            </w:tcBorders>
            <w:shd w:val="clear" w:color="F2F2F2" w:fill="FFFFFF"/>
            <w:vAlign w:val="center"/>
          </w:tcPr>
          <w:p w14:paraId="7E511DA8" w14:textId="6B46858B" w:rsidR="00AF53BD" w:rsidRPr="00587EA8" w:rsidRDefault="00AF53BD" w:rsidP="00AF53BD">
            <w:pPr>
              <w:spacing w:after="0" w:line="240" w:lineRule="auto"/>
              <w:jc w:val="right"/>
              <w:rPr>
                <w:rFonts w:eastAsia="Arial Unicode MS" w:cs="Times New Roman"/>
                <w:color w:val="17365D"/>
                <w:sz w:val="18"/>
                <w:szCs w:val="18"/>
              </w:rPr>
            </w:pPr>
            <w:r w:rsidRPr="00AF53BD">
              <w:rPr>
                <w:rFonts w:eastAsia="Arial Unicode MS" w:cs="Times New Roman"/>
                <w:color w:val="17365D"/>
                <w:sz w:val="18"/>
                <w:szCs w:val="18"/>
              </w:rPr>
              <w:t>1 996 866 384</w:t>
            </w:r>
          </w:p>
        </w:tc>
        <w:tc>
          <w:tcPr>
            <w:tcW w:w="1559" w:type="dxa"/>
            <w:gridSpan w:val="2"/>
            <w:tcBorders>
              <w:top w:val="single" w:sz="4" w:space="0" w:color="auto"/>
            </w:tcBorders>
            <w:shd w:val="clear" w:color="auto" w:fill="auto"/>
            <w:vAlign w:val="center"/>
          </w:tcPr>
          <w:p w14:paraId="08EBB843" w14:textId="7FFAC70C" w:rsidR="00AF53BD" w:rsidRPr="00587EA8" w:rsidRDefault="00AF53BD" w:rsidP="00942883">
            <w:pPr>
              <w:spacing w:after="0" w:line="240" w:lineRule="auto"/>
              <w:jc w:val="center"/>
              <w:rPr>
                <w:rFonts w:eastAsia="Arial Unicode MS" w:cs="Times New Roman"/>
                <w:color w:val="17365D"/>
                <w:sz w:val="18"/>
                <w:szCs w:val="18"/>
              </w:rPr>
            </w:pPr>
            <w:r w:rsidRPr="00AF53BD">
              <w:rPr>
                <w:rFonts w:eastAsia="Arial Unicode MS" w:cs="Times New Roman"/>
                <w:color w:val="17365D"/>
                <w:sz w:val="18"/>
                <w:szCs w:val="18"/>
              </w:rPr>
              <w:t>-308 651 415</w:t>
            </w:r>
          </w:p>
        </w:tc>
        <w:tc>
          <w:tcPr>
            <w:tcW w:w="1151" w:type="dxa"/>
            <w:tcBorders>
              <w:top w:val="single" w:sz="4" w:space="0" w:color="auto"/>
            </w:tcBorders>
            <w:shd w:val="clear" w:color="auto" w:fill="auto"/>
            <w:vAlign w:val="center"/>
          </w:tcPr>
          <w:p w14:paraId="56088A20" w14:textId="3987F90F" w:rsidR="00AF53BD" w:rsidRPr="00587EA8" w:rsidRDefault="00AF53BD" w:rsidP="00942883">
            <w:pPr>
              <w:spacing w:after="0" w:line="240" w:lineRule="auto"/>
              <w:jc w:val="right"/>
              <w:rPr>
                <w:rFonts w:eastAsia="Arial Unicode MS" w:cs="Times New Roman"/>
                <w:color w:val="17365D"/>
                <w:sz w:val="18"/>
                <w:szCs w:val="18"/>
              </w:rPr>
            </w:pPr>
            <w:r w:rsidRPr="00AF53BD">
              <w:rPr>
                <w:rFonts w:eastAsia="Arial Unicode MS" w:cs="Times New Roman"/>
                <w:color w:val="17365D"/>
                <w:sz w:val="18"/>
                <w:szCs w:val="18"/>
              </w:rPr>
              <w:t>-15.46</w:t>
            </w:r>
          </w:p>
        </w:tc>
      </w:tr>
      <w:tr w:rsidR="002D64B0" w:rsidRPr="00E6180B" w14:paraId="763F6FBD" w14:textId="77777777" w:rsidTr="0079036F">
        <w:trPr>
          <w:trHeight w:val="206"/>
        </w:trPr>
        <w:tc>
          <w:tcPr>
            <w:tcW w:w="5262" w:type="dxa"/>
            <w:gridSpan w:val="3"/>
            <w:tcBorders>
              <w:top w:val="single" w:sz="4" w:space="0" w:color="17365D"/>
            </w:tcBorders>
            <w:shd w:val="clear" w:color="auto" w:fill="B8CCE4" w:themeFill="accent1" w:themeFillTint="66"/>
            <w:vAlign w:val="center"/>
          </w:tcPr>
          <w:p w14:paraId="78E43443" w14:textId="77777777" w:rsidR="002D64B0" w:rsidRPr="00A27896" w:rsidRDefault="002D64B0" w:rsidP="008B6424">
            <w:pPr>
              <w:spacing w:after="0" w:line="240" w:lineRule="auto"/>
              <w:rPr>
                <w:rFonts w:eastAsia="Arial Unicode MS" w:cs="Times New Roman"/>
                <w:b/>
                <w:color w:val="17365D"/>
                <w:sz w:val="18"/>
                <w:szCs w:val="18"/>
              </w:rPr>
            </w:pPr>
          </w:p>
        </w:tc>
        <w:tc>
          <w:tcPr>
            <w:tcW w:w="1984" w:type="dxa"/>
            <w:gridSpan w:val="3"/>
            <w:tcBorders>
              <w:top w:val="single" w:sz="4" w:space="0" w:color="17365D"/>
              <w:left w:val="nil"/>
              <w:bottom w:val="nil"/>
              <w:right w:val="nil"/>
            </w:tcBorders>
            <w:shd w:val="clear" w:color="auto" w:fill="B8CCE4" w:themeFill="accent1" w:themeFillTint="66"/>
            <w:noWrap/>
            <w:vAlign w:val="center"/>
          </w:tcPr>
          <w:p w14:paraId="65B5F775" w14:textId="77777777" w:rsidR="002D64B0" w:rsidRPr="00A27896" w:rsidRDefault="002D64B0" w:rsidP="008B6424">
            <w:pPr>
              <w:spacing w:after="0" w:line="240" w:lineRule="auto"/>
              <w:jc w:val="right"/>
              <w:rPr>
                <w:rFonts w:eastAsia="Arial Unicode MS" w:cs="Times New Roman"/>
                <w:b/>
                <w:color w:val="17365D"/>
                <w:sz w:val="18"/>
                <w:szCs w:val="18"/>
              </w:rPr>
            </w:pPr>
          </w:p>
        </w:tc>
        <w:tc>
          <w:tcPr>
            <w:tcW w:w="2127" w:type="dxa"/>
            <w:gridSpan w:val="2"/>
            <w:tcBorders>
              <w:top w:val="single" w:sz="4" w:space="0" w:color="17365D"/>
              <w:left w:val="nil"/>
              <w:bottom w:val="nil"/>
              <w:right w:val="nil"/>
            </w:tcBorders>
            <w:shd w:val="clear" w:color="auto" w:fill="B8CCE4" w:themeFill="accent1" w:themeFillTint="66"/>
            <w:vAlign w:val="center"/>
          </w:tcPr>
          <w:p w14:paraId="10E32CEE" w14:textId="77777777" w:rsidR="002D64B0" w:rsidRPr="00A27896" w:rsidRDefault="002D64B0" w:rsidP="008B6424">
            <w:pPr>
              <w:spacing w:after="0" w:line="240" w:lineRule="auto"/>
              <w:jc w:val="right"/>
              <w:rPr>
                <w:rFonts w:eastAsia="Arial Unicode MS" w:cs="Times New Roman"/>
                <w:b/>
                <w:color w:val="17365D"/>
                <w:sz w:val="18"/>
                <w:szCs w:val="18"/>
              </w:rPr>
            </w:pPr>
          </w:p>
        </w:tc>
      </w:tr>
    </w:tbl>
    <w:p w14:paraId="0A1FCD5E" w14:textId="77777777" w:rsidR="00D74371" w:rsidRPr="00587EA8" w:rsidRDefault="00D74371" w:rsidP="00D74371">
      <w:pPr>
        <w:spacing w:after="0" w:line="240" w:lineRule="auto"/>
        <w:rPr>
          <w:rFonts w:eastAsia="Arial Unicode MS" w:cs="Times New Roman"/>
          <w:color w:val="17365D"/>
          <w:sz w:val="20"/>
          <w:szCs w:val="24"/>
        </w:rPr>
      </w:pPr>
    </w:p>
    <w:p w14:paraId="011654C3" w14:textId="23A979DA" w:rsidR="00D74371" w:rsidRDefault="00D74371" w:rsidP="00D74371">
      <w:pPr>
        <w:spacing w:after="120" w:line="240" w:lineRule="auto"/>
        <w:jc w:val="both"/>
        <w:rPr>
          <w:rFonts w:eastAsia="Arial Unicode MS" w:cs="Times New Roman"/>
          <w:color w:val="17365D"/>
          <w:szCs w:val="24"/>
          <w:lang w:eastAsia="lv-LV"/>
        </w:rPr>
      </w:pPr>
      <w:r w:rsidRPr="00587EA8">
        <w:rPr>
          <w:rFonts w:eastAsia="Arial Unicode MS" w:cs="Times New Roman"/>
          <w:color w:val="17365D"/>
          <w:szCs w:val="24"/>
          <w:u w:val="single"/>
        </w:rPr>
        <w:t xml:space="preserve">Izdevumi </w:t>
      </w:r>
      <w:r w:rsidRPr="00587EA8">
        <w:rPr>
          <w:rFonts w:eastAsia="Arial Unicode MS" w:cs="Times New Roman"/>
          <w:color w:val="17365D"/>
          <w:szCs w:val="24"/>
          <w:lang w:eastAsia="lv-LV"/>
        </w:rPr>
        <w:t xml:space="preserve">salīdzinājumā ar 2022. gadu palielinājušies par </w:t>
      </w:r>
      <w:r w:rsidR="00A5127A" w:rsidRPr="00A5127A">
        <w:rPr>
          <w:rFonts w:eastAsia="Arial Unicode MS" w:cs="Times New Roman"/>
          <w:color w:val="17365D"/>
          <w:szCs w:val="24"/>
          <w:lang w:eastAsia="lv-LV"/>
        </w:rPr>
        <w:t>1</w:t>
      </w:r>
      <w:r w:rsidR="00A5127A">
        <w:rPr>
          <w:rFonts w:eastAsia="Arial Unicode MS" w:cs="Times New Roman"/>
          <w:color w:val="17365D"/>
          <w:szCs w:val="24"/>
          <w:lang w:eastAsia="lv-LV"/>
        </w:rPr>
        <w:t> </w:t>
      </w:r>
      <w:r w:rsidR="00A5127A" w:rsidRPr="00A5127A">
        <w:rPr>
          <w:rFonts w:eastAsia="Arial Unicode MS" w:cs="Times New Roman"/>
          <w:color w:val="17365D"/>
          <w:szCs w:val="24"/>
          <w:lang w:eastAsia="lv-LV"/>
        </w:rPr>
        <w:t>042</w:t>
      </w:r>
      <w:r w:rsidR="00A5127A">
        <w:rPr>
          <w:rFonts w:eastAsia="Arial Unicode MS" w:cs="Times New Roman"/>
          <w:color w:val="17365D"/>
          <w:szCs w:val="24"/>
          <w:lang w:eastAsia="lv-LV"/>
        </w:rPr>
        <w:t> </w:t>
      </w:r>
      <w:r w:rsidR="00A5127A" w:rsidRPr="00A5127A">
        <w:rPr>
          <w:rFonts w:eastAsia="Arial Unicode MS" w:cs="Times New Roman"/>
          <w:color w:val="17365D"/>
          <w:szCs w:val="24"/>
          <w:lang w:eastAsia="lv-LV"/>
        </w:rPr>
        <w:t>447</w:t>
      </w:r>
      <w:r w:rsidR="00A5127A">
        <w:rPr>
          <w:rFonts w:eastAsia="Arial Unicode MS" w:cs="Times New Roman"/>
          <w:color w:val="17365D"/>
          <w:szCs w:val="24"/>
          <w:lang w:eastAsia="lv-LV"/>
        </w:rPr>
        <w:t> </w:t>
      </w:r>
      <w:r w:rsidR="00A5127A" w:rsidRPr="00A5127A">
        <w:rPr>
          <w:rFonts w:eastAsia="Arial Unicode MS" w:cs="Times New Roman"/>
          <w:color w:val="17365D"/>
          <w:szCs w:val="24"/>
          <w:lang w:eastAsia="lv-LV"/>
        </w:rPr>
        <w:t>386</w:t>
      </w:r>
      <w:r w:rsidR="00A5127A">
        <w:rPr>
          <w:rFonts w:eastAsia="Arial Unicode MS" w:cs="Times New Roman"/>
          <w:color w:val="17365D"/>
          <w:szCs w:val="24"/>
          <w:lang w:eastAsia="lv-LV"/>
        </w:rPr>
        <w:t xml:space="preserve"> </w:t>
      </w:r>
      <w:r w:rsidRPr="00587EA8">
        <w:rPr>
          <w:rFonts w:eastAsia="Arial Unicode MS" w:cs="Times New Roman"/>
          <w:i/>
          <w:color w:val="17365D"/>
          <w:szCs w:val="24"/>
          <w:lang w:eastAsia="lv-LV"/>
        </w:rPr>
        <w:t>euro</w:t>
      </w:r>
      <w:r w:rsidRPr="00587EA8">
        <w:rPr>
          <w:rFonts w:eastAsia="Arial Unicode MS" w:cs="Times New Roman"/>
          <w:color w:val="17365D"/>
          <w:szCs w:val="24"/>
          <w:lang w:eastAsia="lv-LV"/>
        </w:rPr>
        <w:t>.</w:t>
      </w:r>
    </w:p>
    <w:p w14:paraId="1CB12CFC" w14:textId="77777777" w:rsidR="00D74371" w:rsidRPr="00587EA8" w:rsidRDefault="00D74371" w:rsidP="00D74371">
      <w:pPr>
        <w:pStyle w:val="Heading4"/>
      </w:pPr>
      <w:r w:rsidRPr="00E05702">
        <w:t>Piezīme N</w:t>
      </w:r>
      <w:r>
        <w:t>r.</w:t>
      </w:r>
      <w:r w:rsidRPr="00F159D0">
        <w:t xml:space="preserve"> </w:t>
      </w:r>
      <w:r w:rsidRPr="00587EA8">
        <w:t>FD</w:t>
      </w:r>
      <w:r>
        <w:t>.</w:t>
      </w:r>
      <w:r w:rsidRPr="00587EA8">
        <w:t>A21</w:t>
      </w:r>
      <w:r>
        <w:t>.</w:t>
      </w:r>
      <w:r w:rsidRPr="00587EA8">
        <w:t xml:space="preserve"> Atalgojums</w:t>
      </w:r>
    </w:p>
    <w:p w14:paraId="54177F03" w14:textId="77777777" w:rsidR="00D74371" w:rsidRPr="009C6F0C" w:rsidRDefault="00D74371" w:rsidP="00D74371">
      <w:pPr>
        <w:spacing w:after="120" w:line="240" w:lineRule="auto"/>
        <w:ind w:left="284"/>
        <w:jc w:val="both"/>
        <w:rPr>
          <w:rFonts w:eastAsia="Arial Unicode MS" w:cs="Times New Roman"/>
          <w:color w:val="17365D"/>
          <w:szCs w:val="24"/>
        </w:rPr>
      </w:pPr>
      <w:r w:rsidRPr="009C6F0C">
        <w:rPr>
          <w:rFonts w:eastAsia="Arial Unicode MS" w:cs="Times New Roman"/>
          <w:color w:val="17365D"/>
          <w:szCs w:val="24"/>
        </w:rPr>
        <w:t>Posteņa palielinājums veidojās:</w:t>
      </w:r>
    </w:p>
    <w:p w14:paraId="24706A29" w14:textId="4C5E46BB" w:rsidR="00D74371" w:rsidRPr="00587EA8" w:rsidRDefault="00D74371" w:rsidP="00146A16">
      <w:pPr>
        <w:numPr>
          <w:ilvl w:val="0"/>
          <w:numId w:val="29"/>
        </w:numPr>
        <w:spacing w:after="120" w:line="240" w:lineRule="auto"/>
        <w:ind w:left="567" w:hanging="284"/>
        <w:jc w:val="both"/>
        <w:rPr>
          <w:rFonts w:eastAsia="Arial Unicode MS" w:cs="Times New Roman"/>
          <w:color w:val="17365D"/>
          <w:szCs w:val="24"/>
        </w:rPr>
      </w:pPr>
      <w:r w:rsidRPr="00587EA8">
        <w:rPr>
          <w:rFonts w:eastAsia="Arial Unicode MS" w:cs="Times New Roman"/>
          <w:color w:val="17365D"/>
          <w:szCs w:val="24"/>
        </w:rPr>
        <w:t>Rīgas valstspilsētai 51</w:t>
      </w:r>
      <w:r w:rsidR="002C6412">
        <w:rPr>
          <w:rFonts w:eastAsia="Arial Unicode MS" w:cs="Times New Roman"/>
          <w:color w:val="17365D"/>
          <w:szCs w:val="24"/>
        </w:rPr>
        <w:t xml:space="preserve"> </w:t>
      </w:r>
      <w:r w:rsidRPr="00587EA8">
        <w:rPr>
          <w:rFonts w:eastAsia="Arial Unicode MS" w:cs="Times New Roman"/>
          <w:color w:val="17365D"/>
          <w:szCs w:val="24"/>
        </w:rPr>
        <w:t>984</w:t>
      </w:r>
      <w:r w:rsidR="002C6412">
        <w:rPr>
          <w:rFonts w:eastAsia="Arial Unicode MS" w:cs="Times New Roman"/>
          <w:color w:val="17365D"/>
          <w:szCs w:val="24"/>
        </w:rPr>
        <w:t xml:space="preserve"> </w:t>
      </w:r>
      <w:r w:rsidRPr="00587EA8">
        <w:rPr>
          <w:rFonts w:eastAsia="Arial Unicode MS" w:cs="Times New Roman"/>
          <w:color w:val="17365D"/>
          <w:szCs w:val="24"/>
        </w:rPr>
        <w:t>13</w:t>
      </w:r>
      <w:r w:rsidR="002C6412">
        <w:rPr>
          <w:rFonts w:eastAsia="Arial Unicode MS" w:cs="Times New Roman"/>
          <w:color w:val="17365D"/>
          <w:szCs w:val="24"/>
        </w:rPr>
        <w:t>5</w:t>
      </w:r>
      <w:r w:rsidRPr="00587EA8">
        <w:rPr>
          <w:rFonts w:eastAsia="Arial Unicode MS" w:cs="Times New Roman"/>
          <w:color w:val="17365D"/>
          <w:szCs w:val="24"/>
        </w:rPr>
        <w:t xml:space="preserve"> </w:t>
      </w:r>
      <w:r w:rsidRPr="00587EA8">
        <w:rPr>
          <w:rFonts w:eastAsia="Arial Unicode MS" w:cs="Times New Roman"/>
          <w:i/>
          <w:color w:val="17365D"/>
          <w:szCs w:val="24"/>
        </w:rPr>
        <w:t>euro</w:t>
      </w:r>
      <w:r w:rsidRPr="00587EA8">
        <w:rPr>
          <w:rFonts w:eastAsia="Arial Unicode MS" w:cs="Times New Roman"/>
          <w:color w:val="17365D"/>
          <w:szCs w:val="24"/>
        </w:rPr>
        <w:t xml:space="preserve"> vērtībā </w:t>
      </w:r>
      <w:r>
        <w:rPr>
          <w:rFonts w:eastAsia="Arial Unicode MS" w:cs="Times New Roman"/>
          <w:color w:val="17365D"/>
          <w:szCs w:val="24"/>
        </w:rPr>
        <w:t>p</w:t>
      </w:r>
      <w:r w:rsidRPr="00587EA8">
        <w:rPr>
          <w:rFonts w:eastAsia="Arial Unicode MS" w:cs="Times New Roman"/>
          <w:color w:val="17365D"/>
          <w:szCs w:val="24"/>
        </w:rPr>
        <w:t>ar atzītiem izdevumiem par atalgojumu, kas saistīts ar minimālās algas palielinājumu un atbilstoši likumā “Valsts un pašvaldību institūciju amatpersonu un darbinieku atlīdzības likumā” noteiktaja</w:t>
      </w:r>
      <w:r>
        <w:rPr>
          <w:rFonts w:eastAsia="Arial Unicode MS" w:cs="Times New Roman"/>
          <w:color w:val="17365D"/>
          <w:szCs w:val="24"/>
        </w:rPr>
        <w:t>i</w:t>
      </w:r>
      <w:r w:rsidRPr="00587EA8">
        <w:rPr>
          <w:rFonts w:eastAsia="Arial Unicode MS" w:cs="Times New Roman"/>
          <w:color w:val="17365D"/>
          <w:szCs w:val="24"/>
        </w:rPr>
        <w:t xml:space="preserve"> darba samaksas izlīdzināšanai pašvaldībā strādājošajiem;</w:t>
      </w:r>
    </w:p>
    <w:p w14:paraId="07A57918" w14:textId="77777777" w:rsidR="00D74371" w:rsidRPr="00587EA8" w:rsidRDefault="00D74371" w:rsidP="00146A16">
      <w:pPr>
        <w:numPr>
          <w:ilvl w:val="0"/>
          <w:numId w:val="29"/>
        </w:numPr>
        <w:spacing w:after="120" w:line="240" w:lineRule="auto"/>
        <w:ind w:left="567" w:hanging="284"/>
        <w:jc w:val="both"/>
        <w:rPr>
          <w:rFonts w:eastAsia="Arial Unicode MS" w:cs="Times New Roman"/>
          <w:color w:val="17365D"/>
          <w:szCs w:val="24"/>
        </w:rPr>
      </w:pPr>
      <w:r w:rsidRPr="00587EA8">
        <w:rPr>
          <w:rFonts w:eastAsia="Arial Unicode MS" w:cs="Times New Roman"/>
          <w:color w:val="17365D"/>
          <w:szCs w:val="24"/>
        </w:rPr>
        <w:t>Aizsardzības ministrijai 34</w:t>
      </w:r>
      <w:r>
        <w:rPr>
          <w:rFonts w:eastAsia="Arial Unicode MS" w:cs="Times New Roman"/>
          <w:color w:val="17365D"/>
          <w:szCs w:val="24"/>
        </w:rPr>
        <w:t> </w:t>
      </w:r>
      <w:r w:rsidRPr="00587EA8">
        <w:rPr>
          <w:rFonts w:eastAsia="Arial Unicode MS" w:cs="Times New Roman"/>
          <w:color w:val="17365D"/>
          <w:szCs w:val="24"/>
        </w:rPr>
        <w:t>054</w:t>
      </w:r>
      <w:r>
        <w:rPr>
          <w:rFonts w:eastAsia="Arial Unicode MS" w:cs="Times New Roman"/>
          <w:color w:val="17365D"/>
          <w:szCs w:val="24"/>
        </w:rPr>
        <w:t> </w:t>
      </w:r>
      <w:r w:rsidRPr="00587EA8">
        <w:rPr>
          <w:rFonts w:eastAsia="Arial Unicode MS" w:cs="Times New Roman"/>
          <w:color w:val="17365D"/>
          <w:szCs w:val="24"/>
        </w:rPr>
        <w:t xml:space="preserve">339 </w:t>
      </w:r>
      <w:r w:rsidRPr="009C6F0C">
        <w:rPr>
          <w:rFonts w:eastAsia="Arial Unicode MS" w:cs="Times New Roman"/>
          <w:i/>
          <w:color w:val="17365D"/>
          <w:szCs w:val="24"/>
        </w:rPr>
        <w:t>euro</w:t>
      </w:r>
      <w:r w:rsidRPr="00587EA8">
        <w:rPr>
          <w:rFonts w:eastAsia="Arial Unicode MS" w:cs="Times New Roman"/>
          <w:color w:val="17365D"/>
          <w:szCs w:val="24"/>
        </w:rPr>
        <w:t xml:space="preserve"> vērtībā </w:t>
      </w:r>
      <w:r>
        <w:rPr>
          <w:rFonts w:eastAsia="Arial Unicode MS" w:cs="Times New Roman"/>
          <w:color w:val="17365D"/>
          <w:szCs w:val="24"/>
        </w:rPr>
        <w:t>p</w:t>
      </w:r>
      <w:r w:rsidRPr="00587EA8">
        <w:rPr>
          <w:rFonts w:eastAsia="Arial Unicode MS" w:cs="Times New Roman"/>
          <w:color w:val="17365D"/>
          <w:szCs w:val="24"/>
        </w:rPr>
        <w:t>ar atzītiem izdevumiem par atalgojumu</w:t>
      </w:r>
      <w:r>
        <w:rPr>
          <w:rFonts w:eastAsia="Arial Unicode MS" w:cs="Times New Roman"/>
          <w:color w:val="17365D"/>
          <w:szCs w:val="24"/>
        </w:rPr>
        <w:t xml:space="preserve"> –</w:t>
      </w:r>
      <w:r w:rsidRPr="00587EA8">
        <w:rPr>
          <w:rFonts w:eastAsia="Arial Unicode MS" w:cs="Times New Roman"/>
          <w:color w:val="17365D"/>
          <w:szCs w:val="24"/>
        </w:rPr>
        <w:t xml:space="preserve"> mēnešalgas palielinājumu karavīriem un papildus piemaksām Nacionālo bruņoto spēku personāla dalībai starptautiskajās operācijās;</w:t>
      </w:r>
    </w:p>
    <w:p w14:paraId="72234B28" w14:textId="77777777" w:rsidR="00D74371" w:rsidRPr="00587EA8" w:rsidRDefault="00D74371" w:rsidP="00146A16">
      <w:pPr>
        <w:numPr>
          <w:ilvl w:val="0"/>
          <w:numId w:val="29"/>
        </w:numPr>
        <w:spacing w:after="120" w:line="240" w:lineRule="auto"/>
        <w:ind w:left="567" w:hanging="284"/>
        <w:jc w:val="both"/>
        <w:rPr>
          <w:rFonts w:eastAsia="Arial Unicode MS" w:cs="Times New Roman"/>
          <w:color w:val="17365D"/>
          <w:szCs w:val="24"/>
        </w:rPr>
      </w:pPr>
      <w:r w:rsidRPr="00587EA8">
        <w:rPr>
          <w:rFonts w:eastAsia="Arial Unicode MS" w:cs="Times New Roman"/>
          <w:color w:val="17365D"/>
          <w:szCs w:val="24"/>
        </w:rPr>
        <w:t>Iekšlietu ministrijai 32</w:t>
      </w:r>
      <w:r>
        <w:rPr>
          <w:rFonts w:eastAsia="Arial Unicode MS" w:cs="Times New Roman"/>
          <w:color w:val="17365D"/>
          <w:szCs w:val="24"/>
        </w:rPr>
        <w:t> </w:t>
      </w:r>
      <w:r w:rsidRPr="00587EA8">
        <w:rPr>
          <w:rFonts w:eastAsia="Arial Unicode MS" w:cs="Times New Roman"/>
          <w:color w:val="17365D"/>
          <w:szCs w:val="24"/>
        </w:rPr>
        <w:t>172</w:t>
      </w:r>
      <w:r>
        <w:rPr>
          <w:rFonts w:eastAsia="Arial Unicode MS" w:cs="Times New Roman"/>
          <w:color w:val="17365D"/>
          <w:szCs w:val="24"/>
        </w:rPr>
        <w:t> </w:t>
      </w:r>
      <w:r w:rsidRPr="00587EA8">
        <w:rPr>
          <w:rFonts w:eastAsia="Arial Unicode MS" w:cs="Times New Roman"/>
          <w:color w:val="17365D"/>
          <w:szCs w:val="24"/>
        </w:rPr>
        <w:t xml:space="preserve">048 </w:t>
      </w:r>
      <w:r w:rsidRPr="009C6F0C">
        <w:rPr>
          <w:rFonts w:eastAsia="Arial Unicode MS" w:cs="Times New Roman"/>
          <w:i/>
          <w:color w:val="17365D"/>
          <w:szCs w:val="24"/>
        </w:rPr>
        <w:t>euro</w:t>
      </w:r>
      <w:r w:rsidRPr="00587EA8">
        <w:rPr>
          <w:rFonts w:eastAsia="Arial Unicode MS" w:cs="Times New Roman"/>
          <w:color w:val="17365D"/>
          <w:szCs w:val="24"/>
        </w:rPr>
        <w:t xml:space="preserve"> vērtībā </w:t>
      </w:r>
      <w:r>
        <w:rPr>
          <w:rFonts w:eastAsia="Arial Unicode MS" w:cs="Times New Roman"/>
          <w:color w:val="17365D"/>
          <w:szCs w:val="24"/>
        </w:rPr>
        <w:t>p</w:t>
      </w:r>
      <w:r w:rsidRPr="00587EA8">
        <w:rPr>
          <w:rFonts w:eastAsia="Arial Unicode MS" w:cs="Times New Roman"/>
          <w:color w:val="17365D"/>
          <w:szCs w:val="24"/>
        </w:rPr>
        <w:t>ar atzītiem izdevumiem par atalgojumu</w:t>
      </w:r>
      <w:r>
        <w:rPr>
          <w:rFonts w:eastAsia="Arial Unicode MS" w:cs="Times New Roman"/>
          <w:color w:val="17365D"/>
          <w:szCs w:val="24"/>
        </w:rPr>
        <w:t xml:space="preserve"> – </w:t>
      </w:r>
      <w:r w:rsidRPr="00587EA8">
        <w:rPr>
          <w:rFonts w:eastAsia="Arial Unicode MS" w:cs="Times New Roman"/>
          <w:color w:val="17365D"/>
          <w:szCs w:val="24"/>
        </w:rPr>
        <w:t xml:space="preserve">piemaksām par darbu svētku dienās un amatpersonām ar speciālajām dienesta pakāpēm par virsstundu darbu saistībā ar ārkārtas situāciju uz Latvijas Republikas </w:t>
      </w:r>
      <w:r>
        <w:rPr>
          <w:rFonts w:eastAsia="Arial Unicode MS" w:cs="Times New Roman"/>
          <w:color w:val="17365D"/>
          <w:szCs w:val="24"/>
        </w:rPr>
        <w:t>–</w:t>
      </w:r>
      <w:r w:rsidRPr="00587EA8">
        <w:rPr>
          <w:rFonts w:eastAsia="Arial Unicode MS" w:cs="Times New Roman"/>
          <w:color w:val="17365D"/>
          <w:szCs w:val="24"/>
        </w:rPr>
        <w:t xml:space="preserve"> Baltkrievijas Republikas robežas, kā arī amatpersonām ar speciālajām dienesta pakāpēm, kas nodrošina valsts iekšējās drošības stiprināšanas pasākumu īstenošanu;</w:t>
      </w:r>
    </w:p>
    <w:p w14:paraId="4F073BA3" w14:textId="77777777" w:rsidR="00D74371" w:rsidRPr="00587EA8" w:rsidRDefault="00D74371" w:rsidP="00146A16">
      <w:pPr>
        <w:numPr>
          <w:ilvl w:val="0"/>
          <w:numId w:val="29"/>
        </w:numPr>
        <w:spacing w:after="120" w:line="240" w:lineRule="auto"/>
        <w:ind w:left="567" w:hanging="284"/>
        <w:jc w:val="both"/>
        <w:rPr>
          <w:rFonts w:eastAsia="Arial Unicode MS" w:cs="Times New Roman"/>
          <w:color w:val="17365D"/>
          <w:szCs w:val="24"/>
        </w:rPr>
      </w:pPr>
      <w:r w:rsidRPr="00587EA8">
        <w:rPr>
          <w:rFonts w:eastAsia="Arial Unicode MS" w:cs="Times New Roman"/>
          <w:color w:val="17365D"/>
          <w:szCs w:val="24"/>
        </w:rPr>
        <w:t>Finanšu ministrijai 10</w:t>
      </w:r>
      <w:r>
        <w:rPr>
          <w:rFonts w:eastAsia="Arial Unicode MS" w:cs="Times New Roman"/>
          <w:color w:val="17365D"/>
          <w:szCs w:val="24"/>
        </w:rPr>
        <w:t> </w:t>
      </w:r>
      <w:r w:rsidRPr="00587EA8">
        <w:rPr>
          <w:rFonts w:eastAsia="Arial Unicode MS" w:cs="Times New Roman"/>
          <w:color w:val="17365D"/>
          <w:szCs w:val="24"/>
        </w:rPr>
        <w:t>582</w:t>
      </w:r>
      <w:r>
        <w:rPr>
          <w:rFonts w:eastAsia="Arial Unicode MS" w:cs="Times New Roman"/>
          <w:color w:val="17365D"/>
          <w:szCs w:val="24"/>
        </w:rPr>
        <w:t> </w:t>
      </w:r>
      <w:r w:rsidRPr="00587EA8">
        <w:rPr>
          <w:rFonts w:eastAsia="Arial Unicode MS" w:cs="Times New Roman"/>
          <w:color w:val="17365D"/>
          <w:szCs w:val="24"/>
        </w:rPr>
        <w:t xml:space="preserve">003 </w:t>
      </w:r>
      <w:r w:rsidRPr="009C6F0C">
        <w:rPr>
          <w:rFonts w:eastAsia="Arial Unicode MS" w:cs="Times New Roman"/>
          <w:i/>
          <w:color w:val="17365D"/>
          <w:szCs w:val="24"/>
        </w:rPr>
        <w:t>euro</w:t>
      </w:r>
      <w:r w:rsidRPr="00587EA8">
        <w:rPr>
          <w:rFonts w:eastAsia="Arial Unicode MS" w:cs="Times New Roman"/>
          <w:color w:val="17365D"/>
          <w:szCs w:val="24"/>
        </w:rPr>
        <w:t xml:space="preserve"> vērtībā </w:t>
      </w:r>
      <w:r>
        <w:rPr>
          <w:rFonts w:eastAsia="Arial Unicode MS" w:cs="Times New Roman"/>
          <w:color w:val="17365D"/>
          <w:szCs w:val="24"/>
        </w:rPr>
        <w:t>p</w:t>
      </w:r>
      <w:r w:rsidRPr="00587EA8">
        <w:rPr>
          <w:rFonts w:eastAsia="Arial Unicode MS" w:cs="Times New Roman"/>
          <w:color w:val="17365D"/>
          <w:szCs w:val="24"/>
        </w:rPr>
        <w:t>ar atzītiem izdevumiem par atalgojumu prioritārā pasākuma “Valsts pārvaldes kapacitātes stiprināšanai”</w:t>
      </w:r>
      <w:r>
        <w:rPr>
          <w:rFonts w:eastAsia="Arial Unicode MS" w:cs="Times New Roman"/>
          <w:color w:val="17365D"/>
          <w:szCs w:val="24"/>
        </w:rPr>
        <w:t xml:space="preserve"> ietvaros</w:t>
      </w:r>
      <w:r w:rsidRPr="00587EA8">
        <w:rPr>
          <w:rFonts w:eastAsia="Arial Unicode MS" w:cs="Times New Roman"/>
          <w:color w:val="17365D"/>
          <w:szCs w:val="24"/>
        </w:rPr>
        <w:t>, nodrošinot stratēģiski svarīgo amata grupu atlīdzību;</w:t>
      </w:r>
    </w:p>
    <w:p w14:paraId="6387AAAA" w14:textId="77777777" w:rsidR="00D74371" w:rsidRDefault="00D74371" w:rsidP="00146A16">
      <w:pPr>
        <w:numPr>
          <w:ilvl w:val="0"/>
          <w:numId w:val="29"/>
        </w:numPr>
        <w:spacing w:after="160" w:line="259" w:lineRule="auto"/>
        <w:ind w:left="567" w:hanging="284"/>
        <w:contextualSpacing/>
        <w:jc w:val="both"/>
        <w:rPr>
          <w:rFonts w:eastAsia="Arial Unicode MS" w:cs="Times New Roman"/>
          <w:color w:val="17365D"/>
          <w:szCs w:val="24"/>
        </w:rPr>
      </w:pPr>
      <w:r w:rsidRPr="00587EA8">
        <w:rPr>
          <w:rFonts w:eastAsia="Arial Unicode MS" w:cs="Times New Roman"/>
          <w:color w:val="17365D"/>
          <w:szCs w:val="24"/>
        </w:rPr>
        <w:t>Daugavpils valstspilsētai 9</w:t>
      </w:r>
      <w:r>
        <w:rPr>
          <w:rFonts w:eastAsia="Arial Unicode MS" w:cs="Times New Roman"/>
          <w:color w:val="17365D"/>
          <w:szCs w:val="24"/>
        </w:rPr>
        <w:t> </w:t>
      </w:r>
      <w:r w:rsidRPr="00587EA8">
        <w:rPr>
          <w:rFonts w:eastAsia="Arial Unicode MS" w:cs="Times New Roman"/>
          <w:color w:val="17365D"/>
          <w:szCs w:val="24"/>
        </w:rPr>
        <w:t>866</w:t>
      </w:r>
      <w:r>
        <w:rPr>
          <w:rFonts w:eastAsia="Arial Unicode MS" w:cs="Times New Roman"/>
          <w:color w:val="17365D"/>
          <w:szCs w:val="24"/>
        </w:rPr>
        <w:t> </w:t>
      </w:r>
      <w:r w:rsidRPr="00587EA8">
        <w:rPr>
          <w:rFonts w:eastAsia="Arial Unicode MS" w:cs="Times New Roman"/>
          <w:color w:val="17365D"/>
          <w:szCs w:val="24"/>
        </w:rPr>
        <w:t xml:space="preserve">237 </w:t>
      </w:r>
      <w:r w:rsidRPr="009C6F0C">
        <w:rPr>
          <w:rFonts w:eastAsia="Arial Unicode MS" w:cs="Times New Roman"/>
          <w:i/>
          <w:color w:val="17365D"/>
          <w:szCs w:val="24"/>
        </w:rPr>
        <w:t>euro</w:t>
      </w:r>
      <w:r w:rsidRPr="00587EA8">
        <w:rPr>
          <w:rFonts w:eastAsia="Arial Unicode MS" w:cs="Times New Roman"/>
          <w:color w:val="17365D"/>
          <w:szCs w:val="24"/>
        </w:rPr>
        <w:t xml:space="preserve"> vērtībā </w:t>
      </w:r>
      <w:r>
        <w:rPr>
          <w:rFonts w:eastAsia="Arial Unicode MS" w:cs="Times New Roman"/>
          <w:color w:val="17365D"/>
          <w:szCs w:val="24"/>
        </w:rPr>
        <w:t>p</w:t>
      </w:r>
      <w:r w:rsidRPr="00587EA8">
        <w:rPr>
          <w:rFonts w:eastAsia="Arial Unicode MS" w:cs="Times New Roman"/>
          <w:color w:val="17365D"/>
          <w:szCs w:val="24"/>
        </w:rPr>
        <w:t>ar atzītiem izdevumiem par atalgojumu, jo palielinājās vidējā bruto darba samaksa valstī.</w:t>
      </w:r>
    </w:p>
    <w:p w14:paraId="66AB1C6A" w14:textId="77777777" w:rsidR="00D74371" w:rsidRPr="00587EA8" w:rsidRDefault="00D74371" w:rsidP="00D74371">
      <w:pPr>
        <w:tabs>
          <w:tab w:val="left" w:pos="284"/>
          <w:tab w:val="left" w:pos="426"/>
        </w:tabs>
        <w:ind w:left="284"/>
        <w:contextualSpacing/>
        <w:jc w:val="both"/>
        <w:rPr>
          <w:rFonts w:eastAsia="Arial Unicode MS" w:cs="Times New Roman"/>
          <w:color w:val="17365D"/>
          <w:szCs w:val="24"/>
        </w:rPr>
      </w:pPr>
    </w:p>
    <w:p w14:paraId="4D6DF47C" w14:textId="77777777" w:rsidR="00D74371" w:rsidRPr="00587EA8" w:rsidRDefault="00D74371" w:rsidP="00D74371">
      <w:pPr>
        <w:pStyle w:val="Heading4"/>
      </w:pPr>
      <w:r w:rsidRPr="00E05702">
        <w:t>Piezīme N</w:t>
      </w:r>
      <w:r>
        <w:t>r.</w:t>
      </w:r>
      <w:r w:rsidRPr="00F159D0">
        <w:t xml:space="preserve"> </w:t>
      </w:r>
      <w:r w:rsidRPr="00587EA8">
        <w:t>FD</w:t>
      </w:r>
      <w:r>
        <w:t>.</w:t>
      </w:r>
      <w:r w:rsidRPr="00587EA8">
        <w:t>A24</w:t>
      </w:r>
      <w:r>
        <w:t>.</w:t>
      </w:r>
      <w:r w:rsidRPr="00587EA8">
        <w:t xml:space="preserve"> Darba devēja valsts sociālās apdrošināšanas obligātās iemaksas, pabalsti un kompensācijas</w:t>
      </w:r>
    </w:p>
    <w:p w14:paraId="0E491B0E" w14:textId="77777777" w:rsidR="00D74371" w:rsidRDefault="00D74371" w:rsidP="00D74371">
      <w:pPr>
        <w:spacing w:after="120" w:line="240" w:lineRule="auto"/>
        <w:ind w:left="284"/>
        <w:jc w:val="both"/>
        <w:rPr>
          <w:rFonts w:eastAsia="Arial Unicode MS" w:cs="Times New Roman"/>
          <w:color w:val="17365D"/>
          <w:szCs w:val="24"/>
        </w:rPr>
      </w:pPr>
      <w:r>
        <w:rPr>
          <w:rFonts w:eastAsia="Arial Unicode MS" w:cs="Times New Roman"/>
          <w:color w:val="17365D"/>
          <w:szCs w:val="24"/>
        </w:rPr>
        <w:t>Posteņa palielinājums veidojās:</w:t>
      </w:r>
    </w:p>
    <w:p w14:paraId="259FB20B" w14:textId="77777777" w:rsidR="00D74371" w:rsidRPr="00587EA8" w:rsidRDefault="00D74371" w:rsidP="00146A16">
      <w:pPr>
        <w:numPr>
          <w:ilvl w:val="0"/>
          <w:numId w:val="29"/>
        </w:numPr>
        <w:spacing w:after="120" w:line="240" w:lineRule="auto"/>
        <w:ind w:left="567" w:hanging="284"/>
        <w:jc w:val="both"/>
        <w:rPr>
          <w:rFonts w:eastAsia="Arial Unicode MS" w:cs="Times New Roman"/>
          <w:color w:val="17365D"/>
          <w:szCs w:val="24"/>
        </w:rPr>
      </w:pPr>
      <w:r w:rsidRPr="00587EA8">
        <w:rPr>
          <w:rFonts w:eastAsia="Arial Unicode MS" w:cs="Times New Roman"/>
          <w:color w:val="17365D"/>
          <w:szCs w:val="24"/>
        </w:rPr>
        <w:t>Iekšlietu ministrijai 32</w:t>
      </w:r>
      <w:r>
        <w:rPr>
          <w:rFonts w:eastAsia="Arial Unicode MS" w:cs="Times New Roman"/>
          <w:color w:val="17365D"/>
          <w:szCs w:val="24"/>
        </w:rPr>
        <w:t> </w:t>
      </w:r>
      <w:r w:rsidRPr="00587EA8">
        <w:rPr>
          <w:rFonts w:eastAsia="Arial Unicode MS" w:cs="Times New Roman"/>
          <w:color w:val="17365D"/>
          <w:szCs w:val="24"/>
        </w:rPr>
        <w:t>678</w:t>
      </w:r>
      <w:r>
        <w:rPr>
          <w:rFonts w:eastAsia="Arial Unicode MS" w:cs="Times New Roman"/>
          <w:color w:val="17365D"/>
          <w:szCs w:val="24"/>
        </w:rPr>
        <w:t> </w:t>
      </w:r>
      <w:r w:rsidRPr="00587EA8">
        <w:rPr>
          <w:rFonts w:eastAsia="Arial Unicode MS" w:cs="Times New Roman"/>
          <w:color w:val="17365D"/>
          <w:szCs w:val="24"/>
        </w:rPr>
        <w:t xml:space="preserve">848 </w:t>
      </w:r>
      <w:r w:rsidRPr="00415274">
        <w:rPr>
          <w:rFonts w:eastAsia="Arial Unicode MS" w:cs="Times New Roman"/>
          <w:i/>
          <w:color w:val="17365D"/>
          <w:szCs w:val="24"/>
        </w:rPr>
        <w:t>euro</w:t>
      </w:r>
      <w:r w:rsidRPr="00587EA8">
        <w:rPr>
          <w:rFonts w:eastAsia="Arial Unicode MS" w:cs="Times New Roman"/>
          <w:color w:val="17365D"/>
          <w:szCs w:val="24"/>
        </w:rPr>
        <w:t xml:space="preserve"> vērtībā </w:t>
      </w:r>
      <w:r>
        <w:rPr>
          <w:rFonts w:eastAsia="Arial Unicode MS" w:cs="Times New Roman"/>
          <w:color w:val="17365D"/>
          <w:szCs w:val="24"/>
        </w:rPr>
        <w:t>p</w:t>
      </w:r>
      <w:r w:rsidRPr="00587EA8">
        <w:rPr>
          <w:rFonts w:eastAsia="Arial Unicode MS" w:cs="Times New Roman"/>
          <w:color w:val="17365D"/>
          <w:szCs w:val="24"/>
        </w:rPr>
        <w:t>ar atzītiem izdevumiem par darba devēja valsts sociālās apdrošināšanas obligātām iemaksām saistībā ar atlīdzības palielinājumu amatpersonām ar speciālajām dienesta pakāpēm, kas nodrošina valsts iekšējās drošības stiprināšanas pasākumu īstenošanu;</w:t>
      </w:r>
    </w:p>
    <w:p w14:paraId="7A7E0E2F" w14:textId="77777777" w:rsidR="00D74371" w:rsidRPr="00587EA8" w:rsidRDefault="00D74371" w:rsidP="00146A16">
      <w:pPr>
        <w:numPr>
          <w:ilvl w:val="0"/>
          <w:numId w:val="29"/>
        </w:numPr>
        <w:spacing w:after="120" w:line="240" w:lineRule="auto"/>
        <w:ind w:left="567" w:hanging="284"/>
        <w:jc w:val="both"/>
        <w:rPr>
          <w:rFonts w:eastAsia="Arial Unicode MS" w:cs="Times New Roman"/>
          <w:color w:val="17365D"/>
          <w:szCs w:val="24"/>
        </w:rPr>
      </w:pPr>
      <w:r w:rsidRPr="00587EA8">
        <w:rPr>
          <w:rFonts w:eastAsia="Arial Unicode MS" w:cs="Times New Roman"/>
          <w:color w:val="17365D"/>
          <w:szCs w:val="24"/>
        </w:rPr>
        <w:t>Rīgas valstspilsētai 15</w:t>
      </w:r>
      <w:r>
        <w:rPr>
          <w:rFonts w:eastAsia="Arial Unicode MS" w:cs="Times New Roman"/>
          <w:color w:val="17365D"/>
          <w:szCs w:val="24"/>
        </w:rPr>
        <w:t> </w:t>
      </w:r>
      <w:r w:rsidRPr="00587EA8">
        <w:rPr>
          <w:rFonts w:eastAsia="Arial Unicode MS" w:cs="Times New Roman"/>
          <w:color w:val="17365D"/>
          <w:szCs w:val="24"/>
        </w:rPr>
        <w:t xml:space="preserve">030 207 </w:t>
      </w:r>
      <w:r w:rsidRPr="00415274">
        <w:rPr>
          <w:rFonts w:eastAsia="Arial Unicode MS" w:cs="Times New Roman"/>
          <w:i/>
          <w:color w:val="17365D"/>
          <w:szCs w:val="24"/>
        </w:rPr>
        <w:t>euro</w:t>
      </w:r>
      <w:r w:rsidRPr="00587EA8">
        <w:rPr>
          <w:rFonts w:eastAsia="Arial Unicode MS" w:cs="Times New Roman"/>
          <w:color w:val="17365D"/>
          <w:szCs w:val="24"/>
        </w:rPr>
        <w:t xml:space="preserve"> vērtībā saistībā ar minimālās algas palielinājumu valstī un atbilstoši likumā “Valsts un pašvaldību institūciju amatpersonu un darbinieku atlīdzības likumā” noteiktajam, darba samaksas izlīdzināšanai pašvaldībā strādājošajiem;</w:t>
      </w:r>
    </w:p>
    <w:p w14:paraId="50F31822" w14:textId="77777777" w:rsidR="00D74371" w:rsidRPr="00587EA8" w:rsidRDefault="00D74371" w:rsidP="00146A16">
      <w:pPr>
        <w:numPr>
          <w:ilvl w:val="0"/>
          <w:numId w:val="29"/>
        </w:numPr>
        <w:spacing w:after="120" w:line="240" w:lineRule="auto"/>
        <w:ind w:left="567" w:hanging="284"/>
        <w:jc w:val="both"/>
        <w:rPr>
          <w:rFonts w:eastAsia="Arial Unicode MS" w:cs="Times New Roman"/>
          <w:color w:val="17365D"/>
          <w:szCs w:val="24"/>
        </w:rPr>
      </w:pPr>
      <w:r w:rsidRPr="00587EA8">
        <w:rPr>
          <w:rFonts w:eastAsia="Arial Unicode MS" w:cs="Times New Roman"/>
          <w:color w:val="17365D"/>
          <w:szCs w:val="24"/>
        </w:rPr>
        <w:lastRenderedPageBreak/>
        <w:t>Aizsardzības ministrijai 13</w:t>
      </w:r>
      <w:r>
        <w:rPr>
          <w:rFonts w:eastAsia="Arial Unicode MS" w:cs="Times New Roman"/>
          <w:color w:val="17365D"/>
          <w:szCs w:val="24"/>
        </w:rPr>
        <w:t> </w:t>
      </w:r>
      <w:r w:rsidRPr="00587EA8">
        <w:rPr>
          <w:rFonts w:eastAsia="Arial Unicode MS" w:cs="Times New Roman"/>
          <w:color w:val="17365D"/>
          <w:szCs w:val="24"/>
        </w:rPr>
        <w:t>911</w:t>
      </w:r>
      <w:r>
        <w:rPr>
          <w:rFonts w:eastAsia="Arial Unicode MS" w:cs="Times New Roman"/>
          <w:color w:val="17365D"/>
          <w:szCs w:val="24"/>
        </w:rPr>
        <w:t> </w:t>
      </w:r>
      <w:r w:rsidRPr="00587EA8">
        <w:rPr>
          <w:rFonts w:eastAsia="Arial Unicode MS" w:cs="Times New Roman"/>
          <w:color w:val="17365D"/>
          <w:szCs w:val="24"/>
        </w:rPr>
        <w:t xml:space="preserve">884 </w:t>
      </w:r>
      <w:r w:rsidRPr="00415274">
        <w:rPr>
          <w:rFonts w:eastAsia="Arial Unicode MS" w:cs="Times New Roman"/>
          <w:i/>
          <w:color w:val="17365D"/>
          <w:szCs w:val="24"/>
        </w:rPr>
        <w:t>euro</w:t>
      </w:r>
      <w:r w:rsidRPr="00587EA8">
        <w:rPr>
          <w:rFonts w:eastAsia="Arial Unicode MS" w:cs="Times New Roman"/>
          <w:color w:val="17365D"/>
          <w:szCs w:val="24"/>
        </w:rPr>
        <w:t xml:space="preserve"> vērtībā saistībā ar likumā “Valsts un pašvaldību institūciju amatpersonu un darbinieku atlīdzības likumā” noteikt</w:t>
      </w:r>
      <w:r>
        <w:rPr>
          <w:rFonts w:eastAsia="Arial Unicode MS" w:cs="Times New Roman"/>
          <w:color w:val="17365D"/>
          <w:szCs w:val="24"/>
        </w:rPr>
        <w:t>o</w:t>
      </w:r>
      <w:r w:rsidRPr="00587EA8">
        <w:rPr>
          <w:rFonts w:eastAsia="Arial Unicode MS" w:cs="Times New Roman"/>
          <w:color w:val="17365D"/>
          <w:szCs w:val="24"/>
        </w:rPr>
        <w:t>, kā arī minimālās darba algas palielinājumu valstī;</w:t>
      </w:r>
    </w:p>
    <w:p w14:paraId="18F1C252" w14:textId="77777777" w:rsidR="00D74371" w:rsidRPr="00587EA8" w:rsidRDefault="00D74371" w:rsidP="00146A16">
      <w:pPr>
        <w:numPr>
          <w:ilvl w:val="0"/>
          <w:numId w:val="29"/>
        </w:numPr>
        <w:spacing w:after="120" w:line="240" w:lineRule="auto"/>
        <w:ind w:left="567" w:hanging="284"/>
        <w:jc w:val="both"/>
        <w:rPr>
          <w:rFonts w:eastAsia="Arial Unicode MS" w:cs="Times New Roman"/>
          <w:color w:val="17365D"/>
          <w:szCs w:val="24"/>
        </w:rPr>
      </w:pPr>
      <w:r w:rsidRPr="00587EA8">
        <w:rPr>
          <w:rFonts w:eastAsia="Arial Unicode MS" w:cs="Times New Roman"/>
          <w:color w:val="17365D"/>
          <w:szCs w:val="24"/>
        </w:rPr>
        <w:t>Ārlietu ministrijai 6</w:t>
      </w:r>
      <w:r>
        <w:rPr>
          <w:rFonts w:eastAsia="Arial Unicode MS" w:cs="Times New Roman"/>
          <w:color w:val="17365D"/>
          <w:szCs w:val="24"/>
        </w:rPr>
        <w:t> </w:t>
      </w:r>
      <w:r w:rsidRPr="00587EA8">
        <w:rPr>
          <w:rFonts w:eastAsia="Arial Unicode MS" w:cs="Times New Roman"/>
          <w:color w:val="17365D"/>
          <w:szCs w:val="24"/>
        </w:rPr>
        <w:t>466</w:t>
      </w:r>
      <w:r>
        <w:rPr>
          <w:rFonts w:eastAsia="Arial Unicode MS" w:cs="Times New Roman"/>
          <w:color w:val="17365D"/>
          <w:szCs w:val="24"/>
        </w:rPr>
        <w:t> </w:t>
      </w:r>
      <w:r w:rsidRPr="00587EA8">
        <w:rPr>
          <w:rFonts w:eastAsia="Arial Unicode MS" w:cs="Times New Roman"/>
          <w:color w:val="17365D"/>
          <w:szCs w:val="24"/>
        </w:rPr>
        <w:t xml:space="preserve">409 </w:t>
      </w:r>
      <w:r w:rsidRPr="00415274">
        <w:rPr>
          <w:rFonts w:eastAsia="Arial Unicode MS" w:cs="Times New Roman"/>
          <w:i/>
          <w:color w:val="17365D"/>
          <w:szCs w:val="24"/>
        </w:rPr>
        <w:t>euro</w:t>
      </w:r>
      <w:r w:rsidRPr="00587EA8">
        <w:rPr>
          <w:rFonts w:eastAsia="Arial Unicode MS" w:cs="Times New Roman"/>
          <w:color w:val="17365D"/>
          <w:szCs w:val="24"/>
        </w:rPr>
        <w:t xml:space="preserve"> vērtībā </w:t>
      </w:r>
      <w:r>
        <w:rPr>
          <w:rFonts w:eastAsia="Arial Unicode MS" w:cs="Times New Roman"/>
          <w:color w:val="17365D"/>
          <w:szCs w:val="24"/>
        </w:rPr>
        <w:t>p</w:t>
      </w:r>
      <w:r w:rsidRPr="00587EA8">
        <w:rPr>
          <w:rFonts w:eastAsia="Arial Unicode MS" w:cs="Times New Roman"/>
          <w:color w:val="17365D"/>
          <w:szCs w:val="24"/>
        </w:rPr>
        <w:t>ar atzītiem izdevumu par pabalstiem un kompensācijām saistībā ar dienestu ārvalstīs kvalitatīvai Latvijas nacionālās drošības un ekonomisko interešu aizstāvībai</w:t>
      </w:r>
      <w:r>
        <w:rPr>
          <w:rFonts w:eastAsia="Arial Unicode MS" w:cs="Times New Roman"/>
          <w:color w:val="17365D"/>
          <w:szCs w:val="24"/>
        </w:rPr>
        <w:t>;</w:t>
      </w:r>
    </w:p>
    <w:p w14:paraId="0DB881D5" w14:textId="77777777" w:rsidR="00D74371" w:rsidRPr="00587EA8" w:rsidRDefault="00D74371" w:rsidP="00146A16">
      <w:pPr>
        <w:numPr>
          <w:ilvl w:val="0"/>
          <w:numId w:val="29"/>
        </w:numPr>
        <w:spacing w:after="120" w:line="240" w:lineRule="auto"/>
        <w:ind w:left="567" w:hanging="284"/>
        <w:jc w:val="both"/>
        <w:rPr>
          <w:rFonts w:eastAsia="Arial Unicode MS" w:cs="Times New Roman"/>
          <w:color w:val="17365D"/>
          <w:szCs w:val="24"/>
        </w:rPr>
      </w:pPr>
      <w:r w:rsidRPr="00587EA8">
        <w:rPr>
          <w:rFonts w:eastAsia="Arial Unicode MS" w:cs="Times New Roman"/>
          <w:color w:val="17365D"/>
          <w:szCs w:val="24"/>
        </w:rPr>
        <w:t>Tieslietu ministrijai 4</w:t>
      </w:r>
      <w:r>
        <w:rPr>
          <w:rFonts w:eastAsia="Arial Unicode MS" w:cs="Times New Roman"/>
          <w:color w:val="17365D"/>
          <w:szCs w:val="24"/>
        </w:rPr>
        <w:t> </w:t>
      </w:r>
      <w:r w:rsidRPr="00587EA8">
        <w:rPr>
          <w:rFonts w:eastAsia="Arial Unicode MS" w:cs="Times New Roman"/>
          <w:color w:val="17365D"/>
          <w:szCs w:val="24"/>
        </w:rPr>
        <w:t>434</w:t>
      </w:r>
      <w:r>
        <w:rPr>
          <w:rFonts w:eastAsia="Arial Unicode MS" w:cs="Times New Roman"/>
          <w:color w:val="17365D"/>
          <w:szCs w:val="24"/>
        </w:rPr>
        <w:t> </w:t>
      </w:r>
      <w:r w:rsidRPr="00587EA8">
        <w:rPr>
          <w:rFonts w:eastAsia="Arial Unicode MS" w:cs="Times New Roman"/>
          <w:color w:val="17365D"/>
          <w:szCs w:val="24"/>
        </w:rPr>
        <w:t xml:space="preserve">375 </w:t>
      </w:r>
      <w:r w:rsidRPr="00415274">
        <w:rPr>
          <w:rFonts w:eastAsia="Arial Unicode MS" w:cs="Times New Roman"/>
          <w:i/>
          <w:color w:val="17365D"/>
          <w:szCs w:val="24"/>
        </w:rPr>
        <w:t>euro</w:t>
      </w:r>
      <w:r w:rsidRPr="00587EA8">
        <w:rPr>
          <w:rFonts w:eastAsia="Arial Unicode MS" w:cs="Times New Roman"/>
          <w:color w:val="17365D"/>
          <w:szCs w:val="24"/>
        </w:rPr>
        <w:t xml:space="preserve"> vērtībā </w:t>
      </w:r>
      <w:r>
        <w:rPr>
          <w:rFonts w:eastAsia="Arial Unicode MS" w:cs="Times New Roman"/>
          <w:color w:val="17365D"/>
          <w:szCs w:val="24"/>
        </w:rPr>
        <w:t>p</w:t>
      </w:r>
      <w:r w:rsidRPr="00587EA8">
        <w:rPr>
          <w:rFonts w:eastAsia="Arial Unicode MS" w:cs="Times New Roman"/>
          <w:color w:val="17365D"/>
          <w:szCs w:val="24"/>
        </w:rPr>
        <w:t>ar atzītiem izdevumiem par darba devēja valsts sociālās apdrošināšanas obligātām iemaksām  saistībā ar atalgojuma palielinājumu tieslietu resorā nodarbinātajiem.</w:t>
      </w:r>
    </w:p>
    <w:p w14:paraId="583BB7D9" w14:textId="77777777" w:rsidR="00D74371" w:rsidRPr="00596287" w:rsidRDefault="00D74371" w:rsidP="00D74371">
      <w:pPr>
        <w:pStyle w:val="Heading4"/>
      </w:pPr>
      <w:r w:rsidRPr="00E05702">
        <w:t>Piezīme N</w:t>
      </w:r>
      <w:r>
        <w:t>r.</w:t>
      </w:r>
      <w:r w:rsidRPr="00F159D0">
        <w:t xml:space="preserve"> </w:t>
      </w:r>
      <w:r w:rsidRPr="00596287">
        <w:t>FD.A24. Pakalpojumi</w:t>
      </w:r>
    </w:p>
    <w:p w14:paraId="0608DCAC" w14:textId="77777777" w:rsidR="00D74371" w:rsidRPr="00596287" w:rsidRDefault="00D74371" w:rsidP="00D74371">
      <w:pPr>
        <w:spacing w:after="120" w:line="240" w:lineRule="auto"/>
        <w:ind w:left="284"/>
        <w:jc w:val="both"/>
        <w:rPr>
          <w:rFonts w:eastAsia="Arial Unicode MS" w:cs="Times New Roman"/>
          <w:color w:val="17365D"/>
          <w:szCs w:val="24"/>
        </w:rPr>
      </w:pPr>
      <w:r w:rsidRPr="00596287">
        <w:rPr>
          <w:rFonts w:eastAsia="Arial Unicode MS" w:cs="Times New Roman"/>
          <w:color w:val="17365D"/>
          <w:szCs w:val="24"/>
        </w:rPr>
        <w:t>Posteņa palielinājums veidojās:</w:t>
      </w:r>
    </w:p>
    <w:p w14:paraId="1D0667FC" w14:textId="77777777" w:rsidR="00D74371" w:rsidRPr="00587EA8" w:rsidRDefault="00D74371" w:rsidP="00146A16">
      <w:pPr>
        <w:numPr>
          <w:ilvl w:val="0"/>
          <w:numId w:val="29"/>
        </w:numPr>
        <w:spacing w:after="120" w:line="240" w:lineRule="auto"/>
        <w:ind w:left="567" w:hanging="284"/>
        <w:jc w:val="both"/>
        <w:rPr>
          <w:rFonts w:eastAsia="Arial Unicode MS" w:cs="Times New Roman"/>
          <w:color w:val="17365D"/>
          <w:szCs w:val="24"/>
        </w:rPr>
      </w:pPr>
      <w:r w:rsidRPr="00587EA8">
        <w:rPr>
          <w:rFonts w:eastAsia="Arial Unicode MS" w:cs="Times New Roman"/>
          <w:color w:val="17365D"/>
          <w:szCs w:val="24"/>
        </w:rPr>
        <w:t>Ekonomikas ministrijai 65</w:t>
      </w:r>
      <w:r>
        <w:rPr>
          <w:rFonts w:eastAsia="Arial Unicode MS" w:cs="Times New Roman"/>
          <w:color w:val="17365D"/>
          <w:szCs w:val="24"/>
        </w:rPr>
        <w:t> </w:t>
      </w:r>
      <w:r w:rsidRPr="00587EA8">
        <w:rPr>
          <w:rFonts w:eastAsia="Arial Unicode MS" w:cs="Times New Roman"/>
          <w:color w:val="17365D"/>
          <w:szCs w:val="24"/>
        </w:rPr>
        <w:t>207</w:t>
      </w:r>
      <w:r>
        <w:rPr>
          <w:rFonts w:eastAsia="Arial Unicode MS" w:cs="Times New Roman"/>
          <w:color w:val="17365D"/>
          <w:szCs w:val="24"/>
        </w:rPr>
        <w:t> </w:t>
      </w:r>
      <w:r w:rsidRPr="00587EA8">
        <w:rPr>
          <w:rFonts w:eastAsia="Arial Unicode MS" w:cs="Times New Roman"/>
          <w:color w:val="17365D"/>
          <w:szCs w:val="24"/>
        </w:rPr>
        <w:t xml:space="preserve">273 </w:t>
      </w:r>
      <w:r w:rsidRPr="00415274">
        <w:rPr>
          <w:rFonts w:eastAsia="Arial Unicode MS" w:cs="Times New Roman"/>
          <w:i/>
          <w:color w:val="17365D"/>
          <w:szCs w:val="24"/>
        </w:rPr>
        <w:t>euro</w:t>
      </w:r>
      <w:r w:rsidRPr="00587EA8">
        <w:rPr>
          <w:rFonts w:eastAsia="Arial Unicode MS" w:cs="Times New Roman"/>
          <w:color w:val="17365D"/>
          <w:szCs w:val="24"/>
        </w:rPr>
        <w:t xml:space="preserve"> vērtībā </w:t>
      </w:r>
      <w:r>
        <w:rPr>
          <w:rFonts w:eastAsia="Arial Unicode MS" w:cs="Times New Roman"/>
          <w:color w:val="17365D"/>
          <w:szCs w:val="24"/>
        </w:rPr>
        <w:t>p</w:t>
      </w:r>
      <w:r w:rsidRPr="00587EA8">
        <w:rPr>
          <w:rFonts w:eastAsia="Arial Unicode MS" w:cs="Times New Roman"/>
          <w:color w:val="17365D"/>
          <w:szCs w:val="24"/>
        </w:rPr>
        <w:t>ar atzītiem izdevumiem par pakalpojumiem, kas saistīti ar valsts naftas rezervju nodrošināšanas pakalpojuma izpildi;</w:t>
      </w:r>
    </w:p>
    <w:p w14:paraId="19CFFC8D" w14:textId="77777777" w:rsidR="00D74371" w:rsidRPr="00587EA8" w:rsidRDefault="00D74371" w:rsidP="00146A16">
      <w:pPr>
        <w:numPr>
          <w:ilvl w:val="0"/>
          <w:numId w:val="29"/>
        </w:numPr>
        <w:spacing w:after="120" w:line="240" w:lineRule="auto"/>
        <w:ind w:left="567" w:hanging="284"/>
        <w:jc w:val="both"/>
        <w:rPr>
          <w:rFonts w:eastAsia="Arial Unicode MS" w:cs="Times New Roman"/>
          <w:color w:val="17365D"/>
          <w:szCs w:val="24"/>
        </w:rPr>
      </w:pPr>
      <w:r w:rsidRPr="00587EA8">
        <w:rPr>
          <w:rFonts w:eastAsia="Arial Unicode MS" w:cs="Times New Roman"/>
          <w:color w:val="17365D"/>
          <w:szCs w:val="24"/>
        </w:rPr>
        <w:t>Kultūras ministrijai 4</w:t>
      </w:r>
      <w:r>
        <w:rPr>
          <w:rFonts w:eastAsia="Arial Unicode MS" w:cs="Times New Roman"/>
          <w:color w:val="17365D"/>
          <w:szCs w:val="24"/>
        </w:rPr>
        <w:t> </w:t>
      </w:r>
      <w:r w:rsidRPr="00587EA8">
        <w:rPr>
          <w:rFonts w:eastAsia="Arial Unicode MS" w:cs="Times New Roman"/>
          <w:color w:val="17365D"/>
          <w:szCs w:val="24"/>
        </w:rPr>
        <w:t>835</w:t>
      </w:r>
      <w:r>
        <w:rPr>
          <w:rFonts w:eastAsia="Arial Unicode MS" w:cs="Times New Roman"/>
          <w:color w:val="17365D"/>
          <w:szCs w:val="24"/>
        </w:rPr>
        <w:t> </w:t>
      </w:r>
      <w:r w:rsidRPr="00587EA8">
        <w:rPr>
          <w:rFonts w:eastAsia="Arial Unicode MS" w:cs="Times New Roman"/>
          <w:color w:val="17365D"/>
          <w:szCs w:val="24"/>
        </w:rPr>
        <w:t xml:space="preserve">184 </w:t>
      </w:r>
      <w:r w:rsidRPr="00415274">
        <w:rPr>
          <w:rFonts w:eastAsia="Arial Unicode MS" w:cs="Times New Roman"/>
          <w:i/>
          <w:color w:val="17365D"/>
          <w:szCs w:val="24"/>
        </w:rPr>
        <w:t>euro</w:t>
      </w:r>
      <w:r w:rsidRPr="00587EA8">
        <w:rPr>
          <w:rFonts w:eastAsia="Arial Unicode MS" w:cs="Times New Roman"/>
          <w:color w:val="17365D"/>
          <w:szCs w:val="24"/>
        </w:rPr>
        <w:t xml:space="preserve"> vērtībā </w:t>
      </w:r>
      <w:r>
        <w:rPr>
          <w:rFonts w:eastAsia="Arial Unicode MS" w:cs="Times New Roman"/>
          <w:color w:val="17365D"/>
          <w:szCs w:val="24"/>
        </w:rPr>
        <w:t>saistībā ar</w:t>
      </w:r>
      <w:r w:rsidRPr="00587EA8">
        <w:rPr>
          <w:rFonts w:eastAsia="Arial Unicode MS" w:cs="Times New Roman"/>
          <w:color w:val="17365D"/>
          <w:szCs w:val="24"/>
        </w:rPr>
        <w:t xml:space="preserve"> XXVII Vispārējo latviešu Dziesmu un XVII Deju svētku norisi;</w:t>
      </w:r>
    </w:p>
    <w:p w14:paraId="5B186412" w14:textId="77777777" w:rsidR="00D74371" w:rsidRPr="00587EA8" w:rsidRDefault="00D74371" w:rsidP="00146A16">
      <w:pPr>
        <w:numPr>
          <w:ilvl w:val="0"/>
          <w:numId w:val="29"/>
        </w:numPr>
        <w:spacing w:after="120" w:line="240" w:lineRule="auto"/>
        <w:ind w:left="567" w:hanging="284"/>
        <w:jc w:val="both"/>
        <w:rPr>
          <w:rFonts w:eastAsia="Arial Unicode MS" w:cs="Times New Roman"/>
          <w:color w:val="17365D"/>
          <w:szCs w:val="24"/>
        </w:rPr>
      </w:pPr>
      <w:r w:rsidRPr="00587EA8">
        <w:rPr>
          <w:rFonts w:eastAsia="Arial Unicode MS" w:cs="Times New Roman"/>
          <w:color w:val="17365D"/>
          <w:szCs w:val="24"/>
        </w:rPr>
        <w:t>Aizsardzības ministrijai 4</w:t>
      </w:r>
      <w:r>
        <w:rPr>
          <w:rFonts w:eastAsia="Arial Unicode MS" w:cs="Times New Roman"/>
          <w:color w:val="17365D"/>
          <w:szCs w:val="24"/>
        </w:rPr>
        <w:t> </w:t>
      </w:r>
      <w:r w:rsidRPr="00587EA8">
        <w:rPr>
          <w:rFonts w:eastAsia="Arial Unicode MS" w:cs="Times New Roman"/>
          <w:color w:val="17365D"/>
          <w:szCs w:val="24"/>
        </w:rPr>
        <w:t>650</w:t>
      </w:r>
      <w:r>
        <w:rPr>
          <w:rFonts w:eastAsia="Arial Unicode MS" w:cs="Times New Roman"/>
          <w:color w:val="17365D"/>
          <w:szCs w:val="24"/>
        </w:rPr>
        <w:t> </w:t>
      </w:r>
      <w:r w:rsidRPr="00587EA8">
        <w:rPr>
          <w:rFonts w:eastAsia="Arial Unicode MS" w:cs="Times New Roman"/>
          <w:color w:val="17365D"/>
          <w:szCs w:val="24"/>
        </w:rPr>
        <w:t xml:space="preserve">023 </w:t>
      </w:r>
      <w:r w:rsidRPr="00415274">
        <w:rPr>
          <w:rFonts w:eastAsia="Arial Unicode MS" w:cs="Times New Roman"/>
          <w:i/>
          <w:color w:val="17365D"/>
          <w:szCs w:val="24"/>
        </w:rPr>
        <w:t>euro</w:t>
      </w:r>
      <w:r w:rsidRPr="00587EA8">
        <w:rPr>
          <w:rFonts w:eastAsia="Arial Unicode MS" w:cs="Times New Roman"/>
          <w:color w:val="17365D"/>
          <w:szCs w:val="24"/>
        </w:rPr>
        <w:t xml:space="preserve"> vērtībā par nekustamo īpašumu uzturēšanu un apsaimniekošanu;</w:t>
      </w:r>
    </w:p>
    <w:p w14:paraId="51C3DEE1" w14:textId="77777777" w:rsidR="00D74371" w:rsidRPr="00587EA8" w:rsidRDefault="00D74371" w:rsidP="00146A16">
      <w:pPr>
        <w:numPr>
          <w:ilvl w:val="0"/>
          <w:numId w:val="29"/>
        </w:numPr>
        <w:spacing w:after="120" w:line="240" w:lineRule="auto"/>
        <w:ind w:left="567" w:hanging="284"/>
        <w:jc w:val="both"/>
        <w:rPr>
          <w:rFonts w:eastAsia="Arial Unicode MS" w:cs="Times New Roman"/>
          <w:color w:val="17365D"/>
          <w:szCs w:val="24"/>
        </w:rPr>
      </w:pPr>
      <w:r w:rsidRPr="00587EA8">
        <w:rPr>
          <w:rFonts w:eastAsia="Arial Unicode MS" w:cs="Times New Roman"/>
          <w:color w:val="17365D"/>
          <w:szCs w:val="24"/>
        </w:rPr>
        <w:t>Iekšlietu ministrijai 4</w:t>
      </w:r>
      <w:r>
        <w:rPr>
          <w:rFonts w:eastAsia="Arial Unicode MS" w:cs="Times New Roman"/>
          <w:color w:val="17365D"/>
          <w:szCs w:val="24"/>
        </w:rPr>
        <w:t> </w:t>
      </w:r>
      <w:r w:rsidRPr="00587EA8">
        <w:rPr>
          <w:rFonts w:eastAsia="Arial Unicode MS" w:cs="Times New Roman"/>
          <w:color w:val="17365D"/>
          <w:szCs w:val="24"/>
        </w:rPr>
        <w:t>466</w:t>
      </w:r>
      <w:r>
        <w:rPr>
          <w:rFonts w:eastAsia="Arial Unicode MS" w:cs="Times New Roman"/>
          <w:color w:val="17365D"/>
          <w:szCs w:val="24"/>
        </w:rPr>
        <w:t> </w:t>
      </w:r>
      <w:r w:rsidRPr="00587EA8">
        <w:rPr>
          <w:rFonts w:eastAsia="Arial Unicode MS" w:cs="Times New Roman"/>
          <w:color w:val="17365D"/>
          <w:szCs w:val="24"/>
        </w:rPr>
        <w:t xml:space="preserve">257 </w:t>
      </w:r>
      <w:r w:rsidRPr="00415274">
        <w:rPr>
          <w:rFonts w:eastAsia="Arial Unicode MS" w:cs="Times New Roman"/>
          <w:i/>
          <w:color w:val="17365D"/>
          <w:szCs w:val="24"/>
        </w:rPr>
        <w:t>euro</w:t>
      </w:r>
      <w:r w:rsidRPr="00587EA8">
        <w:rPr>
          <w:rFonts w:eastAsia="Arial Unicode MS" w:cs="Times New Roman"/>
          <w:color w:val="17365D"/>
          <w:szCs w:val="24"/>
        </w:rPr>
        <w:t xml:space="preserve"> vērtībā par transportlīdzekļu nomas maks</w:t>
      </w:r>
      <w:r>
        <w:rPr>
          <w:rFonts w:eastAsia="Arial Unicode MS" w:cs="Times New Roman"/>
          <w:color w:val="17365D"/>
          <w:szCs w:val="24"/>
        </w:rPr>
        <w:t>as izdevumiem</w:t>
      </w:r>
      <w:r w:rsidRPr="00587EA8">
        <w:rPr>
          <w:rFonts w:eastAsia="Arial Unicode MS" w:cs="Times New Roman"/>
          <w:color w:val="17365D"/>
          <w:szCs w:val="24"/>
        </w:rPr>
        <w:t>;</w:t>
      </w:r>
    </w:p>
    <w:p w14:paraId="624A3D7F" w14:textId="16C7DEF8" w:rsidR="00D74371" w:rsidRPr="00587EA8" w:rsidRDefault="00D74371" w:rsidP="00D74371">
      <w:pPr>
        <w:spacing w:after="120" w:line="240" w:lineRule="auto"/>
        <w:ind w:firstLine="284"/>
        <w:jc w:val="both"/>
        <w:rPr>
          <w:rFonts w:eastAsia="Arial Unicode MS" w:cs="Times New Roman"/>
          <w:color w:val="17365D"/>
          <w:szCs w:val="24"/>
        </w:rPr>
      </w:pPr>
      <w:r>
        <w:rPr>
          <w:rFonts w:eastAsia="Arial Unicode MS" w:cs="Times New Roman"/>
          <w:color w:val="17365D"/>
          <w:szCs w:val="24"/>
        </w:rPr>
        <w:t xml:space="preserve">Posteņa </w:t>
      </w:r>
      <w:r w:rsidRPr="00587EA8">
        <w:rPr>
          <w:rFonts w:eastAsia="Arial Unicode MS" w:cs="Times New Roman"/>
          <w:color w:val="17365D"/>
          <w:szCs w:val="24"/>
        </w:rPr>
        <w:t xml:space="preserve">samazinājums </w:t>
      </w:r>
      <w:r>
        <w:rPr>
          <w:rFonts w:eastAsia="Arial Unicode MS" w:cs="Times New Roman"/>
          <w:color w:val="17365D"/>
          <w:szCs w:val="24"/>
        </w:rPr>
        <w:t xml:space="preserve">bija </w:t>
      </w:r>
      <w:r w:rsidRPr="00587EA8">
        <w:rPr>
          <w:rFonts w:eastAsia="Arial Unicode MS" w:cs="Times New Roman"/>
          <w:color w:val="17365D"/>
          <w:szCs w:val="24"/>
        </w:rPr>
        <w:t xml:space="preserve">Tieslietu ministrijai </w:t>
      </w:r>
      <w:r w:rsidR="00661E03">
        <w:rPr>
          <w:rFonts w:eastAsia="Arial Unicode MS" w:cs="Times New Roman"/>
          <w:color w:val="17365D"/>
          <w:szCs w:val="24"/>
        </w:rPr>
        <w:t>(</w:t>
      </w:r>
      <w:r w:rsidRPr="00587EA8">
        <w:rPr>
          <w:rFonts w:eastAsia="Arial Unicode MS" w:cs="Times New Roman"/>
          <w:color w:val="17365D"/>
          <w:szCs w:val="24"/>
        </w:rPr>
        <w:t>3</w:t>
      </w:r>
      <w:r>
        <w:rPr>
          <w:rFonts w:eastAsia="Arial Unicode MS" w:cs="Times New Roman"/>
          <w:color w:val="17365D"/>
          <w:szCs w:val="24"/>
        </w:rPr>
        <w:t> </w:t>
      </w:r>
      <w:r w:rsidRPr="00587EA8">
        <w:rPr>
          <w:rFonts w:eastAsia="Arial Unicode MS" w:cs="Times New Roman"/>
          <w:color w:val="17365D"/>
          <w:szCs w:val="24"/>
        </w:rPr>
        <w:t>347</w:t>
      </w:r>
      <w:r w:rsidR="00661E03">
        <w:rPr>
          <w:rFonts w:eastAsia="Arial Unicode MS" w:cs="Times New Roman"/>
          <w:color w:val="17365D"/>
          <w:szCs w:val="24"/>
        </w:rPr>
        <w:t> </w:t>
      </w:r>
      <w:r w:rsidRPr="00587EA8">
        <w:rPr>
          <w:rFonts w:eastAsia="Arial Unicode MS" w:cs="Times New Roman"/>
          <w:color w:val="17365D"/>
          <w:szCs w:val="24"/>
        </w:rPr>
        <w:t>627</w:t>
      </w:r>
      <w:r w:rsidR="00661E03">
        <w:rPr>
          <w:rFonts w:eastAsia="Arial Unicode MS" w:cs="Times New Roman"/>
          <w:color w:val="17365D"/>
          <w:szCs w:val="24"/>
        </w:rPr>
        <w:t>)</w:t>
      </w:r>
      <w:r w:rsidRPr="00587EA8">
        <w:rPr>
          <w:rFonts w:eastAsia="Arial Unicode MS" w:cs="Times New Roman"/>
          <w:color w:val="17365D"/>
          <w:szCs w:val="24"/>
        </w:rPr>
        <w:t xml:space="preserve"> </w:t>
      </w:r>
      <w:r w:rsidRPr="00415274">
        <w:rPr>
          <w:rFonts w:eastAsia="Arial Unicode MS" w:cs="Times New Roman"/>
          <w:i/>
          <w:color w:val="17365D"/>
          <w:szCs w:val="24"/>
        </w:rPr>
        <w:t>euro</w:t>
      </w:r>
      <w:r w:rsidRPr="00587EA8">
        <w:rPr>
          <w:rFonts w:eastAsia="Arial Unicode MS" w:cs="Times New Roman"/>
          <w:color w:val="17365D"/>
          <w:szCs w:val="24"/>
        </w:rPr>
        <w:t xml:space="preserve"> vērtībā</w:t>
      </w:r>
      <w:r w:rsidR="00661E03">
        <w:rPr>
          <w:rFonts w:eastAsia="Arial Unicode MS" w:cs="Times New Roman"/>
          <w:color w:val="17365D"/>
          <w:szCs w:val="24"/>
        </w:rPr>
        <w:t xml:space="preserve"> p</w:t>
      </w:r>
      <w:r w:rsidRPr="00587EA8">
        <w:rPr>
          <w:rFonts w:eastAsia="Arial Unicode MS" w:cs="Times New Roman"/>
          <w:color w:val="17365D"/>
          <w:szCs w:val="24"/>
        </w:rPr>
        <w:t>ar izdevum</w:t>
      </w:r>
      <w:r w:rsidR="00661E03">
        <w:rPr>
          <w:rFonts w:eastAsia="Arial Unicode MS" w:cs="Times New Roman"/>
          <w:color w:val="17365D"/>
          <w:szCs w:val="24"/>
        </w:rPr>
        <w:t>u</w:t>
      </w:r>
      <w:r w:rsidRPr="00587EA8">
        <w:rPr>
          <w:rFonts w:eastAsia="Arial Unicode MS" w:cs="Times New Roman"/>
          <w:color w:val="17365D"/>
          <w:szCs w:val="24"/>
        </w:rPr>
        <w:t xml:space="preserve"> samazinājumu komunālajiem pakalpojumiem saistībā ar tarifa maiņu gāzei un elektrībai.</w:t>
      </w:r>
    </w:p>
    <w:p w14:paraId="7659F48C" w14:textId="77777777" w:rsidR="00D74371" w:rsidRDefault="00D74371" w:rsidP="00D74371">
      <w:pPr>
        <w:pStyle w:val="Heading4"/>
        <w:ind w:left="0"/>
      </w:pPr>
      <w:r w:rsidRPr="00E05702">
        <w:t>Piezīme N</w:t>
      </w:r>
      <w:r>
        <w:t>r.</w:t>
      </w:r>
      <w:r w:rsidRPr="008F51F1">
        <w:t>FD</w:t>
      </w:r>
      <w:r>
        <w:t>.</w:t>
      </w:r>
      <w:r w:rsidRPr="008F51F1">
        <w:t>A28. Procentu izdevumi</w:t>
      </w:r>
    </w:p>
    <w:p w14:paraId="74079757" w14:textId="77777777" w:rsidR="00D74371" w:rsidRDefault="00D74371" w:rsidP="00D74371">
      <w:pPr>
        <w:spacing w:after="120" w:line="240" w:lineRule="auto"/>
        <w:rPr>
          <w:rFonts w:eastAsia="Times New Roman" w:cs="Times New Roman"/>
          <w:color w:val="17365D"/>
          <w:szCs w:val="24"/>
          <w:lang w:eastAsia="lv-LV"/>
        </w:rPr>
      </w:pPr>
      <w:r w:rsidRPr="002A75F3">
        <w:rPr>
          <w:rFonts w:eastAsia="Times New Roman" w:cs="Times New Roman"/>
          <w:color w:val="17365D"/>
          <w:szCs w:val="24"/>
          <w:lang w:eastAsia="lv-LV"/>
        </w:rPr>
        <w:t>Informācija par procentu izdevum</w:t>
      </w:r>
      <w:r>
        <w:rPr>
          <w:rFonts w:eastAsia="Times New Roman" w:cs="Times New Roman"/>
          <w:color w:val="17365D"/>
          <w:szCs w:val="24"/>
          <w:lang w:eastAsia="lv-LV"/>
        </w:rPr>
        <w:t xml:space="preserve">iem </w:t>
      </w:r>
      <w:r w:rsidRPr="000F1234">
        <w:rPr>
          <w:rFonts w:eastAsia="Times New Roman" w:cs="Times New Roman"/>
          <w:color w:val="17365D"/>
          <w:szCs w:val="24"/>
          <w:lang w:eastAsia="lv-LV"/>
        </w:rPr>
        <w:t>sadalījumā pa darījuma veidiem norādīti</w:t>
      </w:r>
      <w:r w:rsidRPr="00A27896">
        <w:rPr>
          <w:rFonts w:eastAsia="Arial Unicode MS"/>
          <w:color w:val="17365D"/>
        </w:rPr>
        <w:t xml:space="preserve"> </w:t>
      </w:r>
      <w:r>
        <w:rPr>
          <w:rFonts w:eastAsia="Times New Roman" w:cs="Times New Roman"/>
          <w:color w:val="17365D"/>
          <w:szCs w:val="24"/>
          <w:lang w:eastAsia="lv-LV"/>
        </w:rPr>
        <w:t>2.7</w:t>
      </w:r>
      <w:r w:rsidRPr="000F1234">
        <w:rPr>
          <w:rFonts w:eastAsia="Times New Roman" w:cs="Times New Roman"/>
          <w:color w:val="17365D"/>
          <w:szCs w:val="24"/>
          <w:lang w:eastAsia="lv-LV"/>
        </w:rPr>
        <w:t>. tabulā.</w:t>
      </w:r>
    </w:p>
    <w:p w14:paraId="6245E7CE" w14:textId="77777777" w:rsidR="00D74371" w:rsidRPr="00094B12" w:rsidRDefault="00D74371" w:rsidP="00D74371">
      <w:pPr>
        <w:spacing w:after="0" w:line="240" w:lineRule="auto"/>
        <w:ind w:left="1080"/>
        <w:contextualSpacing/>
        <w:jc w:val="right"/>
        <w:rPr>
          <w:rFonts w:eastAsia="Arial Unicode MS" w:cs="Times New Roman"/>
          <w:i/>
          <w:color w:val="17365D"/>
          <w:sz w:val="20"/>
          <w:szCs w:val="24"/>
        </w:rPr>
      </w:pPr>
      <w:r>
        <w:rPr>
          <w:rFonts w:eastAsia="Arial Unicode MS" w:cs="Times New Roman"/>
          <w:i/>
          <w:color w:val="17365D"/>
          <w:sz w:val="20"/>
          <w:szCs w:val="24"/>
        </w:rPr>
        <w:t>2.7</w:t>
      </w:r>
      <w:r w:rsidRPr="002A75F3">
        <w:rPr>
          <w:rFonts w:eastAsia="Arial Unicode MS" w:cs="Times New Roman"/>
          <w:i/>
          <w:color w:val="17365D"/>
          <w:sz w:val="20"/>
          <w:szCs w:val="24"/>
        </w:rPr>
        <w:t>. t</w:t>
      </w:r>
      <w:r>
        <w:rPr>
          <w:rFonts w:eastAsia="Arial Unicode MS" w:cs="Times New Roman"/>
          <w:i/>
          <w:color w:val="17365D"/>
          <w:sz w:val="20"/>
          <w:szCs w:val="24"/>
        </w:rPr>
        <w:t>abula. Procentu izdevumi (euro)</w:t>
      </w:r>
    </w:p>
    <w:tbl>
      <w:tblPr>
        <w:tblW w:w="9351" w:type="dxa"/>
        <w:tblInd w:w="5" w:type="dxa"/>
        <w:tblLook w:val="04A0" w:firstRow="1" w:lastRow="0" w:firstColumn="1" w:lastColumn="0" w:noHBand="0" w:noVBand="1"/>
      </w:tblPr>
      <w:tblGrid>
        <w:gridCol w:w="5098"/>
        <w:gridCol w:w="2378"/>
        <w:gridCol w:w="1875"/>
      </w:tblGrid>
      <w:tr w:rsidR="00D74371" w:rsidRPr="002A75F3" w14:paraId="70415BA7" w14:textId="77777777" w:rsidTr="00566860">
        <w:trPr>
          <w:trHeight w:val="510"/>
        </w:trPr>
        <w:tc>
          <w:tcPr>
            <w:tcW w:w="5098" w:type="dxa"/>
            <w:tcBorders>
              <w:top w:val="nil"/>
              <w:bottom w:val="single" w:sz="4" w:space="0" w:color="17365D"/>
            </w:tcBorders>
            <w:shd w:val="clear" w:color="auto" w:fill="B8CCE4" w:themeFill="accent1" w:themeFillTint="66"/>
            <w:vAlign w:val="center"/>
            <w:hideMark/>
          </w:tcPr>
          <w:p w14:paraId="2EDAA5C6" w14:textId="77777777" w:rsidR="00D74371" w:rsidRPr="002A75F3" w:rsidRDefault="00D74371" w:rsidP="00D74371">
            <w:pPr>
              <w:spacing w:after="0" w:line="240" w:lineRule="auto"/>
              <w:jc w:val="center"/>
              <w:rPr>
                <w:rFonts w:eastAsia="Arial Unicode MS" w:cs="Times New Roman"/>
                <w:b/>
                <w:color w:val="17365D"/>
                <w:sz w:val="18"/>
                <w:szCs w:val="18"/>
              </w:rPr>
            </w:pPr>
            <w:r w:rsidRPr="002A75F3">
              <w:rPr>
                <w:rFonts w:eastAsia="Arial Unicode MS" w:cs="Times New Roman"/>
                <w:b/>
                <w:color w:val="17365D"/>
                <w:sz w:val="18"/>
                <w:szCs w:val="18"/>
              </w:rPr>
              <w:t>Darījuma apraksts</w:t>
            </w:r>
          </w:p>
        </w:tc>
        <w:tc>
          <w:tcPr>
            <w:tcW w:w="2378" w:type="dxa"/>
            <w:tcBorders>
              <w:top w:val="nil"/>
              <w:bottom w:val="single" w:sz="4" w:space="0" w:color="17365D"/>
            </w:tcBorders>
            <w:shd w:val="clear" w:color="auto" w:fill="B8CCE4" w:themeFill="accent1" w:themeFillTint="66"/>
            <w:vAlign w:val="center"/>
            <w:hideMark/>
          </w:tcPr>
          <w:p w14:paraId="151671E7" w14:textId="77777777" w:rsidR="00D74371" w:rsidRPr="002A75F3" w:rsidRDefault="00D74371" w:rsidP="00D74371">
            <w:pPr>
              <w:spacing w:after="0" w:line="240" w:lineRule="auto"/>
              <w:jc w:val="center"/>
              <w:rPr>
                <w:rFonts w:eastAsia="Arial Unicode MS" w:cs="Times New Roman"/>
                <w:b/>
                <w:color w:val="17365D"/>
                <w:sz w:val="18"/>
                <w:szCs w:val="18"/>
              </w:rPr>
            </w:pPr>
            <w:r w:rsidRPr="002A75F3">
              <w:rPr>
                <w:rFonts w:eastAsia="Arial Unicode MS" w:cs="Times New Roman"/>
                <w:b/>
                <w:color w:val="17365D"/>
                <w:sz w:val="18"/>
                <w:szCs w:val="18"/>
              </w:rPr>
              <w:t>Pārskata periodā</w:t>
            </w:r>
          </w:p>
        </w:tc>
        <w:tc>
          <w:tcPr>
            <w:tcW w:w="1875" w:type="dxa"/>
            <w:tcBorders>
              <w:top w:val="nil"/>
              <w:bottom w:val="single" w:sz="4" w:space="0" w:color="17365D"/>
            </w:tcBorders>
            <w:shd w:val="clear" w:color="auto" w:fill="B8CCE4" w:themeFill="accent1" w:themeFillTint="66"/>
            <w:vAlign w:val="center"/>
          </w:tcPr>
          <w:p w14:paraId="191C5DA6" w14:textId="77777777" w:rsidR="00D74371" w:rsidRPr="002A75F3" w:rsidRDefault="00D74371" w:rsidP="00D74371">
            <w:pPr>
              <w:spacing w:after="0" w:line="240" w:lineRule="auto"/>
              <w:jc w:val="center"/>
              <w:rPr>
                <w:rFonts w:eastAsia="Arial Unicode MS" w:cs="Times New Roman"/>
                <w:b/>
                <w:color w:val="17365D"/>
                <w:sz w:val="18"/>
                <w:szCs w:val="18"/>
              </w:rPr>
            </w:pPr>
            <w:r w:rsidRPr="002A75F3">
              <w:rPr>
                <w:rFonts w:eastAsia="Arial Unicode MS" w:cs="Times New Roman"/>
                <w:b/>
                <w:color w:val="17365D"/>
                <w:sz w:val="18"/>
                <w:szCs w:val="18"/>
              </w:rPr>
              <w:t>Iepriekšējā pārskata periodā</w:t>
            </w:r>
          </w:p>
        </w:tc>
      </w:tr>
      <w:tr w:rsidR="00D74371" w:rsidRPr="003515B6" w14:paraId="59DF5155" w14:textId="77777777" w:rsidTr="00566860">
        <w:trPr>
          <w:trHeight w:val="255"/>
        </w:trPr>
        <w:tc>
          <w:tcPr>
            <w:tcW w:w="5098" w:type="dxa"/>
            <w:tcBorders>
              <w:top w:val="single" w:sz="4" w:space="0" w:color="17365D"/>
              <w:bottom w:val="single" w:sz="4" w:space="0" w:color="17365D"/>
            </w:tcBorders>
            <w:shd w:val="clear" w:color="auto" w:fill="auto"/>
            <w:vAlign w:val="center"/>
            <w:hideMark/>
          </w:tcPr>
          <w:p w14:paraId="16661845" w14:textId="77777777" w:rsidR="00D74371" w:rsidRPr="003515B6" w:rsidRDefault="00D74371" w:rsidP="00D74371">
            <w:pPr>
              <w:spacing w:after="0" w:line="240" w:lineRule="auto"/>
              <w:jc w:val="center"/>
              <w:rPr>
                <w:rFonts w:eastAsia="Arial Unicode MS" w:cs="Times New Roman"/>
                <w:b/>
                <w:color w:val="17365D"/>
                <w:sz w:val="18"/>
                <w:szCs w:val="18"/>
              </w:rPr>
            </w:pPr>
            <w:r w:rsidRPr="003515B6">
              <w:rPr>
                <w:rFonts w:eastAsia="Arial Unicode MS" w:cs="Times New Roman"/>
                <w:b/>
                <w:color w:val="17365D"/>
                <w:sz w:val="18"/>
                <w:szCs w:val="18"/>
              </w:rPr>
              <w:t>A</w:t>
            </w:r>
          </w:p>
        </w:tc>
        <w:tc>
          <w:tcPr>
            <w:tcW w:w="2378" w:type="dxa"/>
            <w:tcBorders>
              <w:top w:val="single" w:sz="4" w:space="0" w:color="17365D"/>
              <w:bottom w:val="single" w:sz="4" w:space="0" w:color="17365D"/>
            </w:tcBorders>
            <w:shd w:val="clear" w:color="auto" w:fill="auto"/>
            <w:vAlign w:val="center"/>
            <w:hideMark/>
          </w:tcPr>
          <w:p w14:paraId="65BDD99E" w14:textId="77777777" w:rsidR="00D74371" w:rsidRPr="003515B6" w:rsidRDefault="00D74371" w:rsidP="00D74371">
            <w:pPr>
              <w:spacing w:after="0" w:line="240" w:lineRule="auto"/>
              <w:jc w:val="center"/>
              <w:rPr>
                <w:rFonts w:eastAsia="Arial Unicode MS" w:cs="Times New Roman"/>
                <w:b/>
                <w:color w:val="17365D"/>
                <w:sz w:val="18"/>
                <w:szCs w:val="18"/>
              </w:rPr>
            </w:pPr>
            <w:r w:rsidRPr="003515B6">
              <w:rPr>
                <w:rFonts w:eastAsia="Arial Unicode MS" w:cs="Times New Roman"/>
                <w:b/>
                <w:color w:val="17365D"/>
                <w:sz w:val="18"/>
                <w:szCs w:val="18"/>
              </w:rPr>
              <w:t>1</w:t>
            </w:r>
          </w:p>
        </w:tc>
        <w:tc>
          <w:tcPr>
            <w:tcW w:w="1875" w:type="dxa"/>
            <w:tcBorders>
              <w:top w:val="single" w:sz="4" w:space="0" w:color="17365D"/>
              <w:bottom w:val="single" w:sz="4" w:space="0" w:color="17365D"/>
            </w:tcBorders>
            <w:vAlign w:val="center"/>
          </w:tcPr>
          <w:p w14:paraId="3F527856" w14:textId="77777777" w:rsidR="00D74371" w:rsidRPr="003515B6" w:rsidRDefault="00D74371" w:rsidP="00D74371">
            <w:pPr>
              <w:spacing w:after="0" w:line="240" w:lineRule="auto"/>
              <w:jc w:val="center"/>
              <w:rPr>
                <w:rFonts w:eastAsia="Arial Unicode MS" w:cs="Times New Roman"/>
                <w:b/>
                <w:color w:val="17365D"/>
                <w:sz w:val="18"/>
                <w:szCs w:val="18"/>
              </w:rPr>
            </w:pPr>
            <w:r w:rsidRPr="003515B6">
              <w:rPr>
                <w:rFonts w:eastAsia="Arial Unicode MS" w:cs="Times New Roman"/>
                <w:b/>
                <w:color w:val="17365D"/>
                <w:sz w:val="18"/>
                <w:szCs w:val="18"/>
              </w:rPr>
              <w:t>2</w:t>
            </w:r>
          </w:p>
        </w:tc>
      </w:tr>
      <w:tr w:rsidR="00D74371" w:rsidRPr="002A75F3" w14:paraId="349A2765" w14:textId="77777777" w:rsidTr="00566860">
        <w:trPr>
          <w:trHeight w:val="200"/>
        </w:trPr>
        <w:tc>
          <w:tcPr>
            <w:tcW w:w="5098" w:type="dxa"/>
            <w:tcBorders>
              <w:top w:val="nil"/>
              <w:bottom w:val="single" w:sz="4" w:space="0" w:color="000000"/>
            </w:tcBorders>
            <w:shd w:val="clear" w:color="auto" w:fill="auto"/>
            <w:vAlign w:val="center"/>
          </w:tcPr>
          <w:p w14:paraId="67401EC4" w14:textId="77777777" w:rsidR="00D74371" w:rsidRPr="002A75F3" w:rsidRDefault="00D74371" w:rsidP="00D74371">
            <w:pPr>
              <w:spacing w:after="0" w:line="240" w:lineRule="auto"/>
              <w:rPr>
                <w:rFonts w:eastAsia="Arial Unicode MS" w:cs="Times New Roman"/>
                <w:b/>
                <w:color w:val="17365D"/>
                <w:sz w:val="18"/>
                <w:szCs w:val="18"/>
              </w:rPr>
            </w:pPr>
            <w:r w:rsidRPr="002A75F3">
              <w:rPr>
                <w:rFonts w:eastAsia="Arial Unicode MS" w:cs="Times New Roman"/>
                <w:b/>
                <w:color w:val="17365D"/>
                <w:sz w:val="18"/>
                <w:szCs w:val="18"/>
              </w:rPr>
              <w:t>Procentu izdevumi</w:t>
            </w:r>
            <w:r w:rsidRPr="002A75F3">
              <w:rPr>
                <w:rFonts w:eastAsia="Arial Unicode MS" w:cs="Times New Roman"/>
                <w:b/>
                <w:color w:val="17365D"/>
                <w:sz w:val="18"/>
                <w:szCs w:val="18"/>
              </w:rPr>
              <w:tab/>
            </w:r>
          </w:p>
        </w:tc>
        <w:tc>
          <w:tcPr>
            <w:tcW w:w="2378" w:type="dxa"/>
            <w:tcBorders>
              <w:top w:val="single" w:sz="4" w:space="0" w:color="000000"/>
              <w:bottom w:val="single" w:sz="4" w:space="0" w:color="000000"/>
            </w:tcBorders>
            <w:shd w:val="clear" w:color="auto" w:fill="auto"/>
            <w:vAlign w:val="center"/>
          </w:tcPr>
          <w:p w14:paraId="21E92CD5" w14:textId="77777777" w:rsidR="00D74371" w:rsidRPr="002A75F3" w:rsidRDefault="00D74371" w:rsidP="00D74371">
            <w:pPr>
              <w:spacing w:after="0" w:line="240" w:lineRule="auto"/>
              <w:jc w:val="right"/>
              <w:rPr>
                <w:rFonts w:eastAsia="Arial Unicode MS" w:cs="Times New Roman"/>
                <w:b/>
                <w:color w:val="17365D"/>
                <w:sz w:val="18"/>
                <w:szCs w:val="18"/>
              </w:rPr>
            </w:pPr>
            <w:r w:rsidRPr="002A75F3">
              <w:rPr>
                <w:rFonts w:eastAsia="Arial Unicode MS" w:cs="Times New Roman"/>
                <w:b/>
                <w:color w:val="17365D"/>
                <w:sz w:val="18"/>
                <w:szCs w:val="18"/>
              </w:rPr>
              <w:t>374 713 753</w:t>
            </w:r>
          </w:p>
        </w:tc>
        <w:tc>
          <w:tcPr>
            <w:tcW w:w="1875" w:type="dxa"/>
            <w:tcBorders>
              <w:top w:val="single" w:sz="4" w:space="0" w:color="000000"/>
              <w:bottom w:val="single" w:sz="4" w:space="0" w:color="000000"/>
            </w:tcBorders>
            <w:shd w:val="clear" w:color="auto" w:fill="auto"/>
            <w:vAlign w:val="center"/>
          </w:tcPr>
          <w:p w14:paraId="0969A2E0" w14:textId="77777777" w:rsidR="00D74371" w:rsidRPr="002A75F3" w:rsidRDefault="00D74371" w:rsidP="00D74371">
            <w:pPr>
              <w:spacing w:after="0" w:line="240" w:lineRule="auto"/>
              <w:jc w:val="right"/>
              <w:rPr>
                <w:rFonts w:eastAsia="Arial Unicode MS" w:cs="Times New Roman"/>
                <w:b/>
                <w:color w:val="17365D"/>
                <w:sz w:val="18"/>
                <w:szCs w:val="18"/>
              </w:rPr>
            </w:pPr>
            <w:r w:rsidRPr="002A75F3">
              <w:rPr>
                <w:rFonts w:eastAsia="Arial Unicode MS" w:cs="Times New Roman"/>
                <w:b/>
                <w:color w:val="17365D"/>
                <w:sz w:val="18"/>
                <w:szCs w:val="18"/>
              </w:rPr>
              <w:t>206 176 935</w:t>
            </w:r>
          </w:p>
        </w:tc>
      </w:tr>
      <w:tr w:rsidR="00D74371" w:rsidRPr="002A75F3" w14:paraId="40711CBD" w14:textId="77777777" w:rsidTr="00566860">
        <w:trPr>
          <w:trHeight w:val="510"/>
        </w:trPr>
        <w:tc>
          <w:tcPr>
            <w:tcW w:w="5098" w:type="dxa"/>
            <w:tcBorders>
              <w:top w:val="single" w:sz="4" w:space="0" w:color="000000"/>
              <w:bottom w:val="single" w:sz="4" w:space="0" w:color="000000"/>
            </w:tcBorders>
            <w:shd w:val="clear" w:color="auto" w:fill="auto"/>
            <w:vAlign w:val="center"/>
          </w:tcPr>
          <w:p w14:paraId="18E61420" w14:textId="77777777" w:rsidR="00D74371" w:rsidRPr="002A75F3" w:rsidRDefault="00D74371" w:rsidP="00D74371">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Procentu izdevumi par kontu atlikumiem un naudas līdzekļu ekvivalentiem</w:t>
            </w:r>
          </w:p>
        </w:tc>
        <w:tc>
          <w:tcPr>
            <w:tcW w:w="2378" w:type="dxa"/>
            <w:tcBorders>
              <w:top w:val="single" w:sz="4" w:space="0" w:color="000000"/>
              <w:bottom w:val="single" w:sz="4" w:space="0" w:color="000000"/>
            </w:tcBorders>
            <w:shd w:val="clear" w:color="auto" w:fill="auto"/>
            <w:vAlign w:val="center"/>
          </w:tcPr>
          <w:p w14:paraId="4D9EDF93" w14:textId="77777777" w:rsidR="00D74371" w:rsidRPr="002A75F3" w:rsidRDefault="00D74371" w:rsidP="00D74371">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1 643 684</w:t>
            </w:r>
          </w:p>
        </w:tc>
        <w:tc>
          <w:tcPr>
            <w:tcW w:w="1875" w:type="dxa"/>
            <w:tcBorders>
              <w:top w:val="single" w:sz="4" w:space="0" w:color="000000"/>
              <w:bottom w:val="single" w:sz="4" w:space="0" w:color="000000"/>
            </w:tcBorders>
            <w:shd w:val="clear" w:color="auto" w:fill="auto"/>
            <w:vAlign w:val="center"/>
          </w:tcPr>
          <w:p w14:paraId="62F3DCF9" w14:textId="77777777" w:rsidR="00D74371" w:rsidRPr="002A75F3" w:rsidRDefault="00D74371" w:rsidP="00D74371">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7 605 791</w:t>
            </w:r>
          </w:p>
        </w:tc>
      </w:tr>
      <w:tr w:rsidR="00D74371" w:rsidRPr="002A75F3" w14:paraId="0628707B" w14:textId="77777777" w:rsidTr="00566860">
        <w:trPr>
          <w:trHeight w:val="510"/>
        </w:trPr>
        <w:tc>
          <w:tcPr>
            <w:tcW w:w="5098" w:type="dxa"/>
            <w:tcBorders>
              <w:top w:val="single" w:sz="4" w:space="0" w:color="000000"/>
              <w:bottom w:val="single" w:sz="4" w:space="0" w:color="000000"/>
            </w:tcBorders>
            <w:shd w:val="clear" w:color="auto" w:fill="auto"/>
            <w:vAlign w:val="center"/>
            <w:hideMark/>
          </w:tcPr>
          <w:p w14:paraId="4E686829" w14:textId="77777777" w:rsidR="00D74371" w:rsidRPr="002A75F3" w:rsidRDefault="00D74371" w:rsidP="00D74371">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Procentu izdevumi par finanšu instrumentiem, izņemot PVFA un PVFS</w:t>
            </w:r>
          </w:p>
        </w:tc>
        <w:tc>
          <w:tcPr>
            <w:tcW w:w="2378" w:type="dxa"/>
            <w:tcBorders>
              <w:top w:val="single" w:sz="4" w:space="0" w:color="000000"/>
              <w:bottom w:val="single" w:sz="4" w:space="0" w:color="000000"/>
            </w:tcBorders>
            <w:shd w:val="clear" w:color="auto" w:fill="auto"/>
            <w:vAlign w:val="center"/>
            <w:hideMark/>
          </w:tcPr>
          <w:p w14:paraId="1670BD25" w14:textId="77777777" w:rsidR="00D74371" w:rsidRPr="002A75F3" w:rsidRDefault="00D74371" w:rsidP="00D74371">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314 626 216</w:t>
            </w:r>
          </w:p>
        </w:tc>
        <w:tc>
          <w:tcPr>
            <w:tcW w:w="1875" w:type="dxa"/>
            <w:tcBorders>
              <w:top w:val="single" w:sz="4" w:space="0" w:color="000000"/>
              <w:bottom w:val="single" w:sz="4" w:space="0" w:color="000000"/>
            </w:tcBorders>
            <w:shd w:val="clear" w:color="auto" w:fill="auto"/>
            <w:vAlign w:val="center"/>
          </w:tcPr>
          <w:p w14:paraId="7E14FC85" w14:textId="77777777" w:rsidR="00D74371" w:rsidRPr="002A75F3" w:rsidRDefault="00D74371" w:rsidP="00D74371">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193 319 369</w:t>
            </w:r>
          </w:p>
        </w:tc>
      </w:tr>
      <w:tr w:rsidR="00D74371" w:rsidRPr="002A75F3" w14:paraId="06E76D0A" w14:textId="77777777" w:rsidTr="00566860">
        <w:trPr>
          <w:trHeight w:val="255"/>
        </w:trPr>
        <w:tc>
          <w:tcPr>
            <w:tcW w:w="5098" w:type="dxa"/>
            <w:tcBorders>
              <w:top w:val="single" w:sz="4" w:space="0" w:color="000000"/>
              <w:bottom w:val="single" w:sz="4" w:space="0" w:color="000000"/>
            </w:tcBorders>
            <w:shd w:val="clear" w:color="auto" w:fill="auto"/>
            <w:vAlign w:val="center"/>
            <w:hideMark/>
          </w:tcPr>
          <w:p w14:paraId="586FE364" w14:textId="77777777" w:rsidR="00D74371" w:rsidRPr="002A75F3" w:rsidRDefault="00D74371" w:rsidP="00D74371">
            <w:pPr>
              <w:spacing w:after="0" w:line="240" w:lineRule="auto"/>
              <w:contextualSpacing/>
              <w:rPr>
                <w:rFonts w:eastAsia="Arial Unicode MS" w:cs="Times New Roman"/>
                <w:color w:val="17365D"/>
                <w:sz w:val="18"/>
                <w:szCs w:val="18"/>
              </w:rPr>
            </w:pPr>
            <w:r w:rsidRPr="002A75F3">
              <w:rPr>
                <w:rFonts w:eastAsia="Arial Unicode MS" w:cs="Times New Roman"/>
                <w:color w:val="17365D"/>
                <w:sz w:val="18"/>
                <w:szCs w:val="18"/>
              </w:rPr>
              <w:t>t.sk.</w:t>
            </w:r>
            <w:r>
              <w:rPr>
                <w:rFonts w:eastAsia="Arial Unicode MS" w:cs="Times New Roman"/>
                <w:color w:val="17365D"/>
                <w:sz w:val="18"/>
                <w:szCs w:val="18"/>
              </w:rPr>
              <w:t>,   a</w:t>
            </w:r>
            <w:r w:rsidRPr="002A75F3">
              <w:rPr>
                <w:rFonts w:eastAsia="Arial Unicode MS" w:cs="Times New Roman"/>
                <w:color w:val="17365D"/>
                <w:sz w:val="18"/>
                <w:szCs w:val="18"/>
              </w:rPr>
              <w:t xml:space="preserve">izdevumi un prasības </w:t>
            </w:r>
          </w:p>
        </w:tc>
        <w:tc>
          <w:tcPr>
            <w:tcW w:w="2378" w:type="dxa"/>
            <w:tcBorders>
              <w:top w:val="single" w:sz="4" w:space="0" w:color="000000"/>
              <w:bottom w:val="single" w:sz="4" w:space="0" w:color="000000"/>
            </w:tcBorders>
            <w:shd w:val="clear" w:color="auto" w:fill="auto"/>
            <w:vAlign w:val="center"/>
            <w:hideMark/>
          </w:tcPr>
          <w:p w14:paraId="577362D2" w14:textId="77777777" w:rsidR="00D74371" w:rsidRPr="002A75F3" w:rsidRDefault="00D74371" w:rsidP="00D74371">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2 375 575</w:t>
            </w:r>
          </w:p>
        </w:tc>
        <w:tc>
          <w:tcPr>
            <w:tcW w:w="1875" w:type="dxa"/>
            <w:tcBorders>
              <w:top w:val="single" w:sz="4" w:space="0" w:color="000000"/>
              <w:bottom w:val="single" w:sz="4" w:space="0" w:color="000000"/>
            </w:tcBorders>
            <w:shd w:val="clear" w:color="auto" w:fill="auto"/>
            <w:vAlign w:val="center"/>
          </w:tcPr>
          <w:p w14:paraId="00A2F6EC" w14:textId="77777777" w:rsidR="00D74371" w:rsidRPr="002A75F3" w:rsidRDefault="00D74371" w:rsidP="00D74371">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94 331</w:t>
            </w:r>
          </w:p>
        </w:tc>
      </w:tr>
      <w:tr w:rsidR="00D74371" w:rsidRPr="002A75F3" w14:paraId="51C65C3C" w14:textId="77777777" w:rsidTr="00566860">
        <w:trPr>
          <w:trHeight w:val="510"/>
        </w:trPr>
        <w:tc>
          <w:tcPr>
            <w:tcW w:w="5098" w:type="dxa"/>
            <w:tcBorders>
              <w:top w:val="single" w:sz="4" w:space="0" w:color="000000"/>
              <w:bottom w:val="single" w:sz="4" w:space="0" w:color="000000"/>
            </w:tcBorders>
            <w:shd w:val="clear" w:color="auto" w:fill="auto"/>
            <w:vAlign w:val="center"/>
            <w:hideMark/>
          </w:tcPr>
          <w:p w14:paraId="774EE00A" w14:textId="77777777" w:rsidR="00D74371" w:rsidRPr="002A75F3" w:rsidRDefault="00D74371" w:rsidP="00D74371">
            <w:pPr>
              <w:spacing w:after="0" w:line="240" w:lineRule="auto"/>
              <w:ind w:left="458" w:right="296"/>
              <w:rPr>
                <w:rFonts w:eastAsia="Arial Unicode MS" w:cs="Times New Roman"/>
                <w:color w:val="17365D"/>
                <w:sz w:val="18"/>
                <w:szCs w:val="18"/>
              </w:rPr>
            </w:pPr>
            <w:r>
              <w:rPr>
                <w:rFonts w:eastAsia="Arial Unicode MS" w:cs="Times New Roman"/>
                <w:color w:val="17365D"/>
                <w:sz w:val="18"/>
                <w:szCs w:val="18"/>
              </w:rPr>
              <w:t>f</w:t>
            </w:r>
            <w:r w:rsidRPr="002A75F3">
              <w:rPr>
                <w:rFonts w:eastAsia="Arial Unicode MS" w:cs="Times New Roman"/>
                <w:color w:val="17365D"/>
                <w:sz w:val="18"/>
                <w:szCs w:val="18"/>
              </w:rPr>
              <w:t>inanšu saistības, kas novērtētas amortizētajā vērtībā, un citas finanšu saistības</w:t>
            </w:r>
          </w:p>
        </w:tc>
        <w:tc>
          <w:tcPr>
            <w:tcW w:w="2378" w:type="dxa"/>
            <w:tcBorders>
              <w:top w:val="single" w:sz="4" w:space="0" w:color="000000"/>
              <w:bottom w:val="single" w:sz="4" w:space="0" w:color="000000"/>
            </w:tcBorders>
            <w:shd w:val="clear" w:color="auto" w:fill="auto"/>
            <w:vAlign w:val="center"/>
            <w:hideMark/>
          </w:tcPr>
          <w:p w14:paraId="27F5C8F2" w14:textId="77777777" w:rsidR="00D74371" w:rsidRPr="002A75F3" w:rsidRDefault="00D74371" w:rsidP="00D74371">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312 250 641</w:t>
            </w:r>
          </w:p>
        </w:tc>
        <w:tc>
          <w:tcPr>
            <w:tcW w:w="1875" w:type="dxa"/>
            <w:tcBorders>
              <w:top w:val="single" w:sz="4" w:space="0" w:color="000000"/>
              <w:bottom w:val="single" w:sz="4" w:space="0" w:color="000000"/>
            </w:tcBorders>
            <w:shd w:val="clear" w:color="auto" w:fill="auto"/>
            <w:vAlign w:val="center"/>
          </w:tcPr>
          <w:p w14:paraId="1B2ABDF7" w14:textId="77777777" w:rsidR="00D74371" w:rsidRPr="002A75F3" w:rsidRDefault="00D74371" w:rsidP="00D74371">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193 225 038</w:t>
            </w:r>
          </w:p>
        </w:tc>
      </w:tr>
      <w:tr w:rsidR="00D74371" w:rsidRPr="002A75F3" w14:paraId="6DD1967C" w14:textId="77777777" w:rsidTr="00566860">
        <w:trPr>
          <w:trHeight w:val="300"/>
        </w:trPr>
        <w:tc>
          <w:tcPr>
            <w:tcW w:w="5098" w:type="dxa"/>
            <w:tcBorders>
              <w:top w:val="single" w:sz="4" w:space="0" w:color="000000"/>
              <w:bottom w:val="single" w:sz="4" w:space="0" w:color="17365D"/>
            </w:tcBorders>
            <w:shd w:val="clear" w:color="auto" w:fill="auto"/>
            <w:vAlign w:val="center"/>
            <w:hideMark/>
          </w:tcPr>
          <w:p w14:paraId="41CD49C8" w14:textId="77777777" w:rsidR="00D74371" w:rsidRPr="002A75F3" w:rsidRDefault="00D74371" w:rsidP="00D74371">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Pārējie procentu izdevumi</w:t>
            </w:r>
          </w:p>
        </w:tc>
        <w:tc>
          <w:tcPr>
            <w:tcW w:w="2378" w:type="dxa"/>
            <w:tcBorders>
              <w:top w:val="single" w:sz="4" w:space="0" w:color="000000"/>
              <w:bottom w:val="single" w:sz="4" w:space="0" w:color="17365D"/>
            </w:tcBorders>
            <w:shd w:val="clear" w:color="auto" w:fill="auto"/>
            <w:vAlign w:val="center"/>
            <w:hideMark/>
          </w:tcPr>
          <w:p w14:paraId="7B944B47" w14:textId="77777777" w:rsidR="00D74371" w:rsidRPr="002A75F3" w:rsidRDefault="00D74371" w:rsidP="00D74371">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58 443 853</w:t>
            </w:r>
          </w:p>
        </w:tc>
        <w:tc>
          <w:tcPr>
            <w:tcW w:w="1875" w:type="dxa"/>
            <w:tcBorders>
              <w:top w:val="single" w:sz="4" w:space="0" w:color="000000"/>
              <w:bottom w:val="single" w:sz="4" w:space="0" w:color="17365D"/>
            </w:tcBorders>
            <w:shd w:val="clear" w:color="auto" w:fill="auto"/>
            <w:vAlign w:val="center"/>
          </w:tcPr>
          <w:p w14:paraId="0318E9E5" w14:textId="77777777" w:rsidR="00D74371" w:rsidRPr="002A75F3" w:rsidRDefault="00D74371" w:rsidP="00D74371">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5 251 775</w:t>
            </w:r>
          </w:p>
        </w:tc>
      </w:tr>
      <w:tr w:rsidR="00D74371" w:rsidRPr="002A75F3" w14:paraId="4283A82A" w14:textId="77777777" w:rsidTr="00566860">
        <w:trPr>
          <w:trHeight w:val="119"/>
        </w:trPr>
        <w:tc>
          <w:tcPr>
            <w:tcW w:w="5098" w:type="dxa"/>
            <w:tcBorders>
              <w:top w:val="single" w:sz="4" w:space="0" w:color="17365D"/>
              <w:right w:val="nil"/>
            </w:tcBorders>
            <w:shd w:val="clear" w:color="auto" w:fill="B8CCE4" w:themeFill="accent1" w:themeFillTint="66"/>
            <w:vAlign w:val="center"/>
          </w:tcPr>
          <w:p w14:paraId="1C86F7E8" w14:textId="77777777" w:rsidR="00D74371" w:rsidRPr="00A27896" w:rsidRDefault="00D74371" w:rsidP="00D74371">
            <w:pPr>
              <w:spacing w:after="0" w:line="240" w:lineRule="auto"/>
              <w:rPr>
                <w:rFonts w:eastAsia="Arial Unicode MS" w:cs="Times New Roman"/>
                <w:b/>
                <w:color w:val="17365D"/>
                <w:sz w:val="18"/>
                <w:szCs w:val="18"/>
              </w:rPr>
            </w:pPr>
          </w:p>
        </w:tc>
        <w:tc>
          <w:tcPr>
            <w:tcW w:w="2378" w:type="dxa"/>
            <w:tcBorders>
              <w:top w:val="single" w:sz="4" w:space="0" w:color="17365D"/>
              <w:left w:val="nil"/>
              <w:bottom w:val="nil"/>
              <w:right w:val="nil"/>
            </w:tcBorders>
            <w:shd w:val="clear" w:color="auto" w:fill="B8CCE4" w:themeFill="accent1" w:themeFillTint="66"/>
            <w:vAlign w:val="center"/>
          </w:tcPr>
          <w:p w14:paraId="00E13635" w14:textId="77777777" w:rsidR="00D74371" w:rsidRPr="00A27896" w:rsidRDefault="00D74371" w:rsidP="00D74371">
            <w:pPr>
              <w:spacing w:after="0" w:line="240" w:lineRule="auto"/>
              <w:jc w:val="right"/>
              <w:rPr>
                <w:rFonts w:eastAsia="Arial Unicode MS" w:cs="Times New Roman"/>
                <w:b/>
                <w:color w:val="17365D"/>
                <w:sz w:val="18"/>
                <w:szCs w:val="18"/>
              </w:rPr>
            </w:pPr>
          </w:p>
        </w:tc>
        <w:tc>
          <w:tcPr>
            <w:tcW w:w="1875" w:type="dxa"/>
            <w:tcBorders>
              <w:top w:val="single" w:sz="4" w:space="0" w:color="17365D"/>
              <w:left w:val="nil"/>
              <w:bottom w:val="nil"/>
              <w:right w:val="nil"/>
            </w:tcBorders>
            <w:shd w:val="clear" w:color="auto" w:fill="B8CCE4" w:themeFill="accent1" w:themeFillTint="66"/>
            <w:vAlign w:val="center"/>
          </w:tcPr>
          <w:p w14:paraId="5AE94833" w14:textId="77777777" w:rsidR="00D74371" w:rsidRPr="00A27896" w:rsidRDefault="00D74371" w:rsidP="00D74371">
            <w:pPr>
              <w:spacing w:after="0" w:line="240" w:lineRule="auto"/>
              <w:jc w:val="right"/>
              <w:rPr>
                <w:rFonts w:eastAsia="Arial Unicode MS" w:cs="Times New Roman"/>
                <w:b/>
                <w:color w:val="17365D"/>
                <w:sz w:val="18"/>
                <w:szCs w:val="18"/>
              </w:rPr>
            </w:pPr>
          </w:p>
        </w:tc>
      </w:tr>
    </w:tbl>
    <w:p w14:paraId="4FD73E2E" w14:textId="77777777" w:rsidR="00D74371" w:rsidRPr="008F51F1" w:rsidRDefault="00D74371" w:rsidP="00D74371">
      <w:pPr>
        <w:spacing w:after="120" w:line="240" w:lineRule="auto"/>
        <w:jc w:val="both"/>
        <w:rPr>
          <w:rFonts w:eastAsia="Times New Roman" w:cs="Times New Roman"/>
          <w:color w:val="17365D"/>
          <w:szCs w:val="24"/>
        </w:rPr>
      </w:pPr>
    </w:p>
    <w:p w14:paraId="0F794C45" w14:textId="77777777" w:rsidR="00D74371" w:rsidRDefault="00D74371" w:rsidP="00D74371">
      <w:pPr>
        <w:tabs>
          <w:tab w:val="left" w:pos="284"/>
          <w:tab w:val="left" w:pos="426"/>
        </w:tabs>
        <w:spacing w:after="120" w:line="240" w:lineRule="auto"/>
        <w:jc w:val="both"/>
        <w:rPr>
          <w:rFonts w:eastAsia="Arial Unicode MS" w:cs="Times New Roman"/>
          <w:color w:val="17365D"/>
          <w:szCs w:val="24"/>
        </w:rPr>
      </w:pPr>
      <w:r>
        <w:rPr>
          <w:rFonts w:eastAsia="Arial Unicode MS" w:cs="Times New Roman"/>
          <w:color w:val="17365D"/>
          <w:szCs w:val="24"/>
        </w:rPr>
        <w:t>Procentu izdevumu</w:t>
      </w:r>
      <w:r w:rsidRPr="008F51F1">
        <w:rPr>
          <w:rFonts w:eastAsia="Arial Unicode MS" w:cs="Times New Roman"/>
          <w:color w:val="17365D"/>
          <w:szCs w:val="24"/>
        </w:rPr>
        <w:t xml:space="preserve"> palielinājums</w:t>
      </w:r>
      <w:r>
        <w:rPr>
          <w:rFonts w:eastAsia="Arial Unicode MS" w:cs="Times New Roman"/>
          <w:color w:val="17365D"/>
          <w:szCs w:val="24"/>
        </w:rPr>
        <w:t xml:space="preserve"> bija:</w:t>
      </w:r>
    </w:p>
    <w:p w14:paraId="3B6FB993" w14:textId="77777777" w:rsidR="00D74371" w:rsidRDefault="00D74371" w:rsidP="00146A16">
      <w:pPr>
        <w:numPr>
          <w:ilvl w:val="0"/>
          <w:numId w:val="29"/>
        </w:numPr>
        <w:tabs>
          <w:tab w:val="left" w:pos="284"/>
          <w:tab w:val="left" w:pos="426"/>
        </w:tabs>
        <w:spacing w:after="120" w:line="240" w:lineRule="auto"/>
        <w:ind w:left="284" w:hanging="284"/>
        <w:jc w:val="both"/>
        <w:rPr>
          <w:rFonts w:eastAsia="Arial Unicode MS" w:cs="Times New Roman"/>
          <w:color w:val="17365D"/>
          <w:szCs w:val="24"/>
        </w:rPr>
      </w:pPr>
      <w:r>
        <w:rPr>
          <w:rFonts w:eastAsia="Arial Unicode MS" w:cs="Times New Roman"/>
          <w:color w:val="17365D"/>
          <w:szCs w:val="24"/>
        </w:rPr>
        <w:t>v</w:t>
      </w:r>
      <w:r w:rsidRPr="008F51F1">
        <w:rPr>
          <w:rFonts w:eastAsia="Arial Unicode MS" w:cs="Times New Roman"/>
          <w:color w:val="17365D"/>
          <w:szCs w:val="24"/>
        </w:rPr>
        <w:t>alsts budžeta finanšu uzskaitē</w:t>
      </w:r>
      <w:r>
        <w:rPr>
          <w:rFonts w:eastAsia="Arial Unicode MS" w:cs="Times New Roman"/>
          <w:color w:val="17365D"/>
          <w:szCs w:val="24"/>
        </w:rPr>
        <w:t>:</w:t>
      </w:r>
      <w:r w:rsidRPr="008F51F1">
        <w:rPr>
          <w:rFonts w:eastAsia="Arial Unicode MS" w:cs="Times New Roman"/>
          <w:color w:val="17365D"/>
          <w:szCs w:val="24"/>
        </w:rPr>
        <w:t xml:space="preserve"> </w:t>
      </w:r>
    </w:p>
    <w:p w14:paraId="482F1352" w14:textId="77777777" w:rsidR="00D74371" w:rsidRPr="008F51F1" w:rsidRDefault="00D74371" w:rsidP="00146A16">
      <w:pPr>
        <w:numPr>
          <w:ilvl w:val="1"/>
          <w:numId w:val="29"/>
        </w:numPr>
        <w:tabs>
          <w:tab w:val="left" w:pos="284"/>
          <w:tab w:val="left" w:pos="426"/>
        </w:tabs>
        <w:spacing w:after="120" w:line="240" w:lineRule="auto"/>
        <w:ind w:left="709"/>
        <w:jc w:val="both"/>
        <w:rPr>
          <w:rFonts w:eastAsia="Arial Unicode MS" w:cs="Times New Roman"/>
          <w:color w:val="17365D"/>
          <w:szCs w:val="24"/>
        </w:rPr>
      </w:pPr>
      <w:r w:rsidRPr="008F51F1">
        <w:rPr>
          <w:rFonts w:eastAsia="Arial Unicode MS" w:cs="Times New Roman"/>
          <w:color w:val="17365D"/>
          <w:szCs w:val="24"/>
        </w:rPr>
        <w:t>izmaiņas 100</w:t>
      </w:r>
      <w:r>
        <w:rPr>
          <w:rFonts w:eastAsia="Arial Unicode MS" w:cs="Times New Roman"/>
          <w:color w:val="17365D"/>
          <w:szCs w:val="24"/>
        </w:rPr>
        <w:t> </w:t>
      </w:r>
      <w:r w:rsidRPr="008F51F1">
        <w:rPr>
          <w:rFonts w:eastAsia="Arial Unicode MS" w:cs="Times New Roman"/>
          <w:color w:val="17365D"/>
          <w:szCs w:val="24"/>
        </w:rPr>
        <w:t>471</w:t>
      </w:r>
      <w:r>
        <w:rPr>
          <w:rFonts w:eastAsia="Arial Unicode MS" w:cs="Times New Roman"/>
          <w:color w:val="17365D"/>
          <w:szCs w:val="24"/>
        </w:rPr>
        <w:t> </w:t>
      </w:r>
      <w:r w:rsidRPr="008F51F1">
        <w:rPr>
          <w:rFonts w:eastAsia="Arial Unicode MS" w:cs="Times New Roman"/>
          <w:color w:val="17365D"/>
          <w:szCs w:val="24"/>
        </w:rPr>
        <w:t xml:space="preserve">618 </w:t>
      </w:r>
      <w:r w:rsidRPr="00415428">
        <w:rPr>
          <w:rFonts w:eastAsia="Arial Unicode MS" w:cs="Times New Roman"/>
          <w:i/>
          <w:color w:val="17365D"/>
          <w:szCs w:val="24"/>
        </w:rPr>
        <w:t>euro</w:t>
      </w:r>
      <w:r w:rsidRPr="008F51F1">
        <w:rPr>
          <w:rFonts w:eastAsia="Arial Unicode MS" w:cs="Times New Roman"/>
          <w:color w:val="17365D"/>
          <w:szCs w:val="24"/>
        </w:rPr>
        <w:t xml:space="preserve"> vērtībā saistītas ar atzītiem procentu izdevumiem par ārējā finanšu tirgū emitētiem vērtspapīriem;</w:t>
      </w:r>
    </w:p>
    <w:p w14:paraId="5104FF3D" w14:textId="77777777" w:rsidR="00D74371" w:rsidRPr="008F51F1" w:rsidRDefault="00D74371" w:rsidP="00146A16">
      <w:pPr>
        <w:numPr>
          <w:ilvl w:val="1"/>
          <w:numId w:val="29"/>
        </w:numPr>
        <w:tabs>
          <w:tab w:val="left" w:pos="284"/>
          <w:tab w:val="left" w:pos="426"/>
        </w:tabs>
        <w:spacing w:after="120" w:line="240" w:lineRule="auto"/>
        <w:ind w:left="709"/>
        <w:jc w:val="both"/>
        <w:rPr>
          <w:rFonts w:eastAsia="Arial Unicode MS" w:cs="Times New Roman"/>
          <w:color w:val="17365D"/>
          <w:szCs w:val="24"/>
        </w:rPr>
      </w:pPr>
      <w:r>
        <w:rPr>
          <w:rFonts w:eastAsia="Arial Unicode MS" w:cs="Times New Roman"/>
          <w:color w:val="17365D"/>
          <w:szCs w:val="24"/>
        </w:rPr>
        <w:t>izmaiņas</w:t>
      </w:r>
      <w:r w:rsidRPr="008F51F1">
        <w:rPr>
          <w:rFonts w:eastAsia="Arial Unicode MS" w:cs="Times New Roman"/>
          <w:color w:val="17365D"/>
          <w:szCs w:val="24"/>
        </w:rPr>
        <w:t xml:space="preserve"> 16</w:t>
      </w:r>
      <w:r>
        <w:rPr>
          <w:rFonts w:eastAsia="Arial Unicode MS" w:cs="Times New Roman"/>
          <w:color w:val="17365D"/>
          <w:szCs w:val="24"/>
        </w:rPr>
        <w:t> </w:t>
      </w:r>
      <w:r w:rsidRPr="008F51F1">
        <w:rPr>
          <w:rFonts w:eastAsia="Arial Unicode MS" w:cs="Times New Roman"/>
          <w:color w:val="17365D"/>
          <w:szCs w:val="24"/>
        </w:rPr>
        <w:t>693</w:t>
      </w:r>
      <w:r>
        <w:rPr>
          <w:rFonts w:eastAsia="Arial Unicode MS" w:cs="Times New Roman"/>
          <w:color w:val="17365D"/>
          <w:szCs w:val="24"/>
        </w:rPr>
        <w:t> </w:t>
      </w:r>
      <w:r w:rsidRPr="008F51F1">
        <w:rPr>
          <w:rFonts w:eastAsia="Arial Unicode MS" w:cs="Times New Roman"/>
          <w:color w:val="17365D"/>
          <w:szCs w:val="24"/>
        </w:rPr>
        <w:t xml:space="preserve">893 </w:t>
      </w:r>
      <w:r w:rsidRPr="00415428">
        <w:rPr>
          <w:rFonts w:eastAsia="Arial Unicode MS" w:cs="Times New Roman"/>
          <w:i/>
          <w:color w:val="17365D"/>
          <w:szCs w:val="24"/>
        </w:rPr>
        <w:t>euro</w:t>
      </w:r>
      <w:r w:rsidRPr="008F51F1">
        <w:rPr>
          <w:rFonts w:eastAsia="Arial Unicode MS" w:cs="Times New Roman"/>
          <w:color w:val="17365D"/>
          <w:szCs w:val="24"/>
        </w:rPr>
        <w:t xml:space="preserve"> vērtībā saistītas ar atzītiem procentu izdevumiem no aizņēmumiem ārējā finanšu tirgū;</w:t>
      </w:r>
    </w:p>
    <w:p w14:paraId="47C0A7D1" w14:textId="77777777" w:rsidR="00D74371" w:rsidRPr="008F51F1" w:rsidRDefault="00D74371" w:rsidP="00146A16">
      <w:pPr>
        <w:numPr>
          <w:ilvl w:val="0"/>
          <w:numId w:val="29"/>
        </w:numPr>
        <w:tabs>
          <w:tab w:val="left" w:pos="284"/>
          <w:tab w:val="left" w:pos="426"/>
        </w:tabs>
        <w:spacing w:after="120" w:line="240" w:lineRule="auto"/>
        <w:ind w:left="284" w:hanging="284"/>
        <w:jc w:val="both"/>
        <w:rPr>
          <w:rFonts w:eastAsia="Arial Unicode MS" w:cs="Times New Roman"/>
          <w:color w:val="17365D"/>
          <w:szCs w:val="24"/>
        </w:rPr>
      </w:pPr>
      <w:r w:rsidRPr="008F51F1">
        <w:rPr>
          <w:rFonts w:eastAsia="Arial Unicode MS" w:cs="Times New Roman"/>
          <w:color w:val="17365D"/>
          <w:szCs w:val="24"/>
        </w:rPr>
        <w:lastRenderedPageBreak/>
        <w:t>Iekšlietu ministrijai 16</w:t>
      </w:r>
      <w:r>
        <w:rPr>
          <w:rFonts w:eastAsia="Arial Unicode MS" w:cs="Times New Roman"/>
          <w:color w:val="17365D"/>
          <w:szCs w:val="24"/>
        </w:rPr>
        <w:t> </w:t>
      </w:r>
      <w:r w:rsidRPr="008F51F1">
        <w:rPr>
          <w:rFonts w:eastAsia="Arial Unicode MS" w:cs="Times New Roman"/>
          <w:color w:val="17365D"/>
          <w:szCs w:val="24"/>
        </w:rPr>
        <w:t>969</w:t>
      </w:r>
      <w:r>
        <w:rPr>
          <w:rFonts w:eastAsia="Arial Unicode MS" w:cs="Times New Roman"/>
          <w:color w:val="17365D"/>
          <w:szCs w:val="24"/>
        </w:rPr>
        <w:t> </w:t>
      </w:r>
      <w:r w:rsidRPr="008F51F1">
        <w:rPr>
          <w:rFonts w:eastAsia="Arial Unicode MS" w:cs="Times New Roman"/>
          <w:color w:val="17365D"/>
          <w:szCs w:val="24"/>
        </w:rPr>
        <w:t>015</w:t>
      </w:r>
      <w:r>
        <w:rPr>
          <w:rFonts w:eastAsia="Arial Unicode MS" w:cs="Times New Roman"/>
          <w:color w:val="17365D"/>
          <w:szCs w:val="24"/>
        </w:rPr>
        <w:t xml:space="preserve"> </w:t>
      </w:r>
      <w:r w:rsidRPr="00415428">
        <w:rPr>
          <w:rFonts w:eastAsia="Arial Unicode MS" w:cs="Times New Roman"/>
          <w:i/>
          <w:color w:val="17365D"/>
          <w:szCs w:val="24"/>
        </w:rPr>
        <w:t>euro</w:t>
      </w:r>
      <w:r w:rsidRPr="008F51F1">
        <w:rPr>
          <w:rFonts w:eastAsia="Arial Unicode MS" w:cs="Times New Roman"/>
          <w:color w:val="17365D"/>
          <w:szCs w:val="24"/>
        </w:rPr>
        <w:t xml:space="preserve"> vērtībā saistīts ar atzītiem procentu izdevumiem, kas radušies izdienas pensiju uzkrājumu diskontēšanas rezultātā;</w:t>
      </w:r>
    </w:p>
    <w:p w14:paraId="44F2E2E7" w14:textId="77777777" w:rsidR="00D74371" w:rsidRPr="008F51F1" w:rsidRDefault="00D74371" w:rsidP="00146A16">
      <w:pPr>
        <w:numPr>
          <w:ilvl w:val="0"/>
          <w:numId w:val="29"/>
        </w:numPr>
        <w:tabs>
          <w:tab w:val="left" w:pos="284"/>
          <w:tab w:val="left" w:pos="426"/>
        </w:tabs>
        <w:spacing w:after="120" w:line="240" w:lineRule="auto"/>
        <w:ind w:left="284" w:hanging="284"/>
        <w:jc w:val="both"/>
        <w:rPr>
          <w:rFonts w:eastAsia="Arial Unicode MS" w:cs="Times New Roman"/>
          <w:color w:val="17365D"/>
          <w:szCs w:val="24"/>
        </w:rPr>
      </w:pPr>
      <w:r w:rsidRPr="008F51F1">
        <w:rPr>
          <w:rFonts w:eastAsia="Arial Unicode MS" w:cs="Times New Roman"/>
          <w:color w:val="17365D"/>
          <w:szCs w:val="24"/>
        </w:rPr>
        <w:t>Labklājības ministrijai 14</w:t>
      </w:r>
      <w:r>
        <w:rPr>
          <w:rFonts w:eastAsia="Arial Unicode MS" w:cs="Times New Roman"/>
          <w:color w:val="17365D"/>
          <w:szCs w:val="24"/>
        </w:rPr>
        <w:t> </w:t>
      </w:r>
      <w:r w:rsidRPr="008F51F1">
        <w:rPr>
          <w:rFonts w:eastAsia="Arial Unicode MS" w:cs="Times New Roman"/>
          <w:color w:val="17365D"/>
          <w:szCs w:val="24"/>
        </w:rPr>
        <w:t>654</w:t>
      </w:r>
      <w:r>
        <w:rPr>
          <w:rFonts w:eastAsia="Arial Unicode MS" w:cs="Times New Roman"/>
          <w:color w:val="17365D"/>
          <w:szCs w:val="24"/>
        </w:rPr>
        <w:t> </w:t>
      </w:r>
      <w:r w:rsidRPr="008F51F1">
        <w:rPr>
          <w:rFonts w:eastAsia="Arial Unicode MS" w:cs="Times New Roman"/>
          <w:color w:val="17365D"/>
          <w:szCs w:val="24"/>
        </w:rPr>
        <w:t xml:space="preserve">234 </w:t>
      </w:r>
      <w:r w:rsidRPr="00415428">
        <w:rPr>
          <w:rFonts w:eastAsia="Arial Unicode MS" w:cs="Times New Roman"/>
          <w:i/>
          <w:color w:val="17365D"/>
          <w:szCs w:val="24"/>
        </w:rPr>
        <w:t>euro</w:t>
      </w:r>
      <w:r w:rsidRPr="008F51F1">
        <w:rPr>
          <w:rFonts w:eastAsia="Arial Unicode MS" w:cs="Times New Roman"/>
          <w:color w:val="17365D"/>
          <w:szCs w:val="24"/>
        </w:rPr>
        <w:t xml:space="preserve"> vērtībā saistīts ar atzītiem procentu izdevumiem, kas radušies izdienas pensiju uzkrājumu diskontēšanas rezultātā; </w:t>
      </w:r>
    </w:p>
    <w:p w14:paraId="34F799ED" w14:textId="13EE769A" w:rsidR="00D74371" w:rsidRPr="008F51F1" w:rsidRDefault="00D74371" w:rsidP="00D74371">
      <w:pPr>
        <w:spacing w:after="120" w:line="240" w:lineRule="auto"/>
        <w:ind w:firstLine="284"/>
        <w:jc w:val="both"/>
        <w:rPr>
          <w:rFonts w:eastAsia="Arial Unicode MS" w:cs="Times New Roman"/>
          <w:color w:val="17365D"/>
          <w:szCs w:val="24"/>
        </w:rPr>
      </w:pPr>
      <w:r>
        <w:rPr>
          <w:rFonts w:eastAsia="Arial Unicode MS" w:cs="Times New Roman"/>
          <w:color w:val="17365D"/>
          <w:szCs w:val="24"/>
        </w:rPr>
        <w:t>S</w:t>
      </w:r>
      <w:r w:rsidRPr="008F51F1">
        <w:rPr>
          <w:rFonts w:eastAsia="Arial Unicode MS" w:cs="Times New Roman"/>
          <w:color w:val="17365D"/>
          <w:szCs w:val="24"/>
        </w:rPr>
        <w:t>amazinājums šajā postenī</w:t>
      </w:r>
      <w:r>
        <w:rPr>
          <w:rFonts w:eastAsia="Arial Unicode MS" w:cs="Times New Roman"/>
          <w:color w:val="17365D"/>
          <w:szCs w:val="24"/>
        </w:rPr>
        <w:t xml:space="preserve"> bija</w:t>
      </w:r>
      <w:r w:rsidRPr="008F51F1">
        <w:rPr>
          <w:rFonts w:eastAsia="Arial Unicode MS" w:cs="Times New Roman"/>
          <w:color w:val="17365D"/>
          <w:szCs w:val="24"/>
        </w:rPr>
        <w:t xml:space="preserve"> </w:t>
      </w:r>
      <w:r>
        <w:rPr>
          <w:rFonts w:eastAsia="Arial Unicode MS" w:cs="Times New Roman"/>
          <w:color w:val="17365D"/>
          <w:szCs w:val="24"/>
        </w:rPr>
        <w:t>v</w:t>
      </w:r>
      <w:r w:rsidRPr="008F51F1">
        <w:rPr>
          <w:rFonts w:eastAsia="Arial Unicode MS" w:cs="Times New Roman"/>
          <w:color w:val="17365D"/>
          <w:szCs w:val="24"/>
        </w:rPr>
        <w:t xml:space="preserve">alsts budžeta finanšu uzskaitē </w:t>
      </w:r>
      <w:r>
        <w:rPr>
          <w:rFonts w:eastAsia="Arial Unicode MS" w:cs="Times New Roman"/>
          <w:color w:val="17365D"/>
          <w:szCs w:val="24"/>
        </w:rPr>
        <w:t>(</w:t>
      </w:r>
      <w:r w:rsidRPr="008F51F1">
        <w:rPr>
          <w:rFonts w:eastAsia="Arial Unicode MS" w:cs="Times New Roman"/>
          <w:color w:val="17365D"/>
          <w:szCs w:val="24"/>
        </w:rPr>
        <w:t>7</w:t>
      </w:r>
      <w:r>
        <w:rPr>
          <w:rFonts w:eastAsia="Arial Unicode MS" w:cs="Times New Roman"/>
          <w:color w:val="17365D"/>
          <w:szCs w:val="24"/>
        </w:rPr>
        <w:t> </w:t>
      </w:r>
      <w:r w:rsidRPr="008F51F1">
        <w:rPr>
          <w:rFonts w:eastAsia="Arial Unicode MS" w:cs="Times New Roman"/>
          <w:color w:val="17365D"/>
          <w:szCs w:val="24"/>
        </w:rPr>
        <w:t>160</w:t>
      </w:r>
      <w:r>
        <w:rPr>
          <w:rFonts w:eastAsia="Arial Unicode MS" w:cs="Times New Roman"/>
          <w:color w:val="17365D"/>
          <w:szCs w:val="24"/>
        </w:rPr>
        <w:t> </w:t>
      </w:r>
      <w:r w:rsidRPr="008F51F1">
        <w:rPr>
          <w:rFonts w:eastAsia="Arial Unicode MS" w:cs="Times New Roman"/>
          <w:color w:val="17365D"/>
          <w:szCs w:val="24"/>
        </w:rPr>
        <w:t>734</w:t>
      </w:r>
      <w:r>
        <w:rPr>
          <w:rFonts w:eastAsia="Arial Unicode MS" w:cs="Times New Roman"/>
          <w:color w:val="17365D"/>
          <w:szCs w:val="24"/>
        </w:rPr>
        <w:t>)</w:t>
      </w:r>
      <w:r w:rsidRPr="008F51F1">
        <w:rPr>
          <w:rFonts w:eastAsia="Arial Unicode MS" w:cs="Times New Roman"/>
          <w:color w:val="17365D"/>
          <w:szCs w:val="24"/>
        </w:rPr>
        <w:t xml:space="preserve"> </w:t>
      </w:r>
      <w:r w:rsidRPr="00415428">
        <w:rPr>
          <w:rFonts w:eastAsia="Arial Unicode MS" w:cs="Times New Roman"/>
          <w:i/>
          <w:color w:val="17365D"/>
          <w:szCs w:val="24"/>
        </w:rPr>
        <w:t>euro</w:t>
      </w:r>
      <w:r w:rsidRPr="008F51F1">
        <w:rPr>
          <w:rFonts w:eastAsia="Arial Unicode MS" w:cs="Times New Roman"/>
          <w:color w:val="17365D"/>
          <w:szCs w:val="24"/>
        </w:rPr>
        <w:t xml:space="preserve"> vērtībā</w:t>
      </w:r>
      <w:r w:rsidR="00661E03">
        <w:rPr>
          <w:rFonts w:eastAsia="Arial Unicode MS" w:cs="Times New Roman"/>
          <w:color w:val="17365D"/>
          <w:szCs w:val="24"/>
        </w:rPr>
        <w:t>, kas</w:t>
      </w:r>
      <w:r w:rsidRPr="008F51F1">
        <w:rPr>
          <w:rFonts w:eastAsia="Arial Unicode MS" w:cs="Times New Roman"/>
          <w:color w:val="17365D"/>
          <w:szCs w:val="24"/>
        </w:rPr>
        <w:t xml:space="preserve"> saistīts ar </w:t>
      </w:r>
      <w:r>
        <w:rPr>
          <w:rFonts w:eastAsia="Arial Unicode MS" w:cs="Times New Roman"/>
          <w:color w:val="17365D"/>
          <w:szCs w:val="24"/>
        </w:rPr>
        <w:t xml:space="preserve">procentu </w:t>
      </w:r>
      <w:r w:rsidRPr="008F51F1">
        <w:rPr>
          <w:rFonts w:eastAsia="Arial Unicode MS" w:cs="Times New Roman"/>
          <w:color w:val="17365D"/>
          <w:szCs w:val="24"/>
        </w:rPr>
        <w:t>izdevum</w:t>
      </w:r>
      <w:r>
        <w:rPr>
          <w:rFonts w:eastAsia="Arial Unicode MS" w:cs="Times New Roman"/>
          <w:color w:val="17365D"/>
          <w:szCs w:val="24"/>
        </w:rPr>
        <w:t>u</w:t>
      </w:r>
      <w:r w:rsidRPr="008F51F1">
        <w:rPr>
          <w:rFonts w:eastAsia="Arial Unicode MS" w:cs="Times New Roman"/>
          <w:color w:val="17365D"/>
          <w:szCs w:val="24"/>
        </w:rPr>
        <w:t xml:space="preserve"> samazinājumu par Valsts kases kontu atlikumiem komercbankās. </w:t>
      </w:r>
    </w:p>
    <w:p w14:paraId="2C8664C5" w14:textId="108205C6" w:rsidR="00D74371" w:rsidRDefault="00566860" w:rsidP="00D74371">
      <w:pPr>
        <w:pStyle w:val="Heading4"/>
        <w:ind w:left="0"/>
      </w:pPr>
      <w:r>
        <w:t>Piezīme Nr.</w:t>
      </w:r>
      <w:r w:rsidR="00126F80">
        <w:t xml:space="preserve"> </w:t>
      </w:r>
      <w:r>
        <w:t>FD</w:t>
      </w:r>
      <w:r w:rsidR="00161C5B">
        <w:t>.</w:t>
      </w:r>
      <w:r w:rsidR="00D74371">
        <w:t xml:space="preserve">A.31 </w:t>
      </w:r>
      <w:r w:rsidR="00D74371" w:rsidRPr="00441B8C">
        <w:t>Pārējie izdevumi, kas nav klasificēti A21 līdz A30 rindā</w:t>
      </w:r>
    </w:p>
    <w:p w14:paraId="3AD4A339" w14:textId="77777777" w:rsidR="00D74371" w:rsidRPr="002A75F3" w:rsidRDefault="00D74371" w:rsidP="00D74371">
      <w:pPr>
        <w:spacing w:before="240" w:after="120" w:line="240" w:lineRule="auto"/>
        <w:jc w:val="both"/>
        <w:rPr>
          <w:rFonts w:eastAsia="Arial Unicode MS" w:cs="Times New Roman"/>
          <w:color w:val="17365D"/>
          <w:szCs w:val="24"/>
        </w:rPr>
      </w:pPr>
      <w:r w:rsidRPr="002A75F3">
        <w:rPr>
          <w:rFonts w:eastAsia="Arial Unicode MS" w:cs="Times New Roman"/>
          <w:color w:val="17365D"/>
          <w:szCs w:val="24"/>
        </w:rPr>
        <w:t>FD.A31. postenī</w:t>
      </w:r>
      <w:r>
        <w:rPr>
          <w:rFonts w:eastAsia="Arial Unicode MS" w:cs="Times New Roman"/>
          <w:color w:val="17365D"/>
          <w:szCs w:val="24"/>
        </w:rPr>
        <w:t xml:space="preserve"> iekļauti izdevumi</w:t>
      </w:r>
      <w:r w:rsidRPr="002A75F3">
        <w:rPr>
          <w:rFonts w:eastAsia="Arial Unicode MS" w:cs="Times New Roman"/>
          <w:color w:val="17365D"/>
          <w:szCs w:val="24"/>
        </w:rPr>
        <w:t xml:space="preserve">, </w:t>
      </w:r>
      <w:r>
        <w:rPr>
          <w:rFonts w:eastAsia="Arial Unicode MS" w:cs="Times New Roman"/>
          <w:color w:val="17365D"/>
          <w:szCs w:val="24"/>
        </w:rPr>
        <w:t>kas no</w:t>
      </w:r>
      <w:r w:rsidRPr="002A75F3">
        <w:rPr>
          <w:rFonts w:eastAsia="Arial Unicode MS" w:cs="Times New Roman"/>
          <w:color w:val="17365D"/>
          <w:szCs w:val="24"/>
        </w:rPr>
        <w:t>rādīt</w:t>
      </w:r>
      <w:r>
        <w:rPr>
          <w:rFonts w:eastAsia="Arial Unicode MS" w:cs="Times New Roman"/>
          <w:color w:val="17365D"/>
          <w:szCs w:val="24"/>
        </w:rPr>
        <w:t>i</w:t>
      </w:r>
      <w:r w:rsidRPr="002A75F3">
        <w:rPr>
          <w:rFonts w:eastAsia="Arial Unicode MS" w:cs="Times New Roman"/>
          <w:color w:val="17365D"/>
          <w:szCs w:val="24"/>
        </w:rPr>
        <w:t xml:space="preserve"> </w:t>
      </w:r>
      <w:r w:rsidRPr="00587C02">
        <w:rPr>
          <w:rFonts w:eastAsia="Arial Unicode MS" w:cs="Times New Roman"/>
          <w:color w:val="17365D"/>
          <w:szCs w:val="24"/>
        </w:rPr>
        <w:t>2.8. </w:t>
      </w:r>
      <w:r>
        <w:rPr>
          <w:rFonts w:eastAsia="Arial Unicode MS" w:cs="Times New Roman"/>
          <w:color w:val="17365D"/>
          <w:szCs w:val="24"/>
        </w:rPr>
        <w:t xml:space="preserve">un 2.9. </w:t>
      </w:r>
      <w:r w:rsidRPr="00587C02">
        <w:rPr>
          <w:rFonts w:eastAsia="Arial Unicode MS" w:cs="Times New Roman"/>
          <w:color w:val="17365D"/>
          <w:szCs w:val="24"/>
        </w:rPr>
        <w:t>tabulā</w:t>
      </w:r>
      <w:r>
        <w:rPr>
          <w:rFonts w:eastAsia="Arial Unicode MS" w:cs="Times New Roman"/>
          <w:color w:val="17365D"/>
          <w:szCs w:val="24"/>
        </w:rPr>
        <w:t>.</w:t>
      </w:r>
    </w:p>
    <w:p w14:paraId="0A868A64" w14:textId="77777777" w:rsidR="00D74371" w:rsidRDefault="00D74371" w:rsidP="00D74371">
      <w:pPr>
        <w:spacing w:after="0"/>
        <w:jc w:val="right"/>
        <w:rPr>
          <w:rFonts w:eastAsia="Arial Unicode MS" w:cs="Times New Roman"/>
          <w:i/>
          <w:color w:val="17365D"/>
          <w:sz w:val="20"/>
          <w:szCs w:val="24"/>
        </w:rPr>
      </w:pPr>
      <w:r>
        <w:rPr>
          <w:rFonts w:eastAsia="Arial Unicode MS" w:cs="Times New Roman"/>
          <w:i/>
          <w:color w:val="17365D"/>
          <w:sz w:val="20"/>
          <w:szCs w:val="24"/>
        </w:rPr>
        <w:t>2.8</w:t>
      </w:r>
      <w:r w:rsidRPr="002A75F3">
        <w:rPr>
          <w:rFonts w:eastAsia="Arial Unicode MS" w:cs="Times New Roman"/>
          <w:i/>
          <w:color w:val="17365D"/>
          <w:sz w:val="20"/>
          <w:szCs w:val="24"/>
        </w:rPr>
        <w:t>. tabula. Citi izdevumi (euro)</w:t>
      </w:r>
    </w:p>
    <w:tbl>
      <w:tblPr>
        <w:tblW w:w="9351" w:type="dxa"/>
        <w:tblInd w:w="5" w:type="dxa"/>
        <w:tblLook w:val="04A0" w:firstRow="1" w:lastRow="0" w:firstColumn="1" w:lastColumn="0" w:noHBand="0" w:noVBand="1"/>
      </w:tblPr>
      <w:tblGrid>
        <w:gridCol w:w="4815"/>
        <w:gridCol w:w="2762"/>
        <w:gridCol w:w="1774"/>
      </w:tblGrid>
      <w:tr w:rsidR="00D74371" w:rsidRPr="002A75F3" w14:paraId="4A6DF87F" w14:textId="77777777" w:rsidTr="00DD013E">
        <w:trPr>
          <w:trHeight w:val="510"/>
          <w:tblHeader/>
        </w:trPr>
        <w:tc>
          <w:tcPr>
            <w:tcW w:w="4815" w:type="dxa"/>
            <w:tcBorders>
              <w:top w:val="nil"/>
              <w:bottom w:val="single" w:sz="4" w:space="0" w:color="17365D"/>
            </w:tcBorders>
            <w:shd w:val="clear" w:color="auto" w:fill="B8CCE4" w:themeFill="accent1" w:themeFillTint="66"/>
            <w:vAlign w:val="center"/>
            <w:hideMark/>
          </w:tcPr>
          <w:p w14:paraId="6677D925" w14:textId="77777777" w:rsidR="00D74371" w:rsidRPr="002A75F3" w:rsidRDefault="00D74371" w:rsidP="00D74371">
            <w:pPr>
              <w:spacing w:after="0" w:line="240" w:lineRule="auto"/>
              <w:jc w:val="center"/>
              <w:rPr>
                <w:rFonts w:eastAsia="Arial Unicode MS" w:cs="Times New Roman"/>
                <w:b/>
                <w:color w:val="17365D"/>
                <w:sz w:val="18"/>
                <w:szCs w:val="18"/>
              </w:rPr>
            </w:pPr>
            <w:r w:rsidRPr="002A75F3">
              <w:rPr>
                <w:rFonts w:eastAsia="Arial Unicode MS" w:cs="Times New Roman"/>
                <w:b/>
                <w:color w:val="17365D"/>
                <w:sz w:val="18"/>
                <w:szCs w:val="18"/>
              </w:rPr>
              <w:t>Darījuma apraksts</w:t>
            </w:r>
          </w:p>
        </w:tc>
        <w:tc>
          <w:tcPr>
            <w:tcW w:w="2762" w:type="dxa"/>
            <w:tcBorders>
              <w:top w:val="nil"/>
              <w:bottom w:val="single" w:sz="4" w:space="0" w:color="17365D"/>
            </w:tcBorders>
            <w:shd w:val="clear" w:color="auto" w:fill="B8CCE4" w:themeFill="accent1" w:themeFillTint="66"/>
            <w:vAlign w:val="center"/>
            <w:hideMark/>
          </w:tcPr>
          <w:p w14:paraId="1ED250D6" w14:textId="77777777" w:rsidR="00D74371" w:rsidRPr="002A75F3" w:rsidRDefault="00D74371" w:rsidP="00D74371">
            <w:pPr>
              <w:spacing w:after="0" w:line="240" w:lineRule="auto"/>
              <w:jc w:val="center"/>
              <w:rPr>
                <w:rFonts w:eastAsia="Arial Unicode MS" w:cs="Times New Roman"/>
                <w:b/>
                <w:color w:val="17365D"/>
                <w:sz w:val="18"/>
                <w:szCs w:val="18"/>
              </w:rPr>
            </w:pPr>
            <w:r w:rsidRPr="002A75F3">
              <w:rPr>
                <w:rFonts w:eastAsia="Arial Unicode MS" w:cs="Times New Roman"/>
                <w:b/>
                <w:color w:val="17365D"/>
                <w:sz w:val="18"/>
                <w:szCs w:val="18"/>
              </w:rPr>
              <w:t>Pārskata periodā</w:t>
            </w:r>
          </w:p>
        </w:tc>
        <w:tc>
          <w:tcPr>
            <w:tcW w:w="1774" w:type="dxa"/>
            <w:tcBorders>
              <w:top w:val="nil"/>
              <w:bottom w:val="single" w:sz="4" w:space="0" w:color="17365D"/>
            </w:tcBorders>
            <w:shd w:val="clear" w:color="auto" w:fill="B8CCE4" w:themeFill="accent1" w:themeFillTint="66"/>
            <w:vAlign w:val="center"/>
          </w:tcPr>
          <w:p w14:paraId="0573E6E8" w14:textId="77777777" w:rsidR="00D74371" w:rsidRPr="002A75F3" w:rsidRDefault="00D74371" w:rsidP="00D74371">
            <w:pPr>
              <w:spacing w:after="0" w:line="240" w:lineRule="auto"/>
              <w:jc w:val="center"/>
              <w:rPr>
                <w:rFonts w:eastAsia="Arial Unicode MS" w:cs="Times New Roman"/>
                <w:b/>
                <w:color w:val="17365D"/>
                <w:sz w:val="18"/>
                <w:szCs w:val="18"/>
              </w:rPr>
            </w:pPr>
            <w:r w:rsidRPr="002A75F3">
              <w:rPr>
                <w:rFonts w:eastAsia="Arial Unicode MS" w:cs="Times New Roman"/>
                <w:b/>
                <w:color w:val="17365D"/>
                <w:sz w:val="18"/>
                <w:szCs w:val="18"/>
              </w:rPr>
              <w:t>Iepriekšējā pārskata periodā</w:t>
            </w:r>
          </w:p>
        </w:tc>
      </w:tr>
      <w:tr w:rsidR="00D74371" w:rsidRPr="002A75F3" w14:paraId="5C8327C4" w14:textId="77777777" w:rsidTr="00DD013E">
        <w:trPr>
          <w:trHeight w:val="255"/>
          <w:tblHeader/>
        </w:trPr>
        <w:tc>
          <w:tcPr>
            <w:tcW w:w="4815" w:type="dxa"/>
            <w:tcBorders>
              <w:top w:val="single" w:sz="4" w:space="0" w:color="17365D"/>
              <w:bottom w:val="single" w:sz="4" w:space="0" w:color="17365D"/>
            </w:tcBorders>
            <w:shd w:val="clear" w:color="auto" w:fill="auto"/>
            <w:vAlign w:val="center"/>
            <w:hideMark/>
          </w:tcPr>
          <w:p w14:paraId="77E2EC09" w14:textId="77777777" w:rsidR="00D74371" w:rsidRPr="002A75F3" w:rsidRDefault="00D74371" w:rsidP="00D74371">
            <w:pPr>
              <w:spacing w:after="0" w:line="240" w:lineRule="auto"/>
              <w:jc w:val="center"/>
              <w:rPr>
                <w:rFonts w:eastAsia="Arial Unicode MS" w:cs="Times New Roman"/>
                <w:b/>
                <w:color w:val="17365D"/>
                <w:sz w:val="18"/>
                <w:szCs w:val="18"/>
              </w:rPr>
            </w:pPr>
            <w:r w:rsidRPr="002A75F3">
              <w:rPr>
                <w:rFonts w:eastAsia="Arial Unicode MS" w:cs="Times New Roman"/>
                <w:b/>
                <w:color w:val="17365D"/>
                <w:sz w:val="18"/>
                <w:szCs w:val="18"/>
              </w:rPr>
              <w:t>A</w:t>
            </w:r>
          </w:p>
        </w:tc>
        <w:tc>
          <w:tcPr>
            <w:tcW w:w="2762" w:type="dxa"/>
            <w:tcBorders>
              <w:top w:val="single" w:sz="4" w:space="0" w:color="17365D"/>
              <w:bottom w:val="single" w:sz="4" w:space="0" w:color="17365D"/>
            </w:tcBorders>
            <w:shd w:val="clear" w:color="auto" w:fill="auto"/>
            <w:vAlign w:val="center"/>
            <w:hideMark/>
          </w:tcPr>
          <w:p w14:paraId="5786158C" w14:textId="77777777" w:rsidR="00D74371" w:rsidRPr="002A75F3" w:rsidRDefault="00D74371" w:rsidP="00D74371">
            <w:pPr>
              <w:spacing w:after="0" w:line="240" w:lineRule="auto"/>
              <w:jc w:val="center"/>
              <w:rPr>
                <w:rFonts w:eastAsia="Arial Unicode MS" w:cs="Times New Roman"/>
                <w:b/>
                <w:color w:val="17365D"/>
                <w:sz w:val="18"/>
                <w:szCs w:val="18"/>
              </w:rPr>
            </w:pPr>
            <w:r w:rsidRPr="002A75F3">
              <w:rPr>
                <w:rFonts w:eastAsia="Arial Unicode MS" w:cs="Times New Roman"/>
                <w:b/>
                <w:color w:val="17365D"/>
                <w:sz w:val="18"/>
                <w:szCs w:val="18"/>
              </w:rPr>
              <w:t>1</w:t>
            </w:r>
          </w:p>
        </w:tc>
        <w:tc>
          <w:tcPr>
            <w:tcW w:w="1774" w:type="dxa"/>
            <w:tcBorders>
              <w:top w:val="single" w:sz="4" w:space="0" w:color="17365D"/>
              <w:bottom w:val="single" w:sz="4" w:space="0" w:color="17365D"/>
            </w:tcBorders>
          </w:tcPr>
          <w:p w14:paraId="4DF57480" w14:textId="77777777" w:rsidR="00D74371" w:rsidRPr="002A75F3" w:rsidRDefault="00D74371" w:rsidP="00D74371">
            <w:pPr>
              <w:spacing w:after="0" w:line="240" w:lineRule="auto"/>
              <w:jc w:val="center"/>
              <w:rPr>
                <w:rFonts w:eastAsia="Arial Unicode MS" w:cs="Times New Roman"/>
                <w:b/>
                <w:color w:val="17365D"/>
                <w:sz w:val="18"/>
                <w:szCs w:val="18"/>
              </w:rPr>
            </w:pPr>
            <w:r w:rsidRPr="002A75F3">
              <w:rPr>
                <w:rFonts w:eastAsia="Arial Unicode MS" w:cs="Times New Roman"/>
                <w:b/>
                <w:color w:val="17365D"/>
                <w:sz w:val="18"/>
                <w:szCs w:val="18"/>
              </w:rPr>
              <w:t>2</w:t>
            </w:r>
          </w:p>
        </w:tc>
      </w:tr>
      <w:tr w:rsidR="00942883" w:rsidRPr="002A75F3" w14:paraId="384F3138" w14:textId="77777777" w:rsidTr="00DB5DC9">
        <w:trPr>
          <w:trHeight w:val="255"/>
        </w:trPr>
        <w:tc>
          <w:tcPr>
            <w:tcW w:w="4815" w:type="dxa"/>
            <w:tcBorders>
              <w:top w:val="nil"/>
              <w:bottom w:val="single" w:sz="4" w:space="0" w:color="000000"/>
            </w:tcBorders>
            <w:shd w:val="clear" w:color="auto" w:fill="auto"/>
            <w:vAlign w:val="center"/>
          </w:tcPr>
          <w:p w14:paraId="2E997F2B" w14:textId="4F70E352" w:rsidR="00942883" w:rsidRPr="002A75F3" w:rsidRDefault="00942883" w:rsidP="00942883">
            <w:pPr>
              <w:spacing w:after="0" w:line="240" w:lineRule="auto"/>
              <w:rPr>
                <w:rFonts w:eastAsia="Arial Unicode MS" w:cs="Times New Roman"/>
                <w:b/>
                <w:color w:val="17365D"/>
                <w:sz w:val="18"/>
                <w:szCs w:val="18"/>
              </w:rPr>
            </w:pPr>
            <w:r>
              <w:rPr>
                <w:rFonts w:eastAsia="Arial Unicode MS" w:cs="Times New Roman"/>
                <w:b/>
                <w:color w:val="17365D"/>
                <w:sz w:val="18"/>
                <w:szCs w:val="18"/>
              </w:rPr>
              <w:t>Citi</w:t>
            </w:r>
            <w:r w:rsidRPr="002A75F3">
              <w:rPr>
                <w:rFonts w:eastAsia="Arial Unicode MS" w:cs="Times New Roman"/>
                <w:b/>
                <w:color w:val="17365D"/>
                <w:sz w:val="18"/>
                <w:szCs w:val="18"/>
              </w:rPr>
              <w:t xml:space="preserve"> izdevumi</w:t>
            </w:r>
          </w:p>
        </w:tc>
        <w:tc>
          <w:tcPr>
            <w:tcW w:w="2762" w:type="dxa"/>
            <w:tcBorders>
              <w:top w:val="single" w:sz="4" w:space="0" w:color="000000"/>
              <w:left w:val="nil"/>
              <w:bottom w:val="single" w:sz="4" w:space="0" w:color="000000"/>
              <w:right w:val="nil"/>
            </w:tcBorders>
            <w:shd w:val="clear" w:color="auto" w:fill="auto"/>
            <w:vAlign w:val="center"/>
          </w:tcPr>
          <w:p w14:paraId="51B05CDA" w14:textId="6AA343CE" w:rsidR="00942883" w:rsidRPr="00942883" w:rsidRDefault="00942883" w:rsidP="00DB5DC9">
            <w:pPr>
              <w:spacing w:after="0" w:line="240" w:lineRule="auto"/>
              <w:jc w:val="right"/>
              <w:rPr>
                <w:rFonts w:eastAsia="Arial Unicode MS" w:cs="Times New Roman"/>
                <w:b/>
                <w:color w:val="17365D"/>
                <w:sz w:val="18"/>
                <w:szCs w:val="18"/>
              </w:rPr>
            </w:pPr>
            <w:r w:rsidRPr="00942883">
              <w:rPr>
                <w:rFonts w:eastAsia="Arial Unicode MS" w:cs="Times New Roman"/>
                <w:b/>
                <w:color w:val="17365D"/>
                <w:sz w:val="18"/>
                <w:szCs w:val="18"/>
              </w:rPr>
              <w:t>1 087 965 079</w:t>
            </w:r>
          </w:p>
        </w:tc>
        <w:tc>
          <w:tcPr>
            <w:tcW w:w="1774" w:type="dxa"/>
            <w:tcBorders>
              <w:top w:val="single" w:sz="4" w:space="0" w:color="000000"/>
              <w:left w:val="nil"/>
              <w:bottom w:val="single" w:sz="4" w:space="0" w:color="000000"/>
              <w:right w:val="nil"/>
            </w:tcBorders>
            <w:shd w:val="clear" w:color="auto" w:fill="auto"/>
            <w:vAlign w:val="center"/>
          </w:tcPr>
          <w:p w14:paraId="75E6F4ED" w14:textId="399733A5" w:rsidR="00942883" w:rsidRPr="00942883" w:rsidRDefault="00942883" w:rsidP="00DB5DC9">
            <w:pPr>
              <w:spacing w:after="0" w:line="240" w:lineRule="auto"/>
              <w:jc w:val="right"/>
              <w:rPr>
                <w:rFonts w:eastAsia="Arial Unicode MS" w:cs="Times New Roman"/>
                <w:b/>
                <w:color w:val="17365D"/>
                <w:sz w:val="18"/>
                <w:szCs w:val="18"/>
              </w:rPr>
            </w:pPr>
            <w:r w:rsidRPr="00942883">
              <w:rPr>
                <w:rFonts w:eastAsia="Arial Unicode MS" w:cs="Times New Roman"/>
                <w:b/>
                <w:color w:val="17365D"/>
                <w:sz w:val="18"/>
                <w:szCs w:val="18"/>
              </w:rPr>
              <w:t>1 592 528 689</w:t>
            </w:r>
          </w:p>
        </w:tc>
      </w:tr>
      <w:tr w:rsidR="00942883" w:rsidRPr="002A75F3" w14:paraId="75A7EDE0" w14:textId="77777777" w:rsidTr="00DB5DC9">
        <w:trPr>
          <w:trHeight w:val="255"/>
        </w:trPr>
        <w:tc>
          <w:tcPr>
            <w:tcW w:w="4815" w:type="dxa"/>
            <w:tcBorders>
              <w:top w:val="single" w:sz="4" w:space="0" w:color="000000"/>
              <w:bottom w:val="single" w:sz="4" w:space="0" w:color="000000"/>
            </w:tcBorders>
            <w:shd w:val="clear" w:color="auto" w:fill="auto"/>
            <w:vAlign w:val="center"/>
          </w:tcPr>
          <w:p w14:paraId="511FF467" w14:textId="77777777" w:rsidR="00942883" w:rsidRPr="002A75F3" w:rsidRDefault="00942883" w:rsidP="00942883">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Izdevumi no prasību, kas nav finanšu instrumenti, norakstīšanas</w:t>
            </w:r>
          </w:p>
        </w:tc>
        <w:tc>
          <w:tcPr>
            <w:tcW w:w="2762" w:type="dxa"/>
            <w:tcBorders>
              <w:top w:val="nil"/>
              <w:left w:val="nil"/>
              <w:bottom w:val="single" w:sz="4" w:space="0" w:color="000000"/>
              <w:right w:val="nil"/>
            </w:tcBorders>
            <w:shd w:val="clear" w:color="auto" w:fill="auto"/>
            <w:vAlign w:val="center"/>
          </w:tcPr>
          <w:p w14:paraId="51F0030F" w14:textId="720110D1"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14 673 672</w:t>
            </w:r>
          </w:p>
        </w:tc>
        <w:tc>
          <w:tcPr>
            <w:tcW w:w="1774" w:type="dxa"/>
            <w:tcBorders>
              <w:top w:val="nil"/>
              <w:left w:val="nil"/>
              <w:bottom w:val="single" w:sz="4" w:space="0" w:color="000000"/>
              <w:right w:val="nil"/>
            </w:tcBorders>
            <w:shd w:val="clear" w:color="auto" w:fill="auto"/>
            <w:vAlign w:val="center"/>
          </w:tcPr>
          <w:p w14:paraId="7FB24903" w14:textId="46B5C380"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19 616 970</w:t>
            </w:r>
          </w:p>
        </w:tc>
      </w:tr>
      <w:tr w:rsidR="00942883" w:rsidRPr="002A75F3" w14:paraId="4F2DAA87" w14:textId="77777777" w:rsidTr="00DB5DC9">
        <w:trPr>
          <w:trHeight w:val="255"/>
        </w:trPr>
        <w:tc>
          <w:tcPr>
            <w:tcW w:w="4815" w:type="dxa"/>
            <w:tcBorders>
              <w:top w:val="single" w:sz="4" w:space="0" w:color="000000"/>
              <w:bottom w:val="single" w:sz="4" w:space="0" w:color="000000"/>
            </w:tcBorders>
            <w:shd w:val="clear" w:color="auto" w:fill="auto"/>
            <w:vAlign w:val="center"/>
            <w:hideMark/>
          </w:tcPr>
          <w:p w14:paraId="465D98E5" w14:textId="77777777" w:rsidR="00942883" w:rsidRPr="002A75F3" w:rsidRDefault="00942883" w:rsidP="00942883">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Izdevumi no nefinanšu aktīvu norakstīšanas un likvidēšanas</w:t>
            </w:r>
          </w:p>
        </w:tc>
        <w:tc>
          <w:tcPr>
            <w:tcW w:w="2762" w:type="dxa"/>
            <w:tcBorders>
              <w:top w:val="nil"/>
              <w:left w:val="nil"/>
              <w:bottom w:val="single" w:sz="4" w:space="0" w:color="000000"/>
              <w:right w:val="nil"/>
            </w:tcBorders>
            <w:shd w:val="clear" w:color="auto" w:fill="auto"/>
            <w:vAlign w:val="center"/>
            <w:hideMark/>
          </w:tcPr>
          <w:p w14:paraId="0FBF6009" w14:textId="66F09CED"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145 970 124</w:t>
            </w:r>
          </w:p>
        </w:tc>
        <w:tc>
          <w:tcPr>
            <w:tcW w:w="1774" w:type="dxa"/>
            <w:tcBorders>
              <w:top w:val="nil"/>
              <w:left w:val="nil"/>
              <w:bottom w:val="single" w:sz="4" w:space="0" w:color="000000"/>
              <w:right w:val="nil"/>
            </w:tcBorders>
            <w:shd w:val="clear" w:color="auto" w:fill="auto"/>
            <w:vAlign w:val="center"/>
          </w:tcPr>
          <w:p w14:paraId="3BD400C0" w14:textId="0639503F"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271 942 529</w:t>
            </w:r>
          </w:p>
        </w:tc>
      </w:tr>
      <w:tr w:rsidR="00942883" w:rsidRPr="002A75F3" w14:paraId="4DE42DD9" w14:textId="77777777" w:rsidTr="00DB5DC9">
        <w:trPr>
          <w:trHeight w:val="255"/>
        </w:trPr>
        <w:tc>
          <w:tcPr>
            <w:tcW w:w="4815" w:type="dxa"/>
            <w:tcBorders>
              <w:top w:val="single" w:sz="4" w:space="0" w:color="000000"/>
              <w:bottom w:val="single" w:sz="4" w:space="0" w:color="000000"/>
            </w:tcBorders>
            <w:shd w:val="clear" w:color="auto" w:fill="auto"/>
            <w:vAlign w:val="center"/>
            <w:hideMark/>
          </w:tcPr>
          <w:p w14:paraId="25F3E2A6" w14:textId="77777777" w:rsidR="00942883" w:rsidRPr="002A75F3" w:rsidRDefault="00942883" w:rsidP="00942883">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Izdevumi no naudas līdzekļu vai to ekvivalentu iztrūkuma</w:t>
            </w:r>
          </w:p>
        </w:tc>
        <w:tc>
          <w:tcPr>
            <w:tcW w:w="2762" w:type="dxa"/>
            <w:tcBorders>
              <w:top w:val="nil"/>
              <w:left w:val="nil"/>
              <w:bottom w:val="single" w:sz="4" w:space="0" w:color="000000"/>
              <w:right w:val="nil"/>
            </w:tcBorders>
            <w:shd w:val="clear" w:color="auto" w:fill="auto"/>
            <w:vAlign w:val="center"/>
            <w:hideMark/>
          </w:tcPr>
          <w:p w14:paraId="184AB979" w14:textId="20C9ABB9"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101</w:t>
            </w:r>
          </w:p>
        </w:tc>
        <w:tc>
          <w:tcPr>
            <w:tcW w:w="1774" w:type="dxa"/>
            <w:tcBorders>
              <w:top w:val="nil"/>
              <w:left w:val="nil"/>
              <w:bottom w:val="single" w:sz="4" w:space="0" w:color="000000"/>
              <w:right w:val="nil"/>
            </w:tcBorders>
            <w:shd w:val="clear" w:color="auto" w:fill="auto"/>
            <w:vAlign w:val="center"/>
          </w:tcPr>
          <w:p w14:paraId="05BA0F28" w14:textId="32F841C5"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2</w:t>
            </w:r>
          </w:p>
        </w:tc>
      </w:tr>
      <w:tr w:rsidR="00942883" w:rsidRPr="002A75F3" w14:paraId="61DD98DF" w14:textId="77777777" w:rsidTr="00DB5DC9">
        <w:trPr>
          <w:trHeight w:val="510"/>
        </w:trPr>
        <w:tc>
          <w:tcPr>
            <w:tcW w:w="4815" w:type="dxa"/>
            <w:tcBorders>
              <w:top w:val="single" w:sz="4" w:space="0" w:color="000000"/>
              <w:bottom w:val="single" w:sz="4" w:space="0" w:color="000000"/>
            </w:tcBorders>
            <w:shd w:val="clear" w:color="auto" w:fill="auto"/>
            <w:vAlign w:val="center"/>
            <w:hideMark/>
          </w:tcPr>
          <w:p w14:paraId="45BFC023" w14:textId="77777777" w:rsidR="00942883" w:rsidRPr="002A75F3" w:rsidRDefault="00942883" w:rsidP="00942883">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Izdevumi no prasību dzēšanas par nodokļiem, nodevām un citiem maksājumiem budžetos</w:t>
            </w:r>
          </w:p>
        </w:tc>
        <w:tc>
          <w:tcPr>
            <w:tcW w:w="2762" w:type="dxa"/>
            <w:tcBorders>
              <w:top w:val="nil"/>
              <w:left w:val="nil"/>
              <w:bottom w:val="single" w:sz="4" w:space="0" w:color="000000"/>
              <w:right w:val="nil"/>
            </w:tcBorders>
            <w:shd w:val="clear" w:color="auto" w:fill="auto"/>
            <w:vAlign w:val="center"/>
            <w:hideMark/>
          </w:tcPr>
          <w:p w14:paraId="683AE48A" w14:textId="0BDF9D5C"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57 123 708</w:t>
            </w:r>
          </w:p>
        </w:tc>
        <w:tc>
          <w:tcPr>
            <w:tcW w:w="1774" w:type="dxa"/>
            <w:tcBorders>
              <w:top w:val="nil"/>
              <w:left w:val="nil"/>
              <w:bottom w:val="single" w:sz="4" w:space="0" w:color="000000"/>
              <w:right w:val="nil"/>
            </w:tcBorders>
            <w:shd w:val="clear" w:color="auto" w:fill="auto"/>
            <w:vAlign w:val="center"/>
          </w:tcPr>
          <w:p w14:paraId="365E7C91" w14:textId="6D86A7AD"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124 508 334</w:t>
            </w:r>
          </w:p>
        </w:tc>
      </w:tr>
      <w:tr w:rsidR="00942883" w:rsidRPr="002A75F3" w14:paraId="4043A6D4" w14:textId="77777777" w:rsidTr="00DB5DC9">
        <w:trPr>
          <w:trHeight w:val="255"/>
        </w:trPr>
        <w:tc>
          <w:tcPr>
            <w:tcW w:w="4815" w:type="dxa"/>
            <w:tcBorders>
              <w:top w:val="single" w:sz="4" w:space="0" w:color="000000"/>
              <w:bottom w:val="single" w:sz="4" w:space="0" w:color="000000"/>
            </w:tcBorders>
            <w:shd w:val="clear" w:color="auto" w:fill="auto"/>
            <w:vAlign w:val="center"/>
            <w:hideMark/>
          </w:tcPr>
          <w:p w14:paraId="0D3E86D2" w14:textId="77777777" w:rsidR="00942883" w:rsidRPr="002A75F3" w:rsidRDefault="00942883" w:rsidP="00942883">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Izdevumi uzkrājumu veidošanai</w:t>
            </w:r>
          </w:p>
        </w:tc>
        <w:tc>
          <w:tcPr>
            <w:tcW w:w="2762" w:type="dxa"/>
            <w:tcBorders>
              <w:top w:val="nil"/>
              <w:left w:val="nil"/>
              <w:bottom w:val="single" w:sz="4" w:space="0" w:color="000000"/>
              <w:right w:val="nil"/>
            </w:tcBorders>
            <w:shd w:val="clear" w:color="auto" w:fill="auto"/>
            <w:vAlign w:val="center"/>
            <w:hideMark/>
          </w:tcPr>
          <w:p w14:paraId="32C6D7AB" w14:textId="3B90F415"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162 316 059</w:t>
            </w:r>
          </w:p>
        </w:tc>
        <w:tc>
          <w:tcPr>
            <w:tcW w:w="1774" w:type="dxa"/>
            <w:tcBorders>
              <w:top w:val="nil"/>
              <w:left w:val="nil"/>
              <w:bottom w:val="single" w:sz="4" w:space="0" w:color="000000"/>
              <w:right w:val="nil"/>
            </w:tcBorders>
            <w:shd w:val="clear" w:color="auto" w:fill="auto"/>
            <w:vAlign w:val="center"/>
          </w:tcPr>
          <w:p w14:paraId="114C8980" w14:textId="21100E8F"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188 198 955</w:t>
            </w:r>
          </w:p>
        </w:tc>
      </w:tr>
      <w:tr w:rsidR="00942883" w:rsidRPr="002A75F3" w14:paraId="0EBF67EF" w14:textId="77777777" w:rsidTr="00DB5DC9">
        <w:trPr>
          <w:trHeight w:val="765"/>
        </w:trPr>
        <w:tc>
          <w:tcPr>
            <w:tcW w:w="4815" w:type="dxa"/>
            <w:tcBorders>
              <w:top w:val="single" w:sz="4" w:space="0" w:color="000000"/>
              <w:bottom w:val="single" w:sz="4" w:space="0" w:color="000000"/>
            </w:tcBorders>
            <w:shd w:val="clear" w:color="auto" w:fill="auto"/>
            <w:vAlign w:val="center"/>
            <w:hideMark/>
          </w:tcPr>
          <w:p w14:paraId="7E63D6BF" w14:textId="77777777" w:rsidR="00942883" w:rsidRPr="002A75F3" w:rsidRDefault="00942883" w:rsidP="00942883">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Izdevumi no bioloģisko aktīvu lauksaimnieciskajai darbībai un lauksaimniecības produktu sākotnējās atzīšanas un uzskaites vērtības izmaiņām pārskata perioda beigās</w:t>
            </w:r>
          </w:p>
        </w:tc>
        <w:tc>
          <w:tcPr>
            <w:tcW w:w="2762" w:type="dxa"/>
            <w:tcBorders>
              <w:top w:val="nil"/>
              <w:left w:val="nil"/>
              <w:bottom w:val="single" w:sz="4" w:space="0" w:color="000000"/>
              <w:right w:val="nil"/>
            </w:tcBorders>
            <w:shd w:val="clear" w:color="auto" w:fill="auto"/>
            <w:vAlign w:val="center"/>
            <w:hideMark/>
          </w:tcPr>
          <w:p w14:paraId="57326561" w14:textId="4A03BAA4"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24 265 874</w:t>
            </w:r>
          </w:p>
        </w:tc>
        <w:tc>
          <w:tcPr>
            <w:tcW w:w="1774" w:type="dxa"/>
            <w:tcBorders>
              <w:top w:val="nil"/>
              <w:left w:val="nil"/>
              <w:bottom w:val="single" w:sz="4" w:space="0" w:color="000000"/>
              <w:right w:val="nil"/>
            </w:tcBorders>
            <w:shd w:val="clear" w:color="auto" w:fill="auto"/>
            <w:vAlign w:val="center"/>
          </w:tcPr>
          <w:p w14:paraId="43682E27" w14:textId="27200255"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22 167 784</w:t>
            </w:r>
          </w:p>
        </w:tc>
      </w:tr>
      <w:tr w:rsidR="00942883" w:rsidRPr="002A75F3" w14:paraId="58102F09" w14:textId="77777777" w:rsidTr="00DB5DC9">
        <w:trPr>
          <w:trHeight w:val="255"/>
        </w:trPr>
        <w:tc>
          <w:tcPr>
            <w:tcW w:w="4815" w:type="dxa"/>
            <w:tcBorders>
              <w:top w:val="single" w:sz="4" w:space="0" w:color="000000"/>
              <w:bottom w:val="single" w:sz="4" w:space="0" w:color="000000"/>
            </w:tcBorders>
            <w:shd w:val="clear" w:color="auto" w:fill="auto"/>
            <w:vAlign w:val="center"/>
            <w:hideMark/>
          </w:tcPr>
          <w:p w14:paraId="60030687" w14:textId="77777777" w:rsidR="00942883" w:rsidRPr="002A75F3" w:rsidRDefault="00942883" w:rsidP="00942883">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 xml:space="preserve">Izdevumi no ilgtermiņa finanšu ieguldījumu pārvērtēšanas </w:t>
            </w:r>
          </w:p>
        </w:tc>
        <w:tc>
          <w:tcPr>
            <w:tcW w:w="2762" w:type="dxa"/>
            <w:tcBorders>
              <w:top w:val="nil"/>
              <w:left w:val="nil"/>
              <w:bottom w:val="single" w:sz="4" w:space="0" w:color="000000"/>
              <w:right w:val="nil"/>
            </w:tcBorders>
            <w:shd w:val="clear" w:color="auto" w:fill="auto"/>
            <w:vAlign w:val="center"/>
            <w:hideMark/>
          </w:tcPr>
          <w:p w14:paraId="6F1E468D" w14:textId="13290480"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74 459 222</w:t>
            </w:r>
          </w:p>
        </w:tc>
        <w:tc>
          <w:tcPr>
            <w:tcW w:w="1774" w:type="dxa"/>
            <w:tcBorders>
              <w:top w:val="nil"/>
              <w:left w:val="nil"/>
              <w:bottom w:val="single" w:sz="4" w:space="0" w:color="000000"/>
              <w:right w:val="nil"/>
            </w:tcBorders>
            <w:shd w:val="clear" w:color="auto" w:fill="auto"/>
            <w:vAlign w:val="center"/>
          </w:tcPr>
          <w:p w14:paraId="7785836F" w14:textId="7F6C53F7"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202 168 960</w:t>
            </w:r>
          </w:p>
        </w:tc>
      </w:tr>
      <w:tr w:rsidR="00942883" w:rsidRPr="002A75F3" w14:paraId="0C74DF33" w14:textId="77777777" w:rsidTr="00DB5DC9">
        <w:trPr>
          <w:trHeight w:val="510"/>
        </w:trPr>
        <w:tc>
          <w:tcPr>
            <w:tcW w:w="4815" w:type="dxa"/>
            <w:tcBorders>
              <w:top w:val="single" w:sz="4" w:space="0" w:color="000000"/>
              <w:bottom w:val="single" w:sz="4" w:space="0" w:color="000000"/>
            </w:tcBorders>
            <w:shd w:val="clear" w:color="auto" w:fill="auto"/>
            <w:vAlign w:val="center"/>
            <w:hideMark/>
          </w:tcPr>
          <w:p w14:paraId="7FE953E4" w14:textId="77777777" w:rsidR="00942883" w:rsidRPr="002A75F3" w:rsidRDefault="00942883" w:rsidP="00942883">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Izdevumi no asociētu un radniecīgo kapitālsabiedrību kapitāla daļu pārdošanas un izslēgšanas no uzskaites</w:t>
            </w:r>
          </w:p>
        </w:tc>
        <w:tc>
          <w:tcPr>
            <w:tcW w:w="2762" w:type="dxa"/>
            <w:tcBorders>
              <w:top w:val="nil"/>
              <w:left w:val="nil"/>
              <w:bottom w:val="single" w:sz="4" w:space="0" w:color="000000"/>
              <w:right w:val="nil"/>
            </w:tcBorders>
            <w:shd w:val="clear" w:color="auto" w:fill="auto"/>
            <w:vAlign w:val="center"/>
            <w:hideMark/>
          </w:tcPr>
          <w:p w14:paraId="35445A0C" w14:textId="5958D90F"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7 330 327</w:t>
            </w:r>
          </w:p>
        </w:tc>
        <w:tc>
          <w:tcPr>
            <w:tcW w:w="1774" w:type="dxa"/>
            <w:tcBorders>
              <w:top w:val="nil"/>
              <w:left w:val="nil"/>
              <w:bottom w:val="single" w:sz="4" w:space="0" w:color="000000"/>
              <w:right w:val="nil"/>
            </w:tcBorders>
            <w:shd w:val="clear" w:color="auto" w:fill="auto"/>
            <w:vAlign w:val="center"/>
          </w:tcPr>
          <w:p w14:paraId="1A3F60E5" w14:textId="53A8D9E6"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1 555 370</w:t>
            </w:r>
          </w:p>
        </w:tc>
      </w:tr>
      <w:tr w:rsidR="00D74371" w:rsidRPr="002A75F3" w14:paraId="62C66171" w14:textId="77777777" w:rsidTr="00DB5DC9">
        <w:trPr>
          <w:trHeight w:val="510"/>
        </w:trPr>
        <w:tc>
          <w:tcPr>
            <w:tcW w:w="4815" w:type="dxa"/>
            <w:tcBorders>
              <w:top w:val="single" w:sz="4" w:space="0" w:color="000000"/>
              <w:bottom w:val="single" w:sz="4" w:space="0" w:color="000000"/>
            </w:tcBorders>
            <w:shd w:val="clear" w:color="auto" w:fill="auto"/>
            <w:vAlign w:val="center"/>
            <w:hideMark/>
          </w:tcPr>
          <w:p w14:paraId="7AA36F3B" w14:textId="77777777" w:rsidR="00D74371" w:rsidRPr="002A75F3" w:rsidRDefault="00D74371" w:rsidP="00D74371">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Izdevumi no valūtas kursu svārstībām, kas neattiecas uz finanšu instrumentiem</w:t>
            </w:r>
          </w:p>
        </w:tc>
        <w:tc>
          <w:tcPr>
            <w:tcW w:w="2762" w:type="dxa"/>
            <w:tcBorders>
              <w:top w:val="single" w:sz="4" w:space="0" w:color="000000"/>
              <w:bottom w:val="single" w:sz="4" w:space="0" w:color="000000"/>
            </w:tcBorders>
            <w:shd w:val="clear" w:color="auto" w:fill="auto"/>
            <w:vAlign w:val="center"/>
            <w:hideMark/>
          </w:tcPr>
          <w:p w14:paraId="6AEF241D" w14:textId="77777777" w:rsidR="00D74371" w:rsidRPr="002A75F3" w:rsidRDefault="00D74371" w:rsidP="00DB5DC9">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20 946 406</w:t>
            </w:r>
          </w:p>
        </w:tc>
        <w:tc>
          <w:tcPr>
            <w:tcW w:w="1774" w:type="dxa"/>
            <w:tcBorders>
              <w:top w:val="single" w:sz="4" w:space="0" w:color="000000"/>
              <w:bottom w:val="single" w:sz="4" w:space="0" w:color="000000"/>
            </w:tcBorders>
            <w:shd w:val="clear" w:color="auto" w:fill="auto"/>
            <w:vAlign w:val="center"/>
          </w:tcPr>
          <w:p w14:paraId="73496C23" w14:textId="77777777" w:rsidR="00D74371" w:rsidRPr="002A75F3" w:rsidRDefault="00D74371" w:rsidP="00DB5DC9">
            <w:pPr>
              <w:spacing w:after="0" w:line="240" w:lineRule="auto"/>
              <w:jc w:val="right"/>
              <w:rPr>
                <w:rFonts w:eastAsia="Arial Unicode MS" w:cs="Times New Roman"/>
                <w:color w:val="17365D"/>
                <w:sz w:val="18"/>
                <w:szCs w:val="18"/>
              </w:rPr>
            </w:pPr>
            <w:r w:rsidRPr="002A75F3">
              <w:rPr>
                <w:rFonts w:eastAsia="Arial Unicode MS" w:cs="Times New Roman"/>
                <w:color w:val="17365D"/>
                <w:sz w:val="18"/>
                <w:szCs w:val="18"/>
              </w:rPr>
              <w:t>8 698 239</w:t>
            </w:r>
          </w:p>
        </w:tc>
      </w:tr>
      <w:tr w:rsidR="00942883" w:rsidRPr="002A75F3" w14:paraId="30673C0A" w14:textId="77777777" w:rsidTr="00DB5DC9">
        <w:trPr>
          <w:trHeight w:val="255"/>
        </w:trPr>
        <w:tc>
          <w:tcPr>
            <w:tcW w:w="4815" w:type="dxa"/>
            <w:tcBorders>
              <w:top w:val="single" w:sz="4" w:space="0" w:color="000000"/>
              <w:bottom w:val="single" w:sz="4" w:space="0" w:color="17365D"/>
            </w:tcBorders>
            <w:shd w:val="clear" w:color="auto" w:fill="auto"/>
            <w:vAlign w:val="center"/>
            <w:hideMark/>
          </w:tcPr>
          <w:p w14:paraId="6F950716" w14:textId="77777777" w:rsidR="00942883" w:rsidRPr="002A75F3" w:rsidRDefault="00942883" w:rsidP="00942883">
            <w:pPr>
              <w:spacing w:after="0" w:line="240" w:lineRule="auto"/>
              <w:rPr>
                <w:rFonts w:eastAsia="Arial Unicode MS" w:cs="Times New Roman"/>
                <w:color w:val="17365D"/>
                <w:sz w:val="18"/>
                <w:szCs w:val="18"/>
              </w:rPr>
            </w:pPr>
            <w:r w:rsidRPr="002A75F3">
              <w:rPr>
                <w:rFonts w:eastAsia="Arial Unicode MS" w:cs="Times New Roman"/>
                <w:color w:val="17365D"/>
                <w:sz w:val="18"/>
                <w:szCs w:val="18"/>
              </w:rPr>
              <w:t xml:space="preserve">Pārējie darījumi </w:t>
            </w:r>
          </w:p>
        </w:tc>
        <w:tc>
          <w:tcPr>
            <w:tcW w:w="2762" w:type="dxa"/>
            <w:tcBorders>
              <w:top w:val="single" w:sz="4" w:space="0" w:color="000000"/>
              <w:left w:val="nil"/>
              <w:bottom w:val="single" w:sz="4" w:space="0" w:color="000000"/>
              <w:right w:val="nil"/>
            </w:tcBorders>
            <w:shd w:val="clear" w:color="auto" w:fill="auto"/>
            <w:vAlign w:val="center"/>
            <w:hideMark/>
          </w:tcPr>
          <w:p w14:paraId="433DCB6E" w14:textId="5644B28E"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580 879 586</w:t>
            </w:r>
          </w:p>
        </w:tc>
        <w:tc>
          <w:tcPr>
            <w:tcW w:w="1774" w:type="dxa"/>
            <w:tcBorders>
              <w:top w:val="single" w:sz="4" w:space="0" w:color="000000"/>
              <w:left w:val="nil"/>
              <w:bottom w:val="single" w:sz="4" w:space="0" w:color="000000"/>
              <w:right w:val="nil"/>
            </w:tcBorders>
            <w:shd w:val="clear" w:color="auto" w:fill="auto"/>
            <w:vAlign w:val="center"/>
          </w:tcPr>
          <w:p w14:paraId="34B21F4A" w14:textId="4CAB3943" w:rsidR="00942883" w:rsidRPr="002A75F3" w:rsidRDefault="00942883" w:rsidP="00DB5DC9">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753 671 546</w:t>
            </w:r>
          </w:p>
        </w:tc>
      </w:tr>
      <w:tr w:rsidR="00D74371" w:rsidRPr="002A75F3" w14:paraId="35C259B1" w14:textId="77777777" w:rsidTr="00DD013E">
        <w:trPr>
          <w:trHeight w:val="58"/>
        </w:trPr>
        <w:tc>
          <w:tcPr>
            <w:tcW w:w="4815" w:type="dxa"/>
            <w:tcBorders>
              <w:top w:val="single" w:sz="4" w:space="0" w:color="17365D"/>
            </w:tcBorders>
            <w:shd w:val="clear" w:color="auto" w:fill="B8CCE4" w:themeFill="accent1" w:themeFillTint="66"/>
            <w:vAlign w:val="center"/>
          </w:tcPr>
          <w:p w14:paraId="03772387" w14:textId="77777777" w:rsidR="00D74371" w:rsidRPr="00A27896" w:rsidRDefault="00D74371" w:rsidP="00D74371">
            <w:pPr>
              <w:spacing w:after="0" w:line="240" w:lineRule="auto"/>
              <w:rPr>
                <w:rFonts w:eastAsia="Arial Unicode MS" w:cs="Times New Roman"/>
                <w:b/>
                <w:color w:val="17365D"/>
                <w:sz w:val="18"/>
                <w:szCs w:val="18"/>
              </w:rPr>
            </w:pPr>
          </w:p>
        </w:tc>
        <w:tc>
          <w:tcPr>
            <w:tcW w:w="2762" w:type="dxa"/>
            <w:tcBorders>
              <w:top w:val="single" w:sz="4" w:space="0" w:color="17365D"/>
            </w:tcBorders>
            <w:shd w:val="clear" w:color="auto" w:fill="B8CCE4" w:themeFill="accent1" w:themeFillTint="66"/>
            <w:vAlign w:val="center"/>
          </w:tcPr>
          <w:p w14:paraId="0C9AA7FF" w14:textId="77777777" w:rsidR="00D74371" w:rsidRPr="00A27896" w:rsidRDefault="00D74371" w:rsidP="00D74371">
            <w:pPr>
              <w:spacing w:after="0" w:line="240" w:lineRule="auto"/>
              <w:jc w:val="right"/>
              <w:rPr>
                <w:rFonts w:eastAsia="Arial Unicode MS" w:cs="Times New Roman"/>
                <w:b/>
                <w:color w:val="17365D"/>
                <w:sz w:val="18"/>
                <w:szCs w:val="18"/>
              </w:rPr>
            </w:pPr>
          </w:p>
        </w:tc>
        <w:tc>
          <w:tcPr>
            <w:tcW w:w="1774" w:type="dxa"/>
            <w:tcBorders>
              <w:top w:val="single" w:sz="4" w:space="0" w:color="17365D"/>
            </w:tcBorders>
            <w:shd w:val="clear" w:color="auto" w:fill="B8CCE4" w:themeFill="accent1" w:themeFillTint="66"/>
            <w:vAlign w:val="center"/>
          </w:tcPr>
          <w:p w14:paraId="242B8CB9" w14:textId="77777777" w:rsidR="00D74371" w:rsidRPr="00A27896" w:rsidRDefault="00D74371" w:rsidP="00D74371">
            <w:pPr>
              <w:spacing w:after="0" w:line="240" w:lineRule="auto"/>
              <w:jc w:val="right"/>
              <w:rPr>
                <w:rFonts w:eastAsia="Arial Unicode MS" w:cs="Times New Roman"/>
                <w:b/>
                <w:color w:val="17365D"/>
                <w:sz w:val="18"/>
                <w:szCs w:val="18"/>
              </w:rPr>
            </w:pPr>
          </w:p>
        </w:tc>
      </w:tr>
    </w:tbl>
    <w:p w14:paraId="052CA27B" w14:textId="77777777" w:rsidR="006B0E02" w:rsidRPr="00CF0813" w:rsidRDefault="006B0E02" w:rsidP="006B0E02">
      <w:pPr>
        <w:spacing w:after="0"/>
        <w:rPr>
          <w:rFonts w:eastAsia="Arial Unicode MS" w:cs="Times New Roman"/>
          <w:color w:val="17365D"/>
          <w:sz w:val="20"/>
          <w:szCs w:val="24"/>
        </w:rPr>
      </w:pPr>
    </w:p>
    <w:p w14:paraId="18815F74" w14:textId="77777777" w:rsidR="00D74371" w:rsidRDefault="00D74371" w:rsidP="00D74371">
      <w:pPr>
        <w:spacing w:before="120" w:after="120" w:line="240" w:lineRule="auto"/>
        <w:ind w:firstLine="284"/>
        <w:jc w:val="both"/>
        <w:rPr>
          <w:rFonts w:eastAsia="Arial Unicode MS" w:cs="Times New Roman"/>
          <w:color w:val="17365D"/>
          <w:szCs w:val="24"/>
        </w:rPr>
      </w:pPr>
      <w:r w:rsidRPr="00CF0813">
        <w:rPr>
          <w:rFonts w:eastAsia="Arial Unicode MS" w:cs="Times New Roman"/>
          <w:color w:val="17365D"/>
          <w:szCs w:val="24"/>
        </w:rPr>
        <w:t xml:space="preserve">Informācija par </w:t>
      </w:r>
      <w:r w:rsidRPr="00CF0813">
        <w:rPr>
          <w:rFonts w:eastAsia="Times New Roman" w:cs="Times New Roman"/>
          <w:noProof/>
          <w:color w:val="17365D"/>
          <w:szCs w:val="24"/>
          <w:lang w:eastAsia="lv-LV"/>
        </w:rPr>
        <w:t>izdevumiem no aktīvu vērtības samazinājuma</w:t>
      </w:r>
      <w:r w:rsidRPr="00CF0813">
        <w:rPr>
          <w:rFonts w:eastAsia="Arial Unicode MS" w:cs="Times New Roman"/>
          <w:color w:val="17365D"/>
          <w:szCs w:val="24"/>
        </w:rPr>
        <w:t xml:space="preserve"> </w:t>
      </w:r>
      <w:r>
        <w:rPr>
          <w:rFonts w:eastAsia="Arial Unicode MS" w:cs="Times New Roman"/>
          <w:color w:val="17365D"/>
          <w:szCs w:val="24"/>
        </w:rPr>
        <w:t>pa darījuma veidiem no</w:t>
      </w:r>
      <w:r w:rsidRPr="00587C02">
        <w:rPr>
          <w:rFonts w:eastAsia="Arial Unicode MS" w:cs="Times New Roman"/>
          <w:color w:val="17365D"/>
          <w:szCs w:val="24"/>
        </w:rPr>
        <w:t>rādīta 2.9</w:t>
      </w:r>
      <w:r w:rsidRPr="00587C02">
        <w:rPr>
          <w:rFonts w:eastAsia="Times New Roman" w:cs="Times New Roman"/>
          <w:noProof/>
          <w:color w:val="17365D"/>
          <w:szCs w:val="24"/>
          <w:lang w:eastAsia="lv-LV"/>
        </w:rPr>
        <w:t>. tabulā</w:t>
      </w:r>
      <w:r w:rsidRPr="00587C02">
        <w:rPr>
          <w:rFonts w:eastAsia="Arial Unicode MS" w:cs="Times New Roman"/>
          <w:color w:val="17365D"/>
          <w:szCs w:val="24"/>
        </w:rPr>
        <w:t>.</w:t>
      </w:r>
    </w:p>
    <w:p w14:paraId="3637A9ED" w14:textId="77777777" w:rsidR="00D74371" w:rsidRDefault="00D74371" w:rsidP="00D74371">
      <w:pPr>
        <w:spacing w:after="0"/>
        <w:jc w:val="right"/>
        <w:rPr>
          <w:rFonts w:eastAsia="Arial Unicode MS" w:cs="Times New Roman"/>
          <w:i/>
          <w:color w:val="17365D"/>
          <w:sz w:val="20"/>
          <w:szCs w:val="24"/>
        </w:rPr>
      </w:pPr>
      <w:r>
        <w:rPr>
          <w:rFonts w:eastAsia="Arial Unicode MS" w:cs="Times New Roman"/>
          <w:i/>
          <w:color w:val="17365D"/>
          <w:sz w:val="20"/>
          <w:szCs w:val="24"/>
        </w:rPr>
        <w:t>2.9</w:t>
      </w:r>
      <w:r w:rsidRPr="00CF0813">
        <w:rPr>
          <w:rFonts w:eastAsia="Arial Unicode MS" w:cs="Times New Roman"/>
          <w:i/>
          <w:color w:val="17365D"/>
          <w:sz w:val="20"/>
          <w:szCs w:val="24"/>
        </w:rPr>
        <w:t>. tabula. Izdevumiem no aktīvu vērtības samazinājuma (euro)</w:t>
      </w:r>
    </w:p>
    <w:tbl>
      <w:tblPr>
        <w:tblW w:w="9351" w:type="dxa"/>
        <w:tblInd w:w="5" w:type="dxa"/>
        <w:tblLook w:val="04A0" w:firstRow="1" w:lastRow="0" w:firstColumn="1" w:lastColumn="0" w:noHBand="0" w:noVBand="1"/>
      </w:tblPr>
      <w:tblGrid>
        <w:gridCol w:w="4815"/>
        <w:gridCol w:w="2693"/>
        <w:gridCol w:w="1843"/>
      </w:tblGrid>
      <w:tr w:rsidR="00D74371" w:rsidRPr="00CF0813" w14:paraId="7001CFED" w14:textId="77777777" w:rsidTr="00475A10">
        <w:trPr>
          <w:trHeight w:val="255"/>
        </w:trPr>
        <w:tc>
          <w:tcPr>
            <w:tcW w:w="4815" w:type="dxa"/>
            <w:tcBorders>
              <w:bottom w:val="single" w:sz="4" w:space="0" w:color="17365D"/>
            </w:tcBorders>
            <w:shd w:val="clear" w:color="auto" w:fill="B8CCE4" w:themeFill="accent1" w:themeFillTint="66"/>
            <w:vAlign w:val="center"/>
            <w:hideMark/>
          </w:tcPr>
          <w:p w14:paraId="107EB933" w14:textId="77777777" w:rsidR="00D74371" w:rsidRPr="00CF0813" w:rsidRDefault="00D74371" w:rsidP="00D74371">
            <w:pPr>
              <w:spacing w:after="0" w:line="240" w:lineRule="auto"/>
              <w:jc w:val="center"/>
              <w:rPr>
                <w:rFonts w:eastAsia="Arial Unicode MS" w:cs="Times New Roman"/>
                <w:b/>
                <w:color w:val="17365D"/>
                <w:sz w:val="18"/>
                <w:szCs w:val="18"/>
              </w:rPr>
            </w:pPr>
            <w:r w:rsidRPr="00CF0813">
              <w:rPr>
                <w:rFonts w:eastAsia="Arial Unicode MS" w:cs="Times New Roman"/>
                <w:b/>
                <w:color w:val="17365D"/>
                <w:sz w:val="18"/>
                <w:szCs w:val="18"/>
              </w:rPr>
              <w:t>Darījuma apraksts</w:t>
            </w:r>
          </w:p>
        </w:tc>
        <w:tc>
          <w:tcPr>
            <w:tcW w:w="2693" w:type="dxa"/>
            <w:tcBorders>
              <w:bottom w:val="single" w:sz="4" w:space="0" w:color="17365D"/>
            </w:tcBorders>
            <w:shd w:val="clear" w:color="auto" w:fill="B8CCE4" w:themeFill="accent1" w:themeFillTint="66"/>
            <w:vAlign w:val="center"/>
            <w:hideMark/>
          </w:tcPr>
          <w:p w14:paraId="689393AB" w14:textId="77777777" w:rsidR="00D74371" w:rsidRPr="00CF0813" w:rsidRDefault="00D74371" w:rsidP="00D74371">
            <w:pPr>
              <w:spacing w:after="0" w:line="240" w:lineRule="auto"/>
              <w:jc w:val="center"/>
              <w:rPr>
                <w:rFonts w:eastAsia="Arial Unicode MS" w:cs="Times New Roman"/>
                <w:b/>
                <w:color w:val="17365D"/>
                <w:sz w:val="18"/>
                <w:szCs w:val="18"/>
              </w:rPr>
            </w:pPr>
            <w:r w:rsidRPr="00CF0813">
              <w:rPr>
                <w:rFonts w:eastAsia="Arial Unicode MS" w:cs="Times New Roman"/>
                <w:b/>
                <w:color w:val="17365D"/>
                <w:sz w:val="18"/>
                <w:szCs w:val="18"/>
              </w:rPr>
              <w:t>Pārskata periodā</w:t>
            </w:r>
          </w:p>
        </w:tc>
        <w:tc>
          <w:tcPr>
            <w:tcW w:w="1843" w:type="dxa"/>
            <w:tcBorders>
              <w:bottom w:val="single" w:sz="4" w:space="0" w:color="17365D"/>
            </w:tcBorders>
            <w:shd w:val="clear" w:color="auto" w:fill="B8CCE4" w:themeFill="accent1" w:themeFillTint="66"/>
            <w:vAlign w:val="center"/>
          </w:tcPr>
          <w:p w14:paraId="00950588" w14:textId="77777777" w:rsidR="00D74371" w:rsidRPr="00CF0813" w:rsidRDefault="00D74371" w:rsidP="00D74371">
            <w:pPr>
              <w:spacing w:after="0" w:line="240" w:lineRule="auto"/>
              <w:jc w:val="center"/>
              <w:rPr>
                <w:rFonts w:eastAsia="Arial Unicode MS" w:cs="Times New Roman"/>
                <w:b/>
                <w:color w:val="17365D"/>
                <w:sz w:val="18"/>
                <w:szCs w:val="18"/>
              </w:rPr>
            </w:pPr>
            <w:r w:rsidRPr="00CF0813">
              <w:rPr>
                <w:rFonts w:eastAsia="Arial Unicode MS" w:cs="Times New Roman"/>
                <w:b/>
                <w:color w:val="17365D"/>
                <w:sz w:val="18"/>
                <w:szCs w:val="18"/>
              </w:rPr>
              <w:t>Iepriekšējā pārskata periodā</w:t>
            </w:r>
          </w:p>
        </w:tc>
      </w:tr>
      <w:tr w:rsidR="00D74371" w:rsidRPr="00CF0813" w14:paraId="612A8824" w14:textId="77777777" w:rsidTr="00475A10">
        <w:trPr>
          <w:trHeight w:val="255"/>
        </w:trPr>
        <w:tc>
          <w:tcPr>
            <w:tcW w:w="4815" w:type="dxa"/>
            <w:tcBorders>
              <w:top w:val="single" w:sz="4" w:space="0" w:color="17365D"/>
              <w:bottom w:val="single" w:sz="4" w:space="0" w:color="17365D"/>
            </w:tcBorders>
            <w:shd w:val="clear" w:color="auto" w:fill="auto"/>
            <w:vAlign w:val="center"/>
            <w:hideMark/>
          </w:tcPr>
          <w:p w14:paraId="1092A6AC" w14:textId="77777777" w:rsidR="00D74371" w:rsidRPr="00CF0813" w:rsidRDefault="00D74371" w:rsidP="00D74371">
            <w:pPr>
              <w:spacing w:after="0" w:line="240" w:lineRule="auto"/>
              <w:jc w:val="center"/>
              <w:rPr>
                <w:rFonts w:eastAsia="Arial Unicode MS" w:cs="Times New Roman"/>
                <w:b/>
                <w:color w:val="17365D"/>
                <w:sz w:val="18"/>
                <w:szCs w:val="18"/>
              </w:rPr>
            </w:pPr>
            <w:r w:rsidRPr="00CF0813">
              <w:rPr>
                <w:rFonts w:eastAsia="Arial Unicode MS" w:cs="Times New Roman"/>
                <w:b/>
                <w:color w:val="17365D"/>
                <w:sz w:val="18"/>
                <w:szCs w:val="18"/>
              </w:rPr>
              <w:t>A</w:t>
            </w:r>
          </w:p>
        </w:tc>
        <w:tc>
          <w:tcPr>
            <w:tcW w:w="2693" w:type="dxa"/>
            <w:tcBorders>
              <w:top w:val="single" w:sz="4" w:space="0" w:color="17365D"/>
              <w:bottom w:val="single" w:sz="4" w:space="0" w:color="17365D"/>
            </w:tcBorders>
            <w:shd w:val="clear" w:color="auto" w:fill="auto"/>
            <w:vAlign w:val="center"/>
            <w:hideMark/>
          </w:tcPr>
          <w:p w14:paraId="6510BEF7" w14:textId="77777777" w:rsidR="00D74371" w:rsidRPr="00CF0813" w:rsidRDefault="00D74371" w:rsidP="00D74371">
            <w:pPr>
              <w:spacing w:after="0" w:line="240" w:lineRule="auto"/>
              <w:jc w:val="center"/>
              <w:rPr>
                <w:rFonts w:eastAsia="Arial Unicode MS" w:cs="Times New Roman"/>
                <w:b/>
                <w:color w:val="17365D"/>
                <w:sz w:val="18"/>
                <w:szCs w:val="18"/>
              </w:rPr>
            </w:pPr>
            <w:r w:rsidRPr="00CF0813">
              <w:rPr>
                <w:rFonts w:eastAsia="Arial Unicode MS" w:cs="Times New Roman"/>
                <w:b/>
                <w:color w:val="17365D"/>
                <w:sz w:val="18"/>
                <w:szCs w:val="18"/>
              </w:rPr>
              <w:t>1</w:t>
            </w:r>
          </w:p>
        </w:tc>
        <w:tc>
          <w:tcPr>
            <w:tcW w:w="1843" w:type="dxa"/>
            <w:tcBorders>
              <w:top w:val="single" w:sz="4" w:space="0" w:color="17365D"/>
              <w:bottom w:val="single" w:sz="4" w:space="0" w:color="17365D"/>
            </w:tcBorders>
            <w:vAlign w:val="center"/>
          </w:tcPr>
          <w:p w14:paraId="4E7B098F" w14:textId="77777777" w:rsidR="00D74371" w:rsidRPr="00CF0813" w:rsidRDefault="00D74371" w:rsidP="00D74371">
            <w:pPr>
              <w:spacing w:after="0" w:line="240" w:lineRule="auto"/>
              <w:jc w:val="center"/>
              <w:rPr>
                <w:rFonts w:eastAsia="Arial Unicode MS" w:cs="Times New Roman"/>
                <w:b/>
                <w:color w:val="17365D"/>
                <w:sz w:val="18"/>
                <w:szCs w:val="18"/>
              </w:rPr>
            </w:pPr>
            <w:r w:rsidRPr="00CF0813">
              <w:rPr>
                <w:rFonts w:eastAsia="Arial Unicode MS" w:cs="Times New Roman"/>
                <w:b/>
                <w:color w:val="17365D"/>
                <w:sz w:val="18"/>
                <w:szCs w:val="18"/>
              </w:rPr>
              <w:t>2</w:t>
            </w:r>
          </w:p>
        </w:tc>
      </w:tr>
      <w:tr w:rsidR="00942883" w:rsidRPr="00CF0813" w14:paraId="66025CBB" w14:textId="77777777" w:rsidTr="00475A10">
        <w:trPr>
          <w:trHeight w:val="245"/>
        </w:trPr>
        <w:tc>
          <w:tcPr>
            <w:tcW w:w="4815" w:type="dxa"/>
            <w:tcBorders>
              <w:top w:val="single" w:sz="4" w:space="0" w:color="17365D"/>
              <w:bottom w:val="single" w:sz="4" w:space="0" w:color="auto"/>
            </w:tcBorders>
            <w:shd w:val="clear" w:color="auto" w:fill="auto"/>
            <w:vAlign w:val="center"/>
          </w:tcPr>
          <w:p w14:paraId="37B5BB13" w14:textId="77777777" w:rsidR="00942883" w:rsidRPr="00CF0813" w:rsidRDefault="00942883" w:rsidP="00942883">
            <w:pPr>
              <w:spacing w:after="0" w:line="240" w:lineRule="auto"/>
              <w:rPr>
                <w:rFonts w:eastAsia="Arial Unicode MS" w:cs="Times New Roman"/>
                <w:b/>
                <w:color w:val="17365D"/>
                <w:sz w:val="18"/>
                <w:szCs w:val="18"/>
              </w:rPr>
            </w:pPr>
            <w:r w:rsidRPr="00CF0813">
              <w:rPr>
                <w:rFonts w:eastAsia="Arial Unicode MS" w:cs="Times New Roman"/>
                <w:b/>
                <w:color w:val="17365D"/>
                <w:sz w:val="18"/>
                <w:szCs w:val="18"/>
              </w:rPr>
              <w:t>Izdevumi no aktīvu vērtības samazinājuma</w:t>
            </w:r>
          </w:p>
        </w:tc>
        <w:tc>
          <w:tcPr>
            <w:tcW w:w="2693" w:type="dxa"/>
            <w:tcBorders>
              <w:top w:val="single" w:sz="4" w:space="0" w:color="17365D"/>
              <w:bottom w:val="single" w:sz="4" w:space="0" w:color="auto"/>
            </w:tcBorders>
            <w:shd w:val="clear" w:color="auto" w:fill="auto"/>
            <w:vAlign w:val="center"/>
          </w:tcPr>
          <w:p w14:paraId="51D69441" w14:textId="1F449BE4" w:rsidR="00942883" w:rsidRPr="00942883" w:rsidRDefault="00942883" w:rsidP="00942883">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600 249 890</w:t>
            </w:r>
          </w:p>
        </w:tc>
        <w:tc>
          <w:tcPr>
            <w:tcW w:w="1843" w:type="dxa"/>
            <w:tcBorders>
              <w:top w:val="single" w:sz="4" w:space="0" w:color="17365D"/>
              <w:bottom w:val="single" w:sz="4" w:space="0" w:color="auto"/>
            </w:tcBorders>
            <w:shd w:val="clear" w:color="auto" w:fill="auto"/>
            <w:vAlign w:val="center"/>
          </w:tcPr>
          <w:p w14:paraId="30025EFA" w14:textId="4D0E8514" w:rsidR="00942883" w:rsidRPr="00942883" w:rsidRDefault="00942883" w:rsidP="00942883">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404 337 695</w:t>
            </w:r>
          </w:p>
        </w:tc>
      </w:tr>
      <w:tr w:rsidR="00D74371" w:rsidRPr="00CF0813" w14:paraId="725217FF" w14:textId="77777777" w:rsidTr="00942883">
        <w:trPr>
          <w:trHeight w:val="510"/>
        </w:trPr>
        <w:tc>
          <w:tcPr>
            <w:tcW w:w="4815" w:type="dxa"/>
            <w:tcBorders>
              <w:top w:val="single" w:sz="4" w:space="0" w:color="auto"/>
              <w:bottom w:val="single" w:sz="4" w:space="0" w:color="auto"/>
            </w:tcBorders>
            <w:shd w:val="clear" w:color="auto" w:fill="auto"/>
            <w:vAlign w:val="center"/>
          </w:tcPr>
          <w:p w14:paraId="03AC6FD1" w14:textId="77777777" w:rsidR="00D74371" w:rsidRPr="00CF0813" w:rsidRDefault="00D74371" w:rsidP="00D74371">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avansa maksājumiem par nefinanšu aktīviem</w:t>
            </w:r>
          </w:p>
        </w:tc>
        <w:tc>
          <w:tcPr>
            <w:tcW w:w="2693" w:type="dxa"/>
            <w:tcBorders>
              <w:top w:val="single" w:sz="4" w:space="0" w:color="auto"/>
              <w:bottom w:val="single" w:sz="4" w:space="0" w:color="auto"/>
            </w:tcBorders>
            <w:shd w:val="clear" w:color="auto" w:fill="auto"/>
            <w:vAlign w:val="center"/>
          </w:tcPr>
          <w:p w14:paraId="094A5E66"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505 082</w:t>
            </w:r>
          </w:p>
        </w:tc>
        <w:tc>
          <w:tcPr>
            <w:tcW w:w="1843" w:type="dxa"/>
            <w:tcBorders>
              <w:top w:val="single" w:sz="4" w:space="0" w:color="auto"/>
              <w:bottom w:val="single" w:sz="4" w:space="0" w:color="auto"/>
            </w:tcBorders>
            <w:shd w:val="clear" w:color="auto" w:fill="auto"/>
            <w:vAlign w:val="center"/>
          </w:tcPr>
          <w:p w14:paraId="05142EBF"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1 097 965</w:t>
            </w:r>
          </w:p>
        </w:tc>
      </w:tr>
      <w:tr w:rsidR="00D74371" w:rsidRPr="00CF0813" w14:paraId="73E866A8" w14:textId="77777777" w:rsidTr="00DD013E">
        <w:trPr>
          <w:trHeight w:val="255"/>
        </w:trPr>
        <w:tc>
          <w:tcPr>
            <w:tcW w:w="4815" w:type="dxa"/>
            <w:tcBorders>
              <w:top w:val="single" w:sz="4" w:space="0" w:color="auto"/>
              <w:bottom w:val="single" w:sz="4" w:space="0" w:color="auto"/>
            </w:tcBorders>
            <w:shd w:val="clear" w:color="auto" w:fill="auto"/>
            <w:vAlign w:val="center"/>
            <w:hideMark/>
          </w:tcPr>
          <w:p w14:paraId="526F7DD5" w14:textId="77777777" w:rsidR="00D74371" w:rsidRPr="00CF0813" w:rsidRDefault="00D74371" w:rsidP="00D74371">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nefinanšu aktīviem</w:t>
            </w:r>
          </w:p>
        </w:tc>
        <w:tc>
          <w:tcPr>
            <w:tcW w:w="2693" w:type="dxa"/>
            <w:tcBorders>
              <w:top w:val="single" w:sz="4" w:space="0" w:color="auto"/>
              <w:bottom w:val="single" w:sz="4" w:space="0" w:color="auto"/>
            </w:tcBorders>
            <w:shd w:val="clear" w:color="auto" w:fill="auto"/>
            <w:vAlign w:val="center"/>
            <w:hideMark/>
          </w:tcPr>
          <w:p w14:paraId="1A3B394F"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3 647 329</w:t>
            </w:r>
          </w:p>
        </w:tc>
        <w:tc>
          <w:tcPr>
            <w:tcW w:w="1843" w:type="dxa"/>
            <w:tcBorders>
              <w:top w:val="single" w:sz="4" w:space="0" w:color="auto"/>
              <w:bottom w:val="single" w:sz="4" w:space="0" w:color="auto"/>
            </w:tcBorders>
            <w:shd w:val="clear" w:color="auto" w:fill="auto"/>
            <w:vAlign w:val="center"/>
          </w:tcPr>
          <w:p w14:paraId="6D1258DF"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601 008</w:t>
            </w:r>
          </w:p>
        </w:tc>
      </w:tr>
      <w:tr w:rsidR="00D74371" w:rsidRPr="00CF0813" w14:paraId="0DD1DCAC" w14:textId="77777777" w:rsidTr="00DD013E">
        <w:trPr>
          <w:trHeight w:val="510"/>
        </w:trPr>
        <w:tc>
          <w:tcPr>
            <w:tcW w:w="4815" w:type="dxa"/>
            <w:tcBorders>
              <w:top w:val="single" w:sz="4" w:space="0" w:color="auto"/>
              <w:bottom w:val="single" w:sz="4" w:space="0" w:color="auto"/>
            </w:tcBorders>
            <w:shd w:val="clear" w:color="auto" w:fill="auto"/>
            <w:vAlign w:val="center"/>
            <w:hideMark/>
          </w:tcPr>
          <w:p w14:paraId="35B740C7" w14:textId="77777777" w:rsidR="00D74371" w:rsidRPr="00CF0813" w:rsidRDefault="00D74371" w:rsidP="00D74371">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prasībām un avansiem par pakalpojumiem</w:t>
            </w:r>
          </w:p>
        </w:tc>
        <w:tc>
          <w:tcPr>
            <w:tcW w:w="2693" w:type="dxa"/>
            <w:tcBorders>
              <w:top w:val="single" w:sz="4" w:space="0" w:color="auto"/>
              <w:bottom w:val="single" w:sz="4" w:space="0" w:color="auto"/>
            </w:tcBorders>
            <w:shd w:val="clear" w:color="auto" w:fill="auto"/>
            <w:vAlign w:val="center"/>
            <w:hideMark/>
          </w:tcPr>
          <w:p w14:paraId="523CF4F9"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85 744 306</w:t>
            </w:r>
          </w:p>
        </w:tc>
        <w:tc>
          <w:tcPr>
            <w:tcW w:w="1843" w:type="dxa"/>
            <w:tcBorders>
              <w:top w:val="single" w:sz="4" w:space="0" w:color="auto"/>
              <w:bottom w:val="single" w:sz="4" w:space="0" w:color="auto"/>
            </w:tcBorders>
            <w:shd w:val="clear" w:color="auto" w:fill="auto"/>
            <w:vAlign w:val="center"/>
          </w:tcPr>
          <w:p w14:paraId="078ED6C4"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80 062 583</w:t>
            </w:r>
          </w:p>
        </w:tc>
      </w:tr>
      <w:tr w:rsidR="00D74371" w:rsidRPr="00CF0813" w14:paraId="34DC49CB" w14:textId="77777777" w:rsidTr="00DD013E">
        <w:trPr>
          <w:trHeight w:val="510"/>
        </w:trPr>
        <w:tc>
          <w:tcPr>
            <w:tcW w:w="4815" w:type="dxa"/>
            <w:tcBorders>
              <w:top w:val="single" w:sz="4" w:space="0" w:color="auto"/>
              <w:bottom w:val="single" w:sz="4" w:space="0" w:color="auto"/>
            </w:tcBorders>
            <w:shd w:val="clear" w:color="auto" w:fill="auto"/>
            <w:vAlign w:val="center"/>
            <w:hideMark/>
          </w:tcPr>
          <w:p w14:paraId="470B6031" w14:textId="77777777" w:rsidR="00D74371" w:rsidRPr="00CF0813" w:rsidRDefault="00D74371" w:rsidP="00D74371">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prasībām par nodokļiem, nodevām un citiem maksājumiem budžetos</w:t>
            </w:r>
          </w:p>
        </w:tc>
        <w:tc>
          <w:tcPr>
            <w:tcW w:w="2693" w:type="dxa"/>
            <w:tcBorders>
              <w:top w:val="single" w:sz="4" w:space="0" w:color="auto"/>
              <w:bottom w:val="single" w:sz="4" w:space="0" w:color="auto"/>
            </w:tcBorders>
            <w:shd w:val="clear" w:color="auto" w:fill="auto"/>
            <w:vAlign w:val="center"/>
            <w:hideMark/>
          </w:tcPr>
          <w:p w14:paraId="1A760A00" w14:textId="359C7ED8" w:rsidR="00D74371" w:rsidRPr="00CF0813" w:rsidRDefault="00942883" w:rsidP="00D74371">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508</w:t>
            </w:r>
            <w:r>
              <w:rPr>
                <w:rFonts w:eastAsia="Arial Unicode MS" w:cs="Times New Roman"/>
                <w:color w:val="17365D"/>
                <w:sz w:val="18"/>
                <w:szCs w:val="18"/>
              </w:rPr>
              <w:t xml:space="preserve"> </w:t>
            </w:r>
            <w:r w:rsidRPr="00942883">
              <w:rPr>
                <w:rFonts w:eastAsia="Arial Unicode MS" w:cs="Times New Roman"/>
                <w:color w:val="17365D"/>
                <w:sz w:val="18"/>
                <w:szCs w:val="18"/>
              </w:rPr>
              <w:t>419</w:t>
            </w:r>
            <w:r>
              <w:rPr>
                <w:rFonts w:eastAsia="Arial Unicode MS" w:cs="Times New Roman"/>
                <w:color w:val="17365D"/>
                <w:sz w:val="18"/>
                <w:szCs w:val="18"/>
              </w:rPr>
              <w:t xml:space="preserve"> </w:t>
            </w:r>
            <w:r w:rsidRPr="00942883">
              <w:rPr>
                <w:rFonts w:eastAsia="Arial Unicode MS" w:cs="Times New Roman"/>
                <w:color w:val="17365D"/>
                <w:sz w:val="18"/>
                <w:szCs w:val="18"/>
              </w:rPr>
              <w:t>135</w:t>
            </w:r>
          </w:p>
        </w:tc>
        <w:tc>
          <w:tcPr>
            <w:tcW w:w="1843" w:type="dxa"/>
            <w:tcBorders>
              <w:top w:val="single" w:sz="4" w:space="0" w:color="auto"/>
              <w:bottom w:val="single" w:sz="4" w:space="0" w:color="auto"/>
            </w:tcBorders>
            <w:shd w:val="clear" w:color="auto" w:fill="auto"/>
            <w:vAlign w:val="center"/>
          </w:tcPr>
          <w:p w14:paraId="3D6A5F71"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321 699 606</w:t>
            </w:r>
          </w:p>
        </w:tc>
      </w:tr>
      <w:tr w:rsidR="00D74371" w:rsidRPr="00CF0813" w14:paraId="7F9F8895" w14:textId="77777777" w:rsidTr="00DD013E">
        <w:trPr>
          <w:trHeight w:val="255"/>
        </w:trPr>
        <w:tc>
          <w:tcPr>
            <w:tcW w:w="4815" w:type="dxa"/>
            <w:tcBorders>
              <w:top w:val="single" w:sz="4" w:space="0" w:color="auto"/>
              <w:bottom w:val="single" w:sz="4" w:space="0" w:color="auto"/>
            </w:tcBorders>
            <w:shd w:val="clear" w:color="auto" w:fill="auto"/>
            <w:noWrap/>
            <w:vAlign w:val="center"/>
            <w:hideMark/>
          </w:tcPr>
          <w:p w14:paraId="0207BF20" w14:textId="77777777" w:rsidR="00D74371" w:rsidRPr="00CF0813" w:rsidRDefault="00D74371" w:rsidP="00D74371">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finanšu instrumentiem:</w:t>
            </w:r>
          </w:p>
        </w:tc>
        <w:tc>
          <w:tcPr>
            <w:tcW w:w="2693" w:type="dxa"/>
            <w:tcBorders>
              <w:top w:val="single" w:sz="4" w:space="0" w:color="auto"/>
              <w:bottom w:val="single" w:sz="4" w:space="0" w:color="auto"/>
            </w:tcBorders>
            <w:shd w:val="clear" w:color="auto" w:fill="auto"/>
            <w:vAlign w:val="center"/>
            <w:hideMark/>
          </w:tcPr>
          <w:p w14:paraId="7E3BE1F3"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126 131</w:t>
            </w:r>
          </w:p>
        </w:tc>
        <w:tc>
          <w:tcPr>
            <w:tcW w:w="1843" w:type="dxa"/>
            <w:tcBorders>
              <w:top w:val="single" w:sz="4" w:space="0" w:color="auto"/>
              <w:bottom w:val="single" w:sz="4" w:space="0" w:color="auto"/>
            </w:tcBorders>
            <w:shd w:val="clear" w:color="auto" w:fill="auto"/>
            <w:vAlign w:val="center"/>
          </w:tcPr>
          <w:p w14:paraId="5A581160"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140 798</w:t>
            </w:r>
          </w:p>
        </w:tc>
      </w:tr>
      <w:tr w:rsidR="00D74371" w:rsidRPr="00CF0813" w14:paraId="36C9ADE9" w14:textId="77777777" w:rsidTr="00DD013E">
        <w:trPr>
          <w:trHeight w:val="255"/>
        </w:trPr>
        <w:tc>
          <w:tcPr>
            <w:tcW w:w="4815" w:type="dxa"/>
            <w:tcBorders>
              <w:top w:val="single" w:sz="4" w:space="0" w:color="auto"/>
              <w:bottom w:val="single" w:sz="4" w:space="0" w:color="auto"/>
            </w:tcBorders>
            <w:shd w:val="clear" w:color="auto" w:fill="auto"/>
            <w:noWrap/>
            <w:vAlign w:val="center"/>
          </w:tcPr>
          <w:p w14:paraId="2647ADDF" w14:textId="77777777" w:rsidR="00D74371" w:rsidRPr="00CF0813" w:rsidRDefault="00D74371" w:rsidP="00D74371">
            <w:pPr>
              <w:spacing w:after="0" w:line="240" w:lineRule="auto"/>
              <w:ind w:firstLine="314"/>
              <w:rPr>
                <w:rFonts w:eastAsia="Arial Unicode MS" w:cs="Times New Roman"/>
                <w:color w:val="17365D"/>
                <w:sz w:val="18"/>
                <w:szCs w:val="18"/>
              </w:rPr>
            </w:pPr>
            <w:r w:rsidRPr="00CF0813">
              <w:rPr>
                <w:rFonts w:eastAsia="Arial Unicode MS" w:cs="Times New Roman"/>
                <w:color w:val="17365D"/>
                <w:sz w:val="18"/>
                <w:szCs w:val="18"/>
              </w:rPr>
              <w:t>t.sk.</w:t>
            </w:r>
            <w:r>
              <w:rPr>
                <w:rFonts w:eastAsia="Arial Unicode MS" w:cs="Times New Roman"/>
                <w:color w:val="17365D"/>
                <w:sz w:val="18"/>
                <w:szCs w:val="18"/>
              </w:rPr>
              <w:t xml:space="preserve">, </w:t>
            </w:r>
            <w:r w:rsidRPr="00CF0813">
              <w:rPr>
                <w:rFonts w:eastAsia="Arial Unicode MS" w:cs="Times New Roman"/>
                <w:color w:val="17365D"/>
                <w:sz w:val="18"/>
                <w:szCs w:val="18"/>
              </w:rPr>
              <w:t>līdz ter</w:t>
            </w:r>
            <w:r>
              <w:rPr>
                <w:rFonts w:eastAsia="Arial Unicode MS" w:cs="Times New Roman"/>
                <w:color w:val="17365D"/>
                <w:sz w:val="18"/>
                <w:szCs w:val="18"/>
              </w:rPr>
              <w:t>miņa beigām turētie ieguldījumi</w:t>
            </w:r>
          </w:p>
        </w:tc>
        <w:tc>
          <w:tcPr>
            <w:tcW w:w="2693" w:type="dxa"/>
            <w:tcBorders>
              <w:top w:val="single" w:sz="4" w:space="0" w:color="auto"/>
              <w:bottom w:val="single" w:sz="4" w:space="0" w:color="auto"/>
            </w:tcBorders>
            <w:shd w:val="clear" w:color="auto" w:fill="auto"/>
            <w:vAlign w:val="center"/>
          </w:tcPr>
          <w:p w14:paraId="26E613AA"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3 989</w:t>
            </w:r>
          </w:p>
        </w:tc>
        <w:tc>
          <w:tcPr>
            <w:tcW w:w="1843" w:type="dxa"/>
            <w:tcBorders>
              <w:top w:val="single" w:sz="4" w:space="0" w:color="auto"/>
              <w:bottom w:val="single" w:sz="4" w:space="0" w:color="auto"/>
            </w:tcBorders>
            <w:shd w:val="clear" w:color="auto" w:fill="auto"/>
            <w:vAlign w:val="center"/>
          </w:tcPr>
          <w:p w14:paraId="638D1774"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0</w:t>
            </w:r>
          </w:p>
        </w:tc>
      </w:tr>
      <w:tr w:rsidR="00D74371" w:rsidRPr="00CF0813" w14:paraId="47CBDD66" w14:textId="77777777" w:rsidTr="00DD013E">
        <w:trPr>
          <w:trHeight w:val="255"/>
        </w:trPr>
        <w:tc>
          <w:tcPr>
            <w:tcW w:w="4815" w:type="dxa"/>
            <w:tcBorders>
              <w:top w:val="single" w:sz="4" w:space="0" w:color="auto"/>
              <w:bottom w:val="single" w:sz="4" w:space="0" w:color="auto"/>
            </w:tcBorders>
            <w:shd w:val="clear" w:color="auto" w:fill="auto"/>
            <w:vAlign w:val="center"/>
            <w:hideMark/>
          </w:tcPr>
          <w:p w14:paraId="72218547" w14:textId="77777777" w:rsidR="00D74371" w:rsidRPr="00CF0813" w:rsidRDefault="00D74371" w:rsidP="00D74371">
            <w:pPr>
              <w:spacing w:after="0" w:line="240" w:lineRule="auto"/>
              <w:ind w:firstLine="739"/>
              <w:rPr>
                <w:rFonts w:eastAsia="Arial Unicode MS" w:cs="Times New Roman"/>
                <w:color w:val="17365D"/>
                <w:sz w:val="18"/>
                <w:szCs w:val="18"/>
              </w:rPr>
            </w:pPr>
            <w:r>
              <w:rPr>
                <w:rFonts w:eastAsia="Arial Unicode MS" w:cs="Times New Roman"/>
                <w:color w:val="17365D"/>
                <w:sz w:val="18"/>
                <w:szCs w:val="18"/>
              </w:rPr>
              <w:t>aizdevumi un prasības</w:t>
            </w:r>
          </w:p>
        </w:tc>
        <w:tc>
          <w:tcPr>
            <w:tcW w:w="2693" w:type="dxa"/>
            <w:tcBorders>
              <w:top w:val="single" w:sz="4" w:space="0" w:color="auto"/>
              <w:bottom w:val="single" w:sz="4" w:space="0" w:color="auto"/>
            </w:tcBorders>
            <w:shd w:val="clear" w:color="auto" w:fill="auto"/>
            <w:vAlign w:val="center"/>
            <w:hideMark/>
          </w:tcPr>
          <w:p w14:paraId="0B02F97F"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80 457</w:t>
            </w:r>
          </w:p>
        </w:tc>
        <w:tc>
          <w:tcPr>
            <w:tcW w:w="1843" w:type="dxa"/>
            <w:tcBorders>
              <w:top w:val="single" w:sz="4" w:space="0" w:color="auto"/>
              <w:bottom w:val="single" w:sz="4" w:space="0" w:color="auto"/>
            </w:tcBorders>
            <w:shd w:val="clear" w:color="auto" w:fill="auto"/>
            <w:vAlign w:val="center"/>
          </w:tcPr>
          <w:p w14:paraId="0C2A24A1"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139 638</w:t>
            </w:r>
          </w:p>
        </w:tc>
      </w:tr>
      <w:tr w:rsidR="00D74371" w:rsidRPr="00CF0813" w14:paraId="43EA7152" w14:textId="77777777" w:rsidTr="00DD013E">
        <w:trPr>
          <w:trHeight w:val="255"/>
        </w:trPr>
        <w:tc>
          <w:tcPr>
            <w:tcW w:w="4815" w:type="dxa"/>
            <w:tcBorders>
              <w:top w:val="single" w:sz="4" w:space="0" w:color="auto"/>
              <w:bottom w:val="single" w:sz="4" w:space="0" w:color="auto"/>
            </w:tcBorders>
            <w:shd w:val="clear" w:color="auto" w:fill="auto"/>
            <w:vAlign w:val="center"/>
          </w:tcPr>
          <w:p w14:paraId="72F972A2" w14:textId="77777777" w:rsidR="00D74371" w:rsidRPr="00CF0813" w:rsidRDefault="00D74371" w:rsidP="00D74371">
            <w:pPr>
              <w:spacing w:after="0" w:line="240" w:lineRule="auto"/>
              <w:ind w:firstLine="739"/>
              <w:rPr>
                <w:rFonts w:eastAsia="Arial Unicode MS" w:cs="Times New Roman"/>
                <w:color w:val="17365D"/>
                <w:sz w:val="18"/>
                <w:szCs w:val="18"/>
              </w:rPr>
            </w:pPr>
            <w:r>
              <w:rPr>
                <w:rFonts w:eastAsia="Arial Unicode MS" w:cs="Times New Roman"/>
                <w:color w:val="17365D"/>
                <w:sz w:val="18"/>
                <w:szCs w:val="18"/>
              </w:rPr>
              <w:t>p</w:t>
            </w:r>
            <w:r w:rsidRPr="00CF0813">
              <w:rPr>
                <w:rFonts w:eastAsia="Arial Unicode MS" w:cs="Times New Roman"/>
                <w:color w:val="17365D"/>
                <w:sz w:val="18"/>
                <w:szCs w:val="18"/>
              </w:rPr>
              <w:t>ārd</w:t>
            </w:r>
            <w:r>
              <w:rPr>
                <w:rFonts w:eastAsia="Arial Unicode MS" w:cs="Times New Roman"/>
                <w:color w:val="17365D"/>
                <w:sz w:val="18"/>
                <w:szCs w:val="18"/>
              </w:rPr>
              <w:t>ošanai pieejamie finanšu aktīvi</w:t>
            </w:r>
          </w:p>
        </w:tc>
        <w:tc>
          <w:tcPr>
            <w:tcW w:w="2693" w:type="dxa"/>
            <w:tcBorders>
              <w:top w:val="single" w:sz="4" w:space="0" w:color="auto"/>
              <w:bottom w:val="single" w:sz="4" w:space="0" w:color="auto"/>
            </w:tcBorders>
            <w:shd w:val="clear" w:color="auto" w:fill="auto"/>
            <w:vAlign w:val="center"/>
          </w:tcPr>
          <w:p w14:paraId="66AFB639"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41 685</w:t>
            </w:r>
          </w:p>
        </w:tc>
        <w:tc>
          <w:tcPr>
            <w:tcW w:w="1843" w:type="dxa"/>
            <w:tcBorders>
              <w:top w:val="single" w:sz="4" w:space="0" w:color="auto"/>
              <w:bottom w:val="single" w:sz="4" w:space="0" w:color="auto"/>
            </w:tcBorders>
            <w:shd w:val="clear" w:color="auto" w:fill="auto"/>
            <w:vAlign w:val="center"/>
          </w:tcPr>
          <w:p w14:paraId="7DEE8ED5"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1 160</w:t>
            </w:r>
          </w:p>
        </w:tc>
      </w:tr>
      <w:tr w:rsidR="00D74371" w:rsidRPr="00CF0813" w14:paraId="4A4D1DAD" w14:textId="77777777" w:rsidTr="00DD013E">
        <w:trPr>
          <w:trHeight w:val="255"/>
        </w:trPr>
        <w:tc>
          <w:tcPr>
            <w:tcW w:w="4815" w:type="dxa"/>
            <w:tcBorders>
              <w:top w:val="single" w:sz="4" w:space="0" w:color="auto"/>
              <w:bottom w:val="single" w:sz="4" w:space="0" w:color="auto"/>
            </w:tcBorders>
            <w:shd w:val="clear" w:color="auto" w:fill="auto"/>
            <w:vAlign w:val="center"/>
          </w:tcPr>
          <w:p w14:paraId="140A3F04" w14:textId="77777777" w:rsidR="00D74371" w:rsidRPr="00CF0813" w:rsidRDefault="00D74371" w:rsidP="00D74371">
            <w:pPr>
              <w:spacing w:after="0" w:line="240" w:lineRule="auto"/>
              <w:rPr>
                <w:rFonts w:eastAsia="Arial Unicode MS" w:cs="Times New Roman"/>
                <w:color w:val="17365D"/>
                <w:sz w:val="18"/>
                <w:szCs w:val="18"/>
              </w:rPr>
            </w:pPr>
            <w:r w:rsidRPr="00CF0813">
              <w:rPr>
                <w:rFonts w:eastAsia="Arial Unicode MS" w:cs="Times New Roman"/>
                <w:color w:val="17365D"/>
                <w:sz w:val="18"/>
                <w:szCs w:val="18"/>
              </w:rPr>
              <w:t>Izdevumi no vērtības samazinājuma aktīviem, kas nav minēti citur</w:t>
            </w:r>
          </w:p>
        </w:tc>
        <w:tc>
          <w:tcPr>
            <w:tcW w:w="2693" w:type="dxa"/>
            <w:tcBorders>
              <w:top w:val="single" w:sz="4" w:space="0" w:color="auto"/>
              <w:bottom w:val="single" w:sz="4" w:space="0" w:color="auto"/>
            </w:tcBorders>
            <w:shd w:val="clear" w:color="auto" w:fill="auto"/>
            <w:vAlign w:val="center"/>
          </w:tcPr>
          <w:p w14:paraId="68204954"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1 807 907</w:t>
            </w:r>
          </w:p>
        </w:tc>
        <w:tc>
          <w:tcPr>
            <w:tcW w:w="1843" w:type="dxa"/>
            <w:tcBorders>
              <w:top w:val="single" w:sz="4" w:space="0" w:color="auto"/>
              <w:bottom w:val="single" w:sz="4" w:space="0" w:color="auto"/>
            </w:tcBorders>
            <w:shd w:val="clear" w:color="auto" w:fill="auto"/>
            <w:vAlign w:val="center"/>
          </w:tcPr>
          <w:p w14:paraId="39AA034B" w14:textId="77777777" w:rsidR="00D74371" w:rsidRPr="00CF0813" w:rsidRDefault="00D74371" w:rsidP="00D74371">
            <w:pPr>
              <w:spacing w:after="0" w:line="240" w:lineRule="auto"/>
              <w:jc w:val="right"/>
              <w:rPr>
                <w:rFonts w:eastAsia="Arial Unicode MS" w:cs="Times New Roman"/>
                <w:color w:val="17365D"/>
                <w:sz w:val="18"/>
                <w:szCs w:val="18"/>
              </w:rPr>
            </w:pPr>
            <w:r w:rsidRPr="00CF0813">
              <w:rPr>
                <w:rFonts w:eastAsia="Arial Unicode MS" w:cs="Times New Roman"/>
                <w:color w:val="17365D"/>
                <w:sz w:val="18"/>
                <w:szCs w:val="18"/>
              </w:rPr>
              <w:t>735 735</w:t>
            </w:r>
          </w:p>
        </w:tc>
      </w:tr>
      <w:tr w:rsidR="00D74371" w:rsidRPr="00CF0813" w14:paraId="09098ADA" w14:textId="77777777" w:rsidTr="00DD013E">
        <w:trPr>
          <w:trHeight w:val="57"/>
        </w:trPr>
        <w:tc>
          <w:tcPr>
            <w:tcW w:w="4815" w:type="dxa"/>
            <w:tcBorders>
              <w:top w:val="single" w:sz="4" w:space="0" w:color="auto"/>
            </w:tcBorders>
            <w:shd w:val="clear" w:color="auto" w:fill="B8CCE4" w:themeFill="accent1" w:themeFillTint="66"/>
            <w:vAlign w:val="center"/>
          </w:tcPr>
          <w:p w14:paraId="0B784FFD" w14:textId="77777777" w:rsidR="00D74371" w:rsidRPr="00A27896" w:rsidRDefault="00D74371" w:rsidP="00D74371">
            <w:pPr>
              <w:spacing w:after="0" w:line="240" w:lineRule="auto"/>
              <w:rPr>
                <w:rFonts w:eastAsia="Arial Unicode MS" w:cs="Times New Roman"/>
                <w:b/>
                <w:color w:val="17365D"/>
                <w:sz w:val="18"/>
                <w:szCs w:val="18"/>
              </w:rPr>
            </w:pPr>
          </w:p>
        </w:tc>
        <w:tc>
          <w:tcPr>
            <w:tcW w:w="2693" w:type="dxa"/>
            <w:tcBorders>
              <w:top w:val="single" w:sz="4" w:space="0" w:color="auto"/>
            </w:tcBorders>
            <w:shd w:val="clear" w:color="auto" w:fill="B8CCE4" w:themeFill="accent1" w:themeFillTint="66"/>
            <w:vAlign w:val="center"/>
          </w:tcPr>
          <w:p w14:paraId="21A16418" w14:textId="77777777" w:rsidR="00D74371" w:rsidRPr="00A27896" w:rsidRDefault="00D74371" w:rsidP="00D74371">
            <w:pPr>
              <w:spacing w:after="0" w:line="240" w:lineRule="auto"/>
              <w:jc w:val="right"/>
              <w:rPr>
                <w:rFonts w:eastAsia="Arial Unicode MS" w:cs="Times New Roman"/>
                <w:b/>
                <w:color w:val="17365D"/>
                <w:sz w:val="18"/>
                <w:szCs w:val="18"/>
              </w:rPr>
            </w:pPr>
          </w:p>
        </w:tc>
        <w:tc>
          <w:tcPr>
            <w:tcW w:w="1843" w:type="dxa"/>
            <w:tcBorders>
              <w:top w:val="single" w:sz="4" w:space="0" w:color="auto"/>
            </w:tcBorders>
            <w:shd w:val="clear" w:color="auto" w:fill="B8CCE4" w:themeFill="accent1" w:themeFillTint="66"/>
            <w:vAlign w:val="center"/>
          </w:tcPr>
          <w:p w14:paraId="4789B5A0" w14:textId="77777777" w:rsidR="00D74371" w:rsidRPr="00A27896" w:rsidRDefault="00D74371" w:rsidP="00D74371">
            <w:pPr>
              <w:spacing w:after="0" w:line="240" w:lineRule="auto"/>
              <w:jc w:val="right"/>
              <w:rPr>
                <w:rFonts w:eastAsia="Arial Unicode MS" w:cs="Times New Roman"/>
                <w:b/>
                <w:color w:val="17365D"/>
                <w:sz w:val="18"/>
                <w:szCs w:val="18"/>
              </w:rPr>
            </w:pPr>
          </w:p>
        </w:tc>
      </w:tr>
    </w:tbl>
    <w:p w14:paraId="175B4BD3" w14:textId="093CD32D" w:rsidR="00DB5DC9" w:rsidRPr="00DB5DC9" w:rsidRDefault="00DB5DC9" w:rsidP="00DB5DC9">
      <w:pPr>
        <w:keepNext/>
        <w:keepLines/>
        <w:spacing w:before="240"/>
        <w:ind w:left="284"/>
        <w:outlineLvl w:val="3"/>
        <w:rPr>
          <w:rFonts w:cstheme="majorBidi"/>
          <w:b/>
          <w:bCs/>
          <w:i/>
          <w:iCs/>
          <w:color w:val="17365D"/>
        </w:rPr>
      </w:pPr>
      <w:r w:rsidRPr="00DB5DC9">
        <w:rPr>
          <w:rFonts w:cstheme="majorBidi"/>
          <w:b/>
          <w:bCs/>
          <w:i/>
          <w:iCs/>
          <w:color w:val="17365D"/>
        </w:rPr>
        <w:lastRenderedPageBreak/>
        <w:t>Piezīme Nr. FD.</w:t>
      </w:r>
      <w:r>
        <w:rPr>
          <w:rFonts w:cstheme="majorBidi"/>
          <w:b/>
          <w:bCs/>
          <w:i/>
          <w:iCs/>
          <w:color w:val="17365D"/>
        </w:rPr>
        <w:t>31</w:t>
      </w:r>
      <w:r w:rsidRPr="00DB5DC9">
        <w:rPr>
          <w:rFonts w:cstheme="majorBidi"/>
          <w:b/>
          <w:bCs/>
          <w:i/>
          <w:iCs/>
          <w:color w:val="17365D"/>
        </w:rPr>
        <w:t>. Pārējie izdevumi, kas nav klasificēti A21 līdz A30 rindā</w:t>
      </w:r>
    </w:p>
    <w:p w14:paraId="247888F7" w14:textId="77777777" w:rsidR="00DB5DC9" w:rsidRPr="00DB5DC9" w:rsidRDefault="00DB5DC9" w:rsidP="00DB5DC9">
      <w:pPr>
        <w:spacing w:after="120" w:line="240" w:lineRule="auto"/>
        <w:ind w:left="284"/>
        <w:jc w:val="both"/>
        <w:rPr>
          <w:rFonts w:eastAsia="Arial Unicode MS" w:cs="Times New Roman"/>
          <w:color w:val="17365D"/>
          <w:szCs w:val="24"/>
        </w:rPr>
      </w:pPr>
      <w:r w:rsidRPr="00DB5DC9">
        <w:rPr>
          <w:rFonts w:eastAsia="Arial Unicode MS" w:cs="Times New Roman"/>
          <w:color w:val="17365D"/>
          <w:szCs w:val="24"/>
        </w:rPr>
        <w:t>Posteņa palielinājums veidojās:</w:t>
      </w:r>
    </w:p>
    <w:p w14:paraId="3F2B1EC2" w14:textId="7D942A7F" w:rsidR="00DB5DC9" w:rsidRPr="00DB5DC9" w:rsidRDefault="00DB5DC9" w:rsidP="0098708A">
      <w:pPr>
        <w:numPr>
          <w:ilvl w:val="0"/>
          <w:numId w:val="29"/>
        </w:numPr>
        <w:spacing w:after="120" w:line="240" w:lineRule="auto"/>
        <w:jc w:val="both"/>
        <w:rPr>
          <w:rFonts w:eastAsia="Arial Unicode MS" w:cs="Times New Roman"/>
          <w:color w:val="17365D"/>
          <w:szCs w:val="24"/>
        </w:rPr>
      </w:pPr>
      <w:r w:rsidRPr="00DB5DC9">
        <w:rPr>
          <w:rFonts w:eastAsia="Arial Unicode MS" w:cs="Times New Roman"/>
          <w:color w:val="17365D"/>
          <w:szCs w:val="24"/>
        </w:rPr>
        <w:t>Ekonomikas ministrijai 164 806 078</w:t>
      </w:r>
      <w:r>
        <w:rPr>
          <w:rFonts w:ascii="Tahoma" w:hAnsi="Tahoma" w:cs="Tahoma"/>
          <w:color w:val="000000"/>
          <w:sz w:val="20"/>
          <w:szCs w:val="20"/>
          <w:shd w:val="clear" w:color="auto" w:fill="FFFFFF"/>
        </w:rPr>
        <w:t xml:space="preserve"> </w:t>
      </w:r>
      <w:r w:rsidRPr="00DB5DC9">
        <w:rPr>
          <w:rFonts w:eastAsia="Arial Unicode MS" w:cs="Times New Roman"/>
          <w:i/>
          <w:color w:val="17365D"/>
          <w:szCs w:val="24"/>
        </w:rPr>
        <w:t>euro</w:t>
      </w:r>
      <w:r w:rsidRPr="00DB5DC9">
        <w:rPr>
          <w:rFonts w:eastAsia="Arial Unicode MS" w:cs="Times New Roman"/>
          <w:color w:val="17365D"/>
          <w:szCs w:val="24"/>
        </w:rPr>
        <w:t xml:space="preserve"> vērtībā par atzītiem izdevumiem par </w:t>
      </w:r>
      <w:r w:rsidR="0098708A" w:rsidRPr="0098708A">
        <w:rPr>
          <w:rFonts w:eastAsia="Arial Unicode MS" w:cs="Times New Roman"/>
          <w:color w:val="17365D"/>
          <w:szCs w:val="24"/>
        </w:rPr>
        <w:t>kapitālsabiedrību izmaksātām dividendēm</w:t>
      </w:r>
      <w:r w:rsidRPr="00DB5DC9">
        <w:rPr>
          <w:rFonts w:eastAsia="Arial Unicode MS" w:cs="Times New Roman"/>
          <w:color w:val="17365D"/>
          <w:szCs w:val="24"/>
        </w:rPr>
        <w:t>;</w:t>
      </w:r>
    </w:p>
    <w:p w14:paraId="7447C6B3" w14:textId="329DA39D" w:rsidR="00DB5DC9" w:rsidRDefault="0098708A" w:rsidP="0098708A">
      <w:pPr>
        <w:numPr>
          <w:ilvl w:val="0"/>
          <w:numId w:val="29"/>
        </w:numPr>
        <w:spacing w:after="120" w:line="240" w:lineRule="auto"/>
        <w:jc w:val="both"/>
        <w:rPr>
          <w:rFonts w:eastAsia="Arial Unicode MS" w:cs="Times New Roman"/>
          <w:color w:val="17365D"/>
          <w:szCs w:val="24"/>
        </w:rPr>
      </w:pPr>
      <w:r w:rsidRPr="0098708A">
        <w:rPr>
          <w:rFonts w:eastAsia="Arial Unicode MS" w:cs="Times New Roman"/>
          <w:color w:val="17365D"/>
          <w:szCs w:val="24"/>
        </w:rPr>
        <w:t>Valsts ieņēmumu dienesta administrēto valsts budžeta ieņēmumu uzskaitē 507 930 969</w:t>
      </w:r>
      <w:r w:rsidRPr="0098708A">
        <w:rPr>
          <w:rFonts w:eastAsia="Arial Unicode MS" w:cs="Times New Roman"/>
          <w:i/>
          <w:color w:val="17365D"/>
          <w:szCs w:val="24"/>
        </w:rPr>
        <w:t xml:space="preserve"> </w:t>
      </w:r>
      <w:r w:rsidR="00DB5DC9" w:rsidRPr="00DB5DC9">
        <w:rPr>
          <w:rFonts w:eastAsia="Arial Unicode MS" w:cs="Times New Roman"/>
          <w:i/>
          <w:color w:val="17365D"/>
          <w:szCs w:val="24"/>
        </w:rPr>
        <w:t>euro</w:t>
      </w:r>
      <w:r w:rsidR="00DB5DC9" w:rsidRPr="00DB5DC9">
        <w:rPr>
          <w:rFonts w:eastAsia="Arial Unicode MS" w:cs="Times New Roman"/>
          <w:color w:val="17365D"/>
          <w:szCs w:val="24"/>
        </w:rPr>
        <w:t xml:space="preserve"> vērtībā saistībā ar </w:t>
      </w:r>
      <w:r w:rsidRPr="0098708A">
        <w:rPr>
          <w:rFonts w:eastAsia="Arial Unicode MS" w:cs="Times New Roman"/>
          <w:color w:val="17365D"/>
          <w:szCs w:val="24"/>
        </w:rPr>
        <w:t>atzītiem izdevumiem no vērtības samazinājuma prasībām par nodokļiem, nodevām un citiem maksājumiem budžetos.</w:t>
      </w:r>
    </w:p>
    <w:p w14:paraId="361B3863" w14:textId="0EDF3818" w:rsidR="0098708A" w:rsidRPr="00DB5DC9" w:rsidRDefault="0098708A" w:rsidP="0098708A">
      <w:pPr>
        <w:spacing w:after="120" w:line="240" w:lineRule="auto"/>
        <w:ind w:left="360"/>
        <w:jc w:val="both"/>
        <w:rPr>
          <w:rFonts w:eastAsia="Arial Unicode MS" w:cs="Times New Roman"/>
          <w:color w:val="17365D"/>
          <w:szCs w:val="24"/>
        </w:rPr>
      </w:pPr>
      <w:r w:rsidRPr="00DB5DC9">
        <w:rPr>
          <w:rFonts w:eastAsia="Arial Unicode MS" w:cs="Times New Roman"/>
          <w:color w:val="17365D"/>
          <w:szCs w:val="24"/>
        </w:rPr>
        <w:t>Posteņa samazinājums</w:t>
      </w:r>
      <w:r>
        <w:rPr>
          <w:rFonts w:eastAsia="Arial Unicode MS" w:cs="Times New Roman"/>
          <w:color w:val="17365D"/>
          <w:szCs w:val="24"/>
        </w:rPr>
        <w:t xml:space="preserve"> veidojās:</w:t>
      </w:r>
    </w:p>
    <w:p w14:paraId="009EB326" w14:textId="7FB1E9B5" w:rsidR="00DB5DC9" w:rsidRPr="00DB5DC9" w:rsidRDefault="0098708A" w:rsidP="00DB5DC9">
      <w:pPr>
        <w:numPr>
          <w:ilvl w:val="0"/>
          <w:numId w:val="29"/>
        </w:numPr>
        <w:spacing w:after="120" w:line="240" w:lineRule="auto"/>
        <w:ind w:left="567" w:hanging="284"/>
        <w:jc w:val="both"/>
        <w:rPr>
          <w:rFonts w:eastAsia="Arial Unicode MS" w:cs="Times New Roman"/>
          <w:color w:val="17365D"/>
          <w:szCs w:val="24"/>
        </w:rPr>
      </w:pPr>
      <w:r w:rsidRPr="0098708A">
        <w:rPr>
          <w:rFonts w:eastAsia="Arial Unicode MS" w:cs="Times New Roman"/>
          <w:color w:val="17365D"/>
          <w:szCs w:val="24"/>
        </w:rPr>
        <w:t>Satiksmes ministrijai 438 175 778</w:t>
      </w:r>
      <w:r w:rsidRPr="0098708A">
        <w:rPr>
          <w:rFonts w:eastAsia="Arial Unicode MS" w:cs="Times New Roman"/>
          <w:i/>
          <w:color w:val="17365D"/>
          <w:szCs w:val="24"/>
        </w:rPr>
        <w:t xml:space="preserve"> </w:t>
      </w:r>
      <w:r w:rsidR="00DB5DC9" w:rsidRPr="00DB5DC9">
        <w:rPr>
          <w:rFonts w:eastAsia="Arial Unicode MS" w:cs="Times New Roman"/>
          <w:i/>
          <w:color w:val="17365D"/>
          <w:szCs w:val="24"/>
        </w:rPr>
        <w:t>euro</w:t>
      </w:r>
      <w:r w:rsidR="00DB5DC9" w:rsidRPr="00DB5DC9">
        <w:rPr>
          <w:rFonts w:eastAsia="Arial Unicode MS" w:cs="Times New Roman"/>
          <w:color w:val="17365D"/>
          <w:szCs w:val="24"/>
        </w:rPr>
        <w:t xml:space="preserve"> vērtībā par </w:t>
      </w:r>
      <w:r w:rsidRPr="00DB5DC9">
        <w:rPr>
          <w:rFonts w:eastAsia="Arial Unicode MS" w:cs="Times New Roman"/>
          <w:color w:val="17365D"/>
          <w:szCs w:val="24"/>
        </w:rPr>
        <w:t>izdevumu samazinājumu</w:t>
      </w:r>
      <w:r w:rsidRPr="0098708A">
        <w:rPr>
          <w:rFonts w:eastAsia="Arial Unicode MS" w:cs="Times New Roman"/>
          <w:color w:val="17365D"/>
          <w:szCs w:val="24"/>
        </w:rPr>
        <w:t xml:space="preserve"> no ilgtermiņa finanšu ieguldījumu pārvērtēšanas un vērtības samazinājuma</w:t>
      </w:r>
      <w:r w:rsidR="00DB5DC9" w:rsidRPr="00DB5DC9">
        <w:rPr>
          <w:rFonts w:eastAsia="Arial Unicode MS" w:cs="Times New Roman"/>
          <w:color w:val="17365D"/>
          <w:szCs w:val="24"/>
        </w:rPr>
        <w:t>;</w:t>
      </w:r>
    </w:p>
    <w:p w14:paraId="634B5E7E" w14:textId="3289B186" w:rsidR="00DB5DC9" w:rsidRDefault="0098708A" w:rsidP="00DB5DC9">
      <w:pPr>
        <w:numPr>
          <w:ilvl w:val="0"/>
          <w:numId w:val="29"/>
        </w:numPr>
        <w:spacing w:after="120" w:line="240" w:lineRule="auto"/>
        <w:ind w:left="567" w:hanging="284"/>
        <w:jc w:val="both"/>
        <w:rPr>
          <w:rFonts w:eastAsia="Arial Unicode MS" w:cs="Times New Roman"/>
          <w:color w:val="17365D"/>
          <w:szCs w:val="24"/>
        </w:rPr>
      </w:pPr>
      <w:r w:rsidRPr="0098708A">
        <w:rPr>
          <w:rFonts w:eastAsia="Arial Unicode MS" w:cs="Times New Roman"/>
          <w:color w:val="17365D"/>
          <w:szCs w:val="24"/>
        </w:rPr>
        <w:t>Satiksmes ministrijai 71 525 822</w:t>
      </w:r>
      <w:r w:rsidRPr="0098708A">
        <w:rPr>
          <w:rFonts w:eastAsia="Arial Unicode MS" w:cs="Times New Roman"/>
          <w:i/>
          <w:color w:val="17365D"/>
          <w:szCs w:val="24"/>
        </w:rPr>
        <w:t xml:space="preserve"> </w:t>
      </w:r>
      <w:r w:rsidR="00DB5DC9" w:rsidRPr="00DB5DC9">
        <w:rPr>
          <w:rFonts w:eastAsia="Arial Unicode MS" w:cs="Times New Roman"/>
          <w:i/>
          <w:color w:val="17365D"/>
          <w:szCs w:val="24"/>
        </w:rPr>
        <w:t>euro</w:t>
      </w:r>
      <w:r w:rsidR="00DB5DC9" w:rsidRPr="00DB5DC9">
        <w:rPr>
          <w:rFonts w:eastAsia="Arial Unicode MS" w:cs="Times New Roman"/>
          <w:color w:val="17365D"/>
          <w:szCs w:val="24"/>
        </w:rPr>
        <w:t xml:space="preserve"> vērtībā par </w:t>
      </w:r>
      <w:r w:rsidRPr="0098708A">
        <w:rPr>
          <w:rFonts w:eastAsia="Arial Unicode MS" w:cs="Times New Roman"/>
          <w:color w:val="17365D"/>
          <w:szCs w:val="24"/>
        </w:rPr>
        <w:t>izdevumu samazinājumu no īpašuma sadalīšanu ar jauniem kadastra apzīmējumiem</w:t>
      </w:r>
      <w:r w:rsidR="00DB5DC9" w:rsidRPr="00DB5DC9">
        <w:rPr>
          <w:rFonts w:eastAsia="Arial Unicode MS" w:cs="Times New Roman"/>
          <w:color w:val="17365D"/>
          <w:szCs w:val="24"/>
        </w:rPr>
        <w:t>;</w:t>
      </w:r>
    </w:p>
    <w:p w14:paraId="5D74EFA0" w14:textId="01CC45AC" w:rsidR="00DB5DC9" w:rsidRPr="00DB5DC9" w:rsidRDefault="0098708A" w:rsidP="0098708A">
      <w:pPr>
        <w:numPr>
          <w:ilvl w:val="0"/>
          <w:numId w:val="29"/>
        </w:numPr>
        <w:spacing w:after="120" w:line="240" w:lineRule="auto"/>
        <w:ind w:left="567" w:hanging="284"/>
        <w:jc w:val="both"/>
        <w:rPr>
          <w:rFonts w:eastAsia="Arial Unicode MS" w:cs="Times New Roman"/>
          <w:color w:val="17365D"/>
          <w:szCs w:val="24"/>
        </w:rPr>
      </w:pPr>
      <w:r w:rsidRPr="0098708A">
        <w:rPr>
          <w:rFonts w:eastAsia="Arial Unicode MS" w:cs="Times New Roman"/>
          <w:color w:val="17365D"/>
          <w:szCs w:val="24"/>
        </w:rPr>
        <w:t>Labklājības ministrija</w:t>
      </w:r>
      <w:r>
        <w:rPr>
          <w:rFonts w:eastAsia="Arial Unicode MS" w:cs="Times New Roman"/>
          <w:color w:val="17365D"/>
          <w:szCs w:val="24"/>
        </w:rPr>
        <w:t xml:space="preserve">i </w:t>
      </w:r>
      <w:r w:rsidRPr="0098708A">
        <w:rPr>
          <w:rFonts w:eastAsia="Arial Unicode MS" w:cs="Times New Roman"/>
          <w:color w:val="17365D"/>
          <w:szCs w:val="24"/>
        </w:rPr>
        <w:t>55 062</w:t>
      </w:r>
      <w:r>
        <w:rPr>
          <w:rFonts w:eastAsia="Arial Unicode MS" w:cs="Times New Roman"/>
          <w:color w:val="17365D"/>
          <w:szCs w:val="24"/>
        </w:rPr>
        <w:t> </w:t>
      </w:r>
      <w:r w:rsidRPr="0098708A">
        <w:rPr>
          <w:rFonts w:eastAsia="Arial Unicode MS" w:cs="Times New Roman"/>
          <w:color w:val="17365D"/>
          <w:szCs w:val="24"/>
        </w:rPr>
        <w:t>246</w:t>
      </w:r>
      <w:r>
        <w:rPr>
          <w:rFonts w:eastAsia="Arial Unicode MS" w:cs="Times New Roman"/>
          <w:color w:val="17365D"/>
          <w:szCs w:val="24"/>
        </w:rPr>
        <w:t xml:space="preserve"> </w:t>
      </w:r>
      <w:r w:rsidRPr="0098708A">
        <w:rPr>
          <w:rFonts w:eastAsia="Arial Unicode MS" w:cs="Times New Roman"/>
          <w:i/>
          <w:color w:val="17365D"/>
          <w:szCs w:val="24"/>
        </w:rPr>
        <w:t>euro</w:t>
      </w:r>
      <w:r w:rsidRPr="0098708A">
        <w:rPr>
          <w:rFonts w:eastAsia="Arial Unicode MS" w:cs="Times New Roman"/>
          <w:color w:val="17365D"/>
          <w:szCs w:val="24"/>
        </w:rPr>
        <w:t xml:space="preserve"> vērtībā par izdevumu samazinājumu no</w:t>
      </w:r>
      <w:r>
        <w:rPr>
          <w:rFonts w:eastAsia="Arial Unicode MS" w:cs="Times New Roman"/>
          <w:color w:val="17365D"/>
          <w:szCs w:val="24"/>
        </w:rPr>
        <w:t xml:space="preserve"> </w:t>
      </w:r>
      <w:r w:rsidRPr="0098708A">
        <w:rPr>
          <w:rFonts w:eastAsia="Arial Unicode MS" w:cs="Times New Roman"/>
          <w:color w:val="17365D"/>
          <w:szCs w:val="24"/>
        </w:rPr>
        <w:t>uzkrājumu pārrēķina</w:t>
      </w:r>
      <w:r>
        <w:rPr>
          <w:rFonts w:eastAsia="Arial Unicode MS" w:cs="Times New Roman"/>
          <w:color w:val="17365D"/>
          <w:szCs w:val="24"/>
        </w:rPr>
        <w:t>s</w:t>
      </w:r>
      <w:r w:rsidRPr="0098708A">
        <w:rPr>
          <w:rFonts w:eastAsia="Arial Unicode MS" w:cs="Times New Roman"/>
          <w:color w:val="17365D"/>
          <w:szCs w:val="24"/>
        </w:rPr>
        <w:t xml:space="preserve"> izdienas pensijām</w:t>
      </w:r>
      <w:r>
        <w:rPr>
          <w:rFonts w:eastAsia="Arial Unicode MS" w:cs="Times New Roman"/>
          <w:color w:val="17365D"/>
          <w:szCs w:val="24"/>
        </w:rPr>
        <w:t>.</w:t>
      </w:r>
    </w:p>
    <w:p w14:paraId="69FC6B0C" w14:textId="77777777" w:rsidR="00DB5DC9" w:rsidRDefault="00DB5DC9" w:rsidP="00C87349"/>
    <w:p w14:paraId="517C0691" w14:textId="097BB5DC" w:rsidR="00D74371" w:rsidRPr="00DD2F2B" w:rsidRDefault="00D74371" w:rsidP="00051043">
      <w:pPr>
        <w:pStyle w:val="Heading3"/>
        <w:rPr>
          <w:lang w:eastAsia="lv-LV"/>
        </w:rPr>
      </w:pPr>
      <w:r w:rsidRPr="00051043">
        <w:t>Ieņēmumi</w:t>
      </w:r>
      <w:r w:rsidRPr="00F72A6E">
        <w:t xml:space="preserve"> un izdevum</w:t>
      </w:r>
      <w:r>
        <w:t>i</w:t>
      </w:r>
      <w:r w:rsidRPr="00F72A6E">
        <w:t xml:space="preserve"> neto vērtīb</w:t>
      </w:r>
      <w:r>
        <w:t>ā</w:t>
      </w:r>
    </w:p>
    <w:p w14:paraId="1E14D10E" w14:textId="77777777" w:rsidR="00D74371" w:rsidRPr="00F72A6E" w:rsidRDefault="00D74371" w:rsidP="00D74371">
      <w:pPr>
        <w:spacing w:before="240" w:after="120" w:line="240" w:lineRule="auto"/>
        <w:jc w:val="both"/>
        <w:rPr>
          <w:rFonts w:eastAsia="Times New Roman" w:cs="Times New Roman"/>
          <w:color w:val="17365D"/>
          <w:szCs w:val="24"/>
        </w:rPr>
      </w:pPr>
      <w:r w:rsidRPr="00F72A6E">
        <w:rPr>
          <w:rFonts w:eastAsia="Times New Roman" w:cs="Times New Roman"/>
          <w:color w:val="17365D"/>
          <w:szCs w:val="24"/>
        </w:rPr>
        <w:t xml:space="preserve">Ieņēmumu un izdevumu neto vērtību izmaiņas uzrādītas </w:t>
      </w:r>
      <w:r>
        <w:rPr>
          <w:rFonts w:eastAsia="Times New Roman" w:cs="Times New Roman"/>
          <w:color w:val="17365D"/>
          <w:szCs w:val="24"/>
        </w:rPr>
        <w:t>2.1</w:t>
      </w:r>
      <w:r w:rsidRPr="00587C02">
        <w:rPr>
          <w:rFonts w:eastAsia="Times New Roman" w:cs="Times New Roman"/>
          <w:color w:val="17365D"/>
          <w:szCs w:val="24"/>
        </w:rPr>
        <w:t>0. tabulā.</w:t>
      </w:r>
    </w:p>
    <w:p w14:paraId="1FA4BA8A" w14:textId="77777777" w:rsidR="00D74371" w:rsidRDefault="00D74371" w:rsidP="00D74371">
      <w:pPr>
        <w:spacing w:after="0"/>
        <w:jc w:val="right"/>
        <w:rPr>
          <w:rFonts w:eastAsia="Arial Unicode MS" w:cs="Times New Roman"/>
          <w:i/>
          <w:color w:val="17365D"/>
          <w:sz w:val="20"/>
          <w:szCs w:val="24"/>
        </w:rPr>
      </w:pPr>
      <w:r>
        <w:rPr>
          <w:rFonts w:eastAsia="Arial Unicode MS" w:cs="Times New Roman"/>
          <w:i/>
          <w:color w:val="17365D"/>
          <w:sz w:val="20"/>
          <w:szCs w:val="24"/>
        </w:rPr>
        <w:t>2.10</w:t>
      </w:r>
      <w:r w:rsidRPr="00F72A6E">
        <w:rPr>
          <w:rFonts w:eastAsia="Arial Unicode MS" w:cs="Times New Roman"/>
          <w:i/>
          <w:color w:val="17365D"/>
          <w:sz w:val="20"/>
          <w:szCs w:val="24"/>
        </w:rPr>
        <w:t>. tabula. Ieņēmumu un izdevumu neto vērtību izmaiņas (euro)</w:t>
      </w:r>
    </w:p>
    <w:tbl>
      <w:tblPr>
        <w:tblW w:w="9356" w:type="dxa"/>
        <w:tblBorders>
          <w:insideH w:val="single" w:sz="4" w:space="0" w:color="012169"/>
        </w:tblBorders>
        <w:tblLayout w:type="fixed"/>
        <w:tblLook w:val="04A0" w:firstRow="1" w:lastRow="0" w:firstColumn="1" w:lastColumn="0" w:noHBand="0" w:noVBand="1"/>
      </w:tblPr>
      <w:tblGrid>
        <w:gridCol w:w="2459"/>
        <w:gridCol w:w="943"/>
        <w:gridCol w:w="1418"/>
        <w:gridCol w:w="1417"/>
        <w:gridCol w:w="1418"/>
        <w:gridCol w:w="1701"/>
      </w:tblGrid>
      <w:tr w:rsidR="00D74371" w:rsidRPr="00F72A6E" w14:paraId="72F4BA93" w14:textId="77777777" w:rsidTr="00DD013E">
        <w:trPr>
          <w:trHeight w:val="791"/>
          <w:tblHeader/>
        </w:trPr>
        <w:tc>
          <w:tcPr>
            <w:tcW w:w="2459" w:type="dxa"/>
            <w:shd w:val="clear" w:color="auto" w:fill="B9CDE5"/>
            <w:vAlign w:val="center"/>
            <w:hideMark/>
          </w:tcPr>
          <w:p w14:paraId="0D94F94E" w14:textId="77777777" w:rsidR="00D74371" w:rsidRPr="00F72A6E" w:rsidRDefault="00D74371" w:rsidP="00D74371">
            <w:pPr>
              <w:spacing w:after="0" w:line="240" w:lineRule="auto"/>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Rādītājs</w:t>
            </w:r>
          </w:p>
        </w:tc>
        <w:tc>
          <w:tcPr>
            <w:tcW w:w="943" w:type="dxa"/>
            <w:shd w:val="clear" w:color="auto" w:fill="B9CDE5"/>
            <w:vAlign w:val="center"/>
          </w:tcPr>
          <w:p w14:paraId="272CEF84" w14:textId="77777777" w:rsidR="00D74371" w:rsidRPr="00F72A6E" w:rsidRDefault="00D74371" w:rsidP="00D74371">
            <w:pPr>
              <w:spacing w:after="0" w:line="240" w:lineRule="auto"/>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Piezīmes Nr.</w:t>
            </w:r>
          </w:p>
        </w:tc>
        <w:tc>
          <w:tcPr>
            <w:tcW w:w="1418" w:type="dxa"/>
            <w:shd w:val="clear" w:color="auto" w:fill="B9CDE5"/>
            <w:vAlign w:val="center"/>
          </w:tcPr>
          <w:p w14:paraId="01ED6E0D" w14:textId="77777777" w:rsidR="00D74371" w:rsidRPr="00F72A6E" w:rsidRDefault="00D74371" w:rsidP="00D74371">
            <w:pPr>
              <w:spacing w:after="0" w:line="240" w:lineRule="auto"/>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Pārskata periods</w:t>
            </w:r>
          </w:p>
        </w:tc>
        <w:tc>
          <w:tcPr>
            <w:tcW w:w="1417" w:type="dxa"/>
            <w:shd w:val="clear" w:color="auto" w:fill="B9CDE5"/>
            <w:vAlign w:val="center"/>
          </w:tcPr>
          <w:p w14:paraId="0CA3AD10" w14:textId="77777777" w:rsidR="00D74371" w:rsidRPr="00F72A6E" w:rsidRDefault="00D74371" w:rsidP="00D74371">
            <w:pPr>
              <w:spacing w:after="0" w:line="240" w:lineRule="auto"/>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Iepriekšējais pārskata periods</w:t>
            </w:r>
          </w:p>
        </w:tc>
        <w:tc>
          <w:tcPr>
            <w:tcW w:w="1418" w:type="dxa"/>
            <w:shd w:val="clear" w:color="auto" w:fill="B9CDE5"/>
            <w:vAlign w:val="center"/>
          </w:tcPr>
          <w:p w14:paraId="7E32E51A" w14:textId="77777777" w:rsidR="00D74371" w:rsidRPr="00F72A6E" w:rsidRDefault="00D74371" w:rsidP="00D74371">
            <w:pPr>
              <w:spacing w:after="0" w:line="240" w:lineRule="auto"/>
              <w:ind w:left="-107" w:right="-109"/>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Izmaiņas (1. – 2.)</w:t>
            </w:r>
          </w:p>
        </w:tc>
        <w:tc>
          <w:tcPr>
            <w:tcW w:w="1701" w:type="dxa"/>
            <w:shd w:val="clear" w:color="auto" w:fill="B9CDE5"/>
            <w:vAlign w:val="center"/>
          </w:tcPr>
          <w:p w14:paraId="018C0050" w14:textId="77777777" w:rsidR="00D74371" w:rsidRPr="00F72A6E" w:rsidRDefault="00D74371" w:rsidP="00D74371">
            <w:pPr>
              <w:spacing w:after="0" w:line="240" w:lineRule="auto"/>
              <w:ind w:left="-107" w:right="-109"/>
              <w:jc w:val="center"/>
              <w:rPr>
                <w:rFonts w:eastAsia="Times New Roman" w:cs="Times New Roman"/>
                <w:b/>
                <w:color w:val="17365D"/>
                <w:sz w:val="18"/>
                <w:szCs w:val="18"/>
                <w:lang w:eastAsia="lv-LV"/>
              </w:rPr>
            </w:pPr>
            <w:r w:rsidRPr="00F72A6E">
              <w:rPr>
                <w:rFonts w:eastAsia="Times New Roman" w:cs="Times New Roman"/>
                <w:b/>
                <w:color w:val="17365D"/>
                <w:sz w:val="18"/>
                <w:szCs w:val="18"/>
                <w:lang w:eastAsia="lv-LV"/>
              </w:rPr>
              <w:t xml:space="preserve">Procentuālās izmaiņas </w:t>
            </w:r>
            <w:r w:rsidRPr="00F72A6E">
              <w:rPr>
                <w:rFonts w:eastAsia="Times New Roman" w:cs="Times New Roman"/>
                <w:b/>
                <w:color w:val="17365D"/>
                <w:sz w:val="18"/>
                <w:szCs w:val="18"/>
                <w:lang w:eastAsia="lv-LV"/>
              </w:rPr>
              <w:br/>
              <w:t>(3/2. x 100)</w:t>
            </w:r>
          </w:p>
        </w:tc>
      </w:tr>
      <w:tr w:rsidR="00D74371" w:rsidRPr="00F72A6E" w14:paraId="6F7C82E8" w14:textId="77777777" w:rsidTr="00DD013E">
        <w:trPr>
          <w:trHeight w:val="56"/>
        </w:trPr>
        <w:tc>
          <w:tcPr>
            <w:tcW w:w="2459" w:type="dxa"/>
            <w:shd w:val="clear" w:color="auto" w:fill="auto"/>
            <w:vAlign w:val="center"/>
          </w:tcPr>
          <w:p w14:paraId="31A69E7A" w14:textId="77777777" w:rsidR="00D74371" w:rsidRPr="00F72A6E" w:rsidRDefault="00D74371" w:rsidP="00D74371">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A</w:t>
            </w:r>
          </w:p>
        </w:tc>
        <w:tc>
          <w:tcPr>
            <w:tcW w:w="943" w:type="dxa"/>
            <w:tcBorders>
              <w:bottom w:val="single" w:sz="4" w:space="0" w:color="012169"/>
            </w:tcBorders>
            <w:shd w:val="clear" w:color="auto" w:fill="auto"/>
            <w:vAlign w:val="center"/>
          </w:tcPr>
          <w:p w14:paraId="601A841D" w14:textId="77777777" w:rsidR="00D74371" w:rsidRPr="00F72A6E" w:rsidRDefault="00D74371" w:rsidP="00D74371">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B</w:t>
            </w:r>
          </w:p>
        </w:tc>
        <w:tc>
          <w:tcPr>
            <w:tcW w:w="1418" w:type="dxa"/>
            <w:tcBorders>
              <w:bottom w:val="single" w:sz="4" w:space="0" w:color="012169"/>
            </w:tcBorders>
            <w:shd w:val="clear" w:color="auto" w:fill="auto"/>
            <w:vAlign w:val="center"/>
          </w:tcPr>
          <w:p w14:paraId="744B258C" w14:textId="77777777" w:rsidR="00D74371" w:rsidRPr="00F72A6E" w:rsidRDefault="00D74371" w:rsidP="00D74371">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1</w:t>
            </w:r>
          </w:p>
        </w:tc>
        <w:tc>
          <w:tcPr>
            <w:tcW w:w="1417" w:type="dxa"/>
            <w:tcBorders>
              <w:bottom w:val="single" w:sz="4" w:space="0" w:color="012169"/>
            </w:tcBorders>
            <w:shd w:val="clear" w:color="auto" w:fill="auto"/>
            <w:vAlign w:val="center"/>
          </w:tcPr>
          <w:p w14:paraId="01EC63F9" w14:textId="77777777" w:rsidR="00D74371" w:rsidRPr="00F72A6E" w:rsidRDefault="00D74371" w:rsidP="00D74371">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2</w:t>
            </w:r>
          </w:p>
        </w:tc>
        <w:tc>
          <w:tcPr>
            <w:tcW w:w="1418" w:type="dxa"/>
            <w:tcBorders>
              <w:bottom w:val="single" w:sz="4" w:space="0" w:color="012169"/>
            </w:tcBorders>
            <w:shd w:val="clear" w:color="auto" w:fill="auto"/>
            <w:vAlign w:val="center"/>
          </w:tcPr>
          <w:p w14:paraId="64C40186" w14:textId="77777777" w:rsidR="00D74371" w:rsidRPr="00F72A6E" w:rsidRDefault="00D74371" w:rsidP="00D74371">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3</w:t>
            </w:r>
          </w:p>
        </w:tc>
        <w:tc>
          <w:tcPr>
            <w:tcW w:w="1701" w:type="dxa"/>
            <w:tcBorders>
              <w:bottom w:val="single" w:sz="4" w:space="0" w:color="012169"/>
            </w:tcBorders>
            <w:shd w:val="clear" w:color="auto" w:fill="auto"/>
            <w:vAlign w:val="center"/>
          </w:tcPr>
          <w:p w14:paraId="4E7B691E" w14:textId="77777777" w:rsidR="00D74371" w:rsidRPr="00F72A6E" w:rsidRDefault="00D74371" w:rsidP="00D74371">
            <w:pPr>
              <w:spacing w:after="0" w:line="240" w:lineRule="auto"/>
              <w:jc w:val="center"/>
              <w:rPr>
                <w:rFonts w:eastAsia="Times New Roman" w:cs="Times New Roman"/>
                <w:b/>
                <w:color w:val="17365D"/>
                <w:sz w:val="18"/>
                <w:szCs w:val="18"/>
              </w:rPr>
            </w:pPr>
            <w:r w:rsidRPr="00F72A6E">
              <w:rPr>
                <w:rFonts w:eastAsia="Times New Roman" w:cs="Times New Roman"/>
                <w:b/>
                <w:color w:val="17365D"/>
                <w:sz w:val="18"/>
                <w:szCs w:val="18"/>
              </w:rPr>
              <w:t>4</w:t>
            </w:r>
          </w:p>
        </w:tc>
      </w:tr>
      <w:tr w:rsidR="00D74371" w:rsidRPr="00F72A6E" w14:paraId="304ABDF1" w14:textId="77777777" w:rsidTr="00942883">
        <w:trPr>
          <w:trHeight w:val="319"/>
        </w:trPr>
        <w:tc>
          <w:tcPr>
            <w:tcW w:w="2459" w:type="dxa"/>
            <w:tcBorders>
              <w:bottom w:val="single" w:sz="4" w:space="0" w:color="000000"/>
              <w:right w:val="nil"/>
            </w:tcBorders>
            <w:shd w:val="clear" w:color="auto" w:fill="auto"/>
            <w:vAlign w:val="center"/>
          </w:tcPr>
          <w:p w14:paraId="16B6E469" w14:textId="77777777" w:rsidR="00D74371" w:rsidRPr="00F72A6E" w:rsidRDefault="00D74371" w:rsidP="00D74371">
            <w:pPr>
              <w:spacing w:after="0" w:line="240" w:lineRule="auto"/>
              <w:rPr>
                <w:rFonts w:eastAsia="Times New Roman" w:cs="Times New Roman"/>
                <w:color w:val="17365D"/>
                <w:sz w:val="18"/>
                <w:szCs w:val="18"/>
              </w:rPr>
            </w:pPr>
            <w:r w:rsidRPr="00F72A6E">
              <w:rPr>
                <w:rFonts w:eastAsia="Times New Roman" w:cs="Times New Roman"/>
                <w:color w:val="17365D"/>
                <w:sz w:val="18"/>
                <w:szCs w:val="18"/>
              </w:rPr>
              <w:t>Ieņēmumi (+) vai izdevumi (–) no finanšu instrumentiem</w:t>
            </w:r>
          </w:p>
        </w:tc>
        <w:tc>
          <w:tcPr>
            <w:tcW w:w="943" w:type="dxa"/>
            <w:tcBorders>
              <w:top w:val="single" w:sz="4" w:space="0" w:color="012169"/>
              <w:left w:val="nil"/>
              <w:bottom w:val="single" w:sz="4" w:space="0" w:color="000000"/>
              <w:right w:val="nil"/>
            </w:tcBorders>
            <w:shd w:val="clear" w:color="auto" w:fill="auto"/>
            <w:vAlign w:val="center"/>
          </w:tcPr>
          <w:p w14:paraId="016559CE" w14:textId="77777777" w:rsidR="00D74371" w:rsidRPr="00F72A6E" w:rsidRDefault="00D74371" w:rsidP="00D74371">
            <w:pPr>
              <w:spacing w:after="0" w:line="240" w:lineRule="auto"/>
              <w:jc w:val="center"/>
              <w:rPr>
                <w:rFonts w:eastAsia="Times New Roman" w:cs="Times New Roman"/>
                <w:color w:val="17365D"/>
                <w:sz w:val="18"/>
                <w:szCs w:val="18"/>
              </w:rPr>
            </w:pPr>
            <w:r>
              <w:rPr>
                <w:rFonts w:eastAsia="Times New Roman" w:cs="Times New Roman"/>
                <w:color w:val="17365D"/>
                <w:sz w:val="18"/>
                <w:szCs w:val="18"/>
              </w:rPr>
              <w:t>FD.V9</w:t>
            </w:r>
          </w:p>
        </w:tc>
        <w:tc>
          <w:tcPr>
            <w:tcW w:w="1418" w:type="dxa"/>
            <w:tcBorders>
              <w:top w:val="single" w:sz="4" w:space="0" w:color="000000"/>
              <w:left w:val="nil"/>
              <w:bottom w:val="single" w:sz="4" w:space="0" w:color="000000"/>
              <w:right w:val="nil"/>
            </w:tcBorders>
            <w:shd w:val="clear" w:color="F2F2F2" w:fill="FFFFFF"/>
            <w:vAlign w:val="center"/>
          </w:tcPr>
          <w:p w14:paraId="2832D628"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12 086 232</w:t>
            </w:r>
          </w:p>
        </w:tc>
        <w:tc>
          <w:tcPr>
            <w:tcW w:w="1417" w:type="dxa"/>
            <w:tcBorders>
              <w:top w:val="single" w:sz="4" w:space="0" w:color="000000"/>
              <w:left w:val="nil"/>
              <w:bottom w:val="single" w:sz="4" w:space="0" w:color="000000"/>
              <w:right w:val="nil"/>
            </w:tcBorders>
            <w:shd w:val="clear" w:color="F2F2F2" w:fill="FFFFFF"/>
            <w:vAlign w:val="center"/>
          </w:tcPr>
          <w:p w14:paraId="414E775A"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-6 930 573</w:t>
            </w:r>
          </w:p>
        </w:tc>
        <w:tc>
          <w:tcPr>
            <w:tcW w:w="1418" w:type="dxa"/>
            <w:tcBorders>
              <w:top w:val="single" w:sz="4" w:space="0" w:color="000000"/>
              <w:left w:val="nil"/>
              <w:bottom w:val="single" w:sz="4" w:space="0" w:color="000000"/>
              <w:right w:val="nil"/>
            </w:tcBorders>
            <w:shd w:val="clear" w:color="F2F2F2" w:fill="FFFFFF"/>
            <w:vAlign w:val="center"/>
          </w:tcPr>
          <w:p w14:paraId="7A458D39"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19 016 805</w:t>
            </w:r>
          </w:p>
        </w:tc>
        <w:tc>
          <w:tcPr>
            <w:tcW w:w="1701" w:type="dxa"/>
            <w:tcBorders>
              <w:top w:val="nil"/>
              <w:left w:val="nil"/>
              <w:bottom w:val="single" w:sz="4" w:space="0" w:color="000000"/>
              <w:right w:val="nil"/>
            </w:tcBorders>
            <w:shd w:val="clear" w:color="F2F2F2" w:fill="FFFFFF"/>
            <w:vAlign w:val="center"/>
          </w:tcPr>
          <w:p w14:paraId="5947BDD7" w14:textId="2A26B8CC" w:rsidR="00D74371" w:rsidRPr="00F72A6E" w:rsidRDefault="00D74371" w:rsidP="001E6CF9">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-274.</w:t>
            </w:r>
            <w:r w:rsidR="001E6CF9">
              <w:rPr>
                <w:rFonts w:eastAsia="Arial Unicode MS" w:cs="Times New Roman"/>
                <w:color w:val="17365D"/>
                <w:sz w:val="18"/>
                <w:szCs w:val="18"/>
              </w:rPr>
              <w:t>39</w:t>
            </w:r>
          </w:p>
        </w:tc>
      </w:tr>
      <w:tr w:rsidR="00D74371" w:rsidRPr="00F72A6E" w14:paraId="5535362E" w14:textId="77777777" w:rsidTr="00942883">
        <w:trPr>
          <w:trHeight w:val="549"/>
        </w:trPr>
        <w:tc>
          <w:tcPr>
            <w:tcW w:w="2459" w:type="dxa"/>
            <w:tcBorders>
              <w:top w:val="single" w:sz="4" w:space="0" w:color="000000"/>
              <w:bottom w:val="single" w:sz="4" w:space="0" w:color="auto"/>
              <w:right w:val="nil"/>
            </w:tcBorders>
            <w:shd w:val="clear" w:color="auto" w:fill="auto"/>
            <w:vAlign w:val="center"/>
          </w:tcPr>
          <w:p w14:paraId="3E65A26A" w14:textId="77777777" w:rsidR="00D74371" w:rsidRPr="00F72A6E" w:rsidRDefault="00D74371" w:rsidP="00D74371">
            <w:pPr>
              <w:spacing w:after="0" w:line="240" w:lineRule="auto"/>
              <w:rPr>
                <w:rFonts w:eastAsia="Times New Roman" w:cs="Times New Roman"/>
                <w:color w:val="17365D"/>
                <w:sz w:val="18"/>
                <w:szCs w:val="18"/>
              </w:rPr>
            </w:pPr>
            <w:r w:rsidRPr="00F72A6E">
              <w:rPr>
                <w:rFonts w:eastAsia="Times New Roman" w:cs="Times New Roman"/>
                <w:color w:val="17365D"/>
                <w:sz w:val="18"/>
                <w:szCs w:val="18"/>
              </w:rPr>
              <w:t>Ieņēmumi (+) vai izdevumi (–) no nefinanšu aktīvu atsavināšanas</w:t>
            </w:r>
          </w:p>
        </w:tc>
        <w:tc>
          <w:tcPr>
            <w:tcW w:w="943" w:type="dxa"/>
            <w:tcBorders>
              <w:top w:val="single" w:sz="4" w:space="0" w:color="000000"/>
              <w:left w:val="nil"/>
              <w:bottom w:val="single" w:sz="4" w:space="0" w:color="auto"/>
              <w:right w:val="nil"/>
            </w:tcBorders>
            <w:shd w:val="clear" w:color="auto" w:fill="auto"/>
            <w:vAlign w:val="center"/>
          </w:tcPr>
          <w:p w14:paraId="5C148A82" w14:textId="77777777" w:rsidR="00D74371" w:rsidRPr="00F72A6E" w:rsidRDefault="00D74371" w:rsidP="00D74371">
            <w:pPr>
              <w:spacing w:after="0" w:line="240" w:lineRule="auto"/>
              <w:jc w:val="center"/>
              <w:rPr>
                <w:rFonts w:eastAsia="Times New Roman" w:cs="Times New Roman"/>
                <w:color w:val="17365D"/>
                <w:sz w:val="18"/>
                <w:szCs w:val="18"/>
              </w:rPr>
            </w:pPr>
          </w:p>
        </w:tc>
        <w:tc>
          <w:tcPr>
            <w:tcW w:w="1418" w:type="dxa"/>
            <w:tcBorders>
              <w:top w:val="single" w:sz="4" w:space="0" w:color="000000"/>
              <w:left w:val="nil"/>
              <w:bottom w:val="single" w:sz="4" w:space="0" w:color="auto"/>
              <w:right w:val="nil"/>
            </w:tcBorders>
            <w:shd w:val="clear" w:color="F2F2F2" w:fill="FFFFFF"/>
            <w:vAlign w:val="center"/>
          </w:tcPr>
          <w:p w14:paraId="1B127A71"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28 787 432</w:t>
            </w:r>
          </w:p>
        </w:tc>
        <w:tc>
          <w:tcPr>
            <w:tcW w:w="1417" w:type="dxa"/>
            <w:tcBorders>
              <w:top w:val="single" w:sz="4" w:space="0" w:color="000000"/>
              <w:left w:val="nil"/>
              <w:bottom w:val="single" w:sz="4" w:space="0" w:color="auto"/>
              <w:right w:val="nil"/>
            </w:tcBorders>
            <w:shd w:val="clear" w:color="F2F2F2" w:fill="FFFFFF"/>
            <w:vAlign w:val="center"/>
          </w:tcPr>
          <w:p w14:paraId="2EEFF308"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21 168 315</w:t>
            </w:r>
          </w:p>
        </w:tc>
        <w:tc>
          <w:tcPr>
            <w:tcW w:w="1418" w:type="dxa"/>
            <w:tcBorders>
              <w:top w:val="single" w:sz="4" w:space="0" w:color="000000"/>
              <w:left w:val="nil"/>
              <w:bottom w:val="single" w:sz="4" w:space="0" w:color="auto"/>
              <w:right w:val="nil"/>
            </w:tcBorders>
            <w:shd w:val="clear" w:color="F2F2F2" w:fill="FFFFFF"/>
            <w:vAlign w:val="center"/>
          </w:tcPr>
          <w:p w14:paraId="464B334D"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7 619 117</w:t>
            </w:r>
          </w:p>
        </w:tc>
        <w:tc>
          <w:tcPr>
            <w:tcW w:w="1701" w:type="dxa"/>
            <w:tcBorders>
              <w:top w:val="single" w:sz="4" w:space="0" w:color="000000"/>
              <w:left w:val="nil"/>
              <w:bottom w:val="single" w:sz="4" w:space="0" w:color="auto"/>
              <w:right w:val="nil"/>
            </w:tcBorders>
            <w:shd w:val="clear" w:color="F2F2F2" w:fill="FFFFFF"/>
            <w:vAlign w:val="center"/>
          </w:tcPr>
          <w:p w14:paraId="4DFBF00E" w14:textId="2B63B57E" w:rsidR="00D74371" w:rsidRPr="00F72A6E" w:rsidRDefault="00D74371" w:rsidP="001E6CF9">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3</w:t>
            </w:r>
            <w:r w:rsidR="001E6CF9">
              <w:rPr>
                <w:rFonts w:eastAsia="Arial Unicode MS" w:cs="Times New Roman"/>
                <w:color w:val="17365D"/>
                <w:sz w:val="18"/>
                <w:szCs w:val="18"/>
              </w:rPr>
              <w:t>5</w:t>
            </w:r>
            <w:r w:rsidRPr="00F72A6E">
              <w:rPr>
                <w:rFonts w:eastAsia="Arial Unicode MS" w:cs="Times New Roman"/>
                <w:color w:val="17365D"/>
                <w:sz w:val="18"/>
                <w:szCs w:val="18"/>
              </w:rPr>
              <w:t>.</w:t>
            </w:r>
            <w:r w:rsidR="001E6CF9">
              <w:rPr>
                <w:rFonts w:eastAsia="Arial Unicode MS" w:cs="Times New Roman"/>
                <w:color w:val="17365D"/>
                <w:sz w:val="18"/>
                <w:szCs w:val="18"/>
              </w:rPr>
              <w:t>99</w:t>
            </w:r>
          </w:p>
        </w:tc>
      </w:tr>
      <w:tr w:rsidR="00942883" w:rsidRPr="00F72A6E" w14:paraId="109175D3" w14:textId="77777777" w:rsidTr="00942883">
        <w:trPr>
          <w:trHeight w:val="319"/>
        </w:trPr>
        <w:tc>
          <w:tcPr>
            <w:tcW w:w="2459" w:type="dxa"/>
            <w:tcBorders>
              <w:top w:val="single" w:sz="4" w:space="0" w:color="auto"/>
              <w:bottom w:val="single" w:sz="4" w:space="0" w:color="auto"/>
              <w:right w:val="nil"/>
            </w:tcBorders>
            <w:shd w:val="clear" w:color="auto" w:fill="auto"/>
            <w:vAlign w:val="center"/>
          </w:tcPr>
          <w:p w14:paraId="756C6E88" w14:textId="77777777" w:rsidR="00942883" w:rsidRPr="00F72A6E" w:rsidRDefault="00942883" w:rsidP="00942883">
            <w:pPr>
              <w:spacing w:after="0" w:line="240" w:lineRule="auto"/>
              <w:rPr>
                <w:rFonts w:eastAsia="Times New Roman" w:cs="Times New Roman"/>
                <w:color w:val="17365D"/>
                <w:sz w:val="18"/>
                <w:szCs w:val="18"/>
              </w:rPr>
            </w:pPr>
            <w:r w:rsidRPr="00F72A6E">
              <w:rPr>
                <w:rFonts w:eastAsia="Times New Roman" w:cs="Times New Roman"/>
                <w:color w:val="17365D"/>
                <w:sz w:val="18"/>
                <w:szCs w:val="18"/>
              </w:rPr>
              <w:t>Budžeta izpildes rezultāts (A + N1 + N2)</w:t>
            </w:r>
          </w:p>
        </w:tc>
        <w:tc>
          <w:tcPr>
            <w:tcW w:w="943" w:type="dxa"/>
            <w:tcBorders>
              <w:top w:val="single" w:sz="4" w:space="0" w:color="auto"/>
              <w:left w:val="nil"/>
              <w:bottom w:val="single" w:sz="4" w:space="0" w:color="auto"/>
              <w:right w:val="nil"/>
            </w:tcBorders>
            <w:shd w:val="clear" w:color="auto" w:fill="auto"/>
            <w:vAlign w:val="center"/>
          </w:tcPr>
          <w:p w14:paraId="5BD93FDB" w14:textId="77777777" w:rsidR="00942883" w:rsidRPr="00F72A6E" w:rsidRDefault="00942883" w:rsidP="00942883">
            <w:pPr>
              <w:spacing w:after="0" w:line="240" w:lineRule="auto"/>
              <w:jc w:val="center"/>
              <w:rPr>
                <w:rFonts w:eastAsia="Times New Roman" w:cs="Times New Roman"/>
                <w:color w:val="17365D"/>
                <w:sz w:val="18"/>
                <w:szCs w:val="18"/>
              </w:rPr>
            </w:pPr>
          </w:p>
        </w:tc>
        <w:tc>
          <w:tcPr>
            <w:tcW w:w="1418" w:type="dxa"/>
            <w:tcBorders>
              <w:top w:val="single" w:sz="4" w:space="0" w:color="auto"/>
              <w:left w:val="nil"/>
              <w:bottom w:val="single" w:sz="4" w:space="0" w:color="auto"/>
              <w:right w:val="nil"/>
            </w:tcBorders>
            <w:shd w:val="clear" w:color="F2F2F2" w:fill="FFFFFF"/>
            <w:vAlign w:val="center"/>
          </w:tcPr>
          <w:p w14:paraId="3873967E" w14:textId="372A1897" w:rsidR="00942883" w:rsidRPr="00F72A6E" w:rsidRDefault="00942883" w:rsidP="00942883">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68 142 642</w:t>
            </w:r>
          </w:p>
        </w:tc>
        <w:tc>
          <w:tcPr>
            <w:tcW w:w="1417" w:type="dxa"/>
            <w:tcBorders>
              <w:top w:val="single" w:sz="4" w:space="0" w:color="auto"/>
              <w:left w:val="nil"/>
              <w:bottom w:val="single" w:sz="4" w:space="0" w:color="auto"/>
              <w:right w:val="nil"/>
            </w:tcBorders>
            <w:shd w:val="clear" w:color="F2F2F2" w:fill="FFFFFF"/>
            <w:vAlign w:val="center"/>
          </w:tcPr>
          <w:p w14:paraId="456122C2" w14:textId="055EFA30" w:rsidR="00942883" w:rsidRPr="00F72A6E" w:rsidRDefault="00942883" w:rsidP="00942883">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569 911 412</w:t>
            </w:r>
          </w:p>
        </w:tc>
        <w:tc>
          <w:tcPr>
            <w:tcW w:w="1418" w:type="dxa"/>
            <w:tcBorders>
              <w:top w:val="single" w:sz="4" w:space="0" w:color="auto"/>
              <w:left w:val="nil"/>
              <w:bottom w:val="single" w:sz="4" w:space="0" w:color="auto"/>
              <w:right w:val="nil"/>
            </w:tcBorders>
            <w:shd w:val="clear" w:color="auto" w:fill="auto"/>
            <w:vAlign w:val="center"/>
          </w:tcPr>
          <w:p w14:paraId="3A7F5527" w14:textId="40520D18" w:rsidR="00942883" w:rsidRPr="00F72A6E" w:rsidRDefault="00942883" w:rsidP="00F8014B">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-501 768 770</w:t>
            </w:r>
          </w:p>
        </w:tc>
        <w:tc>
          <w:tcPr>
            <w:tcW w:w="1701" w:type="dxa"/>
            <w:tcBorders>
              <w:top w:val="single" w:sz="4" w:space="0" w:color="auto"/>
              <w:left w:val="nil"/>
              <w:bottom w:val="single" w:sz="4" w:space="0" w:color="auto"/>
              <w:right w:val="nil"/>
            </w:tcBorders>
            <w:shd w:val="clear" w:color="auto" w:fill="auto"/>
            <w:vAlign w:val="center"/>
          </w:tcPr>
          <w:p w14:paraId="41F2897E" w14:textId="29C78AB5" w:rsidR="00942883" w:rsidRPr="00F72A6E" w:rsidRDefault="00942883" w:rsidP="00942883">
            <w:pPr>
              <w:spacing w:after="0" w:line="240" w:lineRule="auto"/>
              <w:jc w:val="right"/>
              <w:rPr>
                <w:rFonts w:eastAsia="Arial Unicode MS" w:cs="Times New Roman"/>
                <w:color w:val="17365D"/>
                <w:sz w:val="18"/>
                <w:szCs w:val="18"/>
              </w:rPr>
            </w:pPr>
            <w:r w:rsidRPr="00942883">
              <w:rPr>
                <w:rFonts w:eastAsia="Arial Unicode MS" w:cs="Times New Roman"/>
                <w:color w:val="17365D"/>
                <w:sz w:val="18"/>
                <w:szCs w:val="18"/>
              </w:rPr>
              <w:t>-88.04</w:t>
            </w:r>
          </w:p>
        </w:tc>
      </w:tr>
      <w:tr w:rsidR="00D74371" w:rsidRPr="00F72A6E" w14:paraId="573EE85B" w14:textId="77777777" w:rsidTr="00942883">
        <w:trPr>
          <w:trHeight w:val="156"/>
        </w:trPr>
        <w:tc>
          <w:tcPr>
            <w:tcW w:w="2459" w:type="dxa"/>
            <w:tcBorders>
              <w:top w:val="single" w:sz="4" w:space="0" w:color="auto"/>
            </w:tcBorders>
            <w:shd w:val="clear" w:color="auto" w:fill="B8CCE4" w:themeFill="accent1" w:themeFillTint="66"/>
            <w:vAlign w:val="center"/>
          </w:tcPr>
          <w:p w14:paraId="3761EB55" w14:textId="77777777" w:rsidR="00D74371" w:rsidRPr="00A27896" w:rsidRDefault="00D74371" w:rsidP="00D74371">
            <w:pPr>
              <w:spacing w:after="0" w:line="240" w:lineRule="auto"/>
              <w:rPr>
                <w:rFonts w:eastAsia="Times New Roman" w:cs="Times New Roman"/>
                <w:color w:val="17365D"/>
                <w:sz w:val="18"/>
                <w:szCs w:val="18"/>
              </w:rPr>
            </w:pPr>
          </w:p>
        </w:tc>
        <w:tc>
          <w:tcPr>
            <w:tcW w:w="943" w:type="dxa"/>
            <w:tcBorders>
              <w:top w:val="single" w:sz="4" w:space="0" w:color="auto"/>
            </w:tcBorders>
            <w:shd w:val="clear" w:color="auto" w:fill="B8CCE4" w:themeFill="accent1" w:themeFillTint="66"/>
            <w:vAlign w:val="center"/>
          </w:tcPr>
          <w:p w14:paraId="428DE0E3" w14:textId="77777777" w:rsidR="00D74371" w:rsidRPr="00A27896" w:rsidRDefault="00D74371" w:rsidP="00D74371">
            <w:pPr>
              <w:spacing w:after="0" w:line="240" w:lineRule="auto"/>
              <w:jc w:val="center"/>
              <w:rPr>
                <w:rFonts w:eastAsia="Times New Roman" w:cs="Times New Roman"/>
                <w:color w:val="17365D"/>
                <w:sz w:val="18"/>
                <w:szCs w:val="18"/>
              </w:rPr>
            </w:pPr>
          </w:p>
        </w:tc>
        <w:tc>
          <w:tcPr>
            <w:tcW w:w="1418" w:type="dxa"/>
            <w:tcBorders>
              <w:top w:val="single" w:sz="4" w:space="0" w:color="auto"/>
            </w:tcBorders>
            <w:shd w:val="clear" w:color="auto" w:fill="B8CCE4" w:themeFill="accent1" w:themeFillTint="66"/>
          </w:tcPr>
          <w:p w14:paraId="57F94978" w14:textId="77777777" w:rsidR="00D74371" w:rsidRPr="00A27896" w:rsidRDefault="00D74371" w:rsidP="00D74371">
            <w:pPr>
              <w:spacing w:after="0" w:line="240" w:lineRule="auto"/>
              <w:jc w:val="right"/>
              <w:rPr>
                <w:rFonts w:eastAsia="Times New Roman" w:cs="Times New Roman"/>
                <w:b/>
                <w:color w:val="17365D"/>
                <w:sz w:val="18"/>
                <w:szCs w:val="18"/>
              </w:rPr>
            </w:pPr>
          </w:p>
        </w:tc>
        <w:tc>
          <w:tcPr>
            <w:tcW w:w="1417" w:type="dxa"/>
            <w:tcBorders>
              <w:top w:val="single" w:sz="4" w:space="0" w:color="auto"/>
            </w:tcBorders>
            <w:shd w:val="clear" w:color="auto" w:fill="B8CCE4" w:themeFill="accent1" w:themeFillTint="66"/>
          </w:tcPr>
          <w:p w14:paraId="118454BE" w14:textId="77777777" w:rsidR="00D74371" w:rsidRPr="00A27896" w:rsidRDefault="00D74371" w:rsidP="00D74371">
            <w:pPr>
              <w:spacing w:after="0" w:line="240" w:lineRule="auto"/>
              <w:jc w:val="right"/>
              <w:rPr>
                <w:rFonts w:eastAsia="Times New Roman" w:cs="Times New Roman"/>
                <w:b/>
                <w:color w:val="17365D"/>
                <w:sz w:val="18"/>
                <w:szCs w:val="18"/>
              </w:rPr>
            </w:pPr>
          </w:p>
        </w:tc>
        <w:tc>
          <w:tcPr>
            <w:tcW w:w="1418" w:type="dxa"/>
            <w:tcBorders>
              <w:top w:val="single" w:sz="4" w:space="0" w:color="auto"/>
            </w:tcBorders>
            <w:shd w:val="clear" w:color="auto" w:fill="B8CCE4" w:themeFill="accent1" w:themeFillTint="66"/>
          </w:tcPr>
          <w:p w14:paraId="1CB3AFD4" w14:textId="77777777" w:rsidR="00D74371" w:rsidRPr="00A27896" w:rsidRDefault="00D74371" w:rsidP="00D74371">
            <w:pPr>
              <w:spacing w:after="0" w:line="240" w:lineRule="auto"/>
              <w:jc w:val="right"/>
              <w:rPr>
                <w:rFonts w:eastAsia="Times New Roman" w:cs="Times New Roman"/>
                <w:b/>
                <w:color w:val="17365D"/>
                <w:sz w:val="18"/>
                <w:szCs w:val="18"/>
              </w:rPr>
            </w:pPr>
          </w:p>
        </w:tc>
        <w:tc>
          <w:tcPr>
            <w:tcW w:w="1701" w:type="dxa"/>
            <w:tcBorders>
              <w:top w:val="single" w:sz="4" w:space="0" w:color="auto"/>
            </w:tcBorders>
            <w:shd w:val="clear" w:color="auto" w:fill="B8CCE4" w:themeFill="accent1" w:themeFillTint="66"/>
          </w:tcPr>
          <w:p w14:paraId="346D1156" w14:textId="77777777" w:rsidR="00D74371" w:rsidRPr="00A27896" w:rsidRDefault="00D74371" w:rsidP="00D74371">
            <w:pPr>
              <w:spacing w:after="0" w:line="240" w:lineRule="auto"/>
              <w:jc w:val="right"/>
              <w:rPr>
                <w:rFonts w:eastAsia="Times New Roman" w:cs="Times New Roman"/>
                <w:b/>
                <w:color w:val="17365D"/>
                <w:sz w:val="18"/>
                <w:szCs w:val="18"/>
              </w:rPr>
            </w:pPr>
          </w:p>
        </w:tc>
      </w:tr>
    </w:tbl>
    <w:p w14:paraId="2364DC47" w14:textId="77777777" w:rsidR="00D74371" w:rsidRPr="00F72A6E" w:rsidRDefault="00D74371" w:rsidP="00D74371">
      <w:pPr>
        <w:spacing w:after="0"/>
        <w:rPr>
          <w:rFonts w:eastAsia="Arial Unicode MS" w:cs="Times New Roman"/>
          <w:color w:val="17365D"/>
          <w:sz w:val="20"/>
          <w:szCs w:val="24"/>
        </w:rPr>
      </w:pPr>
    </w:p>
    <w:p w14:paraId="24A2C078" w14:textId="635548CE" w:rsidR="00161C5B" w:rsidRDefault="00161C5B" w:rsidP="00F95494">
      <w:pPr>
        <w:spacing w:after="120" w:line="240" w:lineRule="auto"/>
        <w:jc w:val="both"/>
        <w:rPr>
          <w:rFonts w:eastAsia="Arial Unicode MS" w:cs="Times New Roman"/>
          <w:noProof/>
          <w:color w:val="17365D"/>
          <w:szCs w:val="24"/>
          <w:lang w:eastAsia="lv-LV"/>
        </w:rPr>
      </w:pPr>
      <w:r w:rsidRPr="002716E4">
        <w:rPr>
          <w:rFonts w:eastAsia="Arial Unicode MS" w:cs="Times New Roman"/>
          <w:noProof/>
          <w:color w:val="17365D"/>
          <w:szCs w:val="24"/>
          <w:lang w:eastAsia="lv-LV"/>
        </w:rPr>
        <w:t>Konsolidētajā pārskatā par darbības finansiālajiem rezultātiem 202</w:t>
      </w:r>
      <w:r>
        <w:rPr>
          <w:rFonts w:eastAsia="Arial Unicode MS" w:cs="Times New Roman"/>
          <w:noProof/>
          <w:color w:val="17365D"/>
          <w:szCs w:val="24"/>
          <w:lang w:eastAsia="lv-LV"/>
        </w:rPr>
        <w:t>3</w:t>
      </w:r>
      <w:r w:rsidRPr="002716E4">
        <w:rPr>
          <w:rFonts w:eastAsia="Arial Unicode MS" w:cs="Times New Roman"/>
          <w:noProof/>
          <w:color w:val="17365D"/>
          <w:szCs w:val="24"/>
          <w:lang w:eastAsia="lv-LV"/>
        </w:rPr>
        <w:t>.</w:t>
      </w:r>
      <w:r>
        <w:rPr>
          <w:rFonts w:eastAsia="Arial Unicode MS" w:cs="Times New Roman"/>
          <w:noProof/>
          <w:color w:val="17365D"/>
          <w:szCs w:val="24"/>
          <w:lang w:eastAsia="lv-LV"/>
        </w:rPr>
        <w:t> </w:t>
      </w:r>
      <w:r w:rsidRPr="002716E4">
        <w:rPr>
          <w:rFonts w:eastAsia="Arial Unicode MS" w:cs="Times New Roman"/>
          <w:noProof/>
          <w:color w:val="17365D"/>
          <w:szCs w:val="24"/>
          <w:lang w:eastAsia="lv-LV"/>
        </w:rPr>
        <w:t xml:space="preserve">gadā </w:t>
      </w:r>
      <w:r w:rsidRPr="002716E4">
        <w:rPr>
          <w:rFonts w:eastAsia="Arial Unicode MS" w:cs="Times New Roman"/>
          <w:color w:val="17365D"/>
          <w:szCs w:val="24"/>
        </w:rPr>
        <w:t>budžeta izpildes rezultāts</w:t>
      </w:r>
      <w:r w:rsidRPr="002716E4">
        <w:rPr>
          <w:rFonts w:eastAsia="Arial Unicode MS" w:cs="Times New Roman"/>
          <w:noProof/>
          <w:color w:val="17365D"/>
          <w:szCs w:val="24"/>
          <w:lang w:eastAsia="lv-LV"/>
        </w:rPr>
        <w:t xml:space="preserve"> veidojas </w:t>
      </w:r>
      <w:r w:rsidR="00900608">
        <w:rPr>
          <w:rFonts w:eastAsia="Arial Unicode MS" w:cs="Times New Roman"/>
          <w:noProof/>
          <w:color w:val="17365D"/>
          <w:szCs w:val="24"/>
          <w:lang w:eastAsia="lv-LV"/>
        </w:rPr>
        <w:t>68</w:t>
      </w:r>
      <w:r>
        <w:rPr>
          <w:rFonts w:eastAsia="Arial Unicode MS" w:cs="Times New Roman"/>
          <w:noProof/>
          <w:color w:val="17365D"/>
          <w:szCs w:val="24"/>
          <w:lang w:eastAsia="lv-LV"/>
        </w:rPr>
        <w:t> </w:t>
      </w:r>
      <w:r w:rsidR="00900608">
        <w:rPr>
          <w:rFonts w:eastAsia="Arial Unicode MS" w:cs="Times New Roman"/>
          <w:noProof/>
          <w:color w:val="17365D"/>
          <w:szCs w:val="24"/>
          <w:lang w:eastAsia="lv-LV"/>
        </w:rPr>
        <w:t>142</w:t>
      </w:r>
      <w:r>
        <w:rPr>
          <w:rFonts w:eastAsia="Arial Unicode MS" w:cs="Times New Roman"/>
          <w:noProof/>
          <w:color w:val="17365D"/>
          <w:szCs w:val="24"/>
          <w:lang w:eastAsia="lv-LV"/>
        </w:rPr>
        <w:t> </w:t>
      </w:r>
      <w:r w:rsidR="00900608">
        <w:rPr>
          <w:rFonts w:eastAsia="Arial Unicode MS" w:cs="Times New Roman"/>
          <w:noProof/>
          <w:color w:val="17365D"/>
          <w:szCs w:val="24"/>
          <w:lang w:eastAsia="lv-LV"/>
        </w:rPr>
        <w:t>642</w:t>
      </w:r>
      <w:r w:rsidRPr="00B57038">
        <w:rPr>
          <w:rFonts w:eastAsia="Arial Unicode MS" w:cs="Times New Roman"/>
          <w:noProof/>
          <w:color w:val="17365D"/>
          <w:szCs w:val="24"/>
          <w:lang w:eastAsia="lv-LV"/>
        </w:rPr>
        <w:t xml:space="preserve"> </w:t>
      </w:r>
      <w:r w:rsidRPr="002716E4">
        <w:rPr>
          <w:rFonts w:eastAsia="Arial Unicode MS" w:cs="Times New Roman"/>
          <w:i/>
          <w:color w:val="17365D"/>
          <w:szCs w:val="24"/>
        </w:rPr>
        <w:t>euro</w:t>
      </w:r>
      <w:r w:rsidRPr="002716E4">
        <w:rPr>
          <w:rFonts w:eastAsia="Arial Unicode MS" w:cs="Times New Roman"/>
          <w:color w:val="17365D"/>
          <w:szCs w:val="24"/>
        </w:rPr>
        <w:t xml:space="preserve"> vērtībā, izmaiņa</w:t>
      </w:r>
      <w:r>
        <w:rPr>
          <w:rFonts w:eastAsia="Arial Unicode MS" w:cs="Times New Roman"/>
          <w:color w:val="17365D"/>
          <w:szCs w:val="24"/>
        </w:rPr>
        <w:t>s</w:t>
      </w:r>
      <w:r w:rsidRPr="002716E4">
        <w:rPr>
          <w:rFonts w:eastAsia="Arial Unicode MS" w:cs="Times New Roman"/>
          <w:color w:val="17365D"/>
          <w:szCs w:val="24"/>
        </w:rPr>
        <w:t xml:space="preserve"> pret iepriekšējo pārskata periodu ir</w:t>
      </w:r>
      <w:r w:rsidR="00F95494">
        <w:rPr>
          <w:rFonts w:eastAsia="Arial Unicode MS" w:cs="Times New Roman"/>
          <w:color w:val="17365D"/>
          <w:szCs w:val="24"/>
        </w:rPr>
        <w:t xml:space="preserve"> </w:t>
      </w:r>
      <w:r w:rsidR="00661E03">
        <w:rPr>
          <w:rFonts w:eastAsia="Arial Unicode MS" w:cs="Times New Roman"/>
          <w:color w:val="17365D"/>
          <w:szCs w:val="24"/>
        </w:rPr>
        <w:t>(</w:t>
      </w:r>
      <w:r w:rsidR="00900608" w:rsidRPr="00900608">
        <w:rPr>
          <w:rFonts w:eastAsia="Arial Unicode MS" w:cs="Times New Roman"/>
          <w:color w:val="17365D"/>
          <w:szCs w:val="24"/>
        </w:rPr>
        <w:t>501</w:t>
      </w:r>
      <w:r w:rsidR="00F83C4C">
        <w:rPr>
          <w:rFonts w:eastAsia="Arial Unicode MS" w:cs="Times New Roman"/>
          <w:color w:val="17365D"/>
          <w:szCs w:val="24"/>
        </w:rPr>
        <w:t> </w:t>
      </w:r>
      <w:r w:rsidR="00900608" w:rsidRPr="00900608">
        <w:rPr>
          <w:rFonts w:eastAsia="Arial Unicode MS" w:cs="Times New Roman"/>
          <w:color w:val="17365D"/>
          <w:szCs w:val="24"/>
        </w:rPr>
        <w:t>768</w:t>
      </w:r>
      <w:r w:rsidR="00F83C4C">
        <w:rPr>
          <w:rFonts w:eastAsia="Arial Unicode MS" w:cs="Times New Roman"/>
          <w:color w:val="17365D"/>
          <w:szCs w:val="24"/>
        </w:rPr>
        <w:t> </w:t>
      </w:r>
      <w:r w:rsidR="00900608" w:rsidRPr="00900608">
        <w:rPr>
          <w:rFonts w:eastAsia="Arial Unicode MS" w:cs="Times New Roman"/>
          <w:color w:val="17365D"/>
          <w:szCs w:val="24"/>
        </w:rPr>
        <w:t>770</w:t>
      </w:r>
      <w:r w:rsidR="00661E03">
        <w:rPr>
          <w:rFonts w:eastAsia="Arial Unicode MS" w:cs="Times New Roman"/>
          <w:color w:val="17365D"/>
          <w:szCs w:val="24"/>
        </w:rPr>
        <w:t>)</w:t>
      </w:r>
      <w:r w:rsidRPr="002716E4">
        <w:rPr>
          <w:rFonts w:eastAsia="Arial Unicode MS" w:cs="Times New Roman"/>
          <w:color w:val="17365D"/>
          <w:szCs w:val="24"/>
        </w:rPr>
        <w:t xml:space="preserve"> </w:t>
      </w:r>
      <w:r w:rsidRPr="002716E4">
        <w:rPr>
          <w:rFonts w:eastAsia="Arial Unicode MS" w:cs="Times New Roman"/>
          <w:i/>
          <w:color w:val="17365D"/>
          <w:szCs w:val="24"/>
        </w:rPr>
        <w:t>euro</w:t>
      </w:r>
      <w:r w:rsidRPr="002716E4">
        <w:rPr>
          <w:rFonts w:eastAsia="Arial Unicode MS" w:cs="Times New Roman"/>
          <w:color w:val="17365D"/>
          <w:szCs w:val="24"/>
        </w:rPr>
        <w:t xml:space="preserve"> vērtībā.</w:t>
      </w:r>
    </w:p>
    <w:p w14:paraId="6F6354E0" w14:textId="7687F6D7" w:rsidR="00D74371" w:rsidRDefault="00D74371" w:rsidP="00566860">
      <w:pPr>
        <w:pStyle w:val="Pamatteksts1"/>
        <w:ind w:firstLine="284"/>
        <w:rPr>
          <w:rFonts w:eastAsia="Arial Unicode MS"/>
          <w:color w:val="17365D"/>
        </w:rPr>
      </w:pPr>
      <w:r w:rsidRPr="00F72A6E">
        <w:rPr>
          <w:rFonts w:eastAsia="Arial Unicode MS"/>
          <w:color w:val="17365D"/>
        </w:rPr>
        <w:t>Būtiskākā informācija par rādītāja “Ieņēmumi (+) vai izdevumi (–)</w:t>
      </w:r>
      <w:r>
        <w:rPr>
          <w:rFonts w:eastAsia="Arial Unicode MS"/>
          <w:color w:val="17365D"/>
        </w:rPr>
        <w:t xml:space="preserve"> </w:t>
      </w:r>
      <w:r w:rsidRPr="00F72A6E">
        <w:rPr>
          <w:rFonts w:eastAsia="Arial Unicode MS"/>
          <w:color w:val="17365D"/>
        </w:rPr>
        <w:t xml:space="preserve">no finanšu instrumentiem” </w:t>
      </w:r>
      <w:r w:rsidR="002F6EF8">
        <w:rPr>
          <w:rFonts w:eastAsia="Arial Unicode MS"/>
          <w:color w:val="17365D"/>
        </w:rPr>
        <w:t xml:space="preserve">izmaiņām </w:t>
      </w:r>
      <w:r w:rsidRPr="00F72A6E">
        <w:rPr>
          <w:rFonts w:eastAsia="Arial Unicode MS"/>
          <w:color w:val="17365D"/>
        </w:rPr>
        <w:t xml:space="preserve">sniegta </w:t>
      </w:r>
      <w:r>
        <w:rPr>
          <w:rFonts w:eastAsia="Arial Unicode MS"/>
          <w:color w:val="17365D"/>
        </w:rPr>
        <w:t>v</w:t>
      </w:r>
      <w:r w:rsidRPr="00F72A6E">
        <w:rPr>
          <w:rFonts w:eastAsia="Arial Unicode MS"/>
          <w:color w:val="17365D"/>
        </w:rPr>
        <w:t xml:space="preserve">alsts budžeta finanšu uzskaitē </w:t>
      </w:r>
      <w:r>
        <w:rPr>
          <w:rFonts w:eastAsia="Arial Unicode MS"/>
          <w:color w:val="17365D"/>
        </w:rPr>
        <w:t xml:space="preserve">– </w:t>
      </w:r>
      <w:r w:rsidR="00146A16">
        <w:rPr>
          <w:rFonts w:eastAsia="Arial Unicode MS"/>
          <w:color w:val="17365D"/>
        </w:rPr>
        <w:t xml:space="preserve">izmaiņas </w:t>
      </w:r>
      <w:r w:rsidR="00146A16" w:rsidRPr="00146A16">
        <w:rPr>
          <w:rFonts w:eastAsia="Arial Unicode MS"/>
          <w:color w:val="17365D"/>
        </w:rPr>
        <w:t>17 7</w:t>
      </w:r>
      <w:r w:rsidR="00532066">
        <w:rPr>
          <w:rFonts w:eastAsia="Arial Unicode MS"/>
          <w:color w:val="17365D"/>
        </w:rPr>
        <w:t>36</w:t>
      </w:r>
      <w:r w:rsidR="00146A16" w:rsidRPr="00146A16">
        <w:rPr>
          <w:rFonts w:eastAsia="Arial Unicode MS"/>
          <w:color w:val="17365D"/>
        </w:rPr>
        <w:t> </w:t>
      </w:r>
      <w:r w:rsidR="00532066">
        <w:rPr>
          <w:rFonts w:eastAsia="Arial Unicode MS"/>
          <w:color w:val="17365D"/>
        </w:rPr>
        <w:t>038</w:t>
      </w:r>
      <w:r w:rsidR="00146A16" w:rsidRPr="00146A16">
        <w:rPr>
          <w:rFonts w:eastAsia="Arial Unicode MS"/>
          <w:color w:val="17365D"/>
        </w:rPr>
        <w:t xml:space="preserve"> </w:t>
      </w:r>
      <w:r w:rsidR="00146A16" w:rsidRPr="00146A16">
        <w:rPr>
          <w:rFonts w:eastAsia="Arial Unicode MS"/>
          <w:i/>
          <w:color w:val="17365D"/>
        </w:rPr>
        <w:t>euro</w:t>
      </w:r>
      <w:r w:rsidR="00146A16" w:rsidRPr="00146A16">
        <w:rPr>
          <w:rFonts w:eastAsia="Arial Unicode MS"/>
          <w:color w:val="17365D"/>
        </w:rPr>
        <w:t xml:space="preserve"> </w:t>
      </w:r>
      <w:r w:rsidR="00146A16" w:rsidRPr="00F72A6E">
        <w:rPr>
          <w:rFonts w:eastAsia="Arial Unicode MS"/>
          <w:color w:val="17365D"/>
        </w:rPr>
        <w:t>v</w:t>
      </w:r>
      <w:r w:rsidR="00146A16">
        <w:rPr>
          <w:rFonts w:eastAsia="Arial Unicode MS"/>
          <w:color w:val="17365D"/>
        </w:rPr>
        <w:t xml:space="preserve">ērtībā </w:t>
      </w:r>
      <w:r w:rsidR="00146A16" w:rsidRPr="00146A16">
        <w:rPr>
          <w:rFonts w:eastAsia="Arial Unicode MS"/>
          <w:color w:val="17365D"/>
        </w:rPr>
        <w:t>par finanšu saistību pārvērtēšanu ārvalstu valūtas kursa svārstību rezultātā</w:t>
      </w:r>
      <w:r w:rsidRPr="00F72A6E">
        <w:rPr>
          <w:rFonts w:eastAsia="Arial Unicode MS"/>
          <w:color w:val="17365D"/>
        </w:rPr>
        <w:t>.</w:t>
      </w:r>
    </w:p>
    <w:p w14:paraId="7489A274" w14:textId="77777777" w:rsidR="00475A10" w:rsidRDefault="00475A10" w:rsidP="00051043">
      <w:pPr>
        <w:pStyle w:val="Heading4"/>
        <w:sectPr w:rsidR="00475A10" w:rsidSect="00AC7FDB">
          <w:pgSz w:w="11906" w:h="16838" w:code="9"/>
          <w:pgMar w:top="1134" w:right="851" w:bottom="1134" w:left="1701" w:header="567" w:footer="567" w:gutter="0"/>
          <w:cols w:space="708"/>
          <w:titlePg/>
          <w:docGrid w:linePitch="360"/>
        </w:sectPr>
      </w:pPr>
    </w:p>
    <w:p w14:paraId="39EC2824" w14:textId="13105495" w:rsidR="00161C5B" w:rsidRDefault="00D74371" w:rsidP="00051043">
      <w:pPr>
        <w:pStyle w:val="Heading4"/>
      </w:pPr>
      <w:r w:rsidRPr="000D52A2">
        <w:lastRenderedPageBreak/>
        <w:t>Piezīme Nr. FD.V9 Finanšu instrumentu neto rezultāts sadalījumā pa finanšu instrumentu kategorijām un darījumu veidiem</w:t>
      </w:r>
    </w:p>
    <w:p w14:paraId="0C025E2D" w14:textId="0A376D31" w:rsidR="00D74371" w:rsidRPr="00161C5B" w:rsidRDefault="00D74371" w:rsidP="00161C5B">
      <w:pPr>
        <w:pStyle w:val="Tabulasnosaukums1"/>
        <w:spacing w:before="0" w:line="240" w:lineRule="auto"/>
        <w:rPr>
          <w:rFonts w:eastAsia="Arial Unicode MS" w:cs="Times New Roman"/>
          <w:i/>
          <w:color w:val="17365D"/>
        </w:rPr>
      </w:pPr>
      <w:r w:rsidRPr="00161C5B">
        <w:rPr>
          <w:rFonts w:eastAsia="Arial Unicode MS" w:cs="Times New Roman"/>
          <w:i/>
          <w:color w:val="17365D"/>
        </w:rPr>
        <w:t>2.11. tabula. Finanšu instrumentu neto rezultāts (euro)</w:t>
      </w:r>
    </w:p>
    <w:tbl>
      <w:tblPr>
        <w:tblW w:w="9351" w:type="dxa"/>
        <w:tblInd w:w="5" w:type="dxa"/>
        <w:tblLayout w:type="fixed"/>
        <w:tblLook w:val="04A0" w:firstRow="1" w:lastRow="0" w:firstColumn="1" w:lastColumn="0" w:noHBand="0" w:noVBand="1"/>
      </w:tblPr>
      <w:tblGrid>
        <w:gridCol w:w="2972"/>
        <w:gridCol w:w="1134"/>
        <w:gridCol w:w="850"/>
        <w:gridCol w:w="1134"/>
        <w:gridCol w:w="1134"/>
        <w:gridCol w:w="709"/>
        <w:gridCol w:w="1418"/>
      </w:tblGrid>
      <w:tr w:rsidR="00D74371" w:rsidRPr="00F72A6E" w14:paraId="64144C5C" w14:textId="77777777" w:rsidTr="00DD013E">
        <w:trPr>
          <w:trHeight w:val="263"/>
          <w:tblHeader/>
        </w:trPr>
        <w:tc>
          <w:tcPr>
            <w:tcW w:w="2972" w:type="dxa"/>
            <w:vMerge w:val="restart"/>
            <w:tcBorders>
              <w:top w:val="nil"/>
              <w:bottom w:val="single" w:sz="4" w:space="0" w:color="000000"/>
            </w:tcBorders>
            <w:shd w:val="clear" w:color="auto" w:fill="B8CCE4" w:themeFill="accent1" w:themeFillTint="66"/>
            <w:vAlign w:val="center"/>
            <w:hideMark/>
          </w:tcPr>
          <w:p w14:paraId="51E39E57" w14:textId="77777777" w:rsidR="00D74371" w:rsidRPr="008E569C" w:rsidRDefault="00D74371" w:rsidP="00D74371">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Finanšu instrumenta kategorijas nosaukums/darījuma apraksts</w:t>
            </w:r>
          </w:p>
        </w:tc>
        <w:tc>
          <w:tcPr>
            <w:tcW w:w="3118" w:type="dxa"/>
            <w:gridSpan w:val="3"/>
            <w:tcBorders>
              <w:top w:val="nil"/>
              <w:bottom w:val="single" w:sz="4" w:space="0" w:color="000000"/>
            </w:tcBorders>
            <w:shd w:val="clear" w:color="auto" w:fill="B8CCE4" w:themeFill="accent1" w:themeFillTint="66"/>
            <w:vAlign w:val="center"/>
            <w:hideMark/>
          </w:tcPr>
          <w:p w14:paraId="243E6013" w14:textId="77777777" w:rsidR="00D74371" w:rsidRPr="008E569C" w:rsidRDefault="00D74371" w:rsidP="00D74371">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Pārskata periodā</w:t>
            </w:r>
          </w:p>
        </w:tc>
        <w:tc>
          <w:tcPr>
            <w:tcW w:w="3258" w:type="dxa"/>
            <w:gridSpan w:val="3"/>
            <w:tcBorders>
              <w:top w:val="nil"/>
              <w:bottom w:val="single" w:sz="4" w:space="0" w:color="000000"/>
            </w:tcBorders>
            <w:shd w:val="clear" w:color="auto" w:fill="B8CCE4" w:themeFill="accent1" w:themeFillTint="66"/>
          </w:tcPr>
          <w:p w14:paraId="07F88509" w14:textId="77777777" w:rsidR="00D74371" w:rsidRPr="008E569C" w:rsidRDefault="00D74371" w:rsidP="00D74371">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Iepriekšējā pārskata periodā</w:t>
            </w:r>
          </w:p>
        </w:tc>
      </w:tr>
      <w:tr w:rsidR="00D74371" w:rsidRPr="00F72A6E" w14:paraId="7A8FEED1" w14:textId="77777777" w:rsidTr="00DD013E">
        <w:trPr>
          <w:trHeight w:val="1140"/>
          <w:tblHeader/>
        </w:trPr>
        <w:tc>
          <w:tcPr>
            <w:tcW w:w="2972" w:type="dxa"/>
            <w:vMerge/>
            <w:tcBorders>
              <w:top w:val="single" w:sz="4" w:space="0" w:color="000000"/>
              <w:bottom w:val="single" w:sz="4" w:space="0" w:color="17365D"/>
            </w:tcBorders>
            <w:shd w:val="clear" w:color="auto" w:fill="B8CCE4" w:themeFill="accent1" w:themeFillTint="66"/>
            <w:vAlign w:val="center"/>
            <w:hideMark/>
          </w:tcPr>
          <w:p w14:paraId="79C2580F" w14:textId="77777777" w:rsidR="00D74371" w:rsidRPr="00F72A6E" w:rsidRDefault="00D74371" w:rsidP="00D74371">
            <w:pPr>
              <w:spacing w:after="0" w:line="240" w:lineRule="auto"/>
              <w:jc w:val="center"/>
              <w:rPr>
                <w:rFonts w:eastAsia="Arial Unicode MS" w:cs="Times New Roman"/>
                <w:color w:val="17365D"/>
                <w:sz w:val="18"/>
                <w:szCs w:val="18"/>
              </w:rPr>
            </w:pPr>
          </w:p>
        </w:tc>
        <w:tc>
          <w:tcPr>
            <w:tcW w:w="1134" w:type="dxa"/>
            <w:tcBorders>
              <w:top w:val="single" w:sz="4" w:space="0" w:color="000000"/>
              <w:bottom w:val="single" w:sz="4" w:space="0" w:color="17365D"/>
            </w:tcBorders>
            <w:shd w:val="clear" w:color="auto" w:fill="B8CCE4" w:themeFill="accent1" w:themeFillTint="66"/>
            <w:vAlign w:val="center"/>
            <w:hideMark/>
          </w:tcPr>
          <w:p w14:paraId="2FB93435" w14:textId="77777777" w:rsidR="00D74371" w:rsidRPr="00F72A6E" w:rsidRDefault="00D74371" w:rsidP="00D74371">
            <w:pPr>
              <w:spacing w:after="0" w:line="240" w:lineRule="auto"/>
              <w:jc w:val="center"/>
              <w:rPr>
                <w:rFonts w:eastAsia="Arial Unicode MS" w:cs="Times New Roman"/>
                <w:color w:val="17365D"/>
                <w:sz w:val="18"/>
                <w:szCs w:val="18"/>
              </w:rPr>
            </w:pPr>
            <w:r w:rsidRPr="008E569C">
              <w:rPr>
                <w:rFonts w:eastAsia="Arial Unicode MS" w:cs="Times New Roman"/>
                <w:b/>
                <w:color w:val="17365D"/>
                <w:sz w:val="18"/>
                <w:szCs w:val="18"/>
              </w:rPr>
              <w:t>atzīts</w:t>
            </w:r>
            <w:r w:rsidRPr="008E569C">
              <w:rPr>
                <w:rFonts w:eastAsia="Arial Unicode MS" w:cs="Times New Roman"/>
                <w:b/>
                <w:color w:val="17365D"/>
                <w:sz w:val="18"/>
                <w:szCs w:val="18"/>
              </w:rPr>
              <w:br/>
              <w:t>ieņēmumos(+)/</w:t>
            </w:r>
            <w:r w:rsidRPr="008E569C">
              <w:rPr>
                <w:rFonts w:eastAsia="Arial Unicode MS" w:cs="Times New Roman"/>
                <w:b/>
                <w:color w:val="17365D"/>
                <w:sz w:val="18"/>
                <w:szCs w:val="18"/>
              </w:rPr>
              <w:br/>
              <w:t>izdevumos (-)</w:t>
            </w:r>
          </w:p>
        </w:tc>
        <w:tc>
          <w:tcPr>
            <w:tcW w:w="850" w:type="dxa"/>
            <w:tcBorders>
              <w:top w:val="single" w:sz="4" w:space="0" w:color="000000"/>
              <w:bottom w:val="single" w:sz="4" w:space="0" w:color="17365D"/>
            </w:tcBorders>
            <w:shd w:val="clear" w:color="auto" w:fill="B8CCE4" w:themeFill="accent1" w:themeFillTint="66"/>
            <w:vAlign w:val="center"/>
            <w:hideMark/>
          </w:tcPr>
          <w:p w14:paraId="6F14995C" w14:textId="77777777" w:rsidR="00D74371" w:rsidRPr="00F72A6E" w:rsidRDefault="00D74371" w:rsidP="00D74371">
            <w:pPr>
              <w:spacing w:after="0" w:line="240" w:lineRule="auto"/>
              <w:ind w:left="-57" w:right="-57"/>
              <w:jc w:val="center"/>
              <w:rPr>
                <w:rFonts w:eastAsia="Arial Unicode MS" w:cs="Times New Roman"/>
                <w:color w:val="17365D"/>
                <w:sz w:val="18"/>
                <w:szCs w:val="18"/>
              </w:rPr>
            </w:pPr>
            <w:r w:rsidRPr="008E569C">
              <w:rPr>
                <w:rFonts w:eastAsia="Arial Unicode MS" w:cs="Times New Roman"/>
                <w:b/>
                <w:color w:val="17365D"/>
                <w:sz w:val="18"/>
                <w:szCs w:val="18"/>
              </w:rPr>
              <w:t>atzīts rezervēs (+;-)</w:t>
            </w:r>
          </w:p>
        </w:tc>
        <w:tc>
          <w:tcPr>
            <w:tcW w:w="1134" w:type="dxa"/>
            <w:tcBorders>
              <w:top w:val="single" w:sz="4" w:space="0" w:color="000000"/>
              <w:bottom w:val="single" w:sz="4" w:space="0" w:color="17365D"/>
            </w:tcBorders>
            <w:shd w:val="clear" w:color="auto" w:fill="B8CCE4" w:themeFill="accent1" w:themeFillTint="66"/>
            <w:vAlign w:val="center"/>
            <w:hideMark/>
          </w:tcPr>
          <w:p w14:paraId="044C62E6" w14:textId="77777777" w:rsidR="00D74371" w:rsidRPr="008E569C" w:rsidRDefault="00D74371" w:rsidP="00D74371">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kopā</w:t>
            </w:r>
            <w:r w:rsidRPr="008E569C">
              <w:rPr>
                <w:rFonts w:eastAsia="Arial Unicode MS" w:cs="Times New Roman"/>
                <w:b/>
                <w:color w:val="17365D"/>
                <w:sz w:val="18"/>
                <w:szCs w:val="18"/>
              </w:rPr>
              <w:br/>
              <w:t>(1.+2.)</w:t>
            </w:r>
          </w:p>
        </w:tc>
        <w:tc>
          <w:tcPr>
            <w:tcW w:w="1134" w:type="dxa"/>
            <w:tcBorders>
              <w:top w:val="single" w:sz="4" w:space="0" w:color="000000"/>
              <w:bottom w:val="single" w:sz="4" w:space="0" w:color="17365D"/>
            </w:tcBorders>
            <w:shd w:val="clear" w:color="auto" w:fill="B8CCE4" w:themeFill="accent1" w:themeFillTint="66"/>
            <w:vAlign w:val="center"/>
          </w:tcPr>
          <w:p w14:paraId="017ACA6E" w14:textId="77777777" w:rsidR="00D74371" w:rsidRPr="008E569C" w:rsidRDefault="00D74371" w:rsidP="00D74371">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atzīts</w:t>
            </w:r>
            <w:r w:rsidRPr="008E569C">
              <w:rPr>
                <w:rFonts w:eastAsia="Arial Unicode MS" w:cs="Times New Roman"/>
                <w:b/>
                <w:color w:val="17365D"/>
                <w:sz w:val="18"/>
                <w:szCs w:val="18"/>
              </w:rPr>
              <w:br/>
              <w:t>ieņēmumos(+)/</w:t>
            </w:r>
            <w:r w:rsidRPr="008E569C">
              <w:rPr>
                <w:rFonts w:eastAsia="Arial Unicode MS" w:cs="Times New Roman"/>
                <w:b/>
                <w:color w:val="17365D"/>
                <w:sz w:val="18"/>
                <w:szCs w:val="18"/>
              </w:rPr>
              <w:br/>
              <w:t>izdevumos (-)</w:t>
            </w:r>
          </w:p>
        </w:tc>
        <w:tc>
          <w:tcPr>
            <w:tcW w:w="709" w:type="dxa"/>
            <w:tcBorders>
              <w:top w:val="single" w:sz="4" w:space="0" w:color="000000"/>
              <w:bottom w:val="single" w:sz="4" w:space="0" w:color="17365D"/>
            </w:tcBorders>
            <w:shd w:val="clear" w:color="auto" w:fill="B8CCE4" w:themeFill="accent1" w:themeFillTint="66"/>
            <w:vAlign w:val="center"/>
          </w:tcPr>
          <w:p w14:paraId="5EB48C44" w14:textId="77777777" w:rsidR="00D74371" w:rsidRPr="008E569C" w:rsidRDefault="00D74371" w:rsidP="00DD013E">
            <w:pPr>
              <w:spacing w:after="0" w:line="240" w:lineRule="auto"/>
              <w:ind w:left="-57" w:right="-113"/>
              <w:jc w:val="center"/>
              <w:rPr>
                <w:rFonts w:eastAsia="Arial Unicode MS" w:cs="Times New Roman"/>
                <w:b/>
                <w:color w:val="17365D"/>
                <w:sz w:val="18"/>
                <w:szCs w:val="18"/>
              </w:rPr>
            </w:pPr>
            <w:r w:rsidRPr="008E569C">
              <w:rPr>
                <w:rFonts w:eastAsia="Arial Unicode MS" w:cs="Times New Roman"/>
                <w:b/>
                <w:color w:val="17365D"/>
                <w:sz w:val="18"/>
                <w:szCs w:val="18"/>
              </w:rPr>
              <w:t>atzīts rezervēs (+;-)</w:t>
            </w:r>
          </w:p>
        </w:tc>
        <w:tc>
          <w:tcPr>
            <w:tcW w:w="1418" w:type="dxa"/>
            <w:tcBorders>
              <w:top w:val="single" w:sz="4" w:space="0" w:color="000000"/>
              <w:bottom w:val="single" w:sz="4" w:space="0" w:color="17365D"/>
            </w:tcBorders>
            <w:shd w:val="clear" w:color="auto" w:fill="B8CCE4" w:themeFill="accent1" w:themeFillTint="66"/>
            <w:vAlign w:val="center"/>
          </w:tcPr>
          <w:p w14:paraId="4F75F049" w14:textId="77777777" w:rsidR="00D74371" w:rsidRPr="008E569C" w:rsidRDefault="00D74371" w:rsidP="00D74371">
            <w:pPr>
              <w:spacing w:after="0" w:line="240" w:lineRule="auto"/>
              <w:jc w:val="center"/>
              <w:rPr>
                <w:rFonts w:eastAsia="Arial Unicode MS" w:cs="Times New Roman"/>
                <w:b/>
                <w:color w:val="17365D"/>
                <w:sz w:val="18"/>
                <w:szCs w:val="18"/>
              </w:rPr>
            </w:pPr>
            <w:r w:rsidRPr="008E569C">
              <w:rPr>
                <w:rFonts w:eastAsia="Arial Unicode MS" w:cs="Times New Roman"/>
                <w:b/>
                <w:color w:val="17365D"/>
                <w:sz w:val="18"/>
                <w:szCs w:val="18"/>
              </w:rPr>
              <w:t>kopā</w:t>
            </w:r>
            <w:r w:rsidRPr="008E569C">
              <w:rPr>
                <w:rFonts w:eastAsia="Arial Unicode MS" w:cs="Times New Roman"/>
                <w:b/>
                <w:color w:val="17365D"/>
                <w:sz w:val="18"/>
                <w:szCs w:val="18"/>
              </w:rPr>
              <w:br/>
              <w:t>(4.+5.)</w:t>
            </w:r>
          </w:p>
        </w:tc>
      </w:tr>
      <w:tr w:rsidR="00D74371" w:rsidRPr="005E030D" w14:paraId="4C54DE66" w14:textId="77777777" w:rsidTr="00DD013E">
        <w:trPr>
          <w:trHeight w:val="138"/>
          <w:tblHeader/>
        </w:trPr>
        <w:tc>
          <w:tcPr>
            <w:tcW w:w="2972" w:type="dxa"/>
            <w:tcBorders>
              <w:top w:val="single" w:sz="4" w:space="0" w:color="17365D"/>
              <w:bottom w:val="single" w:sz="4" w:space="0" w:color="000000"/>
            </w:tcBorders>
            <w:shd w:val="clear" w:color="auto" w:fill="auto"/>
            <w:vAlign w:val="center"/>
            <w:hideMark/>
          </w:tcPr>
          <w:p w14:paraId="7EC9C102" w14:textId="77777777" w:rsidR="00D74371" w:rsidRPr="005E030D" w:rsidRDefault="00D74371" w:rsidP="00D74371">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A</w:t>
            </w:r>
          </w:p>
        </w:tc>
        <w:tc>
          <w:tcPr>
            <w:tcW w:w="1134" w:type="dxa"/>
            <w:tcBorders>
              <w:top w:val="single" w:sz="4" w:space="0" w:color="17365D"/>
              <w:bottom w:val="single" w:sz="4" w:space="0" w:color="000000"/>
            </w:tcBorders>
            <w:shd w:val="clear" w:color="auto" w:fill="auto"/>
            <w:vAlign w:val="center"/>
            <w:hideMark/>
          </w:tcPr>
          <w:p w14:paraId="1CFE57F3" w14:textId="77777777" w:rsidR="00D74371" w:rsidRPr="005E030D" w:rsidRDefault="00D74371" w:rsidP="00D74371">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1</w:t>
            </w:r>
          </w:p>
        </w:tc>
        <w:tc>
          <w:tcPr>
            <w:tcW w:w="850" w:type="dxa"/>
            <w:tcBorders>
              <w:top w:val="single" w:sz="4" w:space="0" w:color="17365D"/>
              <w:bottom w:val="single" w:sz="4" w:space="0" w:color="000000"/>
            </w:tcBorders>
            <w:shd w:val="clear" w:color="auto" w:fill="auto"/>
            <w:vAlign w:val="center"/>
            <w:hideMark/>
          </w:tcPr>
          <w:p w14:paraId="6480C03E" w14:textId="77777777" w:rsidR="00D74371" w:rsidRPr="005E030D" w:rsidRDefault="00D74371" w:rsidP="00D74371">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2</w:t>
            </w:r>
          </w:p>
        </w:tc>
        <w:tc>
          <w:tcPr>
            <w:tcW w:w="1134" w:type="dxa"/>
            <w:tcBorders>
              <w:top w:val="single" w:sz="4" w:space="0" w:color="17365D"/>
              <w:bottom w:val="single" w:sz="4" w:space="0" w:color="000000"/>
            </w:tcBorders>
            <w:shd w:val="clear" w:color="auto" w:fill="auto"/>
            <w:vAlign w:val="center"/>
            <w:hideMark/>
          </w:tcPr>
          <w:p w14:paraId="3A5C08DA" w14:textId="77777777" w:rsidR="00D74371" w:rsidRPr="005E030D" w:rsidRDefault="00D74371" w:rsidP="00D74371">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3</w:t>
            </w:r>
          </w:p>
        </w:tc>
        <w:tc>
          <w:tcPr>
            <w:tcW w:w="1134" w:type="dxa"/>
            <w:tcBorders>
              <w:top w:val="single" w:sz="4" w:space="0" w:color="17365D"/>
              <w:bottom w:val="single" w:sz="4" w:space="0" w:color="000000"/>
            </w:tcBorders>
            <w:shd w:val="clear" w:color="auto" w:fill="auto"/>
          </w:tcPr>
          <w:p w14:paraId="77CC7679" w14:textId="77777777" w:rsidR="00D74371" w:rsidRPr="005E030D" w:rsidRDefault="00D74371" w:rsidP="00D74371">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4</w:t>
            </w:r>
          </w:p>
        </w:tc>
        <w:tc>
          <w:tcPr>
            <w:tcW w:w="709" w:type="dxa"/>
            <w:tcBorders>
              <w:top w:val="single" w:sz="4" w:space="0" w:color="17365D"/>
              <w:bottom w:val="single" w:sz="4" w:space="0" w:color="000000"/>
            </w:tcBorders>
            <w:shd w:val="clear" w:color="auto" w:fill="auto"/>
          </w:tcPr>
          <w:p w14:paraId="79E9F3A5" w14:textId="77777777" w:rsidR="00D74371" w:rsidRPr="005E030D" w:rsidRDefault="00D74371" w:rsidP="00D74371">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5</w:t>
            </w:r>
          </w:p>
        </w:tc>
        <w:tc>
          <w:tcPr>
            <w:tcW w:w="1418" w:type="dxa"/>
            <w:tcBorders>
              <w:top w:val="single" w:sz="4" w:space="0" w:color="17365D"/>
              <w:bottom w:val="single" w:sz="4" w:space="0" w:color="000000"/>
            </w:tcBorders>
            <w:shd w:val="clear" w:color="auto" w:fill="auto"/>
          </w:tcPr>
          <w:p w14:paraId="1F34EC2B" w14:textId="77777777" w:rsidR="00D74371" w:rsidRPr="005E030D" w:rsidRDefault="00D74371" w:rsidP="00D74371">
            <w:pPr>
              <w:spacing w:after="0" w:line="240" w:lineRule="auto"/>
              <w:jc w:val="center"/>
              <w:rPr>
                <w:rFonts w:eastAsia="Arial Unicode MS" w:cs="Times New Roman"/>
                <w:b/>
                <w:color w:val="17365D"/>
                <w:sz w:val="18"/>
                <w:szCs w:val="18"/>
              </w:rPr>
            </w:pPr>
            <w:r w:rsidRPr="005E030D">
              <w:rPr>
                <w:rFonts w:eastAsia="Arial Unicode MS" w:cs="Times New Roman"/>
                <w:b/>
                <w:color w:val="17365D"/>
                <w:sz w:val="18"/>
                <w:szCs w:val="18"/>
              </w:rPr>
              <w:t>6</w:t>
            </w:r>
          </w:p>
        </w:tc>
      </w:tr>
      <w:tr w:rsidR="00D74371" w:rsidRPr="00F72A6E" w14:paraId="31661F13" w14:textId="77777777" w:rsidTr="00DD013E">
        <w:trPr>
          <w:trHeight w:val="255"/>
        </w:trPr>
        <w:tc>
          <w:tcPr>
            <w:tcW w:w="2972" w:type="dxa"/>
            <w:tcBorders>
              <w:top w:val="single" w:sz="4" w:space="0" w:color="000000"/>
              <w:bottom w:val="single" w:sz="4" w:space="0" w:color="000000"/>
            </w:tcBorders>
            <w:shd w:val="clear" w:color="auto" w:fill="auto"/>
            <w:vAlign w:val="center"/>
            <w:hideMark/>
          </w:tcPr>
          <w:p w14:paraId="6EE4D268" w14:textId="77777777" w:rsidR="00D74371" w:rsidRPr="00F72A6E" w:rsidRDefault="00D74371" w:rsidP="00D74371">
            <w:pPr>
              <w:spacing w:after="0" w:line="240" w:lineRule="auto"/>
              <w:rPr>
                <w:rFonts w:eastAsia="Arial Unicode MS" w:cs="Times New Roman"/>
                <w:color w:val="17365D"/>
                <w:sz w:val="18"/>
                <w:szCs w:val="18"/>
              </w:rPr>
            </w:pPr>
            <w:r w:rsidRPr="00F72A6E">
              <w:rPr>
                <w:rFonts w:eastAsia="Arial Unicode MS" w:cs="Times New Roman"/>
                <w:color w:val="17365D"/>
                <w:sz w:val="18"/>
                <w:szCs w:val="18"/>
              </w:rPr>
              <w:t>Finanšu instrumentu neto rezultāts sadalījumā pa finanšu instrumentu kategorijām un darījumu veidiem</w:t>
            </w:r>
          </w:p>
        </w:tc>
        <w:tc>
          <w:tcPr>
            <w:tcW w:w="1134" w:type="dxa"/>
            <w:tcBorders>
              <w:top w:val="single" w:sz="4" w:space="0" w:color="000000"/>
              <w:bottom w:val="single" w:sz="4" w:space="0" w:color="000000"/>
            </w:tcBorders>
            <w:shd w:val="clear" w:color="auto" w:fill="auto"/>
            <w:vAlign w:val="center"/>
            <w:hideMark/>
          </w:tcPr>
          <w:p w14:paraId="5B68DA70" w14:textId="77777777" w:rsidR="00D74371" w:rsidRPr="00F72A6E" w:rsidRDefault="00D74371" w:rsidP="00D74371">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12 265 496</w:t>
            </w:r>
          </w:p>
        </w:tc>
        <w:tc>
          <w:tcPr>
            <w:tcW w:w="850" w:type="dxa"/>
            <w:tcBorders>
              <w:top w:val="single" w:sz="4" w:space="0" w:color="000000"/>
              <w:bottom w:val="single" w:sz="4" w:space="0" w:color="000000"/>
            </w:tcBorders>
            <w:shd w:val="clear" w:color="auto" w:fill="auto"/>
            <w:vAlign w:val="center"/>
            <w:hideMark/>
          </w:tcPr>
          <w:p w14:paraId="6090E1DD" w14:textId="77777777" w:rsidR="00D74371" w:rsidRPr="00F72A6E" w:rsidRDefault="00D74371" w:rsidP="00D74371">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0</w:t>
            </w:r>
          </w:p>
        </w:tc>
        <w:tc>
          <w:tcPr>
            <w:tcW w:w="1134" w:type="dxa"/>
            <w:tcBorders>
              <w:top w:val="single" w:sz="4" w:space="0" w:color="000000"/>
              <w:bottom w:val="single" w:sz="4" w:space="0" w:color="000000"/>
            </w:tcBorders>
            <w:shd w:val="clear" w:color="auto" w:fill="auto"/>
            <w:vAlign w:val="center"/>
            <w:hideMark/>
          </w:tcPr>
          <w:p w14:paraId="3135B9B2" w14:textId="77777777" w:rsidR="00D74371" w:rsidRPr="00F72A6E" w:rsidRDefault="00D74371" w:rsidP="00D74371">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12 265 496</w:t>
            </w:r>
          </w:p>
        </w:tc>
        <w:tc>
          <w:tcPr>
            <w:tcW w:w="1134" w:type="dxa"/>
            <w:tcBorders>
              <w:top w:val="single" w:sz="4" w:space="0" w:color="000000"/>
              <w:bottom w:val="single" w:sz="4" w:space="0" w:color="000000"/>
            </w:tcBorders>
            <w:shd w:val="clear" w:color="auto" w:fill="auto"/>
            <w:vAlign w:val="center"/>
          </w:tcPr>
          <w:p w14:paraId="7521B668" w14:textId="77777777" w:rsidR="00D74371" w:rsidRPr="00F72A6E" w:rsidRDefault="00D74371" w:rsidP="00D74371">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-3 378 245</w:t>
            </w:r>
          </w:p>
        </w:tc>
        <w:tc>
          <w:tcPr>
            <w:tcW w:w="709" w:type="dxa"/>
            <w:tcBorders>
              <w:top w:val="single" w:sz="4" w:space="0" w:color="000000"/>
              <w:bottom w:val="single" w:sz="4" w:space="0" w:color="000000"/>
            </w:tcBorders>
            <w:shd w:val="clear" w:color="auto" w:fill="auto"/>
            <w:vAlign w:val="center"/>
          </w:tcPr>
          <w:p w14:paraId="295F9E55" w14:textId="77777777" w:rsidR="00D74371" w:rsidRPr="00F72A6E" w:rsidRDefault="00D74371" w:rsidP="00D74371">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0</w:t>
            </w:r>
          </w:p>
        </w:tc>
        <w:tc>
          <w:tcPr>
            <w:tcW w:w="1418" w:type="dxa"/>
            <w:tcBorders>
              <w:top w:val="single" w:sz="4" w:space="0" w:color="000000"/>
              <w:bottom w:val="single" w:sz="4" w:space="0" w:color="000000"/>
            </w:tcBorders>
            <w:shd w:val="clear" w:color="auto" w:fill="auto"/>
            <w:vAlign w:val="center"/>
          </w:tcPr>
          <w:p w14:paraId="5449E1BE" w14:textId="77777777" w:rsidR="00D74371" w:rsidRPr="00F72A6E" w:rsidRDefault="00D74371" w:rsidP="00D74371">
            <w:pPr>
              <w:spacing w:after="0" w:line="240" w:lineRule="auto"/>
              <w:jc w:val="right"/>
              <w:rPr>
                <w:rFonts w:eastAsia="Arial Unicode MS" w:cs="Times New Roman"/>
                <w:b/>
                <w:color w:val="17365D"/>
                <w:sz w:val="18"/>
                <w:szCs w:val="18"/>
              </w:rPr>
            </w:pPr>
            <w:r w:rsidRPr="00F72A6E">
              <w:rPr>
                <w:rFonts w:eastAsia="Arial Unicode MS" w:cs="Times New Roman"/>
                <w:b/>
                <w:color w:val="17365D"/>
                <w:sz w:val="18"/>
                <w:szCs w:val="18"/>
              </w:rPr>
              <w:t>-3 378 245</w:t>
            </w:r>
          </w:p>
        </w:tc>
      </w:tr>
      <w:tr w:rsidR="00D74371" w:rsidRPr="00F72A6E" w14:paraId="351C6F5F" w14:textId="77777777" w:rsidTr="00DD013E">
        <w:trPr>
          <w:trHeight w:val="255"/>
        </w:trPr>
        <w:tc>
          <w:tcPr>
            <w:tcW w:w="2972" w:type="dxa"/>
            <w:tcBorders>
              <w:top w:val="single" w:sz="4" w:space="0" w:color="000000"/>
              <w:bottom w:val="single" w:sz="4" w:space="0" w:color="000000"/>
            </w:tcBorders>
            <w:shd w:val="clear" w:color="auto" w:fill="auto"/>
            <w:vAlign w:val="center"/>
          </w:tcPr>
          <w:p w14:paraId="35C2E8B4" w14:textId="77777777" w:rsidR="00D74371" w:rsidRPr="00F72A6E" w:rsidRDefault="00D74371" w:rsidP="00D74371">
            <w:pPr>
              <w:spacing w:after="0" w:line="240" w:lineRule="auto"/>
              <w:rPr>
                <w:rFonts w:eastAsia="Arial Unicode MS" w:cs="Times New Roman"/>
                <w:color w:val="17365D"/>
                <w:sz w:val="18"/>
                <w:szCs w:val="18"/>
              </w:rPr>
            </w:pPr>
            <w:r w:rsidRPr="00F72A6E">
              <w:rPr>
                <w:rFonts w:eastAsia="Arial Unicode MS" w:cs="Times New Roman"/>
                <w:color w:val="17365D"/>
                <w:sz w:val="18"/>
                <w:szCs w:val="18"/>
              </w:rPr>
              <w:t>Finanšu aktīvi</w:t>
            </w:r>
          </w:p>
        </w:tc>
        <w:tc>
          <w:tcPr>
            <w:tcW w:w="1134" w:type="dxa"/>
            <w:tcBorders>
              <w:top w:val="single" w:sz="4" w:space="0" w:color="000000"/>
              <w:bottom w:val="single" w:sz="4" w:space="0" w:color="000000"/>
            </w:tcBorders>
            <w:shd w:val="clear" w:color="auto" w:fill="auto"/>
            <w:vAlign w:val="center"/>
          </w:tcPr>
          <w:p w14:paraId="11662233"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27 065 753</w:t>
            </w:r>
          </w:p>
        </w:tc>
        <w:tc>
          <w:tcPr>
            <w:tcW w:w="850" w:type="dxa"/>
            <w:tcBorders>
              <w:top w:val="single" w:sz="4" w:space="0" w:color="000000"/>
              <w:bottom w:val="single" w:sz="4" w:space="0" w:color="000000"/>
            </w:tcBorders>
            <w:shd w:val="clear" w:color="auto" w:fill="auto"/>
            <w:vAlign w:val="center"/>
          </w:tcPr>
          <w:p w14:paraId="163ACC15"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68B3F507"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27 065 753</w:t>
            </w:r>
          </w:p>
        </w:tc>
        <w:tc>
          <w:tcPr>
            <w:tcW w:w="1134" w:type="dxa"/>
            <w:tcBorders>
              <w:top w:val="single" w:sz="4" w:space="0" w:color="000000"/>
              <w:bottom w:val="single" w:sz="4" w:space="0" w:color="000000"/>
            </w:tcBorders>
            <w:shd w:val="clear" w:color="auto" w:fill="auto"/>
            <w:vAlign w:val="center"/>
          </w:tcPr>
          <w:p w14:paraId="5ACBFE9C"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43 696 166</w:t>
            </w:r>
          </w:p>
        </w:tc>
        <w:tc>
          <w:tcPr>
            <w:tcW w:w="709" w:type="dxa"/>
            <w:tcBorders>
              <w:top w:val="single" w:sz="4" w:space="0" w:color="000000"/>
              <w:bottom w:val="single" w:sz="4" w:space="0" w:color="000000"/>
            </w:tcBorders>
            <w:shd w:val="clear" w:color="auto" w:fill="auto"/>
            <w:vAlign w:val="center"/>
          </w:tcPr>
          <w:p w14:paraId="5EF3842E"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418" w:type="dxa"/>
            <w:tcBorders>
              <w:top w:val="single" w:sz="4" w:space="0" w:color="000000"/>
              <w:bottom w:val="single" w:sz="4" w:space="0" w:color="000000"/>
            </w:tcBorders>
            <w:shd w:val="clear" w:color="auto" w:fill="auto"/>
            <w:vAlign w:val="center"/>
          </w:tcPr>
          <w:p w14:paraId="3F22CCED"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43 696 166</w:t>
            </w:r>
          </w:p>
        </w:tc>
      </w:tr>
      <w:tr w:rsidR="00D74371" w:rsidRPr="00F72A6E" w14:paraId="6D740673" w14:textId="77777777" w:rsidTr="00DD013E">
        <w:trPr>
          <w:trHeight w:val="255"/>
        </w:trPr>
        <w:tc>
          <w:tcPr>
            <w:tcW w:w="2972" w:type="dxa"/>
            <w:tcBorders>
              <w:top w:val="single" w:sz="4" w:space="0" w:color="000000"/>
              <w:bottom w:val="single" w:sz="4" w:space="0" w:color="000000"/>
            </w:tcBorders>
            <w:shd w:val="clear" w:color="auto" w:fill="auto"/>
            <w:vAlign w:val="center"/>
            <w:hideMark/>
          </w:tcPr>
          <w:p w14:paraId="1EE97019" w14:textId="77777777" w:rsidR="00D74371" w:rsidRPr="00F72A6E" w:rsidRDefault="00D74371" w:rsidP="00D74371">
            <w:pPr>
              <w:spacing w:after="0" w:line="240" w:lineRule="auto"/>
              <w:rPr>
                <w:rFonts w:eastAsia="Arial Unicode MS" w:cs="Times New Roman"/>
                <w:color w:val="17365D"/>
                <w:sz w:val="18"/>
                <w:szCs w:val="18"/>
              </w:rPr>
            </w:pPr>
            <w:r w:rsidRPr="00F72A6E">
              <w:rPr>
                <w:rFonts w:eastAsia="Arial Unicode MS" w:cs="Times New Roman"/>
                <w:color w:val="17365D"/>
                <w:sz w:val="18"/>
                <w:szCs w:val="18"/>
              </w:rPr>
              <w:t>Patiesajā vērtībā novērtēti finanšu aktīvi</w:t>
            </w:r>
          </w:p>
        </w:tc>
        <w:tc>
          <w:tcPr>
            <w:tcW w:w="1134" w:type="dxa"/>
            <w:tcBorders>
              <w:top w:val="single" w:sz="4" w:space="0" w:color="000000"/>
              <w:bottom w:val="single" w:sz="4" w:space="0" w:color="000000"/>
            </w:tcBorders>
            <w:shd w:val="clear" w:color="auto" w:fill="auto"/>
            <w:vAlign w:val="center"/>
            <w:hideMark/>
          </w:tcPr>
          <w:p w14:paraId="7C7E27B9"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27 079 011</w:t>
            </w:r>
          </w:p>
        </w:tc>
        <w:tc>
          <w:tcPr>
            <w:tcW w:w="850" w:type="dxa"/>
            <w:tcBorders>
              <w:top w:val="single" w:sz="4" w:space="0" w:color="000000"/>
              <w:bottom w:val="single" w:sz="4" w:space="0" w:color="000000"/>
            </w:tcBorders>
            <w:shd w:val="clear" w:color="auto" w:fill="auto"/>
            <w:vAlign w:val="center"/>
            <w:hideMark/>
          </w:tcPr>
          <w:p w14:paraId="0EC6F0B3"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hideMark/>
          </w:tcPr>
          <w:p w14:paraId="010CCCB0"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27 079 011</w:t>
            </w:r>
          </w:p>
        </w:tc>
        <w:tc>
          <w:tcPr>
            <w:tcW w:w="1134" w:type="dxa"/>
            <w:tcBorders>
              <w:top w:val="single" w:sz="4" w:space="0" w:color="000000"/>
              <w:bottom w:val="single" w:sz="4" w:space="0" w:color="000000"/>
            </w:tcBorders>
            <w:shd w:val="clear" w:color="auto" w:fill="auto"/>
            <w:vAlign w:val="center"/>
          </w:tcPr>
          <w:p w14:paraId="63151E41"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43 676 607</w:t>
            </w:r>
          </w:p>
        </w:tc>
        <w:tc>
          <w:tcPr>
            <w:tcW w:w="709" w:type="dxa"/>
            <w:tcBorders>
              <w:top w:val="single" w:sz="4" w:space="0" w:color="000000"/>
              <w:bottom w:val="single" w:sz="4" w:space="0" w:color="000000"/>
            </w:tcBorders>
            <w:shd w:val="clear" w:color="auto" w:fill="auto"/>
            <w:vAlign w:val="center"/>
          </w:tcPr>
          <w:p w14:paraId="3C3684CC"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418" w:type="dxa"/>
            <w:tcBorders>
              <w:top w:val="single" w:sz="4" w:space="0" w:color="000000"/>
              <w:bottom w:val="single" w:sz="4" w:space="0" w:color="000000"/>
            </w:tcBorders>
            <w:shd w:val="clear" w:color="auto" w:fill="auto"/>
            <w:vAlign w:val="center"/>
          </w:tcPr>
          <w:p w14:paraId="12915B9B"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43 676 607</w:t>
            </w:r>
          </w:p>
        </w:tc>
      </w:tr>
      <w:tr w:rsidR="00D74371" w:rsidRPr="00F72A6E" w14:paraId="294D91A7" w14:textId="77777777" w:rsidTr="00DD013E">
        <w:trPr>
          <w:trHeight w:val="255"/>
        </w:trPr>
        <w:tc>
          <w:tcPr>
            <w:tcW w:w="2972" w:type="dxa"/>
            <w:tcBorders>
              <w:top w:val="single" w:sz="4" w:space="0" w:color="000000"/>
              <w:bottom w:val="single" w:sz="4" w:space="0" w:color="000000"/>
            </w:tcBorders>
            <w:shd w:val="clear" w:color="auto" w:fill="auto"/>
            <w:vAlign w:val="center"/>
          </w:tcPr>
          <w:p w14:paraId="17284C03" w14:textId="77777777" w:rsidR="00D74371" w:rsidRPr="00F72A6E" w:rsidRDefault="00D74371" w:rsidP="00D74371">
            <w:pPr>
              <w:spacing w:after="0" w:line="240" w:lineRule="auto"/>
              <w:rPr>
                <w:rFonts w:eastAsia="Arial Unicode MS" w:cs="Times New Roman"/>
                <w:color w:val="17365D"/>
                <w:sz w:val="18"/>
                <w:szCs w:val="18"/>
              </w:rPr>
            </w:pPr>
            <w:r w:rsidRPr="00F72A6E">
              <w:rPr>
                <w:rFonts w:eastAsia="Arial Unicode MS" w:cs="Times New Roman"/>
                <w:color w:val="17365D"/>
                <w:sz w:val="18"/>
                <w:szCs w:val="18"/>
              </w:rPr>
              <w:t>Aizdevumi un prasības</w:t>
            </w:r>
          </w:p>
        </w:tc>
        <w:tc>
          <w:tcPr>
            <w:tcW w:w="1134" w:type="dxa"/>
            <w:tcBorders>
              <w:top w:val="single" w:sz="4" w:space="0" w:color="000000"/>
              <w:bottom w:val="single" w:sz="4" w:space="0" w:color="000000"/>
            </w:tcBorders>
            <w:shd w:val="clear" w:color="auto" w:fill="auto"/>
            <w:vAlign w:val="center"/>
          </w:tcPr>
          <w:p w14:paraId="7FF8C7A8"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-13 258</w:t>
            </w:r>
          </w:p>
        </w:tc>
        <w:tc>
          <w:tcPr>
            <w:tcW w:w="850" w:type="dxa"/>
            <w:tcBorders>
              <w:top w:val="single" w:sz="4" w:space="0" w:color="000000"/>
              <w:bottom w:val="single" w:sz="4" w:space="0" w:color="000000"/>
            </w:tcBorders>
            <w:shd w:val="clear" w:color="auto" w:fill="auto"/>
            <w:vAlign w:val="center"/>
          </w:tcPr>
          <w:p w14:paraId="06107D8F"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41AD7E70"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-13 258</w:t>
            </w:r>
          </w:p>
        </w:tc>
        <w:tc>
          <w:tcPr>
            <w:tcW w:w="1134" w:type="dxa"/>
            <w:tcBorders>
              <w:top w:val="single" w:sz="4" w:space="0" w:color="000000"/>
              <w:bottom w:val="single" w:sz="4" w:space="0" w:color="000000"/>
            </w:tcBorders>
            <w:shd w:val="clear" w:color="auto" w:fill="auto"/>
            <w:vAlign w:val="center"/>
          </w:tcPr>
          <w:p w14:paraId="37D85DF6"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19 559</w:t>
            </w:r>
          </w:p>
        </w:tc>
        <w:tc>
          <w:tcPr>
            <w:tcW w:w="709" w:type="dxa"/>
            <w:tcBorders>
              <w:top w:val="single" w:sz="4" w:space="0" w:color="000000"/>
              <w:bottom w:val="single" w:sz="4" w:space="0" w:color="000000"/>
            </w:tcBorders>
            <w:shd w:val="clear" w:color="auto" w:fill="auto"/>
            <w:vAlign w:val="center"/>
          </w:tcPr>
          <w:p w14:paraId="029986F4"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418" w:type="dxa"/>
            <w:tcBorders>
              <w:top w:val="single" w:sz="4" w:space="0" w:color="000000"/>
              <w:bottom w:val="single" w:sz="4" w:space="0" w:color="000000"/>
            </w:tcBorders>
            <w:shd w:val="clear" w:color="auto" w:fill="auto"/>
            <w:vAlign w:val="center"/>
          </w:tcPr>
          <w:p w14:paraId="56DAF749"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19 559</w:t>
            </w:r>
          </w:p>
        </w:tc>
      </w:tr>
      <w:tr w:rsidR="00D74371" w:rsidRPr="00F72A6E" w14:paraId="773DB0E3" w14:textId="77777777" w:rsidTr="00DD013E">
        <w:trPr>
          <w:trHeight w:val="255"/>
        </w:trPr>
        <w:tc>
          <w:tcPr>
            <w:tcW w:w="2972" w:type="dxa"/>
            <w:tcBorders>
              <w:top w:val="single" w:sz="4" w:space="0" w:color="000000"/>
              <w:bottom w:val="single" w:sz="4" w:space="0" w:color="000000"/>
            </w:tcBorders>
            <w:shd w:val="clear" w:color="auto" w:fill="auto"/>
            <w:vAlign w:val="center"/>
          </w:tcPr>
          <w:p w14:paraId="1FD96DE4" w14:textId="77777777" w:rsidR="00D74371" w:rsidRPr="00F72A6E" w:rsidRDefault="00D74371" w:rsidP="00D74371">
            <w:pPr>
              <w:spacing w:after="0" w:line="240" w:lineRule="auto"/>
              <w:rPr>
                <w:rFonts w:eastAsia="Arial Unicode MS" w:cs="Times New Roman"/>
                <w:color w:val="17365D"/>
                <w:sz w:val="18"/>
                <w:szCs w:val="18"/>
              </w:rPr>
            </w:pPr>
            <w:r w:rsidRPr="00F72A6E">
              <w:rPr>
                <w:rFonts w:eastAsia="Arial Unicode MS" w:cs="Times New Roman"/>
                <w:color w:val="17365D"/>
                <w:sz w:val="18"/>
                <w:szCs w:val="18"/>
              </w:rPr>
              <w:t>Finanšu saistības</w:t>
            </w:r>
          </w:p>
        </w:tc>
        <w:tc>
          <w:tcPr>
            <w:tcW w:w="1134" w:type="dxa"/>
            <w:tcBorders>
              <w:top w:val="single" w:sz="4" w:space="0" w:color="000000"/>
              <w:bottom w:val="single" w:sz="4" w:space="0" w:color="000000"/>
            </w:tcBorders>
            <w:shd w:val="clear" w:color="auto" w:fill="auto"/>
            <w:vAlign w:val="center"/>
          </w:tcPr>
          <w:p w14:paraId="73597C79"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-14 800 257</w:t>
            </w:r>
          </w:p>
        </w:tc>
        <w:tc>
          <w:tcPr>
            <w:tcW w:w="850" w:type="dxa"/>
            <w:tcBorders>
              <w:top w:val="single" w:sz="4" w:space="0" w:color="000000"/>
              <w:bottom w:val="single" w:sz="4" w:space="0" w:color="000000"/>
            </w:tcBorders>
            <w:shd w:val="clear" w:color="auto" w:fill="auto"/>
            <w:vAlign w:val="center"/>
          </w:tcPr>
          <w:p w14:paraId="4B091415"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tcPr>
          <w:p w14:paraId="365459A6"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-14 800 257</w:t>
            </w:r>
          </w:p>
        </w:tc>
        <w:tc>
          <w:tcPr>
            <w:tcW w:w="1134" w:type="dxa"/>
            <w:tcBorders>
              <w:top w:val="single" w:sz="4" w:space="0" w:color="000000"/>
              <w:bottom w:val="single" w:sz="4" w:space="0" w:color="000000"/>
            </w:tcBorders>
            <w:shd w:val="clear" w:color="auto" w:fill="auto"/>
            <w:vAlign w:val="center"/>
          </w:tcPr>
          <w:p w14:paraId="5CFFFDFC"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-47 074 411</w:t>
            </w:r>
          </w:p>
        </w:tc>
        <w:tc>
          <w:tcPr>
            <w:tcW w:w="709" w:type="dxa"/>
            <w:tcBorders>
              <w:top w:val="single" w:sz="4" w:space="0" w:color="000000"/>
              <w:bottom w:val="single" w:sz="4" w:space="0" w:color="000000"/>
            </w:tcBorders>
            <w:shd w:val="clear" w:color="auto" w:fill="auto"/>
            <w:vAlign w:val="center"/>
          </w:tcPr>
          <w:p w14:paraId="63BF8DBA"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418" w:type="dxa"/>
            <w:tcBorders>
              <w:top w:val="single" w:sz="4" w:space="0" w:color="000000"/>
              <w:bottom w:val="single" w:sz="4" w:space="0" w:color="000000"/>
            </w:tcBorders>
            <w:shd w:val="clear" w:color="auto" w:fill="auto"/>
            <w:vAlign w:val="center"/>
          </w:tcPr>
          <w:p w14:paraId="46AD08F6"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-47 074 411</w:t>
            </w:r>
          </w:p>
        </w:tc>
      </w:tr>
      <w:tr w:rsidR="00D74371" w:rsidRPr="00F72A6E" w14:paraId="279F83F7" w14:textId="77777777" w:rsidTr="00DD013E">
        <w:trPr>
          <w:trHeight w:val="255"/>
        </w:trPr>
        <w:tc>
          <w:tcPr>
            <w:tcW w:w="2972" w:type="dxa"/>
            <w:tcBorders>
              <w:top w:val="single" w:sz="4" w:space="0" w:color="000000"/>
              <w:bottom w:val="single" w:sz="4" w:space="0" w:color="000000"/>
            </w:tcBorders>
            <w:shd w:val="clear" w:color="auto" w:fill="auto"/>
            <w:vAlign w:val="center"/>
            <w:hideMark/>
          </w:tcPr>
          <w:p w14:paraId="14B7E768" w14:textId="77777777" w:rsidR="00D74371" w:rsidRPr="00F72A6E" w:rsidRDefault="00D74371" w:rsidP="00D74371">
            <w:pPr>
              <w:spacing w:after="0" w:line="240" w:lineRule="auto"/>
              <w:rPr>
                <w:rFonts w:eastAsia="Arial Unicode MS" w:cs="Times New Roman"/>
                <w:color w:val="17365D"/>
                <w:sz w:val="18"/>
                <w:szCs w:val="18"/>
              </w:rPr>
            </w:pPr>
            <w:r w:rsidRPr="00F72A6E">
              <w:rPr>
                <w:rFonts w:eastAsia="Arial Unicode MS" w:cs="Times New Roman"/>
                <w:color w:val="17365D"/>
                <w:sz w:val="18"/>
                <w:szCs w:val="18"/>
              </w:rPr>
              <w:t>Patiesajā vērtībā novērtētas finanšu saistības</w:t>
            </w:r>
          </w:p>
        </w:tc>
        <w:tc>
          <w:tcPr>
            <w:tcW w:w="1134" w:type="dxa"/>
            <w:tcBorders>
              <w:top w:val="single" w:sz="4" w:space="0" w:color="000000"/>
              <w:bottom w:val="single" w:sz="4" w:space="0" w:color="000000"/>
            </w:tcBorders>
            <w:shd w:val="clear" w:color="auto" w:fill="auto"/>
            <w:vAlign w:val="center"/>
            <w:hideMark/>
          </w:tcPr>
          <w:p w14:paraId="6E354CD5"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-14 800 013</w:t>
            </w:r>
          </w:p>
        </w:tc>
        <w:tc>
          <w:tcPr>
            <w:tcW w:w="850" w:type="dxa"/>
            <w:tcBorders>
              <w:top w:val="single" w:sz="4" w:space="0" w:color="000000"/>
              <w:bottom w:val="single" w:sz="4" w:space="0" w:color="000000"/>
            </w:tcBorders>
            <w:shd w:val="clear" w:color="auto" w:fill="auto"/>
            <w:vAlign w:val="center"/>
            <w:hideMark/>
          </w:tcPr>
          <w:p w14:paraId="0DD16F3C"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000000"/>
            </w:tcBorders>
            <w:shd w:val="clear" w:color="auto" w:fill="auto"/>
            <w:vAlign w:val="center"/>
            <w:hideMark/>
          </w:tcPr>
          <w:p w14:paraId="36A4FAFB"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-14 800 013</w:t>
            </w:r>
          </w:p>
        </w:tc>
        <w:tc>
          <w:tcPr>
            <w:tcW w:w="1134" w:type="dxa"/>
            <w:tcBorders>
              <w:top w:val="single" w:sz="4" w:space="0" w:color="000000"/>
              <w:bottom w:val="single" w:sz="4" w:space="0" w:color="000000"/>
            </w:tcBorders>
            <w:shd w:val="clear" w:color="auto" w:fill="auto"/>
            <w:vAlign w:val="center"/>
          </w:tcPr>
          <w:p w14:paraId="723D5323"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-42 135 394</w:t>
            </w:r>
          </w:p>
        </w:tc>
        <w:tc>
          <w:tcPr>
            <w:tcW w:w="709" w:type="dxa"/>
            <w:tcBorders>
              <w:top w:val="single" w:sz="4" w:space="0" w:color="000000"/>
              <w:bottom w:val="single" w:sz="4" w:space="0" w:color="000000"/>
            </w:tcBorders>
            <w:shd w:val="clear" w:color="auto" w:fill="auto"/>
            <w:vAlign w:val="center"/>
          </w:tcPr>
          <w:p w14:paraId="35AB4B65"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418" w:type="dxa"/>
            <w:tcBorders>
              <w:top w:val="single" w:sz="4" w:space="0" w:color="000000"/>
              <w:bottom w:val="single" w:sz="4" w:space="0" w:color="000000"/>
            </w:tcBorders>
            <w:shd w:val="clear" w:color="auto" w:fill="auto"/>
            <w:vAlign w:val="center"/>
          </w:tcPr>
          <w:p w14:paraId="077827E7"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-42 135 394</w:t>
            </w:r>
          </w:p>
        </w:tc>
      </w:tr>
      <w:tr w:rsidR="00D74371" w:rsidRPr="00F72A6E" w14:paraId="07B498C5" w14:textId="77777777" w:rsidTr="00DD013E">
        <w:trPr>
          <w:trHeight w:val="273"/>
        </w:trPr>
        <w:tc>
          <w:tcPr>
            <w:tcW w:w="2972" w:type="dxa"/>
            <w:tcBorders>
              <w:top w:val="single" w:sz="4" w:space="0" w:color="000000"/>
              <w:bottom w:val="single" w:sz="4" w:space="0" w:color="17365D"/>
            </w:tcBorders>
            <w:shd w:val="clear" w:color="auto" w:fill="auto"/>
            <w:vAlign w:val="center"/>
            <w:hideMark/>
          </w:tcPr>
          <w:p w14:paraId="2D96534E" w14:textId="77777777" w:rsidR="00D74371" w:rsidRPr="00F72A6E" w:rsidRDefault="00D74371" w:rsidP="00D74371">
            <w:pPr>
              <w:spacing w:after="0" w:line="240" w:lineRule="auto"/>
              <w:rPr>
                <w:rFonts w:eastAsia="Arial Unicode MS" w:cs="Times New Roman"/>
                <w:color w:val="17365D"/>
                <w:sz w:val="18"/>
                <w:szCs w:val="18"/>
              </w:rPr>
            </w:pPr>
            <w:r w:rsidRPr="00F72A6E">
              <w:rPr>
                <w:rFonts w:eastAsia="Arial Unicode MS" w:cs="Times New Roman"/>
                <w:color w:val="17365D"/>
                <w:sz w:val="18"/>
                <w:szCs w:val="18"/>
              </w:rPr>
              <w:t>Pārējās finanšu saistības</w:t>
            </w:r>
          </w:p>
        </w:tc>
        <w:tc>
          <w:tcPr>
            <w:tcW w:w="1134" w:type="dxa"/>
            <w:tcBorders>
              <w:top w:val="single" w:sz="4" w:space="0" w:color="000000"/>
              <w:bottom w:val="single" w:sz="4" w:space="0" w:color="17365D"/>
            </w:tcBorders>
            <w:shd w:val="clear" w:color="auto" w:fill="auto"/>
            <w:vAlign w:val="center"/>
            <w:hideMark/>
          </w:tcPr>
          <w:p w14:paraId="7B069021"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-244</w:t>
            </w:r>
          </w:p>
        </w:tc>
        <w:tc>
          <w:tcPr>
            <w:tcW w:w="850" w:type="dxa"/>
            <w:tcBorders>
              <w:top w:val="single" w:sz="4" w:space="0" w:color="000000"/>
              <w:bottom w:val="single" w:sz="4" w:space="0" w:color="17365D"/>
            </w:tcBorders>
            <w:shd w:val="clear" w:color="auto" w:fill="auto"/>
            <w:vAlign w:val="center"/>
            <w:hideMark/>
          </w:tcPr>
          <w:p w14:paraId="45D4360D"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134" w:type="dxa"/>
            <w:tcBorders>
              <w:top w:val="single" w:sz="4" w:space="0" w:color="000000"/>
              <w:bottom w:val="single" w:sz="4" w:space="0" w:color="17365D"/>
            </w:tcBorders>
            <w:shd w:val="clear" w:color="auto" w:fill="auto"/>
            <w:vAlign w:val="center"/>
            <w:hideMark/>
          </w:tcPr>
          <w:p w14:paraId="792A787F"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-244</w:t>
            </w:r>
          </w:p>
        </w:tc>
        <w:tc>
          <w:tcPr>
            <w:tcW w:w="1134" w:type="dxa"/>
            <w:tcBorders>
              <w:top w:val="single" w:sz="4" w:space="0" w:color="000000"/>
              <w:bottom w:val="single" w:sz="4" w:space="0" w:color="17365D"/>
            </w:tcBorders>
            <w:shd w:val="clear" w:color="auto" w:fill="auto"/>
            <w:vAlign w:val="center"/>
          </w:tcPr>
          <w:p w14:paraId="6D5D8FED"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-4 939 017</w:t>
            </w:r>
          </w:p>
        </w:tc>
        <w:tc>
          <w:tcPr>
            <w:tcW w:w="709" w:type="dxa"/>
            <w:tcBorders>
              <w:top w:val="single" w:sz="4" w:space="0" w:color="000000"/>
              <w:bottom w:val="single" w:sz="4" w:space="0" w:color="17365D"/>
            </w:tcBorders>
            <w:shd w:val="clear" w:color="auto" w:fill="auto"/>
            <w:vAlign w:val="center"/>
          </w:tcPr>
          <w:p w14:paraId="3967779A"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0</w:t>
            </w:r>
          </w:p>
        </w:tc>
        <w:tc>
          <w:tcPr>
            <w:tcW w:w="1418" w:type="dxa"/>
            <w:tcBorders>
              <w:top w:val="single" w:sz="4" w:space="0" w:color="000000"/>
              <w:bottom w:val="single" w:sz="4" w:space="0" w:color="17365D"/>
            </w:tcBorders>
            <w:shd w:val="clear" w:color="auto" w:fill="auto"/>
            <w:vAlign w:val="center"/>
          </w:tcPr>
          <w:p w14:paraId="51641634" w14:textId="77777777" w:rsidR="00D74371" w:rsidRPr="00F72A6E" w:rsidRDefault="00D74371" w:rsidP="00D74371">
            <w:pPr>
              <w:spacing w:after="0" w:line="240" w:lineRule="auto"/>
              <w:jc w:val="right"/>
              <w:rPr>
                <w:rFonts w:eastAsia="Arial Unicode MS" w:cs="Times New Roman"/>
                <w:color w:val="17365D"/>
                <w:sz w:val="18"/>
                <w:szCs w:val="18"/>
              </w:rPr>
            </w:pPr>
            <w:r w:rsidRPr="00F72A6E">
              <w:rPr>
                <w:rFonts w:eastAsia="Arial Unicode MS" w:cs="Times New Roman"/>
                <w:color w:val="17365D"/>
                <w:sz w:val="18"/>
                <w:szCs w:val="18"/>
              </w:rPr>
              <w:t>-4 939 017</w:t>
            </w:r>
          </w:p>
        </w:tc>
      </w:tr>
      <w:tr w:rsidR="00D74371" w:rsidRPr="00F72A6E" w14:paraId="3FB280EB" w14:textId="77777777" w:rsidTr="00DD013E">
        <w:trPr>
          <w:trHeight w:val="214"/>
        </w:trPr>
        <w:tc>
          <w:tcPr>
            <w:tcW w:w="2972" w:type="dxa"/>
            <w:tcBorders>
              <w:top w:val="single" w:sz="4" w:space="0" w:color="17365D"/>
            </w:tcBorders>
            <w:shd w:val="clear" w:color="auto" w:fill="B8CCE4" w:themeFill="accent1" w:themeFillTint="66"/>
            <w:vAlign w:val="center"/>
          </w:tcPr>
          <w:p w14:paraId="365562CF" w14:textId="77777777" w:rsidR="00D74371" w:rsidRPr="00A27896" w:rsidRDefault="00D74371" w:rsidP="00D74371">
            <w:pPr>
              <w:spacing w:after="0" w:line="240" w:lineRule="auto"/>
              <w:rPr>
                <w:rFonts w:eastAsia="Arial Unicode MS" w:cs="Times New Roman"/>
                <w:color w:val="17365D"/>
                <w:sz w:val="18"/>
                <w:szCs w:val="18"/>
              </w:rPr>
            </w:pPr>
          </w:p>
        </w:tc>
        <w:tc>
          <w:tcPr>
            <w:tcW w:w="1134" w:type="dxa"/>
            <w:tcBorders>
              <w:top w:val="single" w:sz="4" w:space="0" w:color="17365D"/>
            </w:tcBorders>
            <w:shd w:val="clear" w:color="auto" w:fill="B8CCE4" w:themeFill="accent1" w:themeFillTint="66"/>
            <w:vAlign w:val="center"/>
          </w:tcPr>
          <w:p w14:paraId="04BC5D3E" w14:textId="77777777" w:rsidR="00D74371" w:rsidRPr="00A27896" w:rsidRDefault="00D74371" w:rsidP="00D74371">
            <w:pPr>
              <w:spacing w:after="0" w:line="240" w:lineRule="auto"/>
              <w:jc w:val="right"/>
              <w:rPr>
                <w:rFonts w:eastAsia="Arial Unicode MS" w:cs="Times New Roman"/>
                <w:color w:val="17365D"/>
                <w:sz w:val="18"/>
                <w:szCs w:val="18"/>
              </w:rPr>
            </w:pPr>
          </w:p>
        </w:tc>
        <w:tc>
          <w:tcPr>
            <w:tcW w:w="850" w:type="dxa"/>
            <w:tcBorders>
              <w:top w:val="single" w:sz="4" w:space="0" w:color="17365D"/>
            </w:tcBorders>
            <w:shd w:val="clear" w:color="auto" w:fill="B8CCE4" w:themeFill="accent1" w:themeFillTint="66"/>
            <w:vAlign w:val="center"/>
          </w:tcPr>
          <w:p w14:paraId="4951D649" w14:textId="77777777" w:rsidR="00D74371" w:rsidRPr="00A27896" w:rsidRDefault="00D74371" w:rsidP="00D74371">
            <w:pPr>
              <w:spacing w:after="0" w:line="240" w:lineRule="auto"/>
              <w:jc w:val="right"/>
              <w:rPr>
                <w:rFonts w:eastAsia="Arial Unicode MS" w:cs="Times New Roman"/>
                <w:color w:val="17365D"/>
                <w:sz w:val="18"/>
                <w:szCs w:val="18"/>
              </w:rPr>
            </w:pPr>
          </w:p>
        </w:tc>
        <w:tc>
          <w:tcPr>
            <w:tcW w:w="1134" w:type="dxa"/>
            <w:tcBorders>
              <w:top w:val="single" w:sz="4" w:space="0" w:color="17365D"/>
            </w:tcBorders>
            <w:shd w:val="clear" w:color="auto" w:fill="B8CCE4" w:themeFill="accent1" w:themeFillTint="66"/>
            <w:vAlign w:val="center"/>
          </w:tcPr>
          <w:p w14:paraId="6396824A" w14:textId="77777777" w:rsidR="00D74371" w:rsidRPr="00A27896" w:rsidRDefault="00D74371" w:rsidP="00D74371">
            <w:pPr>
              <w:spacing w:after="0" w:line="240" w:lineRule="auto"/>
              <w:jc w:val="right"/>
              <w:rPr>
                <w:rFonts w:eastAsia="Arial Unicode MS" w:cs="Times New Roman"/>
                <w:color w:val="17365D"/>
                <w:sz w:val="18"/>
                <w:szCs w:val="18"/>
              </w:rPr>
            </w:pPr>
          </w:p>
        </w:tc>
        <w:tc>
          <w:tcPr>
            <w:tcW w:w="1134" w:type="dxa"/>
            <w:tcBorders>
              <w:top w:val="single" w:sz="4" w:space="0" w:color="17365D"/>
            </w:tcBorders>
            <w:shd w:val="clear" w:color="auto" w:fill="B8CCE4" w:themeFill="accent1" w:themeFillTint="66"/>
          </w:tcPr>
          <w:p w14:paraId="20112D92" w14:textId="77777777" w:rsidR="00D74371" w:rsidRPr="00A27896" w:rsidRDefault="00D74371" w:rsidP="00D74371">
            <w:pPr>
              <w:spacing w:after="0" w:line="240" w:lineRule="auto"/>
              <w:jc w:val="right"/>
              <w:rPr>
                <w:rFonts w:eastAsia="Arial Unicode MS" w:cs="Times New Roman"/>
                <w:color w:val="17365D"/>
                <w:sz w:val="18"/>
                <w:szCs w:val="18"/>
              </w:rPr>
            </w:pPr>
          </w:p>
        </w:tc>
        <w:tc>
          <w:tcPr>
            <w:tcW w:w="709" w:type="dxa"/>
            <w:tcBorders>
              <w:top w:val="single" w:sz="4" w:space="0" w:color="17365D"/>
            </w:tcBorders>
            <w:shd w:val="clear" w:color="auto" w:fill="B8CCE4" w:themeFill="accent1" w:themeFillTint="66"/>
          </w:tcPr>
          <w:p w14:paraId="4E0E07F7" w14:textId="77777777" w:rsidR="00D74371" w:rsidRPr="00A27896" w:rsidRDefault="00D74371" w:rsidP="00D74371">
            <w:pPr>
              <w:spacing w:after="0" w:line="240" w:lineRule="auto"/>
              <w:jc w:val="right"/>
              <w:rPr>
                <w:rFonts w:eastAsia="Arial Unicode MS" w:cs="Times New Roman"/>
                <w:color w:val="17365D"/>
                <w:sz w:val="18"/>
                <w:szCs w:val="18"/>
              </w:rPr>
            </w:pPr>
          </w:p>
        </w:tc>
        <w:tc>
          <w:tcPr>
            <w:tcW w:w="1418" w:type="dxa"/>
            <w:tcBorders>
              <w:top w:val="single" w:sz="4" w:space="0" w:color="17365D"/>
            </w:tcBorders>
            <w:shd w:val="clear" w:color="auto" w:fill="B8CCE4" w:themeFill="accent1" w:themeFillTint="66"/>
          </w:tcPr>
          <w:p w14:paraId="0B5464FA" w14:textId="77777777" w:rsidR="00D74371" w:rsidRPr="00A27896" w:rsidRDefault="00D74371" w:rsidP="00D74371">
            <w:pPr>
              <w:spacing w:after="0" w:line="240" w:lineRule="auto"/>
              <w:jc w:val="right"/>
              <w:rPr>
                <w:rFonts w:eastAsia="Arial Unicode MS" w:cs="Times New Roman"/>
                <w:color w:val="17365D"/>
                <w:sz w:val="18"/>
                <w:szCs w:val="18"/>
              </w:rPr>
            </w:pPr>
          </w:p>
        </w:tc>
      </w:tr>
    </w:tbl>
    <w:p w14:paraId="3E0896C1" w14:textId="77777777" w:rsidR="00D74371" w:rsidRPr="00F72A6E" w:rsidRDefault="00D74371" w:rsidP="00D74371">
      <w:pPr>
        <w:spacing w:after="120" w:line="240" w:lineRule="auto"/>
        <w:jc w:val="both"/>
        <w:rPr>
          <w:rFonts w:eastAsia="Arial Unicode MS" w:cs="Times New Roman"/>
          <w:color w:val="17365D"/>
          <w:szCs w:val="24"/>
        </w:rPr>
      </w:pPr>
    </w:p>
    <w:p w14:paraId="6A8C4CB7" w14:textId="77777777" w:rsidR="00D74371" w:rsidRDefault="00D74371" w:rsidP="00D74371">
      <w:pPr>
        <w:spacing w:before="120" w:after="120" w:line="240" w:lineRule="auto"/>
        <w:ind w:firstLine="284"/>
        <w:jc w:val="both"/>
        <w:rPr>
          <w:rFonts w:eastAsia="Times New Roman" w:cs="Times New Roman"/>
          <w:noProof/>
          <w:color w:val="17365D"/>
          <w:szCs w:val="24"/>
          <w:lang w:eastAsia="lv-LV"/>
        </w:rPr>
      </w:pPr>
      <w:r w:rsidRPr="00365902">
        <w:rPr>
          <w:rFonts w:eastAsia="Times New Roman" w:cs="Times New Roman"/>
          <w:noProof/>
          <w:color w:val="17365D"/>
          <w:szCs w:val="24"/>
          <w:lang w:eastAsia="lv-LV"/>
        </w:rPr>
        <w:t>202</w:t>
      </w:r>
      <w:r>
        <w:rPr>
          <w:rFonts w:eastAsia="Times New Roman" w:cs="Times New Roman"/>
          <w:noProof/>
          <w:color w:val="17365D"/>
          <w:szCs w:val="24"/>
          <w:lang w:eastAsia="lv-LV"/>
        </w:rPr>
        <w:t>3</w:t>
      </w:r>
      <w:r w:rsidRPr="00365902">
        <w:rPr>
          <w:rFonts w:eastAsia="Times New Roman" w:cs="Times New Roman"/>
          <w:noProof/>
          <w:color w:val="17365D"/>
          <w:szCs w:val="24"/>
          <w:lang w:eastAsia="lv-LV"/>
        </w:rPr>
        <w:t>. gad</w:t>
      </w:r>
      <w:r>
        <w:rPr>
          <w:rFonts w:eastAsia="Times New Roman" w:cs="Times New Roman"/>
          <w:noProof/>
          <w:color w:val="17365D"/>
          <w:szCs w:val="24"/>
          <w:lang w:eastAsia="lv-LV"/>
        </w:rPr>
        <w:t>ā</w:t>
      </w:r>
      <w:r w:rsidRPr="00365902">
        <w:rPr>
          <w:rFonts w:eastAsia="Times New Roman" w:cs="Times New Roman"/>
          <w:noProof/>
          <w:color w:val="17365D"/>
          <w:szCs w:val="24"/>
          <w:lang w:eastAsia="lv-LV"/>
        </w:rPr>
        <w:t xml:space="preserve"> </w:t>
      </w:r>
      <w:r>
        <w:rPr>
          <w:rFonts w:eastAsia="Times New Roman" w:cs="Times New Roman"/>
          <w:noProof/>
          <w:color w:val="17365D"/>
          <w:szCs w:val="24"/>
          <w:lang w:eastAsia="lv-LV"/>
        </w:rPr>
        <w:t>p</w:t>
      </w:r>
      <w:r w:rsidRPr="00B75C9E">
        <w:rPr>
          <w:rFonts w:eastAsia="Times New Roman" w:cs="Times New Roman"/>
          <w:noProof/>
          <w:color w:val="17365D"/>
          <w:szCs w:val="24"/>
          <w:lang w:eastAsia="lv-LV"/>
        </w:rPr>
        <w:t>rocentu ieņēmumi par finanšu instrumentiem, kuriem atzīts vērtības samazinājums</w:t>
      </w:r>
      <w:r>
        <w:rPr>
          <w:rFonts w:eastAsia="Times New Roman" w:cs="Times New Roman"/>
          <w:noProof/>
          <w:color w:val="17365D"/>
          <w:szCs w:val="24"/>
          <w:lang w:eastAsia="lv-LV"/>
        </w:rPr>
        <w:t>, uzrādīti finanšu instrumentu kategorijai “</w:t>
      </w:r>
      <w:r w:rsidRPr="00B75C9E">
        <w:rPr>
          <w:rFonts w:eastAsia="Times New Roman" w:cs="Times New Roman"/>
          <w:noProof/>
          <w:color w:val="17365D"/>
          <w:szCs w:val="24"/>
          <w:lang w:eastAsia="lv-LV"/>
        </w:rPr>
        <w:t>Aizdevumi un prasības</w:t>
      </w:r>
      <w:r>
        <w:rPr>
          <w:rFonts w:eastAsia="Times New Roman" w:cs="Times New Roman"/>
          <w:noProof/>
          <w:color w:val="17365D"/>
          <w:szCs w:val="24"/>
          <w:lang w:eastAsia="lv-LV"/>
        </w:rPr>
        <w:t>” 46 868</w:t>
      </w:r>
      <w:r>
        <w:t> </w:t>
      </w:r>
      <w:r w:rsidRPr="007F093C">
        <w:rPr>
          <w:rFonts w:eastAsia="Times New Roman" w:cs="Times New Roman"/>
          <w:i/>
          <w:noProof/>
          <w:color w:val="17365D"/>
          <w:szCs w:val="24"/>
          <w:lang w:eastAsia="lv-LV"/>
        </w:rPr>
        <w:t>euro</w:t>
      </w:r>
      <w:r w:rsidRPr="007F093C">
        <w:rPr>
          <w:rFonts w:eastAsia="Times New Roman" w:cs="Times New Roman"/>
          <w:noProof/>
          <w:color w:val="17365D"/>
          <w:szCs w:val="24"/>
          <w:lang w:eastAsia="lv-LV"/>
        </w:rPr>
        <w:t xml:space="preserve"> vērtībā</w:t>
      </w:r>
      <w:r>
        <w:rPr>
          <w:rFonts w:eastAsia="Times New Roman" w:cs="Times New Roman"/>
          <w:noProof/>
          <w:color w:val="17365D"/>
          <w:szCs w:val="24"/>
          <w:lang w:eastAsia="lv-LV"/>
        </w:rPr>
        <w:t>,</w:t>
      </w:r>
      <w:r w:rsidRPr="007F093C">
        <w:t xml:space="preserve"> </w:t>
      </w:r>
      <w:r w:rsidRPr="007F093C">
        <w:rPr>
          <w:rFonts w:eastAsia="Times New Roman" w:cs="Times New Roman"/>
          <w:noProof/>
          <w:color w:val="17365D"/>
          <w:szCs w:val="24"/>
          <w:lang w:eastAsia="lv-LV"/>
        </w:rPr>
        <w:t xml:space="preserve">izmaiņas salīdzinājumā ar iepriekšējo pārskata periodu ir </w:t>
      </w:r>
      <w:r>
        <w:rPr>
          <w:rFonts w:eastAsia="Times New Roman" w:cs="Times New Roman"/>
          <w:noProof/>
          <w:color w:val="17365D"/>
          <w:szCs w:val="24"/>
          <w:lang w:eastAsia="lv-LV"/>
        </w:rPr>
        <w:t>(2 434)</w:t>
      </w:r>
      <w:r w:rsidRPr="007F093C">
        <w:rPr>
          <w:rFonts w:eastAsia="Times New Roman" w:cs="Times New Roman"/>
          <w:noProof/>
          <w:color w:val="17365D"/>
          <w:szCs w:val="24"/>
          <w:lang w:eastAsia="lv-LV"/>
        </w:rPr>
        <w:t xml:space="preserve"> </w:t>
      </w:r>
      <w:r w:rsidRPr="007F093C">
        <w:rPr>
          <w:rFonts w:eastAsia="Times New Roman" w:cs="Times New Roman"/>
          <w:i/>
          <w:noProof/>
          <w:color w:val="17365D"/>
          <w:szCs w:val="24"/>
          <w:lang w:eastAsia="lv-LV"/>
        </w:rPr>
        <w:t>euro</w:t>
      </w:r>
      <w:r w:rsidRPr="00B75C9E">
        <w:rPr>
          <w:rFonts w:eastAsia="Times New Roman" w:cs="Times New Roman"/>
          <w:noProof/>
          <w:color w:val="17365D"/>
          <w:szCs w:val="24"/>
          <w:lang w:eastAsia="lv-LV"/>
        </w:rPr>
        <w:t>.</w:t>
      </w:r>
      <w:r>
        <w:rPr>
          <w:rFonts w:eastAsia="Times New Roman" w:cs="Times New Roman"/>
          <w:noProof/>
          <w:color w:val="17365D"/>
          <w:szCs w:val="24"/>
          <w:lang w:eastAsia="lv-LV"/>
        </w:rPr>
        <w:t xml:space="preserve"> </w:t>
      </w:r>
      <w:r w:rsidRPr="00F53A58">
        <w:rPr>
          <w:rFonts w:eastAsia="Times New Roman" w:cs="Times New Roman"/>
          <w:noProof/>
          <w:color w:val="17365D"/>
          <w:szCs w:val="24"/>
          <w:lang w:eastAsia="lv-LV"/>
        </w:rPr>
        <w:t xml:space="preserve">Darījumu izmaksas, kas nav iekļautas procentu likmes noteikšanā, pa finanšu instrumentu kategorijām uzrādītas tikai finanšu instrumentu kategorijā “Pārējās finanšu saistības” 928 214 </w:t>
      </w:r>
      <w:r w:rsidRPr="00F53A58">
        <w:rPr>
          <w:rFonts w:eastAsia="Times New Roman" w:cs="Times New Roman"/>
          <w:i/>
          <w:noProof/>
          <w:color w:val="17365D"/>
          <w:szCs w:val="24"/>
          <w:lang w:eastAsia="lv-LV"/>
        </w:rPr>
        <w:t>euro</w:t>
      </w:r>
      <w:r w:rsidRPr="00F53A58">
        <w:rPr>
          <w:rFonts w:eastAsia="Times New Roman" w:cs="Times New Roman"/>
          <w:noProof/>
          <w:color w:val="17365D"/>
          <w:szCs w:val="24"/>
          <w:lang w:eastAsia="lv-LV"/>
        </w:rPr>
        <w:t xml:space="preserve"> vērtībā, izmaiņas salīdzinājumā ar iepriekšējo pārskata periodu ir 287 886 </w:t>
      </w:r>
      <w:r w:rsidRPr="00F53A58">
        <w:rPr>
          <w:rFonts w:eastAsia="Times New Roman" w:cs="Times New Roman"/>
          <w:i/>
          <w:noProof/>
          <w:color w:val="17365D"/>
          <w:szCs w:val="24"/>
          <w:lang w:eastAsia="lv-LV"/>
        </w:rPr>
        <w:t>euro</w:t>
      </w:r>
      <w:r w:rsidRPr="00F53A58">
        <w:rPr>
          <w:rFonts w:eastAsia="Times New Roman" w:cs="Times New Roman"/>
          <w:noProof/>
          <w:color w:val="17365D"/>
          <w:szCs w:val="24"/>
          <w:lang w:eastAsia="lv-LV"/>
        </w:rPr>
        <w:t>.</w:t>
      </w:r>
      <w:r w:rsidRPr="00365902">
        <w:rPr>
          <w:rFonts w:eastAsia="Times New Roman" w:cs="Times New Roman"/>
          <w:noProof/>
          <w:color w:val="17365D"/>
          <w:szCs w:val="24"/>
          <w:lang w:eastAsia="lv-LV"/>
        </w:rPr>
        <w:t xml:space="preserve"> </w:t>
      </w:r>
    </w:p>
    <w:p w14:paraId="033F039F" w14:textId="77777777" w:rsidR="00161C5B" w:rsidRDefault="00161C5B" w:rsidP="00D74371">
      <w:pPr>
        <w:ind w:firstLine="720"/>
        <w:jc w:val="both"/>
        <w:rPr>
          <w:rFonts w:eastAsia="Arial Unicode MS" w:cs="Times New Roman"/>
          <w:b/>
          <w:noProof/>
          <w:color w:val="17365D"/>
          <w:szCs w:val="24"/>
          <w:lang w:eastAsia="lv-LV"/>
        </w:rPr>
      </w:pPr>
    </w:p>
    <w:p w14:paraId="3AC362B2" w14:textId="1E34159F" w:rsidR="00B27512" w:rsidRDefault="00B27512" w:rsidP="00B27512">
      <w:pPr>
        <w:pStyle w:val="Heading3"/>
        <w:rPr>
          <w:rFonts w:eastAsia="Arial Unicode MS"/>
          <w:noProof/>
          <w:lang w:eastAsia="lv-LV"/>
        </w:rPr>
      </w:pPr>
      <w:r>
        <w:t>S</w:t>
      </w:r>
      <w:r w:rsidRPr="00A27896">
        <w:t xml:space="preserve">kaidrojumi </w:t>
      </w:r>
      <w:r>
        <w:t>finansiālās darbības pārskata</w:t>
      </w:r>
      <w:r w:rsidRPr="00A27896">
        <w:t xml:space="preserve"> posteņu konsolidācij</w:t>
      </w:r>
      <w:r>
        <w:t>ai</w:t>
      </w:r>
      <w:r w:rsidRPr="00A27896">
        <w:t xml:space="preserve"> un korekcij</w:t>
      </w:r>
      <w:r>
        <w:t>ai</w:t>
      </w:r>
    </w:p>
    <w:p w14:paraId="7598CD0B" w14:textId="5ED09708" w:rsidR="00D74371" w:rsidRDefault="00D74371" w:rsidP="00C87349">
      <w:pPr>
        <w:spacing w:after="0" w:line="240" w:lineRule="auto"/>
        <w:ind w:firstLine="567"/>
        <w:jc w:val="both"/>
        <w:rPr>
          <w:rFonts w:eastAsia="Arial Unicode MS" w:cs="Times New Roman"/>
          <w:noProof/>
          <w:color w:val="17365D"/>
          <w:szCs w:val="24"/>
          <w:lang w:eastAsia="lv-LV"/>
        </w:rPr>
      </w:pPr>
      <w:r w:rsidRPr="0020140A">
        <w:rPr>
          <w:rFonts w:eastAsia="Arial Unicode MS" w:cs="Times New Roman"/>
          <w:b/>
          <w:noProof/>
          <w:color w:val="17365D"/>
          <w:szCs w:val="24"/>
          <w:lang w:eastAsia="lv-LV"/>
        </w:rPr>
        <w:t xml:space="preserve">Salīdzināmā informācija koriģēta </w:t>
      </w:r>
      <w:r w:rsidRPr="00B46BAD">
        <w:rPr>
          <w:rFonts w:eastAsia="Arial Unicode MS" w:cs="Times New Roman"/>
          <w:noProof/>
          <w:color w:val="17365D"/>
          <w:szCs w:val="24"/>
          <w:lang w:eastAsia="lv-LV"/>
        </w:rPr>
        <w:t>par iepriekšēj</w:t>
      </w:r>
      <w:r>
        <w:rPr>
          <w:rFonts w:eastAsia="Arial Unicode MS" w:cs="Times New Roman"/>
          <w:noProof/>
          <w:color w:val="17365D"/>
          <w:szCs w:val="24"/>
          <w:lang w:eastAsia="lv-LV"/>
        </w:rPr>
        <w:t>ā</w:t>
      </w:r>
      <w:r w:rsidRPr="00B46BAD">
        <w:rPr>
          <w:rFonts w:eastAsia="Arial Unicode MS" w:cs="Times New Roman"/>
          <w:noProof/>
          <w:color w:val="17365D"/>
          <w:szCs w:val="24"/>
          <w:lang w:eastAsia="lv-LV"/>
        </w:rPr>
        <w:t xml:space="preserve"> gad</w:t>
      </w:r>
      <w:r>
        <w:rPr>
          <w:rFonts w:eastAsia="Arial Unicode MS" w:cs="Times New Roman"/>
          <w:noProof/>
          <w:color w:val="17365D"/>
          <w:szCs w:val="24"/>
          <w:lang w:eastAsia="lv-LV"/>
        </w:rPr>
        <w:t>a būtisku kļūdu labojumiem šādos konsolidētā pārskata posteņos:</w:t>
      </w:r>
    </w:p>
    <w:p w14:paraId="01FF062D" w14:textId="77777777" w:rsidR="00D74371" w:rsidRPr="007A4D51" w:rsidRDefault="00D74371" w:rsidP="00C90D8D">
      <w:pPr>
        <w:pStyle w:val="Pamatteksts1"/>
        <w:numPr>
          <w:ilvl w:val="0"/>
          <w:numId w:val="30"/>
        </w:numPr>
        <w:spacing w:before="120"/>
        <w:ind w:left="851" w:hanging="357"/>
        <w:rPr>
          <w:rFonts w:eastAsia="Arial Unicode MS"/>
          <w:color w:val="17365D"/>
        </w:rPr>
      </w:pPr>
      <w:r w:rsidRPr="007A4D51">
        <w:rPr>
          <w:rFonts w:eastAsia="Arial Unicode MS"/>
          <w:color w:val="17365D"/>
        </w:rPr>
        <w:t>maksas pakalpojumi un citi pašu ieņēmumi –</w:t>
      </w:r>
      <w:r w:rsidRPr="00C90D8D">
        <w:rPr>
          <w:rFonts w:eastAsia="Arial Unicode MS"/>
          <w:color w:val="17365D"/>
        </w:rPr>
        <w:t xml:space="preserve"> </w:t>
      </w:r>
      <w:r w:rsidRPr="007A4D51">
        <w:rPr>
          <w:rFonts w:eastAsia="Arial Unicode MS"/>
          <w:color w:val="17365D"/>
        </w:rPr>
        <w:t>816 707</w:t>
      </w:r>
      <w:r w:rsidRPr="00C90D8D">
        <w:rPr>
          <w:rFonts w:eastAsia="Arial Unicode MS"/>
          <w:color w:val="17365D"/>
        </w:rPr>
        <w:t xml:space="preserve"> euro</w:t>
      </w:r>
      <w:r w:rsidRPr="007A4D51">
        <w:rPr>
          <w:rFonts w:eastAsia="Arial Unicode MS"/>
          <w:color w:val="17365D"/>
        </w:rPr>
        <w:t xml:space="preserve"> vērtīb</w:t>
      </w:r>
      <w:r>
        <w:rPr>
          <w:rFonts w:eastAsia="Arial Unicode MS"/>
          <w:color w:val="17365D"/>
        </w:rPr>
        <w:t>ā</w:t>
      </w:r>
      <w:r w:rsidRPr="007A4D51">
        <w:rPr>
          <w:rFonts w:eastAsia="Arial Unicode MS"/>
          <w:color w:val="17365D"/>
        </w:rPr>
        <w:t>;</w:t>
      </w:r>
    </w:p>
    <w:p w14:paraId="2F9CB002" w14:textId="77777777" w:rsidR="00D74371" w:rsidRPr="007A4D51" w:rsidRDefault="00D74371" w:rsidP="00C90D8D">
      <w:pPr>
        <w:pStyle w:val="Pamatteksts1"/>
        <w:numPr>
          <w:ilvl w:val="0"/>
          <w:numId w:val="30"/>
        </w:numPr>
        <w:spacing w:before="120"/>
        <w:ind w:left="851" w:hanging="357"/>
        <w:rPr>
          <w:rFonts w:eastAsia="Arial Unicode MS"/>
          <w:color w:val="17365D"/>
        </w:rPr>
      </w:pPr>
      <w:r w:rsidRPr="007A4D51">
        <w:rPr>
          <w:rFonts w:eastAsia="Arial Unicode MS"/>
          <w:color w:val="17365D"/>
        </w:rPr>
        <w:t>ārvalstu finanšu palīdzība – (12 971 263)</w:t>
      </w:r>
      <w:r w:rsidRPr="00C90D8D">
        <w:rPr>
          <w:rFonts w:eastAsia="Arial Unicode MS"/>
          <w:color w:val="17365D"/>
        </w:rPr>
        <w:t xml:space="preserve"> euro</w:t>
      </w:r>
      <w:r w:rsidRPr="007A4D51">
        <w:rPr>
          <w:rFonts w:eastAsia="Arial Unicode MS"/>
          <w:color w:val="17365D"/>
        </w:rPr>
        <w:t xml:space="preserve"> vērtībā;</w:t>
      </w:r>
    </w:p>
    <w:p w14:paraId="29191765" w14:textId="77777777" w:rsidR="00D74371" w:rsidRPr="007A4D51" w:rsidRDefault="00D74371" w:rsidP="00C90D8D">
      <w:pPr>
        <w:pStyle w:val="Pamatteksts1"/>
        <w:numPr>
          <w:ilvl w:val="0"/>
          <w:numId w:val="30"/>
        </w:numPr>
        <w:spacing w:before="120"/>
        <w:ind w:left="851" w:hanging="357"/>
        <w:rPr>
          <w:rFonts w:eastAsia="Arial Unicode MS"/>
          <w:color w:val="17365D"/>
        </w:rPr>
      </w:pPr>
      <w:r w:rsidRPr="007A4D51">
        <w:rPr>
          <w:rFonts w:eastAsia="Arial Unicode MS"/>
          <w:color w:val="17365D"/>
        </w:rPr>
        <w:t>pārējie ieņēmumi, kas nav klasificēti A.11. līdz A.18. rindā – 135 079 966</w:t>
      </w:r>
      <w:r w:rsidRPr="00C90D8D">
        <w:rPr>
          <w:rFonts w:eastAsia="Arial Unicode MS"/>
          <w:color w:val="17365D"/>
        </w:rPr>
        <w:t xml:space="preserve"> euro</w:t>
      </w:r>
      <w:r w:rsidRPr="007A4D51">
        <w:rPr>
          <w:rFonts w:eastAsia="Arial Unicode MS"/>
          <w:color w:val="17365D"/>
        </w:rPr>
        <w:t xml:space="preserve"> vērtībā;</w:t>
      </w:r>
    </w:p>
    <w:p w14:paraId="42A33FEE" w14:textId="77777777" w:rsidR="00D74371" w:rsidRPr="007A4D51" w:rsidRDefault="00D74371" w:rsidP="00C90D8D">
      <w:pPr>
        <w:pStyle w:val="Pamatteksts1"/>
        <w:numPr>
          <w:ilvl w:val="0"/>
          <w:numId w:val="30"/>
        </w:numPr>
        <w:spacing w:before="120"/>
        <w:ind w:left="851" w:hanging="357"/>
        <w:rPr>
          <w:rFonts w:eastAsia="Arial Unicode MS"/>
          <w:color w:val="17365D"/>
        </w:rPr>
      </w:pPr>
      <w:r w:rsidRPr="007A4D51">
        <w:rPr>
          <w:rFonts w:eastAsia="Arial Unicode MS"/>
          <w:color w:val="17365D"/>
        </w:rPr>
        <w:t>atalgojums – 6 953</w:t>
      </w:r>
      <w:r w:rsidRPr="00C90D8D">
        <w:rPr>
          <w:rFonts w:eastAsia="Arial Unicode MS"/>
          <w:color w:val="17365D"/>
        </w:rPr>
        <w:t xml:space="preserve"> euro</w:t>
      </w:r>
      <w:r w:rsidRPr="007A4D51">
        <w:rPr>
          <w:rFonts w:eastAsia="Arial Unicode MS"/>
          <w:color w:val="17365D"/>
        </w:rPr>
        <w:t xml:space="preserve"> vērtībā;</w:t>
      </w:r>
    </w:p>
    <w:p w14:paraId="0BD856D2" w14:textId="77777777" w:rsidR="00D74371" w:rsidRPr="007A4D51" w:rsidRDefault="00D74371" w:rsidP="00C90D8D">
      <w:pPr>
        <w:pStyle w:val="Pamatteksts1"/>
        <w:numPr>
          <w:ilvl w:val="0"/>
          <w:numId w:val="30"/>
        </w:numPr>
        <w:spacing w:before="120"/>
        <w:ind w:left="851" w:hanging="357"/>
        <w:rPr>
          <w:rFonts w:eastAsia="Arial Unicode MS"/>
          <w:color w:val="17365D"/>
        </w:rPr>
      </w:pPr>
      <w:r w:rsidRPr="007A4D51">
        <w:rPr>
          <w:rFonts w:eastAsia="Arial Unicode MS"/>
          <w:color w:val="17365D"/>
        </w:rPr>
        <w:t>darba devēja sociālās apdrošināšanas iemaksas, pabalsti un kompensācijas – 6 437</w:t>
      </w:r>
      <w:r w:rsidRPr="00C90D8D">
        <w:rPr>
          <w:rFonts w:eastAsia="Arial Unicode MS"/>
          <w:color w:val="17365D"/>
        </w:rPr>
        <w:t xml:space="preserve"> euro</w:t>
      </w:r>
      <w:r w:rsidRPr="007A4D51">
        <w:rPr>
          <w:rFonts w:eastAsia="Arial Unicode MS"/>
          <w:color w:val="17365D"/>
        </w:rPr>
        <w:t xml:space="preserve"> vērtībā;</w:t>
      </w:r>
    </w:p>
    <w:p w14:paraId="0587631A" w14:textId="77777777" w:rsidR="00D74371" w:rsidRPr="007A4D51" w:rsidRDefault="00D74371" w:rsidP="00C90D8D">
      <w:pPr>
        <w:pStyle w:val="Pamatteksts1"/>
        <w:numPr>
          <w:ilvl w:val="0"/>
          <w:numId w:val="30"/>
        </w:numPr>
        <w:spacing w:before="120"/>
        <w:ind w:left="851" w:hanging="357"/>
        <w:rPr>
          <w:rFonts w:eastAsia="Arial Unicode MS"/>
          <w:color w:val="17365D"/>
        </w:rPr>
      </w:pPr>
      <w:r w:rsidRPr="007A4D51">
        <w:rPr>
          <w:rFonts w:eastAsia="Arial Unicode MS"/>
          <w:color w:val="17365D"/>
        </w:rPr>
        <w:t>pakalpojumi –</w:t>
      </w:r>
      <w:r w:rsidRPr="00C90D8D">
        <w:rPr>
          <w:rFonts w:eastAsia="Arial Unicode MS"/>
          <w:color w:val="17365D"/>
        </w:rPr>
        <w:t xml:space="preserve"> </w:t>
      </w:r>
      <w:r w:rsidRPr="007A4D51">
        <w:rPr>
          <w:rFonts w:eastAsia="Arial Unicode MS"/>
          <w:color w:val="17365D"/>
        </w:rPr>
        <w:t>12 715</w:t>
      </w:r>
      <w:r w:rsidRPr="00C90D8D">
        <w:rPr>
          <w:rFonts w:eastAsia="Arial Unicode MS"/>
          <w:color w:val="17365D"/>
        </w:rPr>
        <w:t xml:space="preserve"> euro</w:t>
      </w:r>
      <w:r w:rsidRPr="007A4D51">
        <w:rPr>
          <w:rFonts w:eastAsia="Arial Unicode MS"/>
          <w:color w:val="17365D"/>
        </w:rPr>
        <w:t xml:space="preserve"> vērtībā;</w:t>
      </w:r>
    </w:p>
    <w:p w14:paraId="35F18163" w14:textId="77777777" w:rsidR="00D74371" w:rsidRPr="007A4D51" w:rsidRDefault="00D74371" w:rsidP="00C90D8D">
      <w:pPr>
        <w:pStyle w:val="Pamatteksts1"/>
        <w:numPr>
          <w:ilvl w:val="0"/>
          <w:numId w:val="30"/>
        </w:numPr>
        <w:spacing w:before="120"/>
        <w:ind w:left="851" w:hanging="357"/>
        <w:rPr>
          <w:rFonts w:eastAsia="Arial Unicode MS"/>
          <w:color w:val="17365D"/>
        </w:rPr>
      </w:pPr>
      <w:r w:rsidRPr="007A4D51">
        <w:rPr>
          <w:rFonts w:eastAsia="Arial Unicode MS"/>
          <w:color w:val="17365D"/>
        </w:rPr>
        <w:t>nodokļu, nodevu un naudas sodu maksājumi - 59 598</w:t>
      </w:r>
      <w:r w:rsidRPr="00C90D8D">
        <w:rPr>
          <w:rFonts w:eastAsia="Arial Unicode MS"/>
          <w:color w:val="17365D"/>
        </w:rPr>
        <w:t xml:space="preserve"> euro</w:t>
      </w:r>
      <w:r w:rsidRPr="007A4D51">
        <w:rPr>
          <w:rFonts w:eastAsia="Arial Unicode MS"/>
          <w:color w:val="17365D"/>
        </w:rPr>
        <w:t xml:space="preserve"> vērtībā;</w:t>
      </w:r>
    </w:p>
    <w:p w14:paraId="0CFD7B80" w14:textId="77777777" w:rsidR="00D74371" w:rsidRPr="007A4D51" w:rsidRDefault="00D74371" w:rsidP="00C90D8D">
      <w:pPr>
        <w:pStyle w:val="Pamatteksts1"/>
        <w:numPr>
          <w:ilvl w:val="0"/>
          <w:numId w:val="30"/>
        </w:numPr>
        <w:spacing w:before="120"/>
        <w:ind w:left="851" w:hanging="357"/>
        <w:rPr>
          <w:rFonts w:eastAsia="Arial Unicode MS"/>
          <w:color w:val="17365D"/>
        </w:rPr>
      </w:pPr>
      <w:r w:rsidRPr="007A4D51">
        <w:rPr>
          <w:rFonts w:eastAsia="Arial Unicode MS"/>
          <w:color w:val="17365D"/>
        </w:rPr>
        <w:t>subsīdijas, dotācijas un sociālie pabalsti, kārtējie maksājumi Eiropas Savienības budžetā un starptautiskā sadarbība - 1 154 253</w:t>
      </w:r>
      <w:r w:rsidRPr="00C90D8D">
        <w:rPr>
          <w:rFonts w:eastAsia="Arial Unicode MS"/>
          <w:color w:val="17365D"/>
        </w:rPr>
        <w:t xml:space="preserve"> euro</w:t>
      </w:r>
      <w:r w:rsidRPr="007A4D51">
        <w:rPr>
          <w:rFonts w:eastAsia="Arial Unicode MS"/>
          <w:color w:val="17365D"/>
        </w:rPr>
        <w:t xml:space="preserve"> vērtībā;</w:t>
      </w:r>
    </w:p>
    <w:p w14:paraId="73778A61" w14:textId="77777777" w:rsidR="00D74371" w:rsidRPr="007A4D51" w:rsidRDefault="00D74371" w:rsidP="00C90D8D">
      <w:pPr>
        <w:pStyle w:val="Pamatteksts1"/>
        <w:numPr>
          <w:ilvl w:val="0"/>
          <w:numId w:val="30"/>
        </w:numPr>
        <w:spacing w:before="120"/>
        <w:ind w:left="851" w:hanging="357"/>
        <w:rPr>
          <w:rFonts w:eastAsia="Arial Unicode MS"/>
          <w:color w:val="17365D"/>
        </w:rPr>
      </w:pPr>
      <w:r w:rsidRPr="007A4D51">
        <w:rPr>
          <w:rFonts w:eastAsia="Arial Unicode MS"/>
          <w:color w:val="17365D"/>
        </w:rPr>
        <w:t>nolietojuma un amortizācijas izmaksas - 130 637</w:t>
      </w:r>
      <w:r w:rsidRPr="00C90D8D">
        <w:rPr>
          <w:rFonts w:eastAsia="Arial Unicode MS"/>
          <w:color w:val="17365D"/>
        </w:rPr>
        <w:t xml:space="preserve"> euro</w:t>
      </w:r>
      <w:r w:rsidRPr="007A4D51">
        <w:rPr>
          <w:rFonts w:eastAsia="Arial Unicode MS"/>
          <w:color w:val="17365D"/>
        </w:rPr>
        <w:t xml:space="preserve"> vērtībā;</w:t>
      </w:r>
    </w:p>
    <w:p w14:paraId="4C04A3DF" w14:textId="34BAB00E" w:rsidR="00D74371" w:rsidRDefault="00D74371" w:rsidP="00C90D8D">
      <w:pPr>
        <w:pStyle w:val="Pamatteksts1"/>
        <w:numPr>
          <w:ilvl w:val="0"/>
          <w:numId w:val="30"/>
        </w:numPr>
        <w:spacing w:before="120"/>
        <w:ind w:left="851" w:hanging="357"/>
        <w:rPr>
          <w:rFonts w:eastAsia="Arial Unicode MS"/>
          <w:color w:val="17365D"/>
        </w:rPr>
      </w:pPr>
      <w:r w:rsidRPr="007A4D51">
        <w:rPr>
          <w:rFonts w:eastAsia="Arial Unicode MS"/>
          <w:color w:val="17365D"/>
        </w:rPr>
        <w:t>pārējie izdevumi, kas nav klasificēti A.21. līdz A.30. rindā - 98 440 739</w:t>
      </w:r>
      <w:r w:rsidRPr="00C90D8D">
        <w:rPr>
          <w:rFonts w:eastAsia="Arial Unicode MS"/>
          <w:color w:val="17365D"/>
        </w:rPr>
        <w:t xml:space="preserve"> euro</w:t>
      </w:r>
      <w:r w:rsidRPr="007A4D51">
        <w:rPr>
          <w:rFonts w:eastAsia="Arial Unicode MS"/>
          <w:color w:val="17365D"/>
        </w:rPr>
        <w:t xml:space="preserve"> vērtībā.</w:t>
      </w:r>
    </w:p>
    <w:p w14:paraId="5AFED1CF" w14:textId="77777777" w:rsidR="00E77749" w:rsidRPr="00900608" w:rsidRDefault="00E77749" w:rsidP="00C87349">
      <w:pPr>
        <w:pStyle w:val="Pamatteksts1"/>
        <w:rPr>
          <w:rFonts w:eastAsia="Arial Unicode MS"/>
          <w:color w:val="17365D"/>
        </w:rPr>
      </w:pPr>
    </w:p>
    <w:p w14:paraId="03538447" w14:textId="6677DA0F" w:rsidR="00DE3D0C" w:rsidRPr="00DE3D0C" w:rsidRDefault="00787FAC" w:rsidP="00C87349">
      <w:pPr>
        <w:pStyle w:val="Pamatteksts1"/>
        <w:rPr>
          <w:rFonts w:eastAsia="Arial Unicode MS"/>
          <w:color w:val="17365D"/>
        </w:rPr>
      </w:pPr>
      <w:r w:rsidRPr="0020140A">
        <w:rPr>
          <w:rFonts w:eastAsia="Arial Unicode MS"/>
          <w:b/>
          <w:color w:val="17365D"/>
        </w:rPr>
        <w:lastRenderedPageBreak/>
        <w:t xml:space="preserve">Salīdzināmā informācija </w:t>
      </w:r>
      <w:r w:rsidRPr="00C87349">
        <w:rPr>
          <w:rFonts w:eastAsia="Arial Unicode MS"/>
          <w:bCs/>
          <w:color w:val="17365D"/>
        </w:rPr>
        <w:t>koriģēta par</w:t>
      </w:r>
      <w:r>
        <w:rPr>
          <w:rFonts w:eastAsia="Arial Unicode MS"/>
          <w:b/>
          <w:color w:val="17365D"/>
        </w:rPr>
        <w:t xml:space="preserve"> </w:t>
      </w:r>
      <w:r w:rsidR="00DE3D0C" w:rsidRPr="009A6EE3">
        <w:rPr>
          <w:rFonts w:eastAsia="Arial Unicode MS"/>
          <w:color w:val="17365D"/>
        </w:rPr>
        <w:t>būtiskiem koriģējošiem notikumiem pēc bilances datuma</w:t>
      </w:r>
      <w:r w:rsidR="00DE3D0C" w:rsidRPr="00DE3D0C">
        <w:rPr>
          <w:rFonts w:eastAsia="Arial Unicode MS"/>
          <w:color w:val="17365D"/>
        </w:rPr>
        <w:t xml:space="preserve"> šādos konsolidētā pārskata posteņos</w:t>
      </w:r>
      <w:r w:rsidR="00DE3D0C">
        <w:rPr>
          <w:rFonts w:eastAsia="Arial Unicode MS"/>
          <w:color w:val="17365D"/>
        </w:rPr>
        <w:t>:</w:t>
      </w:r>
    </w:p>
    <w:p w14:paraId="492B6FD2" w14:textId="454FE4DB" w:rsidR="00900608" w:rsidRDefault="00DE3D0C" w:rsidP="009A6EE3">
      <w:pPr>
        <w:pStyle w:val="Pamatteksts1"/>
        <w:numPr>
          <w:ilvl w:val="0"/>
          <w:numId w:val="30"/>
        </w:numPr>
        <w:rPr>
          <w:rFonts w:eastAsia="Arial Unicode MS"/>
          <w:color w:val="17365D"/>
        </w:rPr>
      </w:pPr>
      <w:r w:rsidRPr="00DE3D0C">
        <w:rPr>
          <w:rFonts w:eastAsia="Arial Unicode MS"/>
          <w:color w:val="17365D"/>
        </w:rPr>
        <w:t>pārējie ieņēmumi, kas nav klasificēti A.11. līdz A.18. rindā 9</w:t>
      </w:r>
      <w:r>
        <w:rPr>
          <w:rFonts w:eastAsia="Arial Unicode MS"/>
          <w:color w:val="17365D"/>
        </w:rPr>
        <w:t xml:space="preserve"> </w:t>
      </w:r>
      <w:r w:rsidRPr="00DE3D0C">
        <w:rPr>
          <w:rFonts w:eastAsia="Arial Unicode MS"/>
          <w:color w:val="17365D"/>
        </w:rPr>
        <w:t>910</w:t>
      </w:r>
      <w:r>
        <w:rPr>
          <w:rFonts w:eastAsia="Arial Unicode MS"/>
          <w:color w:val="17365D"/>
        </w:rPr>
        <w:t xml:space="preserve"> </w:t>
      </w:r>
      <w:r w:rsidRPr="00DE3D0C">
        <w:rPr>
          <w:rFonts w:eastAsia="Arial Unicode MS"/>
          <w:color w:val="17365D"/>
        </w:rPr>
        <w:t xml:space="preserve">316 </w:t>
      </w:r>
      <w:r w:rsidRPr="00DE3D0C">
        <w:rPr>
          <w:rFonts w:eastAsia="Arial Unicode MS"/>
          <w:i/>
          <w:color w:val="17365D"/>
        </w:rPr>
        <w:t>euro</w:t>
      </w:r>
      <w:r w:rsidRPr="00DE3D0C">
        <w:rPr>
          <w:rFonts w:eastAsia="Arial Unicode MS"/>
          <w:color w:val="17365D"/>
        </w:rPr>
        <w:t xml:space="preserve"> vērtībā par</w:t>
      </w:r>
      <w:r w:rsidRPr="00DE3D0C">
        <w:rPr>
          <w:rFonts w:eastAsia="Arial Unicode MS" w:cstheme="minorBidi"/>
          <w:noProof w:val="0"/>
          <w:color w:val="17365D"/>
          <w:szCs w:val="22"/>
          <w:lang w:eastAsia="en-US"/>
        </w:rPr>
        <w:t xml:space="preserve"> </w:t>
      </w:r>
      <w:r w:rsidRPr="00DE3D0C">
        <w:rPr>
          <w:rFonts w:eastAsia="Arial Unicode MS"/>
          <w:color w:val="17365D"/>
        </w:rPr>
        <w:t xml:space="preserve">pašvaldību </w:t>
      </w:r>
      <w:r w:rsidR="009A6EE3">
        <w:rPr>
          <w:rFonts w:eastAsia="Arial Unicode MS"/>
          <w:color w:val="17365D"/>
        </w:rPr>
        <w:t>i</w:t>
      </w:r>
      <w:r w:rsidR="009A6EE3" w:rsidRPr="009A6EE3">
        <w:rPr>
          <w:rFonts w:eastAsia="Arial Unicode MS"/>
          <w:color w:val="17365D"/>
        </w:rPr>
        <w:t>eņēmum</w:t>
      </w:r>
      <w:r w:rsidR="009A6EE3">
        <w:rPr>
          <w:rFonts w:eastAsia="Arial Unicode MS"/>
          <w:color w:val="17365D"/>
        </w:rPr>
        <w:t>u korekcijas</w:t>
      </w:r>
      <w:r w:rsidR="009A6EE3" w:rsidRPr="009A6EE3">
        <w:rPr>
          <w:rFonts w:eastAsia="Arial Unicode MS"/>
          <w:color w:val="17365D"/>
        </w:rPr>
        <w:t xml:space="preserve"> no līdzdalības asociētās un radniecīgās kapitālsabiedrībās pārvērtēšanas</w:t>
      </w:r>
      <w:r w:rsidR="00407D7E">
        <w:rPr>
          <w:rFonts w:eastAsia="Arial Unicode MS"/>
          <w:color w:val="17365D"/>
        </w:rPr>
        <w:t>;</w:t>
      </w:r>
    </w:p>
    <w:p w14:paraId="49DD91D6" w14:textId="669CB4F3" w:rsidR="00DE3D0C" w:rsidRPr="00900608" w:rsidRDefault="00DE3D0C" w:rsidP="00DE3D0C">
      <w:pPr>
        <w:pStyle w:val="Pamatteksts1"/>
        <w:numPr>
          <w:ilvl w:val="0"/>
          <w:numId w:val="30"/>
        </w:numPr>
        <w:rPr>
          <w:rFonts w:eastAsia="Arial Unicode MS"/>
          <w:color w:val="17365D"/>
        </w:rPr>
      </w:pPr>
      <w:r w:rsidRPr="00900608">
        <w:rPr>
          <w:rFonts w:eastAsia="Arial Unicode MS"/>
          <w:color w:val="17365D"/>
        </w:rPr>
        <w:t xml:space="preserve">pārējie izdevumi, kas nav klasificēti A.21. līdz A.30. rindā </w:t>
      </w:r>
      <w:r w:rsidRPr="00DE3D0C">
        <w:rPr>
          <w:rFonts w:eastAsia="Arial Unicode MS"/>
          <w:color w:val="17365D"/>
        </w:rPr>
        <w:t>4</w:t>
      </w:r>
      <w:r>
        <w:rPr>
          <w:rFonts w:eastAsia="Arial Unicode MS"/>
          <w:color w:val="17365D"/>
        </w:rPr>
        <w:t xml:space="preserve"> </w:t>
      </w:r>
      <w:r w:rsidRPr="00DE3D0C">
        <w:rPr>
          <w:rFonts w:eastAsia="Arial Unicode MS"/>
          <w:color w:val="17365D"/>
        </w:rPr>
        <w:t>509</w:t>
      </w:r>
      <w:r>
        <w:rPr>
          <w:rFonts w:eastAsia="Arial Unicode MS"/>
          <w:color w:val="17365D"/>
        </w:rPr>
        <w:t xml:space="preserve"> </w:t>
      </w:r>
      <w:r w:rsidRPr="00DE3D0C">
        <w:rPr>
          <w:rFonts w:eastAsia="Arial Unicode MS"/>
          <w:color w:val="17365D"/>
        </w:rPr>
        <w:t xml:space="preserve">774 </w:t>
      </w:r>
      <w:r w:rsidRPr="00900608">
        <w:rPr>
          <w:rFonts w:eastAsia="Arial Unicode MS"/>
          <w:i/>
          <w:color w:val="17365D"/>
        </w:rPr>
        <w:t>euro</w:t>
      </w:r>
      <w:r w:rsidRPr="00900608">
        <w:rPr>
          <w:rFonts w:eastAsia="Arial Unicode MS"/>
          <w:color w:val="17365D"/>
        </w:rPr>
        <w:t xml:space="preserve"> vērtībā</w:t>
      </w:r>
      <w:r>
        <w:rPr>
          <w:rFonts w:eastAsia="Arial Unicode MS"/>
          <w:color w:val="17365D"/>
        </w:rPr>
        <w:t xml:space="preserve"> </w:t>
      </w:r>
      <w:r w:rsidRPr="00900608">
        <w:rPr>
          <w:rFonts w:eastAsia="Arial Unicode MS"/>
          <w:color w:val="17365D"/>
        </w:rPr>
        <w:t>par</w:t>
      </w:r>
      <w:r w:rsidRPr="00DE3D0C">
        <w:rPr>
          <w:rFonts w:eastAsia="Arial Unicode MS" w:cstheme="minorBidi"/>
          <w:noProof w:val="0"/>
          <w:color w:val="17365D"/>
          <w:szCs w:val="22"/>
          <w:lang w:eastAsia="en-US"/>
        </w:rPr>
        <w:t xml:space="preserve"> </w:t>
      </w:r>
      <w:r w:rsidRPr="00DE3D0C">
        <w:rPr>
          <w:rFonts w:eastAsia="Arial Unicode MS"/>
          <w:color w:val="17365D"/>
        </w:rPr>
        <w:t xml:space="preserve">pašvaldību </w:t>
      </w:r>
      <w:r w:rsidR="009A6EE3">
        <w:rPr>
          <w:rFonts w:eastAsia="Arial Unicode MS"/>
          <w:color w:val="17365D"/>
        </w:rPr>
        <w:t>i</w:t>
      </w:r>
      <w:r w:rsidR="009A6EE3" w:rsidRPr="009A6EE3">
        <w:rPr>
          <w:rFonts w:eastAsia="Arial Unicode MS"/>
          <w:color w:val="17365D"/>
        </w:rPr>
        <w:t>zdevum</w:t>
      </w:r>
      <w:r w:rsidR="009A6EE3">
        <w:rPr>
          <w:rFonts w:eastAsia="Arial Unicode MS"/>
          <w:color w:val="17365D"/>
        </w:rPr>
        <w:t>u korekcija</w:t>
      </w:r>
      <w:r w:rsidR="009A6EE3" w:rsidRPr="009A6EE3">
        <w:rPr>
          <w:rFonts w:eastAsia="Arial Unicode MS"/>
          <w:color w:val="17365D"/>
        </w:rPr>
        <w:t xml:space="preserve"> no līdzdalības asociētās un radniecīgās kapitālsabiedrībās pārvērtēšanas</w:t>
      </w:r>
      <w:r w:rsidR="00407D7E">
        <w:rPr>
          <w:rFonts w:eastAsia="Arial Unicode MS"/>
          <w:color w:val="17365D"/>
        </w:rPr>
        <w:t>.</w:t>
      </w:r>
      <w:r w:rsidR="009A6EE3" w:rsidRPr="009A6EE3">
        <w:rPr>
          <w:rFonts w:eastAsia="Arial Unicode MS" w:cstheme="minorBidi"/>
          <w:noProof w:val="0"/>
          <w:color w:val="17365D"/>
          <w:szCs w:val="22"/>
          <w:lang w:eastAsia="en-US"/>
        </w:rPr>
        <w:t xml:space="preserve"> </w:t>
      </w:r>
    </w:p>
    <w:p w14:paraId="42BA35AD" w14:textId="77777777" w:rsidR="00787FAC" w:rsidRPr="00900608" w:rsidRDefault="00787FAC" w:rsidP="00787FAC">
      <w:pPr>
        <w:pStyle w:val="Pamatteksts1"/>
        <w:rPr>
          <w:rFonts w:eastAsia="Arial Unicode MS"/>
          <w:color w:val="17365D"/>
        </w:rPr>
      </w:pPr>
      <w:r>
        <w:rPr>
          <w:rFonts w:eastAsia="Arial Unicode MS"/>
          <w:b/>
          <w:color w:val="17365D"/>
        </w:rPr>
        <w:t>P</w:t>
      </w:r>
      <w:r w:rsidRPr="00787FAC">
        <w:rPr>
          <w:rFonts w:eastAsia="Arial Unicode MS"/>
          <w:b/>
          <w:color w:val="17365D"/>
        </w:rPr>
        <w:t>ārskata perioda</w:t>
      </w:r>
      <w:r w:rsidRPr="00900608">
        <w:rPr>
          <w:rFonts w:eastAsia="Arial Unicode MS"/>
          <w:b/>
          <w:color w:val="17365D"/>
        </w:rPr>
        <w:t xml:space="preserve"> informācija koriģēta</w:t>
      </w:r>
      <w:r w:rsidRPr="00900608">
        <w:rPr>
          <w:rFonts w:eastAsia="Arial Unicode MS"/>
          <w:color w:val="17365D"/>
        </w:rPr>
        <w:t xml:space="preserve"> </w:t>
      </w:r>
      <w:r>
        <w:rPr>
          <w:rFonts w:eastAsia="Arial Unicode MS"/>
          <w:color w:val="17365D"/>
        </w:rPr>
        <w:t xml:space="preserve">par </w:t>
      </w:r>
      <w:r w:rsidRPr="00900608">
        <w:rPr>
          <w:rFonts w:eastAsia="Arial Unicode MS"/>
          <w:color w:val="17365D"/>
        </w:rPr>
        <w:t>būtisk</w:t>
      </w:r>
      <w:r>
        <w:rPr>
          <w:rFonts w:eastAsia="Arial Unicode MS"/>
          <w:color w:val="17365D"/>
        </w:rPr>
        <w:t>i</w:t>
      </w:r>
      <w:r w:rsidRPr="00900608">
        <w:rPr>
          <w:rFonts w:eastAsia="Arial Unicode MS"/>
          <w:color w:val="17365D"/>
        </w:rPr>
        <w:t>em</w:t>
      </w:r>
      <w:r w:rsidRPr="00DE3D0C">
        <w:rPr>
          <w:rFonts w:eastAsia="Arial Unicode MS"/>
          <w:color w:val="17365D"/>
        </w:rPr>
        <w:t xml:space="preserve"> koriģējoš</w:t>
      </w:r>
      <w:r>
        <w:rPr>
          <w:rFonts w:eastAsia="Arial Unicode MS"/>
          <w:color w:val="17365D"/>
        </w:rPr>
        <w:t>iem</w:t>
      </w:r>
      <w:r w:rsidRPr="00DE3D0C">
        <w:rPr>
          <w:rFonts w:eastAsia="Arial Unicode MS"/>
          <w:color w:val="17365D"/>
        </w:rPr>
        <w:t xml:space="preserve"> notikum</w:t>
      </w:r>
      <w:r>
        <w:rPr>
          <w:rFonts w:eastAsia="Arial Unicode MS"/>
          <w:color w:val="17365D"/>
        </w:rPr>
        <w:t>iem</w:t>
      </w:r>
      <w:r w:rsidRPr="00DE3D0C">
        <w:rPr>
          <w:rFonts w:eastAsia="Arial Unicode MS"/>
          <w:color w:val="17365D"/>
        </w:rPr>
        <w:t xml:space="preserve"> pēc bilances datuma </w:t>
      </w:r>
      <w:r w:rsidRPr="00900608">
        <w:rPr>
          <w:rFonts w:eastAsia="Arial Unicode MS"/>
          <w:color w:val="17365D"/>
        </w:rPr>
        <w:t>šādos konsolidētā pārskata posteņos:</w:t>
      </w:r>
    </w:p>
    <w:p w14:paraId="7CAA158C" w14:textId="77777777" w:rsidR="00787FAC" w:rsidRPr="00900608" w:rsidRDefault="00787FAC" w:rsidP="00787FAC">
      <w:pPr>
        <w:pStyle w:val="Pamatteksts1"/>
        <w:numPr>
          <w:ilvl w:val="0"/>
          <w:numId w:val="30"/>
        </w:numPr>
        <w:rPr>
          <w:rFonts w:eastAsia="Arial Unicode MS"/>
          <w:color w:val="17365D"/>
        </w:rPr>
      </w:pPr>
      <w:r w:rsidRPr="00900608">
        <w:rPr>
          <w:rFonts w:eastAsia="Arial Unicode MS"/>
          <w:color w:val="17365D"/>
        </w:rPr>
        <w:t>pārējie ieņēmumi, kas nav klasificēti A.11. līdz A.18. rindā</w:t>
      </w:r>
      <w:r>
        <w:rPr>
          <w:rFonts w:eastAsia="Arial Unicode MS"/>
          <w:color w:val="17365D"/>
        </w:rPr>
        <w:t>,</w:t>
      </w:r>
      <w:r w:rsidRPr="00900608">
        <w:rPr>
          <w:rFonts w:eastAsia="Arial Unicode MS"/>
          <w:color w:val="17365D"/>
        </w:rPr>
        <w:t xml:space="preserve"> </w:t>
      </w:r>
      <w:r>
        <w:rPr>
          <w:rFonts w:eastAsia="Arial Unicode MS"/>
          <w:color w:val="17365D"/>
        </w:rPr>
        <w:t xml:space="preserve">10 680 707 </w:t>
      </w:r>
      <w:r w:rsidRPr="00900608">
        <w:rPr>
          <w:rFonts w:eastAsia="Arial Unicode MS"/>
          <w:i/>
          <w:color w:val="17365D"/>
        </w:rPr>
        <w:t>euro</w:t>
      </w:r>
      <w:r w:rsidRPr="00900608">
        <w:rPr>
          <w:rFonts w:eastAsia="Arial Unicode MS"/>
          <w:color w:val="17365D"/>
        </w:rPr>
        <w:t xml:space="preserve"> vērtībā</w:t>
      </w:r>
      <w:r>
        <w:rPr>
          <w:rFonts w:eastAsia="Arial Unicode MS"/>
          <w:color w:val="17365D"/>
        </w:rPr>
        <w:t xml:space="preserve"> par ministriju un pašvaldību i</w:t>
      </w:r>
      <w:r w:rsidRPr="009A6EE3">
        <w:rPr>
          <w:rFonts w:eastAsia="Arial Unicode MS"/>
          <w:color w:val="17365D"/>
        </w:rPr>
        <w:t>eņēmumi</w:t>
      </w:r>
      <w:r>
        <w:rPr>
          <w:rFonts w:eastAsia="Arial Unicode MS"/>
          <w:color w:val="17365D"/>
        </w:rPr>
        <w:t>em</w:t>
      </w:r>
      <w:r w:rsidRPr="009A6EE3">
        <w:rPr>
          <w:rFonts w:eastAsia="Arial Unicode MS"/>
          <w:color w:val="17365D"/>
        </w:rPr>
        <w:t xml:space="preserve"> no līdzdalības radniecīgās un asociētās kapitālsabiedrībās pārvērtēšanas </w:t>
      </w:r>
      <w:r w:rsidRPr="00900608">
        <w:rPr>
          <w:rFonts w:eastAsia="Arial Unicode MS"/>
          <w:color w:val="17365D"/>
        </w:rPr>
        <w:t>atbilstoši aktuāliem datiem par kapitālsabiedrības pašu kapitālu pārskata gadā</w:t>
      </w:r>
      <w:r>
        <w:rPr>
          <w:rFonts w:eastAsia="Arial Unicode MS"/>
          <w:color w:val="17365D"/>
        </w:rPr>
        <w:t>;</w:t>
      </w:r>
      <w:r w:rsidRPr="00900608">
        <w:t xml:space="preserve"> </w:t>
      </w:r>
    </w:p>
    <w:p w14:paraId="240984B0" w14:textId="77777777" w:rsidR="00787FAC" w:rsidRDefault="00787FAC" w:rsidP="00787FAC">
      <w:pPr>
        <w:pStyle w:val="Pamatteksts1"/>
        <w:numPr>
          <w:ilvl w:val="0"/>
          <w:numId w:val="30"/>
        </w:numPr>
        <w:rPr>
          <w:rFonts w:eastAsia="Arial Unicode MS"/>
          <w:color w:val="17365D"/>
        </w:rPr>
      </w:pPr>
      <w:r w:rsidRPr="00900608">
        <w:rPr>
          <w:rFonts w:eastAsia="Arial Unicode MS"/>
          <w:color w:val="17365D"/>
        </w:rPr>
        <w:t>pārējie izdevumi, kas nav klasificēti A.21. līdz A.30. rindā</w:t>
      </w:r>
      <w:r>
        <w:rPr>
          <w:rFonts w:eastAsia="Arial Unicode MS"/>
          <w:color w:val="17365D"/>
        </w:rPr>
        <w:t>,</w:t>
      </w:r>
      <w:r w:rsidRPr="00900608">
        <w:rPr>
          <w:rFonts w:eastAsia="Arial Unicode MS"/>
          <w:color w:val="17365D"/>
        </w:rPr>
        <w:t xml:space="preserve"> </w:t>
      </w:r>
      <w:r>
        <w:rPr>
          <w:rFonts w:eastAsia="Arial Unicode MS"/>
          <w:color w:val="17365D"/>
        </w:rPr>
        <w:t>26 185 815</w:t>
      </w:r>
      <w:r w:rsidRPr="00900608">
        <w:rPr>
          <w:rFonts w:eastAsia="Arial Unicode MS"/>
          <w:color w:val="17365D"/>
        </w:rPr>
        <w:t xml:space="preserve"> </w:t>
      </w:r>
      <w:r w:rsidRPr="00900608">
        <w:rPr>
          <w:rFonts w:eastAsia="Arial Unicode MS"/>
          <w:i/>
          <w:color w:val="17365D"/>
        </w:rPr>
        <w:t>euro</w:t>
      </w:r>
      <w:r w:rsidRPr="00900608">
        <w:rPr>
          <w:rFonts w:eastAsia="Arial Unicode MS"/>
          <w:color w:val="17365D"/>
        </w:rPr>
        <w:t xml:space="preserve"> vērtībā</w:t>
      </w:r>
      <w:r>
        <w:rPr>
          <w:rFonts w:eastAsia="Arial Unicode MS"/>
          <w:color w:val="17365D"/>
        </w:rPr>
        <w:t xml:space="preserve"> </w:t>
      </w:r>
      <w:r w:rsidRPr="00900608">
        <w:rPr>
          <w:rFonts w:eastAsia="Arial Unicode MS"/>
          <w:color w:val="17365D"/>
        </w:rPr>
        <w:t xml:space="preserve">par ministriju un pašvaldību </w:t>
      </w:r>
      <w:r>
        <w:rPr>
          <w:rFonts w:eastAsia="Arial Unicode MS"/>
          <w:color w:val="17365D"/>
        </w:rPr>
        <w:t>i</w:t>
      </w:r>
      <w:r w:rsidRPr="009A6EE3">
        <w:rPr>
          <w:rFonts w:eastAsia="Arial Unicode MS"/>
          <w:color w:val="17365D"/>
        </w:rPr>
        <w:t>zdevumi</w:t>
      </w:r>
      <w:r>
        <w:rPr>
          <w:rFonts w:eastAsia="Arial Unicode MS"/>
          <w:color w:val="17365D"/>
        </w:rPr>
        <w:t>em</w:t>
      </w:r>
      <w:r w:rsidRPr="009A6EE3">
        <w:rPr>
          <w:rFonts w:eastAsia="Arial Unicode MS"/>
          <w:color w:val="17365D"/>
        </w:rPr>
        <w:t xml:space="preserve"> no līdzdalības radniecīgās un asociētās kapitālsabiedrībās pārvērtēšanas</w:t>
      </w:r>
      <w:r w:rsidRPr="009A6EE3">
        <w:rPr>
          <w:rFonts w:eastAsia="Arial Unicode MS" w:cstheme="minorBidi"/>
          <w:noProof w:val="0"/>
          <w:color w:val="17365D"/>
          <w:szCs w:val="22"/>
          <w:lang w:eastAsia="en-US"/>
        </w:rPr>
        <w:t xml:space="preserve"> </w:t>
      </w:r>
      <w:r w:rsidRPr="009A6EE3">
        <w:rPr>
          <w:rFonts w:eastAsia="Arial Unicode MS"/>
          <w:color w:val="17365D"/>
        </w:rPr>
        <w:t>atbilstoši aktuāliem datiem par kapitālsabiedrības pašu kapitālu pārskata gadā.</w:t>
      </w:r>
    </w:p>
    <w:p w14:paraId="5B8B6947" w14:textId="77777777" w:rsidR="00900608" w:rsidRPr="007A4D51" w:rsidRDefault="00900608" w:rsidP="00900608">
      <w:pPr>
        <w:pStyle w:val="Pamatteksts1"/>
        <w:spacing w:before="120"/>
        <w:ind w:left="851" w:firstLine="0"/>
        <w:rPr>
          <w:rFonts w:eastAsia="Arial Unicode MS"/>
          <w:color w:val="17365D"/>
        </w:rPr>
      </w:pPr>
    </w:p>
    <w:p w14:paraId="690F8CEF" w14:textId="68C8BAA0" w:rsidR="00D74371" w:rsidRPr="00A92D7C" w:rsidRDefault="00D74371" w:rsidP="00D74371">
      <w:pPr>
        <w:spacing w:after="120" w:line="240" w:lineRule="auto"/>
        <w:ind w:firstLine="284"/>
        <w:jc w:val="both"/>
        <w:rPr>
          <w:rFonts w:eastAsia="Times New Roman" w:cs="Times New Roman"/>
          <w:b/>
          <w:bCs/>
          <w:noProof/>
          <w:color w:val="17365D"/>
          <w:szCs w:val="24"/>
          <w:lang w:eastAsia="lv-LV"/>
        </w:rPr>
      </w:pPr>
      <w:r w:rsidRPr="007A4D51">
        <w:rPr>
          <w:rFonts w:eastAsia="Times New Roman" w:cs="Times New Roman"/>
          <w:b/>
          <w:bCs/>
          <w:noProof/>
          <w:color w:val="17365D"/>
          <w:szCs w:val="24"/>
          <w:lang w:eastAsia="lv-LV"/>
        </w:rPr>
        <w:t>Konsolidētajā pārskatā veikta</w:t>
      </w:r>
      <w:r w:rsidR="00161C5B">
        <w:rPr>
          <w:rFonts w:eastAsia="Times New Roman" w:cs="Times New Roman"/>
          <w:b/>
          <w:bCs/>
          <w:noProof/>
          <w:color w:val="17365D"/>
          <w:szCs w:val="24"/>
          <w:lang w:eastAsia="lv-LV"/>
        </w:rPr>
        <w:t>s</w:t>
      </w:r>
      <w:r w:rsidRPr="007A4D51">
        <w:rPr>
          <w:rFonts w:eastAsia="Times New Roman" w:cs="Times New Roman"/>
          <w:b/>
          <w:bCs/>
          <w:noProof/>
          <w:color w:val="17365D"/>
          <w:szCs w:val="24"/>
          <w:lang w:eastAsia="lv-LV"/>
        </w:rPr>
        <w:t xml:space="preserve"> pārskata perioda korekcijas </w:t>
      </w:r>
      <w:r w:rsidRPr="007A4D51">
        <w:rPr>
          <w:rFonts w:eastAsia="Arial Unicode MS" w:cs="Times New Roman"/>
          <w:noProof/>
          <w:color w:val="17365D"/>
          <w:szCs w:val="24"/>
          <w:lang w:eastAsia="lv-LV"/>
        </w:rPr>
        <w:t xml:space="preserve">ieņēmumiem </w:t>
      </w:r>
      <w:r w:rsidRPr="007A4D51">
        <w:rPr>
          <w:rFonts w:eastAsia="Times New Roman" w:cs="Times New Roman"/>
          <w:bCs/>
          <w:noProof/>
          <w:color w:val="17365D"/>
          <w:szCs w:val="24"/>
          <w:lang w:eastAsia="lv-LV"/>
        </w:rPr>
        <w:t>(9 920 044 008)</w:t>
      </w:r>
      <w:r w:rsidR="00161C5B">
        <w:rPr>
          <w:rFonts w:eastAsia="Arial Unicode MS" w:cs="Times New Roman"/>
          <w:noProof/>
          <w:color w:val="17365D"/>
          <w:szCs w:val="24"/>
          <w:lang w:eastAsia="lv-LV"/>
        </w:rPr>
        <w:t> </w:t>
      </w:r>
      <w:r w:rsidRPr="007A4D51">
        <w:rPr>
          <w:rFonts w:eastAsia="Arial Unicode MS" w:cs="Times New Roman"/>
          <w:i/>
          <w:noProof/>
          <w:color w:val="17365D"/>
          <w:szCs w:val="24"/>
          <w:lang w:eastAsia="lv-LV"/>
        </w:rPr>
        <w:t>euro</w:t>
      </w:r>
      <w:r w:rsidRPr="007A4D51">
        <w:rPr>
          <w:rFonts w:eastAsia="Arial Unicode MS" w:cs="Times New Roman"/>
          <w:noProof/>
          <w:color w:val="17365D"/>
          <w:szCs w:val="24"/>
          <w:lang w:eastAsia="lv-LV"/>
        </w:rPr>
        <w:t xml:space="preserve"> vērtībā un izdevumiem (9 919 8</w:t>
      </w:r>
      <w:r w:rsidR="00517A00">
        <w:rPr>
          <w:rFonts w:eastAsia="Arial Unicode MS" w:cs="Times New Roman"/>
          <w:noProof/>
          <w:color w:val="17365D"/>
          <w:szCs w:val="24"/>
          <w:lang w:eastAsia="lv-LV"/>
        </w:rPr>
        <w:t>20</w:t>
      </w:r>
      <w:r w:rsidRPr="007A4D51">
        <w:rPr>
          <w:rFonts w:eastAsia="Arial Unicode MS" w:cs="Times New Roman"/>
          <w:noProof/>
          <w:color w:val="17365D"/>
          <w:szCs w:val="24"/>
          <w:lang w:eastAsia="lv-LV"/>
        </w:rPr>
        <w:t xml:space="preserve"> 819) </w:t>
      </w:r>
      <w:r w:rsidRPr="007A4D51">
        <w:rPr>
          <w:rFonts w:eastAsia="Arial Unicode MS" w:cs="Times New Roman"/>
          <w:i/>
          <w:noProof/>
          <w:color w:val="17365D"/>
          <w:szCs w:val="24"/>
          <w:lang w:eastAsia="lv-LV"/>
        </w:rPr>
        <w:t>euro</w:t>
      </w:r>
      <w:r w:rsidRPr="007A4D51">
        <w:rPr>
          <w:rFonts w:eastAsia="Arial Unicode MS" w:cs="Times New Roman"/>
          <w:noProof/>
          <w:color w:val="17365D"/>
          <w:szCs w:val="24"/>
          <w:lang w:eastAsia="lv-LV"/>
        </w:rPr>
        <w:t xml:space="preserve"> vērtībā </w:t>
      </w:r>
      <w:r w:rsidRPr="007A4D51">
        <w:rPr>
          <w:rFonts w:eastAsia="Times New Roman" w:cs="Times New Roman"/>
          <w:noProof/>
          <w:color w:val="17365D"/>
          <w:szCs w:val="24"/>
          <w:lang w:eastAsia="lv-LV"/>
        </w:rPr>
        <w:t>šādos pārskata</w:t>
      </w:r>
      <w:r w:rsidRPr="00BB47C4">
        <w:rPr>
          <w:rFonts w:eastAsia="Times New Roman" w:cs="Times New Roman"/>
          <w:noProof/>
          <w:color w:val="17365D"/>
          <w:szCs w:val="24"/>
          <w:lang w:eastAsia="lv-LV"/>
        </w:rPr>
        <w:t xml:space="preserve"> posteņos</w:t>
      </w:r>
      <w:r w:rsidRPr="001050FF">
        <w:rPr>
          <w:rFonts w:eastAsia="Times New Roman" w:cs="Times New Roman"/>
          <w:bCs/>
          <w:noProof/>
          <w:color w:val="17365D"/>
          <w:szCs w:val="24"/>
          <w:lang w:eastAsia="lv-LV"/>
        </w:rPr>
        <w:t>:</w:t>
      </w:r>
    </w:p>
    <w:p w14:paraId="149E8E62" w14:textId="77777777" w:rsidR="00D74371" w:rsidRPr="00A92D7C" w:rsidRDefault="00D74371" w:rsidP="00146A16">
      <w:pPr>
        <w:pStyle w:val="Pamatteksts1"/>
        <w:numPr>
          <w:ilvl w:val="0"/>
          <w:numId w:val="30"/>
        </w:numPr>
        <w:spacing w:before="120"/>
        <w:ind w:left="851" w:hanging="357"/>
        <w:rPr>
          <w:rFonts w:eastAsia="Arial Unicode MS"/>
          <w:color w:val="17365D"/>
        </w:rPr>
      </w:pPr>
      <w:r w:rsidRPr="00A92D7C">
        <w:rPr>
          <w:rFonts w:eastAsia="Arial Unicode MS"/>
          <w:color w:val="17365D"/>
        </w:rPr>
        <w:t xml:space="preserve">transferti 213 726 </w:t>
      </w:r>
      <w:r w:rsidRPr="00A92D7C">
        <w:rPr>
          <w:rFonts w:eastAsia="Arial Unicode MS"/>
          <w:i/>
          <w:color w:val="17365D"/>
        </w:rPr>
        <w:t>euro</w:t>
      </w:r>
      <w:r w:rsidRPr="00A92D7C">
        <w:rPr>
          <w:rFonts w:eastAsia="Arial Unicode MS"/>
          <w:color w:val="17365D"/>
        </w:rPr>
        <w:t xml:space="preserve"> vērtībā par pašvaldību ieņēmumiem no kreditoru atlikumu korekcijas būtiskas kļūdas labojuma rezultātā par iepriekšējo periodu;</w:t>
      </w:r>
    </w:p>
    <w:p w14:paraId="21C90C1C" w14:textId="77777777" w:rsidR="00D74371" w:rsidRPr="00A92D7C" w:rsidRDefault="00D74371" w:rsidP="00146A16">
      <w:pPr>
        <w:pStyle w:val="Pamatteksts1"/>
        <w:numPr>
          <w:ilvl w:val="0"/>
          <w:numId w:val="30"/>
        </w:numPr>
        <w:spacing w:before="120"/>
        <w:ind w:left="851" w:hanging="357"/>
        <w:rPr>
          <w:rFonts w:eastAsia="Arial Unicode MS"/>
          <w:color w:val="17365D"/>
        </w:rPr>
      </w:pPr>
      <w:r w:rsidRPr="00A92D7C">
        <w:rPr>
          <w:rFonts w:eastAsia="Arial Unicode MS"/>
          <w:color w:val="17365D"/>
        </w:rPr>
        <w:t xml:space="preserve">dotācija no vispārējiem ieņēmumiem (9 918 552 859) </w:t>
      </w:r>
      <w:r w:rsidRPr="00A92D7C">
        <w:rPr>
          <w:rFonts w:eastAsia="Arial Unicode MS"/>
          <w:i/>
          <w:color w:val="17365D"/>
        </w:rPr>
        <w:t>euro</w:t>
      </w:r>
      <w:r w:rsidRPr="00A92D7C">
        <w:rPr>
          <w:rFonts w:eastAsia="Arial Unicode MS"/>
          <w:color w:val="17365D"/>
        </w:rPr>
        <w:t xml:space="preserve"> vērtībā par ministriju un valsts budžeta finanšu uzskaitē atzītajiem datiem;</w:t>
      </w:r>
    </w:p>
    <w:p w14:paraId="38E26517" w14:textId="77777777" w:rsidR="00D74371" w:rsidRPr="00A92D7C" w:rsidRDefault="00D74371" w:rsidP="00146A16">
      <w:pPr>
        <w:pStyle w:val="Pamatteksts1"/>
        <w:numPr>
          <w:ilvl w:val="0"/>
          <w:numId w:val="30"/>
        </w:numPr>
        <w:spacing w:before="120"/>
        <w:ind w:left="851" w:hanging="357"/>
        <w:rPr>
          <w:rFonts w:eastAsia="Arial Unicode MS"/>
          <w:color w:val="17365D"/>
        </w:rPr>
      </w:pPr>
      <w:r w:rsidRPr="00A92D7C">
        <w:rPr>
          <w:rFonts w:eastAsia="Arial Unicode MS"/>
          <w:color w:val="17365D"/>
        </w:rPr>
        <w:t>pārējie ieņēmumi, kas nav klasificēti A</w:t>
      </w:r>
      <w:r>
        <w:rPr>
          <w:rFonts w:eastAsia="Arial Unicode MS"/>
          <w:color w:val="17365D"/>
        </w:rPr>
        <w:t>.</w:t>
      </w:r>
      <w:r w:rsidRPr="00A92D7C">
        <w:rPr>
          <w:rFonts w:eastAsia="Arial Unicode MS"/>
          <w:color w:val="17365D"/>
        </w:rPr>
        <w:t>11</w:t>
      </w:r>
      <w:r>
        <w:rPr>
          <w:rFonts w:eastAsia="Arial Unicode MS"/>
          <w:color w:val="17365D"/>
        </w:rPr>
        <w:t>.</w:t>
      </w:r>
      <w:r w:rsidRPr="00A92D7C">
        <w:rPr>
          <w:rFonts w:eastAsia="Arial Unicode MS"/>
          <w:color w:val="17365D"/>
        </w:rPr>
        <w:t xml:space="preserve"> līdz A</w:t>
      </w:r>
      <w:r>
        <w:rPr>
          <w:rFonts w:eastAsia="Arial Unicode MS"/>
          <w:color w:val="17365D"/>
        </w:rPr>
        <w:t>.</w:t>
      </w:r>
      <w:r w:rsidRPr="00A92D7C">
        <w:rPr>
          <w:rFonts w:eastAsia="Arial Unicode MS"/>
          <w:color w:val="17365D"/>
        </w:rPr>
        <w:t>18</w:t>
      </w:r>
      <w:r>
        <w:rPr>
          <w:rFonts w:eastAsia="Arial Unicode MS"/>
          <w:color w:val="17365D"/>
        </w:rPr>
        <w:t>.</w:t>
      </w:r>
      <w:r w:rsidRPr="00A92D7C">
        <w:rPr>
          <w:rFonts w:eastAsia="Arial Unicode MS"/>
          <w:color w:val="17365D"/>
        </w:rPr>
        <w:t xml:space="preserve"> rindā (1</w:t>
      </w:r>
      <w:r>
        <w:rPr>
          <w:rFonts w:eastAsia="Arial Unicode MS"/>
          <w:color w:val="17365D"/>
        </w:rPr>
        <w:t> </w:t>
      </w:r>
      <w:r w:rsidRPr="00A92D7C">
        <w:rPr>
          <w:rFonts w:eastAsia="Arial Unicode MS"/>
          <w:color w:val="17365D"/>
        </w:rPr>
        <w:t>704</w:t>
      </w:r>
      <w:r>
        <w:rPr>
          <w:rFonts w:eastAsia="Arial Unicode MS"/>
          <w:color w:val="17365D"/>
        </w:rPr>
        <w:t> </w:t>
      </w:r>
      <w:r w:rsidRPr="00A92D7C">
        <w:rPr>
          <w:rFonts w:eastAsia="Arial Unicode MS"/>
          <w:color w:val="17365D"/>
        </w:rPr>
        <w:t xml:space="preserve">875) </w:t>
      </w:r>
      <w:r w:rsidRPr="00A92D7C">
        <w:rPr>
          <w:rFonts w:eastAsia="Arial Unicode MS"/>
          <w:i/>
          <w:color w:val="17365D"/>
        </w:rPr>
        <w:t>euro</w:t>
      </w:r>
      <w:r w:rsidRPr="00A92D7C">
        <w:rPr>
          <w:rFonts w:eastAsia="Arial Unicode MS"/>
          <w:color w:val="17365D"/>
        </w:rPr>
        <w:t xml:space="preserve"> vērtībā par ministriju un valsts budžeta finanšu uzskaites savstarpējo darījumu rezultātu. Par ieņēmumiem no kopīgo iestāžu (pašvaldību) kapitālsabiedrību reklasifikācijas uz ieguldījumu radniecīgā vai asociētā kapitālsabiedrībās rezultāta (2</w:t>
      </w:r>
      <w:r>
        <w:rPr>
          <w:rFonts w:eastAsia="Arial Unicode MS"/>
          <w:color w:val="17365D"/>
        </w:rPr>
        <w:t> </w:t>
      </w:r>
      <w:r w:rsidRPr="00A92D7C">
        <w:rPr>
          <w:rFonts w:eastAsia="Arial Unicode MS"/>
          <w:color w:val="17365D"/>
        </w:rPr>
        <w:t>046</w:t>
      </w:r>
      <w:r>
        <w:rPr>
          <w:rFonts w:eastAsia="Arial Unicode MS"/>
          <w:color w:val="17365D"/>
        </w:rPr>
        <w:t> </w:t>
      </w:r>
      <w:r w:rsidRPr="00A92D7C">
        <w:rPr>
          <w:rFonts w:eastAsia="Arial Unicode MS"/>
          <w:color w:val="17365D"/>
        </w:rPr>
        <w:t xml:space="preserve">501) </w:t>
      </w:r>
      <w:r w:rsidRPr="00A92D7C">
        <w:rPr>
          <w:rFonts w:eastAsia="Arial Unicode MS"/>
          <w:i/>
          <w:color w:val="17365D"/>
        </w:rPr>
        <w:t>euro</w:t>
      </w:r>
      <w:r w:rsidRPr="00A92D7C">
        <w:rPr>
          <w:rFonts w:eastAsia="Arial Unicode MS"/>
          <w:color w:val="17365D"/>
        </w:rPr>
        <w:t xml:space="preserve"> vērtībā; par ieņēmumiem no kopīgo iestāžu (ministriju un pašvaldību) kapitālsabiedrību reklasifikācijas uz ieguldījumu radniecīgā vai asociētā kapitālsabiedrībās rezultāta 341</w:t>
      </w:r>
      <w:r>
        <w:rPr>
          <w:rFonts w:eastAsia="Arial Unicode MS"/>
          <w:color w:val="17365D"/>
        </w:rPr>
        <w:t> </w:t>
      </w:r>
      <w:r w:rsidRPr="00A92D7C">
        <w:rPr>
          <w:rFonts w:eastAsia="Arial Unicode MS"/>
          <w:color w:val="17365D"/>
        </w:rPr>
        <w:t xml:space="preserve">626 </w:t>
      </w:r>
      <w:r w:rsidRPr="00A92D7C">
        <w:rPr>
          <w:rFonts w:eastAsia="Arial Unicode MS"/>
          <w:i/>
          <w:color w:val="17365D"/>
        </w:rPr>
        <w:t>euro</w:t>
      </w:r>
      <w:r w:rsidRPr="00A92D7C">
        <w:rPr>
          <w:rFonts w:eastAsia="Arial Unicode MS"/>
          <w:color w:val="17365D"/>
        </w:rPr>
        <w:t xml:space="preserve"> vērtībā;</w:t>
      </w:r>
    </w:p>
    <w:p w14:paraId="604CF1CE" w14:textId="77777777" w:rsidR="00D74371" w:rsidRPr="00A92D7C" w:rsidRDefault="00D74371" w:rsidP="00146A16">
      <w:pPr>
        <w:pStyle w:val="Pamatteksts1"/>
        <w:numPr>
          <w:ilvl w:val="0"/>
          <w:numId w:val="30"/>
        </w:numPr>
        <w:spacing w:before="120"/>
        <w:ind w:left="851" w:hanging="357"/>
        <w:rPr>
          <w:rFonts w:eastAsia="Arial Unicode MS"/>
          <w:color w:val="17365D"/>
        </w:rPr>
      </w:pPr>
      <w:r w:rsidRPr="00A92D7C">
        <w:rPr>
          <w:rFonts w:eastAsia="Arial Unicode MS"/>
          <w:color w:val="17365D"/>
        </w:rPr>
        <w:t xml:space="preserve">transferti 61 645 </w:t>
      </w:r>
      <w:r w:rsidRPr="00A92D7C">
        <w:rPr>
          <w:rFonts w:eastAsia="Arial Unicode MS"/>
          <w:i/>
          <w:color w:val="17365D"/>
        </w:rPr>
        <w:t>euro</w:t>
      </w:r>
      <w:r w:rsidRPr="00A92D7C">
        <w:rPr>
          <w:rFonts w:eastAsia="Arial Unicode MS"/>
          <w:color w:val="17365D"/>
        </w:rPr>
        <w:t xml:space="preserve"> vērtībā par ministriju izdevumiem no debitoru atlikumu korekciju būtiskas kļūdas labojuma rezultātā par iepriekšējo periodu;</w:t>
      </w:r>
    </w:p>
    <w:p w14:paraId="02E54C7F" w14:textId="1A9FB902" w:rsidR="00D74371" w:rsidRPr="00A92D7C" w:rsidRDefault="00D74371" w:rsidP="00146A16">
      <w:pPr>
        <w:pStyle w:val="Pamatteksts1"/>
        <w:numPr>
          <w:ilvl w:val="0"/>
          <w:numId w:val="30"/>
        </w:numPr>
        <w:spacing w:before="120"/>
        <w:ind w:left="851" w:hanging="357"/>
        <w:rPr>
          <w:rFonts w:eastAsia="Arial Unicode MS"/>
          <w:color w:val="17365D"/>
        </w:rPr>
      </w:pPr>
      <w:r w:rsidRPr="00A92D7C">
        <w:rPr>
          <w:rFonts w:eastAsia="Arial Unicode MS"/>
          <w:color w:val="17365D"/>
        </w:rPr>
        <w:t>pārējie izdevumi, kas nav klasificēti A</w:t>
      </w:r>
      <w:r>
        <w:rPr>
          <w:rFonts w:eastAsia="Arial Unicode MS"/>
          <w:color w:val="17365D"/>
        </w:rPr>
        <w:t>.</w:t>
      </w:r>
      <w:r w:rsidRPr="00A92D7C">
        <w:rPr>
          <w:rFonts w:eastAsia="Arial Unicode MS"/>
          <w:color w:val="17365D"/>
        </w:rPr>
        <w:t>21</w:t>
      </w:r>
      <w:r>
        <w:rPr>
          <w:rFonts w:eastAsia="Arial Unicode MS"/>
          <w:color w:val="17365D"/>
        </w:rPr>
        <w:t>.</w:t>
      </w:r>
      <w:r w:rsidRPr="00A92D7C">
        <w:rPr>
          <w:rFonts w:eastAsia="Arial Unicode MS"/>
          <w:color w:val="17365D"/>
        </w:rPr>
        <w:t xml:space="preserve"> līdz A</w:t>
      </w:r>
      <w:r>
        <w:rPr>
          <w:rFonts w:eastAsia="Arial Unicode MS"/>
          <w:color w:val="17365D"/>
        </w:rPr>
        <w:t>.</w:t>
      </w:r>
      <w:r w:rsidRPr="00A92D7C">
        <w:rPr>
          <w:rFonts w:eastAsia="Arial Unicode MS"/>
          <w:color w:val="17365D"/>
        </w:rPr>
        <w:t>30</w:t>
      </w:r>
      <w:r>
        <w:rPr>
          <w:rFonts w:eastAsia="Arial Unicode MS"/>
          <w:color w:val="17365D"/>
        </w:rPr>
        <w:t>.</w:t>
      </w:r>
      <w:r w:rsidRPr="00A92D7C">
        <w:rPr>
          <w:rFonts w:eastAsia="Arial Unicode MS"/>
          <w:color w:val="17365D"/>
        </w:rPr>
        <w:t xml:space="preserve"> rindā (9 91</w:t>
      </w:r>
      <w:r w:rsidR="00FC7854">
        <w:rPr>
          <w:rFonts w:eastAsia="Arial Unicode MS"/>
          <w:color w:val="17365D"/>
        </w:rPr>
        <w:t>9</w:t>
      </w:r>
      <w:r w:rsidRPr="00A92D7C">
        <w:rPr>
          <w:rFonts w:eastAsia="Arial Unicode MS"/>
          <w:color w:val="17365D"/>
        </w:rPr>
        <w:t> </w:t>
      </w:r>
      <w:r w:rsidR="00FC7854">
        <w:rPr>
          <w:rFonts w:eastAsia="Arial Unicode MS"/>
          <w:color w:val="17365D"/>
        </w:rPr>
        <w:t>882</w:t>
      </w:r>
      <w:r w:rsidRPr="00A92D7C">
        <w:rPr>
          <w:rFonts w:eastAsia="Arial Unicode MS"/>
          <w:color w:val="17365D"/>
        </w:rPr>
        <w:t> </w:t>
      </w:r>
      <w:r w:rsidR="00FC7854">
        <w:rPr>
          <w:rFonts w:eastAsia="Arial Unicode MS"/>
          <w:color w:val="17365D"/>
        </w:rPr>
        <w:t>464</w:t>
      </w:r>
      <w:r w:rsidRPr="00A92D7C">
        <w:rPr>
          <w:rFonts w:eastAsia="Arial Unicode MS"/>
          <w:color w:val="17365D"/>
        </w:rPr>
        <w:t xml:space="preserve">) </w:t>
      </w:r>
      <w:r w:rsidRPr="00A92D7C">
        <w:rPr>
          <w:rFonts w:eastAsia="Arial Unicode MS"/>
          <w:i/>
          <w:color w:val="17365D"/>
        </w:rPr>
        <w:t>euro</w:t>
      </w:r>
      <w:r w:rsidRPr="00A92D7C">
        <w:rPr>
          <w:rFonts w:eastAsia="Arial Unicode MS"/>
          <w:color w:val="17365D"/>
        </w:rPr>
        <w:t xml:space="preserve"> vērtībā par ministriju un valsts budžeta finanšu uzskaites savstarpējo darījumu rezultātu. Par piešķirtās dotācijas no vispārējiem ieņēmumiem apjoma samazinājumu par budžeta iestāžu veiktajiem izdevumiem (9 918 552 859) </w:t>
      </w:r>
      <w:r w:rsidRPr="00A92D7C">
        <w:rPr>
          <w:rFonts w:eastAsia="Arial Unicode MS"/>
          <w:i/>
          <w:color w:val="17365D"/>
        </w:rPr>
        <w:t>euro</w:t>
      </w:r>
      <w:r w:rsidRPr="00A92D7C">
        <w:rPr>
          <w:rFonts w:eastAsia="Arial Unicode MS"/>
          <w:color w:val="17365D"/>
        </w:rPr>
        <w:t xml:space="preserve"> vērtībā, par pašvaldību vērtības samazinājuma izmaiņu prasībām 19</w:t>
      </w:r>
      <w:r>
        <w:rPr>
          <w:rFonts w:eastAsia="Arial Unicode MS"/>
          <w:color w:val="17365D"/>
        </w:rPr>
        <w:t> </w:t>
      </w:r>
      <w:r w:rsidRPr="00A92D7C">
        <w:rPr>
          <w:rFonts w:eastAsia="Arial Unicode MS"/>
          <w:color w:val="17365D"/>
        </w:rPr>
        <w:t xml:space="preserve">529 </w:t>
      </w:r>
      <w:r w:rsidRPr="001D29DC">
        <w:rPr>
          <w:rFonts w:eastAsia="Arial Unicode MS"/>
          <w:i/>
          <w:color w:val="17365D"/>
        </w:rPr>
        <w:t>euro</w:t>
      </w:r>
      <w:r w:rsidRPr="00A92D7C">
        <w:rPr>
          <w:rFonts w:eastAsia="Arial Unicode MS"/>
          <w:color w:val="17365D"/>
        </w:rPr>
        <w:t xml:space="preserve"> vērtībā, par ministriju vērtības samazinājuma izmaiņu prasībām 7</w:t>
      </w:r>
      <w:r>
        <w:rPr>
          <w:rFonts w:eastAsia="Arial Unicode MS"/>
          <w:color w:val="17365D"/>
        </w:rPr>
        <w:t> </w:t>
      </w:r>
      <w:r w:rsidRPr="00A92D7C">
        <w:rPr>
          <w:rFonts w:eastAsia="Arial Unicode MS"/>
          <w:color w:val="17365D"/>
        </w:rPr>
        <w:t xml:space="preserve">012 </w:t>
      </w:r>
      <w:r w:rsidRPr="00A92D7C">
        <w:rPr>
          <w:rFonts w:eastAsia="Arial Unicode MS"/>
          <w:i/>
          <w:color w:val="17365D"/>
        </w:rPr>
        <w:t>euro</w:t>
      </w:r>
      <w:r w:rsidRPr="00A92D7C">
        <w:rPr>
          <w:rFonts w:eastAsia="Arial Unicode MS"/>
          <w:color w:val="17365D"/>
        </w:rPr>
        <w:t xml:space="preserve"> vērtībā un par ministriju un pašvaldību vērtības samazinājuma izmaiņu prasībām 101</w:t>
      </w:r>
      <w:r>
        <w:rPr>
          <w:rFonts w:eastAsia="Arial Unicode MS"/>
          <w:color w:val="17365D"/>
        </w:rPr>
        <w:t> </w:t>
      </w:r>
      <w:r w:rsidRPr="00A92D7C">
        <w:rPr>
          <w:rFonts w:eastAsia="Arial Unicode MS"/>
          <w:color w:val="17365D"/>
        </w:rPr>
        <w:t xml:space="preserve">950 </w:t>
      </w:r>
      <w:r w:rsidRPr="00A92D7C">
        <w:rPr>
          <w:rFonts w:eastAsia="Arial Unicode MS"/>
          <w:i/>
          <w:color w:val="17365D"/>
        </w:rPr>
        <w:t>euro</w:t>
      </w:r>
      <w:r w:rsidRPr="00A92D7C">
        <w:rPr>
          <w:rFonts w:eastAsia="Arial Unicode MS"/>
          <w:color w:val="17365D"/>
        </w:rPr>
        <w:t xml:space="preserve"> vērtībā un iepriekšējā gada debitoru reverss </w:t>
      </w:r>
      <w:r>
        <w:rPr>
          <w:rFonts w:eastAsia="Arial Unicode MS"/>
          <w:color w:val="17365D"/>
        </w:rPr>
        <w:t>(</w:t>
      </w:r>
      <w:r w:rsidRPr="00A92D7C">
        <w:rPr>
          <w:rFonts w:eastAsia="Arial Unicode MS"/>
          <w:color w:val="17365D"/>
        </w:rPr>
        <w:t>1 45</w:t>
      </w:r>
      <w:r w:rsidR="00517A00">
        <w:rPr>
          <w:rFonts w:eastAsia="Arial Unicode MS"/>
          <w:color w:val="17365D"/>
        </w:rPr>
        <w:t>8</w:t>
      </w:r>
      <w:r>
        <w:rPr>
          <w:rFonts w:eastAsia="Arial Unicode MS"/>
          <w:color w:val="17365D"/>
        </w:rPr>
        <w:t> </w:t>
      </w:r>
      <w:r w:rsidRPr="00A92D7C">
        <w:rPr>
          <w:rFonts w:eastAsia="Arial Unicode MS"/>
          <w:color w:val="17365D"/>
        </w:rPr>
        <w:t>096</w:t>
      </w:r>
      <w:r>
        <w:rPr>
          <w:rFonts w:eastAsia="Arial Unicode MS"/>
          <w:color w:val="17365D"/>
        </w:rPr>
        <w:t>)</w:t>
      </w:r>
      <w:r w:rsidRPr="00A92D7C">
        <w:rPr>
          <w:rFonts w:eastAsia="Arial Unicode MS"/>
          <w:color w:val="17365D"/>
        </w:rPr>
        <w:t xml:space="preserve"> </w:t>
      </w:r>
      <w:r w:rsidRPr="00A92D7C">
        <w:rPr>
          <w:rFonts w:eastAsia="Arial Unicode MS"/>
          <w:i/>
          <w:color w:val="17365D"/>
        </w:rPr>
        <w:t>euro</w:t>
      </w:r>
      <w:r w:rsidRPr="00A92D7C">
        <w:rPr>
          <w:rFonts w:eastAsia="Arial Unicode MS"/>
          <w:color w:val="17365D"/>
        </w:rPr>
        <w:t xml:space="preserve"> vērtībā.</w:t>
      </w:r>
    </w:p>
    <w:p w14:paraId="31B463C1" w14:textId="77777777" w:rsidR="00D74371" w:rsidRDefault="00D74371" w:rsidP="00D74371">
      <w:pPr>
        <w:spacing w:before="120" w:after="120" w:line="240" w:lineRule="auto"/>
        <w:ind w:firstLine="284"/>
        <w:jc w:val="both"/>
        <w:rPr>
          <w:rFonts w:eastAsia="Arial Unicode MS" w:cs="Times New Roman"/>
          <w:noProof/>
          <w:color w:val="17365D"/>
          <w:szCs w:val="24"/>
          <w:lang w:eastAsia="lv-LV"/>
        </w:rPr>
      </w:pPr>
      <w:r w:rsidRPr="00A92D7C">
        <w:rPr>
          <w:rFonts w:eastAsia="Times New Roman" w:cs="Times New Roman"/>
          <w:b/>
          <w:noProof/>
          <w:color w:val="17365D"/>
          <w:szCs w:val="24"/>
          <w:lang w:eastAsia="lv-LV"/>
        </w:rPr>
        <w:t>Konsolidētajā pārskatā veikta</w:t>
      </w:r>
      <w:r>
        <w:rPr>
          <w:rFonts w:eastAsia="Times New Roman" w:cs="Times New Roman"/>
          <w:b/>
          <w:noProof/>
          <w:color w:val="17365D"/>
          <w:szCs w:val="24"/>
          <w:lang w:eastAsia="lv-LV"/>
        </w:rPr>
        <w:t xml:space="preserve"> pārskata perioda darījumu</w:t>
      </w:r>
      <w:r w:rsidRPr="00A92D7C">
        <w:rPr>
          <w:rFonts w:eastAsia="Times New Roman" w:cs="Times New Roman"/>
          <w:b/>
          <w:noProof/>
          <w:color w:val="17365D"/>
          <w:szCs w:val="24"/>
          <w:lang w:eastAsia="lv-LV"/>
        </w:rPr>
        <w:t xml:space="preserve"> konsolidācija </w:t>
      </w:r>
      <w:r w:rsidRPr="002C7BC7">
        <w:rPr>
          <w:rFonts w:eastAsia="Arial Unicode MS" w:cs="Times New Roman"/>
          <w:noProof/>
          <w:color w:val="17365D"/>
          <w:szCs w:val="24"/>
          <w:lang w:eastAsia="lv-LV"/>
        </w:rPr>
        <w:t>starp ieņēmumiem un izdevumiem par kopējo summu (9 495 689 562) </w:t>
      </w:r>
      <w:r w:rsidRPr="002C7BC7">
        <w:rPr>
          <w:rFonts w:eastAsia="Arial Unicode MS" w:cs="Times New Roman"/>
          <w:i/>
          <w:iCs/>
          <w:noProof/>
          <w:color w:val="17365D"/>
          <w:szCs w:val="24"/>
          <w:lang w:eastAsia="lv-LV"/>
        </w:rPr>
        <w:t>euro</w:t>
      </w:r>
      <w:r w:rsidRPr="002C7BC7">
        <w:rPr>
          <w:rFonts w:eastAsia="Arial Unicode MS" w:cs="Times New Roman"/>
          <w:noProof/>
          <w:color w:val="17365D"/>
          <w:szCs w:val="24"/>
          <w:lang w:eastAsia="lv-LV"/>
        </w:rPr>
        <w:t xml:space="preserve"> par iestāžu savstarpējiem darījumiem no iestāžu darbības rezultāta</w:t>
      </w:r>
      <w:r>
        <w:rPr>
          <w:rFonts w:eastAsia="Arial Unicode MS" w:cs="Times New Roman"/>
          <w:noProof/>
          <w:color w:val="17365D"/>
          <w:szCs w:val="24"/>
          <w:lang w:eastAsia="lv-LV"/>
        </w:rPr>
        <w:t xml:space="preserve"> šādos pārskata posteņos:</w:t>
      </w:r>
    </w:p>
    <w:p w14:paraId="70639EC2" w14:textId="77777777" w:rsidR="00D74371" w:rsidRDefault="00D74371" w:rsidP="00C90D8D">
      <w:pPr>
        <w:pStyle w:val="Pamatteksts1"/>
        <w:numPr>
          <w:ilvl w:val="0"/>
          <w:numId w:val="30"/>
        </w:numPr>
        <w:spacing w:before="120"/>
        <w:ind w:left="851" w:hanging="357"/>
        <w:rPr>
          <w:rFonts w:eastAsia="Arial Unicode MS"/>
          <w:color w:val="17365D"/>
        </w:rPr>
      </w:pPr>
      <w:r>
        <w:rPr>
          <w:rFonts w:eastAsia="Arial Unicode MS"/>
          <w:color w:val="17365D"/>
        </w:rPr>
        <w:lastRenderedPageBreak/>
        <w:t>nenodokļu ieņēmumi – (</w:t>
      </w:r>
      <w:r w:rsidRPr="001050FF">
        <w:rPr>
          <w:rFonts w:eastAsia="Arial Unicode MS"/>
          <w:color w:val="17365D"/>
        </w:rPr>
        <w:t>49 066</w:t>
      </w:r>
      <w:r>
        <w:rPr>
          <w:rFonts w:eastAsia="Arial Unicode MS"/>
          <w:color w:val="17365D"/>
        </w:rPr>
        <w:t> </w:t>
      </w:r>
      <w:r w:rsidRPr="001050FF">
        <w:rPr>
          <w:rFonts w:eastAsia="Arial Unicode MS"/>
          <w:color w:val="17365D"/>
        </w:rPr>
        <w:t>810</w:t>
      </w:r>
      <w:r>
        <w:rPr>
          <w:rFonts w:eastAsia="Arial Unicode MS"/>
          <w:color w:val="17365D"/>
        </w:rPr>
        <w:t xml:space="preserve">) </w:t>
      </w:r>
      <w:r w:rsidRPr="00C87349">
        <w:rPr>
          <w:rFonts w:eastAsia="Arial Unicode MS"/>
          <w:i/>
          <w:iCs/>
          <w:color w:val="17365D"/>
        </w:rPr>
        <w:t>euro</w:t>
      </w:r>
      <w:r w:rsidRPr="001050FF">
        <w:rPr>
          <w:rFonts w:eastAsia="Arial Unicode MS"/>
          <w:color w:val="17365D"/>
        </w:rPr>
        <w:t xml:space="preserve"> vērtībā</w:t>
      </w:r>
      <w:r>
        <w:rPr>
          <w:rFonts w:eastAsia="Arial Unicode MS"/>
          <w:color w:val="17365D"/>
        </w:rPr>
        <w:t>;</w:t>
      </w:r>
    </w:p>
    <w:p w14:paraId="38CE596F" w14:textId="77777777" w:rsidR="00D74371" w:rsidRDefault="00D74371" w:rsidP="00C90D8D">
      <w:pPr>
        <w:pStyle w:val="Pamatteksts1"/>
        <w:numPr>
          <w:ilvl w:val="0"/>
          <w:numId w:val="30"/>
        </w:numPr>
        <w:spacing w:before="120"/>
        <w:ind w:left="851" w:hanging="357"/>
        <w:rPr>
          <w:rFonts w:eastAsia="Arial Unicode MS"/>
          <w:color w:val="17365D"/>
        </w:rPr>
      </w:pPr>
      <w:r>
        <w:rPr>
          <w:rFonts w:eastAsia="Arial Unicode MS"/>
          <w:color w:val="17365D"/>
        </w:rPr>
        <w:t>maksas pakalpojumi un citi pašu ieņēmumi –</w:t>
      </w:r>
      <w:r w:rsidRPr="00C90D8D">
        <w:rPr>
          <w:rFonts w:eastAsia="Arial Unicode MS"/>
          <w:color w:val="17365D"/>
        </w:rPr>
        <w:t xml:space="preserve"> </w:t>
      </w:r>
      <w:r>
        <w:rPr>
          <w:rFonts w:eastAsia="Arial Unicode MS"/>
          <w:color w:val="17365D"/>
        </w:rPr>
        <w:t>(</w:t>
      </w:r>
      <w:r w:rsidRPr="001050FF">
        <w:rPr>
          <w:rFonts w:eastAsia="Arial Unicode MS"/>
          <w:color w:val="17365D"/>
        </w:rPr>
        <w:t>14 829</w:t>
      </w:r>
      <w:r>
        <w:rPr>
          <w:rFonts w:eastAsia="Arial Unicode MS"/>
          <w:color w:val="17365D"/>
        </w:rPr>
        <w:t> </w:t>
      </w:r>
      <w:r w:rsidRPr="001050FF">
        <w:rPr>
          <w:rFonts w:eastAsia="Arial Unicode MS"/>
          <w:color w:val="17365D"/>
        </w:rPr>
        <w:t>859</w:t>
      </w:r>
      <w:r>
        <w:rPr>
          <w:rFonts w:eastAsia="Arial Unicode MS"/>
          <w:color w:val="17365D"/>
        </w:rPr>
        <w:t xml:space="preserve">) </w:t>
      </w:r>
      <w:r w:rsidRPr="00C87349">
        <w:rPr>
          <w:rFonts w:eastAsia="Arial Unicode MS"/>
          <w:i/>
          <w:iCs/>
          <w:color w:val="17365D"/>
        </w:rPr>
        <w:t>euro</w:t>
      </w:r>
      <w:r w:rsidRPr="001050FF">
        <w:rPr>
          <w:rFonts w:eastAsia="Arial Unicode MS"/>
          <w:color w:val="17365D"/>
        </w:rPr>
        <w:t xml:space="preserve"> vērtībā</w:t>
      </w:r>
      <w:r>
        <w:rPr>
          <w:rFonts w:eastAsia="Arial Unicode MS"/>
          <w:color w:val="17365D"/>
        </w:rPr>
        <w:t>;</w:t>
      </w:r>
    </w:p>
    <w:p w14:paraId="5F49D2F6" w14:textId="77777777" w:rsidR="00D74371" w:rsidRDefault="00D74371" w:rsidP="00C90D8D">
      <w:pPr>
        <w:pStyle w:val="Pamatteksts1"/>
        <w:numPr>
          <w:ilvl w:val="0"/>
          <w:numId w:val="30"/>
        </w:numPr>
        <w:spacing w:before="120"/>
        <w:ind w:left="851" w:hanging="357"/>
        <w:rPr>
          <w:rFonts w:eastAsia="Arial Unicode MS"/>
          <w:color w:val="17365D"/>
        </w:rPr>
      </w:pPr>
      <w:r>
        <w:rPr>
          <w:rFonts w:eastAsia="Arial Unicode MS"/>
          <w:color w:val="17365D"/>
        </w:rPr>
        <w:t>transferti –</w:t>
      </w:r>
      <w:r w:rsidRPr="00C90D8D">
        <w:rPr>
          <w:rFonts w:eastAsia="Arial Unicode MS"/>
          <w:color w:val="17365D"/>
        </w:rPr>
        <w:t xml:space="preserve"> </w:t>
      </w:r>
      <w:r>
        <w:rPr>
          <w:rFonts w:eastAsia="Arial Unicode MS"/>
          <w:color w:val="17365D"/>
        </w:rPr>
        <w:t>(</w:t>
      </w:r>
      <w:r w:rsidRPr="001050FF">
        <w:rPr>
          <w:rFonts w:eastAsia="Arial Unicode MS"/>
          <w:color w:val="17365D"/>
        </w:rPr>
        <w:t>2 525 452</w:t>
      </w:r>
      <w:r>
        <w:rPr>
          <w:rFonts w:eastAsia="Arial Unicode MS"/>
          <w:color w:val="17365D"/>
        </w:rPr>
        <w:t> </w:t>
      </w:r>
      <w:r w:rsidRPr="001050FF">
        <w:rPr>
          <w:rFonts w:eastAsia="Arial Unicode MS"/>
          <w:color w:val="17365D"/>
        </w:rPr>
        <w:t>721</w:t>
      </w:r>
      <w:r>
        <w:rPr>
          <w:rFonts w:eastAsia="Arial Unicode MS"/>
          <w:color w:val="17365D"/>
        </w:rPr>
        <w:t xml:space="preserve">) </w:t>
      </w:r>
      <w:r w:rsidRPr="00C87349">
        <w:rPr>
          <w:rFonts w:eastAsia="Arial Unicode MS"/>
          <w:i/>
          <w:iCs/>
          <w:color w:val="17365D"/>
        </w:rPr>
        <w:t>euro</w:t>
      </w:r>
      <w:r w:rsidRPr="001050FF">
        <w:rPr>
          <w:rFonts w:eastAsia="Arial Unicode MS"/>
          <w:color w:val="17365D"/>
        </w:rPr>
        <w:t xml:space="preserve"> vērtībā</w:t>
      </w:r>
      <w:r>
        <w:rPr>
          <w:rFonts w:eastAsia="Arial Unicode MS"/>
          <w:color w:val="17365D"/>
        </w:rPr>
        <w:t>;</w:t>
      </w:r>
    </w:p>
    <w:p w14:paraId="2E2F06D4" w14:textId="77777777" w:rsidR="00D74371" w:rsidRDefault="00D74371" w:rsidP="00C90D8D">
      <w:pPr>
        <w:pStyle w:val="Pamatteksts1"/>
        <w:numPr>
          <w:ilvl w:val="0"/>
          <w:numId w:val="30"/>
        </w:numPr>
        <w:spacing w:before="120"/>
        <w:ind w:left="851" w:hanging="357"/>
        <w:rPr>
          <w:rFonts w:eastAsia="Arial Unicode MS"/>
          <w:color w:val="17365D"/>
        </w:rPr>
      </w:pPr>
      <w:r>
        <w:rPr>
          <w:rFonts w:eastAsia="Arial Unicode MS"/>
          <w:color w:val="17365D"/>
        </w:rPr>
        <w:t>d</w:t>
      </w:r>
      <w:r w:rsidRPr="00777C27">
        <w:rPr>
          <w:rFonts w:eastAsia="Arial Unicode MS"/>
          <w:color w:val="17365D"/>
        </w:rPr>
        <w:t>otācija no vispārējiem ieņēmumiem</w:t>
      </w:r>
      <w:r>
        <w:rPr>
          <w:rFonts w:eastAsia="Arial Unicode MS"/>
          <w:color w:val="17365D"/>
        </w:rPr>
        <w:t xml:space="preserve"> –</w:t>
      </w:r>
      <w:r w:rsidRPr="00C90D8D">
        <w:rPr>
          <w:rFonts w:eastAsia="Arial Unicode MS"/>
          <w:color w:val="17365D"/>
        </w:rPr>
        <w:t xml:space="preserve"> </w:t>
      </w:r>
      <w:r>
        <w:rPr>
          <w:rFonts w:eastAsia="Arial Unicode MS"/>
          <w:color w:val="17365D"/>
        </w:rPr>
        <w:t>(</w:t>
      </w:r>
      <w:r w:rsidRPr="001050FF">
        <w:rPr>
          <w:rFonts w:eastAsia="Arial Unicode MS"/>
          <w:color w:val="17365D"/>
        </w:rPr>
        <w:t>9 552</w:t>
      </w:r>
      <w:r>
        <w:rPr>
          <w:rFonts w:eastAsia="Arial Unicode MS"/>
          <w:color w:val="17365D"/>
        </w:rPr>
        <w:t> </w:t>
      </w:r>
      <w:r w:rsidRPr="001050FF">
        <w:rPr>
          <w:rFonts w:eastAsia="Arial Unicode MS"/>
          <w:color w:val="17365D"/>
        </w:rPr>
        <w:t>632</w:t>
      </w:r>
      <w:r>
        <w:rPr>
          <w:rFonts w:eastAsia="Arial Unicode MS"/>
          <w:color w:val="17365D"/>
        </w:rPr>
        <w:t>)</w:t>
      </w:r>
      <w:r w:rsidRPr="00C90D8D">
        <w:rPr>
          <w:rFonts w:eastAsia="Arial Unicode MS"/>
          <w:color w:val="17365D"/>
        </w:rPr>
        <w:t xml:space="preserve"> </w:t>
      </w:r>
      <w:r w:rsidRPr="00C87349">
        <w:rPr>
          <w:rFonts w:eastAsia="Arial Unicode MS"/>
          <w:i/>
          <w:iCs/>
          <w:color w:val="17365D"/>
        </w:rPr>
        <w:t>euro</w:t>
      </w:r>
      <w:r w:rsidRPr="001050FF">
        <w:rPr>
          <w:rFonts w:eastAsia="Arial Unicode MS"/>
          <w:color w:val="17365D"/>
        </w:rPr>
        <w:t xml:space="preserve"> vērtībā</w:t>
      </w:r>
      <w:r>
        <w:rPr>
          <w:rFonts w:eastAsia="Arial Unicode MS"/>
          <w:color w:val="17365D"/>
        </w:rPr>
        <w:t>;</w:t>
      </w:r>
    </w:p>
    <w:p w14:paraId="5D25B63A" w14:textId="77777777" w:rsidR="00D74371" w:rsidRDefault="00D74371" w:rsidP="00C90D8D">
      <w:pPr>
        <w:pStyle w:val="Pamatteksts1"/>
        <w:numPr>
          <w:ilvl w:val="0"/>
          <w:numId w:val="30"/>
        </w:numPr>
        <w:spacing w:before="120"/>
        <w:ind w:left="851" w:hanging="357"/>
        <w:rPr>
          <w:rFonts w:eastAsia="Arial Unicode MS"/>
          <w:color w:val="17365D"/>
        </w:rPr>
      </w:pPr>
      <w:r>
        <w:rPr>
          <w:rFonts w:eastAsia="Arial Unicode MS"/>
          <w:color w:val="17365D"/>
        </w:rPr>
        <w:t>procentu ieņēmumi –</w:t>
      </w:r>
      <w:r w:rsidRPr="00C90D8D">
        <w:rPr>
          <w:rFonts w:eastAsia="Arial Unicode MS"/>
          <w:color w:val="17365D"/>
        </w:rPr>
        <w:t xml:space="preserve"> </w:t>
      </w:r>
      <w:r>
        <w:rPr>
          <w:rFonts w:eastAsia="Arial Unicode MS"/>
          <w:color w:val="17365D"/>
        </w:rPr>
        <w:t>(</w:t>
      </w:r>
      <w:r w:rsidRPr="001050FF">
        <w:rPr>
          <w:rFonts w:eastAsia="Arial Unicode MS"/>
          <w:color w:val="17365D"/>
        </w:rPr>
        <w:t>21 247</w:t>
      </w:r>
      <w:r>
        <w:rPr>
          <w:rFonts w:eastAsia="Arial Unicode MS"/>
          <w:color w:val="17365D"/>
        </w:rPr>
        <w:t> </w:t>
      </w:r>
      <w:r w:rsidRPr="001050FF">
        <w:rPr>
          <w:rFonts w:eastAsia="Arial Unicode MS"/>
          <w:color w:val="17365D"/>
        </w:rPr>
        <w:t>775</w:t>
      </w:r>
      <w:r>
        <w:rPr>
          <w:rFonts w:eastAsia="Arial Unicode MS"/>
          <w:color w:val="17365D"/>
        </w:rPr>
        <w:t>)</w:t>
      </w:r>
      <w:r w:rsidRPr="00C90D8D">
        <w:rPr>
          <w:rFonts w:eastAsia="Arial Unicode MS"/>
          <w:color w:val="17365D"/>
        </w:rPr>
        <w:t xml:space="preserve"> </w:t>
      </w:r>
      <w:r w:rsidRPr="00C87349">
        <w:rPr>
          <w:rFonts w:eastAsia="Arial Unicode MS"/>
          <w:i/>
          <w:iCs/>
          <w:color w:val="17365D"/>
        </w:rPr>
        <w:t>euro</w:t>
      </w:r>
      <w:r w:rsidRPr="001050FF">
        <w:rPr>
          <w:rFonts w:eastAsia="Arial Unicode MS"/>
          <w:color w:val="17365D"/>
        </w:rPr>
        <w:t xml:space="preserve"> vērtībā;</w:t>
      </w:r>
    </w:p>
    <w:p w14:paraId="0ACCA64A" w14:textId="6EDABCAA" w:rsidR="00D74371" w:rsidRDefault="00D74371" w:rsidP="00C90D8D">
      <w:pPr>
        <w:pStyle w:val="Pamatteksts1"/>
        <w:numPr>
          <w:ilvl w:val="0"/>
          <w:numId w:val="30"/>
        </w:numPr>
        <w:spacing w:before="120"/>
        <w:ind w:left="851" w:hanging="357"/>
        <w:rPr>
          <w:rFonts w:eastAsia="Arial Unicode MS"/>
          <w:color w:val="17365D"/>
        </w:rPr>
      </w:pPr>
      <w:r>
        <w:rPr>
          <w:rFonts w:eastAsia="Arial Unicode MS"/>
          <w:color w:val="17365D"/>
        </w:rPr>
        <w:t>p</w:t>
      </w:r>
      <w:r w:rsidRPr="00DD5984">
        <w:rPr>
          <w:rFonts w:eastAsia="Arial Unicode MS"/>
          <w:color w:val="17365D"/>
        </w:rPr>
        <w:t>ārējie ieņēmumi, kas nav klasificēti A11 līdz A18 rindā</w:t>
      </w:r>
      <w:r w:rsidR="00161C5B">
        <w:rPr>
          <w:rFonts w:eastAsia="Arial Unicode MS"/>
          <w:color w:val="17365D"/>
        </w:rPr>
        <w:t>,</w:t>
      </w:r>
      <w:r>
        <w:rPr>
          <w:rFonts w:eastAsia="Arial Unicode MS"/>
          <w:color w:val="17365D"/>
        </w:rPr>
        <w:t xml:space="preserve"> –</w:t>
      </w:r>
      <w:r w:rsidRPr="00C90D8D">
        <w:rPr>
          <w:rFonts w:eastAsia="Arial Unicode MS"/>
          <w:color w:val="17365D"/>
        </w:rPr>
        <w:t xml:space="preserve"> </w:t>
      </w:r>
      <w:r>
        <w:rPr>
          <w:rFonts w:eastAsia="Arial Unicode MS"/>
          <w:color w:val="17365D"/>
        </w:rPr>
        <w:t>(</w:t>
      </w:r>
      <w:r w:rsidRPr="001050FF">
        <w:rPr>
          <w:rFonts w:eastAsia="Arial Unicode MS"/>
          <w:color w:val="17365D"/>
        </w:rPr>
        <w:t>6 875 539</w:t>
      </w:r>
      <w:r>
        <w:rPr>
          <w:rFonts w:eastAsia="Arial Unicode MS"/>
          <w:color w:val="17365D"/>
        </w:rPr>
        <w:t> </w:t>
      </w:r>
      <w:r w:rsidRPr="001050FF">
        <w:rPr>
          <w:rFonts w:eastAsia="Arial Unicode MS"/>
          <w:color w:val="17365D"/>
        </w:rPr>
        <w:t>765</w:t>
      </w:r>
      <w:r>
        <w:rPr>
          <w:rFonts w:eastAsia="Arial Unicode MS"/>
          <w:color w:val="17365D"/>
        </w:rPr>
        <w:t>)</w:t>
      </w:r>
      <w:r w:rsidRPr="00C90D8D">
        <w:rPr>
          <w:rFonts w:eastAsia="Arial Unicode MS"/>
          <w:color w:val="17365D"/>
        </w:rPr>
        <w:t xml:space="preserve"> </w:t>
      </w:r>
      <w:r w:rsidRPr="00C87349">
        <w:rPr>
          <w:rFonts w:eastAsia="Arial Unicode MS"/>
          <w:i/>
          <w:iCs/>
          <w:color w:val="17365D"/>
        </w:rPr>
        <w:t>euro</w:t>
      </w:r>
      <w:r w:rsidRPr="001050FF">
        <w:rPr>
          <w:rFonts w:eastAsia="Arial Unicode MS"/>
          <w:color w:val="17365D"/>
        </w:rPr>
        <w:t xml:space="preserve"> vērtībā;</w:t>
      </w:r>
    </w:p>
    <w:p w14:paraId="681428D7" w14:textId="77777777" w:rsidR="00D74371" w:rsidRDefault="00D74371" w:rsidP="00C90D8D">
      <w:pPr>
        <w:pStyle w:val="Pamatteksts1"/>
        <w:numPr>
          <w:ilvl w:val="0"/>
          <w:numId w:val="30"/>
        </w:numPr>
        <w:spacing w:before="120"/>
        <w:ind w:left="851" w:hanging="357"/>
        <w:rPr>
          <w:rFonts w:eastAsia="Arial Unicode MS"/>
          <w:color w:val="17365D"/>
        </w:rPr>
      </w:pPr>
      <w:r>
        <w:rPr>
          <w:rFonts w:eastAsia="Arial Unicode MS"/>
          <w:color w:val="17365D"/>
        </w:rPr>
        <w:t>pakalpojumi –</w:t>
      </w:r>
      <w:r w:rsidRPr="00C90D8D">
        <w:rPr>
          <w:rFonts w:eastAsia="Arial Unicode MS"/>
          <w:color w:val="17365D"/>
        </w:rPr>
        <w:t xml:space="preserve"> </w:t>
      </w:r>
      <w:r>
        <w:rPr>
          <w:rFonts w:eastAsia="Arial Unicode MS"/>
          <w:color w:val="17365D"/>
        </w:rPr>
        <w:t>(</w:t>
      </w:r>
      <w:r w:rsidRPr="001050FF">
        <w:rPr>
          <w:rFonts w:eastAsia="Arial Unicode MS"/>
          <w:color w:val="17365D"/>
        </w:rPr>
        <w:t>1 907 217</w:t>
      </w:r>
      <w:r>
        <w:rPr>
          <w:rFonts w:eastAsia="Arial Unicode MS"/>
          <w:color w:val="17365D"/>
        </w:rPr>
        <w:t>)</w:t>
      </w:r>
      <w:r w:rsidRPr="00C90D8D">
        <w:rPr>
          <w:rFonts w:eastAsia="Arial Unicode MS"/>
          <w:color w:val="17365D"/>
        </w:rPr>
        <w:t xml:space="preserve"> </w:t>
      </w:r>
      <w:r w:rsidRPr="00C87349">
        <w:rPr>
          <w:rFonts w:eastAsia="Arial Unicode MS"/>
          <w:i/>
          <w:iCs/>
          <w:color w:val="17365D"/>
        </w:rPr>
        <w:t>euro</w:t>
      </w:r>
      <w:r w:rsidRPr="007B6427">
        <w:rPr>
          <w:rFonts w:eastAsia="Arial Unicode MS"/>
          <w:color w:val="17365D"/>
        </w:rPr>
        <w:t xml:space="preserve"> vērtībā;</w:t>
      </w:r>
    </w:p>
    <w:p w14:paraId="686FB6A4" w14:textId="77777777" w:rsidR="00D74371" w:rsidRDefault="00D74371" w:rsidP="00C90D8D">
      <w:pPr>
        <w:pStyle w:val="Pamatteksts1"/>
        <w:numPr>
          <w:ilvl w:val="0"/>
          <w:numId w:val="30"/>
        </w:numPr>
        <w:spacing w:before="120"/>
        <w:ind w:left="851" w:hanging="357"/>
        <w:rPr>
          <w:rFonts w:eastAsia="Arial Unicode MS"/>
          <w:color w:val="17365D"/>
        </w:rPr>
      </w:pPr>
      <w:r>
        <w:rPr>
          <w:rFonts w:eastAsia="Arial Unicode MS"/>
          <w:color w:val="17365D"/>
        </w:rPr>
        <w:t>k</w:t>
      </w:r>
      <w:r w:rsidRPr="00DD5984">
        <w:rPr>
          <w:rFonts w:eastAsia="Arial Unicode MS"/>
          <w:color w:val="17365D"/>
        </w:rPr>
        <w:t>rājumi, materiāli, energoresursi, preces, biroja preces un inventārs, periodika</w:t>
      </w:r>
      <w:r>
        <w:rPr>
          <w:rFonts w:eastAsia="Arial Unicode MS"/>
          <w:color w:val="17365D"/>
        </w:rPr>
        <w:t xml:space="preserve"> -</w:t>
      </w:r>
      <w:r w:rsidRPr="00C90D8D">
        <w:rPr>
          <w:rFonts w:eastAsia="Arial Unicode MS"/>
          <w:color w:val="17365D"/>
        </w:rPr>
        <w:t xml:space="preserve"> </w:t>
      </w:r>
      <w:r>
        <w:rPr>
          <w:rFonts w:eastAsia="Arial Unicode MS"/>
          <w:color w:val="17365D"/>
        </w:rPr>
        <w:t>(</w:t>
      </w:r>
      <w:r w:rsidRPr="001050FF">
        <w:rPr>
          <w:rFonts w:eastAsia="Arial Unicode MS"/>
          <w:color w:val="17365D"/>
        </w:rPr>
        <w:t>6</w:t>
      </w:r>
      <w:r>
        <w:rPr>
          <w:rFonts w:eastAsia="Arial Unicode MS"/>
          <w:color w:val="17365D"/>
        </w:rPr>
        <w:t> </w:t>
      </w:r>
      <w:r w:rsidRPr="001050FF">
        <w:rPr>
          <w:rFonts w:eastAsia="Arial Unicode MS"/>
          <w:color w:val="17365D"/>
        </w:rPr>
        <w:t>559</w:t>
      </w:r>
      <w:r>
        <w:rPr>
          <w:rFonts w:eastAsia="Arial Unicode MS"/>
          <w:color w:val="17365D"/>
        </w:rPr>
        <w:t>)</w:t>
      </w:r>
      <w:r w:rsidRPr="00C90D8D">
        <w:rPr>
          <w:rFonts w:eastAsia="Arial Unicode MS"/>
          <w:color w:val="17365D"/>
        </w:rPr>
        <w:t xml:space="preserve"> </w:t>
      </w:r>
      <w:r w:rsidRPr="00C87349">
        <w:rPr>
          <w:rFonts w:eastAsia="Arial Unicode MS"/>
          <w:i/>
          <w:iCs/>
          <w:color w:val="17365D"/>
        </w:rPr>
        <w:t>euro</w:t>
      </w:r>
      <w:r w:rsidRPr="007B6427">
        <w:rPr>
          <w:rFonts w:eastAsia="Arial Unicode MS"/>
          <w:color w:val="17365D"/>
        </w:rPr>
        <w:t xml:space="preserve"> vērtībā;</w:t>
      </w:r>
    </w:p>
    <w:p w14:paraId="20BE990E" w14:textId="77777777" w:rsidR="00D74371" w:rsidRDefault="00D74371" w:rsidP="00C90D8D">
      <w:pPr>
        <w:pStyle w:val="Pamatteksts1"/>
        <w:numPr>
          <w:ilvl w:val="0"/>
          <w:numId w:val="30"/>
        </w:numPr>
        <w:spacing w:before="120"/>
        <w:ind w:left="851" w:hanging="357"/>
        <w:rPr>
          <w:rFonts w:eastAsia="Arial Unicode MS"/>
          <w:color w:val="17365D"/>
        </w:rPr>
      </w:pPr>
      <w:r>
        <w:rPr>
          <w:rFonts w:eastAsia="Arial Unicode MS"/>
          <w:color w:val="17365D"/>
        </w:rPr>
        <w:t>s</w:t>
      </w:r>
      <w:r w:rsidRPr="00DD5984">
        <w:rPr>
          <w:rFonts w:eastAsia="Arial Unicode MS"/>
          <w:color w:val="17365D"/>
        </w:rPr>
        <w:t>ubsīdijas, dotācijas un sociālie pabalsti, kārtējie maksājumi Eiropas Savienības budžetā un starptautiskā sadarbība</w:t>
      </w:r>
      <w:r>
        <w:rPr>
          <w:rFonts w:eastAsia="Arial Unicode MS"/>
          <w:color w:val="17365D"/>
        </w:rPr>
        <w:t xml:space="preserve"> –</w:t>
      </w:r>
      <w:r w:rsidRPr="00C90D8D">
        <w:rPr>
          <w:rFonts w:eastAsia="Arial Unicode MS"/>
          <w:color w:val="17365D"/>
        </w:rPr>
        <w:t xml:space="preserve"> </w:t>
      </w:r>
      <w:r>
        <w:rPr>
          <w:rFonts w:eastAsia="Arial Unicode MS"/>
          <w:color w:val="17365D"/>
        </w:rPr>
        <w:t>(</w:t>
      </w:r>
      <w:r w:rsidRPr="001050FF">
        <w:rPr>
          <w:rFonts w:eastAsia="Arial Unicode MS"/>
          <w:color w:val="17365D"/>
        </w:rPr>
        <w:t>960</w:t>
      </w:r>
      <w:r>
        <w:rPr>
          <w:rFonts w:eastAsia="Arial Unicode MS"/>
          <w:color w:val="17365D"/>
        </w:rPr>
        <w:t> </w:t>
      </w:r>
      <w:r w:rsidRPr="001050FF">
        <w:rPr>
          <w:rFonts w:eastAsia="Arial Unicode MS"/>
          <w:color w:val="17365D"/>
        </w:rPr>
        <w:t>437</w:t>
      </w:r>
      <w:r>
        <w:rPr>
          <w:rFonts w:eastAsia="Arial Unicode MS"/>
          <w:color w:val="17365D"/>
        </w:rPr>
        <w:t>)</w:t>
      </w:r>
      <w:r w:rsidRPr="00C90D8D">
        <w:rPr>
          <w:rFonts w:eastAsia="Arial Unicode MS"/>
          <w:color w:val="17365D"/>
        </w:rPr>
        <w:t xml:space="preserve"> </w:t>
      </w:r>
      <w:r w:rsidRPr="00C87349">
        <w:rPr>
          <w:rFonts w:eastAsia="Arial Unicode MS"/>
          <w:i/>
          <w:iCs/>
          <w:color w:val="17365D"/>
        </w:rPr>
        <w:t>euro</w:t>
      </w:r>
      <w:r w:rsidRPr="007B6427">
        <w:rPr>
          <w:rFonts w:eastAsia="Arial Unicode MS"/>
          <w:color w:val="17365D"/>
        </w:rPr>
        <w:t xml:space="preserve"> vērtībā;</w:t>
      </w:r>
    </w:p>
    <w:p w14:paraId="4B028201" w14:textId="77777777" w:rsidR="00D74371" w:rsidRDefault="00D74371" w:rsidP="00C90D8D">
      <w:pPr>
        <w:pStyle w:val="Pamatteksts1"/>
        <w:numPr>
          <w:ilvl w:val="0"/>
          <w:numId w:val="30"/>
        </w:numPr>
        <w:spacing w:before="120"/>
        <w:ind w:left="851" w:hanging="357"/>
        <w:rPr>
          <w:rFonts w:eastAsia="Arial Unicode MS"/>
          <w:color w:val="17365D"/>
        </w:rPr>
      </w:pPr>
      <w:r>
        <w:rPr>
          <w:rFonts w:eastAsia="Arial Unicode MS"/>
          <w:color w:val="17365D"/>
        </w:rPr>
        <w:t>procentu izdevumi –</w:t>
      </w:r>
      <w:r w:rsidRPr="00C90D8D">
        <w:rPr>
          <w:rFonts w:eastAsia="Arial Unicode MS"/>
          <w:color w:val="17365D"/>
        </w:rPr>
        <w:t xml:space="preserve"> </w:t>
      </w:r>
      <w:r>
        <w:rPr>
          <w:rFonts w:eastAsia="Arial Unicode MS"/>
          <w:color w:val="17365D"/>
        </w:rPr>
        <w:t>(</w:t>
      </w:r>
      <w:r w:rsidRPr="001050FF">
        <w:rPr>
          <w:rFonts w:eastAsia="Arial Unicode MS"/>
          <w:color w:val="17365D"/>
        </w:rPr>
        <w:t>67 420</w:t>
      </w:r>
      <w:r>
        <w:rPr>
          <w:rFonts w:eastAsia="Arial Unicode MS"/>
          <w:color w:val="17365D"/>
        </w:rPr>
        <w:t> </w:t>
      </w:r>
      <w:r w:rsidRPr="001050FF">
        <w:rPr>
          <w:rFonts w:eastAsia="Arial Unicode MS"/>
          <w:color w:val="17365D"/>
        </w:rPr>
        <w:t>542</w:t>
      </w:r>
      <w:r>
        <w:rPr>
          <w:rFonts w:eastAsia="Arial Unicode MS"/>
          <w:color w:val="17365D"/>
        </w:rPr>
        <w:t>)</w:t>
      </w:r>
      <w:r w:rsidRPr="00C90D8D">
        <w:rPr>
          <w:rFonts w:eastAsia="Arial Unicode MS"/>
          <w:color w:val="17365D"/>
        </w:rPr>
        <w:t xml:space="preserve"> </w:t>
      </w:r>
      <w:r w:rsidRPr="00C87349">
        <w:rPr>
          <w:rFonts w:eastAsia="Arial Unicode MS"/>
          <w:i/>
          <w:iCs/>
          <w:color w:val="17365D"/>
        </w:rPr>
        <w:t>euro</w:t>
      </w:r>
      <w:r w:rsidRPr="007B6427">
        <w:rPr>
          <w:rFonts w:eastAsia="Arial Unicode MS"/>
          <w:color w:val="17365D"/>
        </w:rPr>
        <w:t xml:space="preserve"> vērtībā;</w:t>
      </w:r>
    </w:p>
    <w:p w14:paraId="3A424AFD" w14:textId="77777777" w:rsidR="00D74371" w:rsidRDefault="00D74371" w:rsidP="00C90D8D">
      <w:pPr>
        <w:pStyle w:val="Pamatteksts1"/>
        <w:numPr>
          <w:ilvl w:val="0"/>
          <w:numId w:val="30"/>
        </w:numPr>
        <w:spacing w:before="120"/>
        <w:ind w:left="851" w:hanging="357"/>
        <w:rPr>
          <w:rFonts w:eastAsia="Arial Unicode MS"/>
          <w:color w:val="17365D"/>
        </w:rPr>
      </w:pPr>
      <w:r>
        <w:rPr>
          <w:rFonts w:eastAsia="Arial Unicode MS"/>
          <w:color w:val="17365D"/>
        </w:rPr>
        <w:t>transferti –</w:t>
      </w:r>
      <w:r w:rsidRPr="00C90D8D">
        <w:rPr>
          <w:rFonts w:eastAsia="Arial Unicode MS"/>
          <w:color w:val="17365D"/>
        </w:rPr>
        <w:t xml:space="preserve"> </w:t>
      </w:r>
      <w:r>
        <w:rPr>
          <w:rFonts w:eastAsia="Arial Unicode MS"/>
          <w:color w:val="17365D"/>
        </w:rPr>
        <w:t>(</w:t>
      </w:r>
      <w:r w:rsidRPr="007B6427">
        <w:rPr>
          <w:rFonts w:eastAsia="Arial Unicode MS"/>
          <w:color w:val="17365D"/>
        </w:rPr>
        <w:t>2 549 855</w:t>
      </w:r>
      <w:r>
        <w:rPr>
          <w:rFonts w:eastAsia="Arial Unicode MS"/>
          <w:color w:val="17365D"/>
        </w:rPr>
        <w:t> </w:t>
      </w:r>
      <w:r w:rsidRPr="007B6427">
        <w:rPr>
          <w:rFonts w:eastAsia="Arial Unicode MS"/>
          <w:color w:val="17365D"/>
        </w:rPr>
        <w:t>042</w:t>
      </w:r>
      <w:r>
        <w:rPr>
          <w:rFonts w:eastAsia="Arial Unicode MS"/>
          <w:color w:val="17365D"/>
        </w:rPr>
        <w:t>)</w:t>
      </w:r>
      <w:r w:rsidRPr="00C90D8D">
        <w:rPr>
          <w:rFonts w:eastAsia="Arial Unicode MS"/>
          <w:color w:val="17365D"/>
        </w:rPr>
        <w:t xml:space="preserve"> </w:t>
      </w:r>
      <w:r w:rsidRPr="00C87349">
        <w:rPr>
          <w:rFonts w:eastAsia="Arial Unicode MS"/>
          <w:i/>
          <w:iCs/>
          <w:color w:val="17365D"/>
        </w:rPr>
        <w:t>euro</w:t>
      </w:r>
      <w:r w:rsidRPr="007B6427">
        <w:rPr>
          <w:rFonts w:eastAsia="Arial Unicode MS"/>
          <w:color w:val="17365D"/>
        </w:rPr>
        <w:t xml:space="preserve"> vērtībā;</w:t>
      </w:r>
    </w:p>
    <w:p w14:paraId="1C439199" w14:textId="72D88B19" w:rsidR="00D74371" w:rsidRPr="00DD5984" w:rsidRDefault="00D74371" w:rsidP="00C90D8D">
      <w:pPr>
        <w:pStyle w:val="Pamatteksts1"/>
        <w:numPr>
          <w:ilvl w:val="0"/>
          <w:numId w:val="30"/>
        </w:numPr>
        <w:spacing w:before="120"/>
        <w:ind w:left="851" w:hanging="357"/>
        <w:rPr>
          <w:rFonts w:eastAsia="Arial Unicode MS"/>
          <w:color w:val="17365D"/>
        </w:rPr>
      </w:pPr>
      <w:r>
        <w:rPr>
          <w:rFonts w:eastAsia="Arial Unicode MS"/>
          <w:color w:val="17365D"/>
        </w:rPr>
        <w:t>p</w:t>
      </w:r>
      <w:r w:rsidRPr="007B6427">
        <w:rPr>
          <w:rFonts w:eastAsia="Arial Unicode MS"/>
          <w:color w:val="17365D"/>
        </w:rPr>
        <w:t>ārējie izdevumi, kas nav klasificēti A21 līdz A30 rindā</w:t>
      </w:r>
      <w:r w:rsidR="00161C5B">
        <w:rPr>
          <w:rFonts w:eastAsia="Arial Unicode MS"/>
          <w:color w:val="17365D"/>
        </w:rPr>
        <w:t>,</w:t>
      </w:r>
      <w:r>
        <w:rPr>
          <w:rFonts w:eastAsia="Arial Unicode MS"/>
          <w:color w:val="17365D"/>
        </w:rPr>
        <w:t xml:space="preserve"> – (</w:t>
      </w:r>
      <w:r w:rsidRPr="007B6427">
        <w:rPr>
          <w:rFonts w:eastAsia="Arial Unicode MS"/>
          <w:color w:val="17365D"/>
        </w:rPr>
        <w:t>6 875 539</w:t>
      </w:r>
      <w:r>
        <w:rPr>
          <w:rFonts w:eastAsia="Arial Unicode MS"/>
          <w:color w:val="17365D"/>
        </w:rPr>
        <w:t> </w:t>
      </w:r>
      <w:r w:rsidRPr="007B6427">
        <w:rPr>
          <w:rFonts w:eastAsia="Arial Unicode MS"/>
          <w:color w:val="17365D"/>
        </w:rPr>
        <w:t>765</w:t>
      </w:r>
      <w:r>
        <w:rPr>
          <w:rFonts w:eastAsia="Arial Unicode MS"/>
          <w:color w:val="17365D"/>
        </w:rPr>
        <w:t>)</w:t>
      </w:r>
      <w:r w:rsidRPr="00C90D8D">
        <w:rPr>
          <w:rFonts w:eastAsia="Arial Unicode MS"/>
          <w:color w:val="17365D"/>
        </w:rPr>
        <w:t xml:space="preserve"> </w:t>
      </w:r>
      <w:r w:rsidRPr="00C87349">
        <w:rPr>
          <w:rFonts w:eastAsia="Arial Unicode MS"/>
          <w:i/>
          <w:iCs/>
          <w:color w:val="17365D"/>
        </w:rPr>
        <w:t>euro</w:t>
      </w:r>
      <w:r w:rsidRPr="007B6427">
        <w:rPr>
          <w:rFonts w:eastAsia="Arial Unicode MS"/>
          <w:color w:val="17365D"/>
        </w:rPr>
        <w:t xml:space="preserve"> vērtībā</w:t>
      </w:r>
      <w:r>
        <w:rPr>
          <w:rFonts w:eastAsia="Arial Unicode MS"/>
          <w:color w:val="17365D"/>
        </w:rPr>
        <w:t>.</w:t>
      </w:r>
    </w:p>
    <w:p w14:paraId="07865C99" w14:textId="712FF415" w:rsidR="003B475A" w:rsidRPr="00A27896" w:rsidRDefault="003B475A" w:rsidP="004E5915">
      <w:pPr>
        <w:pStyle w:val="Pamatteksts1"/>
        <w:numPr>
          <w:ilvl w:val="0"/>
          <w:numId w:val="12"/>
        </w:numPr>
        <w:ind w:left="851" w:firstLine="284"/>
        <w:rPr>
          <w:b/>
          <w:bCs/>
          <w:iCs/>
          <w:color w:val="17365D"/>
        </w:rPr>
      </w:pPr>
      <w:r w:rsidRPr="00A27896">
        <w:rPr>
          <w:color w:val="17365D"/>
        </w:rPr>
        <w:br w:type="page"/>
      </w:r>
    </w:p>
    <w:p w14:paraId="378C5CCB" w14:textId="6E6082C9" w:rsidR="00423745" w:rsidRPr="00A27896" w:rsidRDefault="00423745" w:rsidP="004873C9">
      <w:pPr>
        <w:pStyle w:val="Heading3"/>
      </w:pPr>
      <w:r w:rsidRPr="004873C9">
        <w:lastRenderedPageBreak/>
        <w:t>Paskaidrojumi</w:t>
      </w:r>
      <w:r w:rsidRPr="00454F1D">
        <w:t xml:space="preserve"> konsolidētā</w:t>
      </w:r>
      <w:r w:rsidRPr="00A27896">
        <w:t xml:space="preserve"> naudas plūsmas pārskata posteņiem</w:t>
      </w:r>
    </w:p>
    <w:p w14:paraId="4715F223" w14:textId="77777777" w:rsidR="00224ABF" w:rsidRPr="00905AEC" w:rsidRDefault="00224ABF" w:rsidP="00051043">
      <w:pPr>
        <w:pStyle w:val="Pamatteksts1"/>
        <w:ind w:firstLine="0"/>
        <w:rPr>
          <w:color w:val="17365D"/>
        </w:rPr>
      </w:pPr>
      <w:r w:rsidRPr="00905AEC">
        <w:rPr>
          <w:color w:val="17365D"/>
        </w:rPr>
        <w:t>Konsolidētajā naudas plūsmas pārskatā dati salīdzināti ar 20</w:t>
      </w:r>
      <w:r>
        <w:rPr>
          <w:color w:val="17365D"/>
        </w:rPr>
        <w:t>22</w:t>
      </w:r>
      <w:r w:rsidRPr="00905AEC">
        <w:rPr>
          <w:color w:val="17365D"/>
        </w:rPr>
        <w:t>. gada datiem.</w:t>
      </w:r>
    </w:p>
    <w:p w14:paraId="2FF7033B" w14:textId="77777777" w:rsidR="00224ABF" w:rsidRPr="00905AEC" w:rsidRDefault="00224ABF" w:rsidP="00051043">
      <w:pPr>
        <w:pStyle w:val="Pamatteksts1"/>
        <w:ind w:firstLine="0"/>
        <w:rPr>
          <w:color w:val="17365D"/>
        </w:rPr>
      </w:pPr>
      <w:r w:rsidRPr="00905AEC">
        <w:rPr>
          <w:color w:val="17365D"/>
        </w:rPr>
        <w:t>202</w:t>
      </w:r>
      <w:r>
        <w:rPr>
          <w:color w:val="17365D"/>
        </w:rPr>
        <w:t>3</w:t>
      </w:r>
      <w:r w:rsidRPr="00905AEC">
        <w:rPr>
          <w:color w:val="17365D"/>
        </w:rPr>
        <w:t xml:space="preserve">. gadā konsolidētais naudas līdzekļu ieņēmumu pārsniegums pār izdevumiem uzrādīts </w:t>
      </w:r>
      <w:r>
        <w:rPr>
          <w:color w:val="17365D"/>
        </w:rPr>
        <w:t>4</w:t>
      </w:r>
      <w:r w:rsidRPr="00905AEC">
        <w:rPr>
          <w:color w:val="17365D"/>
        </w:rPr>
        <w:t> </w:t>
      </w:r>
      <w:r>
        <w:rPr>
          <w:color w:val="17365D"/>
        </w:rPr>
        <w:t>092</w:t>
      </w:r>
      <w:r w:rsidRPr="00905AEC">
        <w:rPr>
          <w:color w:val="17365D"/>
        </w:rPr>
        <w:t> </w:t>
      </w:r>
      <w:r>
        <w:rPr>
          <w:color w:val="17365D"/>
        </w:rPr>
        <w:t>115</w:t>
      </w:r>
      <w:r w:rsidRPr="00905AEC">
        <w:rPr>
          <w:color w:val="17365D"/>
        </w:rPr>
        <w:t xml:space="preserve"> </w:t>
      </w:r>
      <w:r w:rsidRPr="00905AEC">
        <w:rPr>
          <w:i/>
          <w:color w:val="17365D"/>
        </w:rPr>
        <w:t>euro</w:t>
      </w:r>
      <w:r w:rsidRPr="00905AEC">
        <w:rPr>
          <w:color w:val="17365D"/>
        </w:rPr>
        <w:t xml:space="preserve"> vērtībā.</w:t>
      </w:r>
    </w:p>
    <w:p w14:paraId="6A141D61" w14:textId="77777777" w:rsidR="00224ABF" w:rsidRDefault="00224ABF" w:rsidP="004873C9">
      <w:pPr>
        <w:pStyle w:val="Heading3"/>
      </w:pPr>
      <w:r w:rsidRPr="00D81FB8">
        <w:t xml:space="preserve">Naudas līdzekļu plūsma no pamatdarbības </w:t>
      </w:r>
    </w:p>
    <w:p w14:paraId="4F6C18F3" w14:textId="77777777" w:rsidR="00224ABF" w:rsidRPr="00905AEC" w:rsidRDefault="00224ABF" w:rsidP="00224ABF">
      <w:pPr>
        <w:pStyle w:val="Tabulasnosaukums"/>
        <w:spacing w:before="0"/>
        <w:rPr>
          <w:rFonts w:eastAsia="Arial Unicode MS"/>
          <w:color w:val="17365D"/>
          <w:szCs w:val="20"/>
        </w:rPr>
      </w:pPr>
      <w:r>
        <w:rPr>
          <w:rFonts w:eastAsia="Arial Unicode MS"/>
          <w:color w:val="17365D"/>
          <w:szCs w:val="20"/>
        </w:rPr>
        <w:t>3.1</w:t>
      </w:r>
      <w:r w:rsidRPr="00905AEC">
        <w:rPr>
          <w:rFonts w:eastAsia="Arial Unicode MS"/>
          <w:color w:val="17365D"/>
          <w:szCs w:val="20"/>
        </w:rPr>
        <w:t>. tabula. Ieņēmumi un izdevumi no pamatdarbības (euro)</w:t>
      </w:r>
    </w:p>
    <w:tbl>
      <w:tblPr>
        <w:tblW w:w="9356" w:type="dxa"/>
        <w:tblLayout w:type="fixed"/>
        <w:tblLook w:val="04A0" w:firstRow="1" w:lastRow="0" w:firstColumn="1" w:lastColumn="0" w:noHBand="0" w:noVBand="1"/>
      </w:tblPr>
      <w:tblGrid>
        <w:gridCol w:w="2552"/>
        <w:gridCol w:w="851"/>
        <w:gridCol w:w="1559"/>
        <w:gridCol w:w="1559"/>
        <w:gridCol w:w="1560"/>
        <w:gridCol w:w="1275"/>
      </w:tblGrid>
      <w:tr w:rsidR="00224ABF" w:rsidRPr="002725D3" w14:paraId="493C4903" w14:textId="77777777" w:rsidTr="00051043">
        <w:trPr>
          <w:trHeight w:hRule="exact" w:val="20"/>
          <w:tblHeader/>
        </w:trPr>
        <w:tc>
          <w:tcPr>
            <w:tcW w:w="2552" w:type="dxa"/>
            <w:vMerge w:val="restart"/>
            <w:shd w:val="clear" w:color="auto" w:fill="B9CDE5"/>
            <w:vAlign w:val="center"/>
            <w:hideMark/>
          </w:tcPr>
          <w:p w14:paraId="0105F4A1" w14:textId="77777777" w:rsidR="00224ABF" w:rsidRPr="002725D3" w:rsidRDefault="00224ABF" w:rsidP="00051043">
            <w:pPr>
              <w:spacing w:after="0" w:line="240" w:lineRule="auto"/>
              <w:ind w:hanging="62"/>
              <w:jc w:val="center"/>
              <w:rPr>
                <w:rFonts w:cs="Times New Roman"/>
                <w:b/>
                <w:color w:val="17365D"/>
                <w:sz w:val="18"/>
                <w:szCs w:val="18"/>
                <w:lang w:eastAsia="lv-LV"/>
              </w:rPr>
            </w:pPr>
            <w:r w:rsidRPr="002725D3">
              <w:rPr>
                <w:rFonts w:cs="Times New Roman"/>
                <w:b/>
                <w:color w:val="17365D"/>
                <w:sz w:val="18"/>
                <w:szCs w:val="18"/>
                <w:lang w:eastAsia="lv-LV"/>
              </w:rPr>
              <w:t>Rādītājs</w:t>
            </w:r>
          </w:p>
        </w:tc>
        <w:tc>
          <w:tcPr>
            <w:tcW w:w="851" w:type="dxa"/>
            <w:vMerge w:val="restart"/>
            <w:shd w:val="clear" w:color="auto" w:fill="B9CDE5"/>
            <w:vAlign w:val="center"/>
            <w:hideMark/>
          </w:tcPr>
          <w:p w14:paraId="5C866980" w14:textId="77777777" w:rsidR="00224ABF" w:rsidRPr="002725D3" w:rsidRDefault="00224ABF" w:rsidP="00224ABF">
            <w:pPr>
              <w:spacing w:after="0" w:line="240" w:lineRule="auto"/>
              <w:ind w:right="-109"/>
              <w:jc w:val="center"/>
              <w:rPr>
                <w:rFonts w:cs="Times New Roman"/>
                <w:b/>
                <w:color w:val="17365D"/>
                <w:sz w:val="18"/>
                <w:szCs w:val="18"/>
                <w:lang w:eastAsia="lv-LV"/>
              </w:rPr>
            </w:pPr>
            <w:r w:rsidRPr="002725D3">
              <w:rPr>
                <w:rFonts w:cs="Times New Roman"/>
                <w:b/>
                <w:color w:val="17365D"/>
                <w:sz w:val="18"/>
                <w:szCs w:val="18"/>
                <w:lang w:eastAsia="lv-LV"/>
              </w:rPr>
              <w:t>Piezīmes Nr.</w:t>
            </w:r>
          </w:p>
        </w:tc>
        <w:tc>
          <w:tcPr>
            <w:tcW w:w="1559" w:type="dxa"/>
            <w:vMerge w:val="restart"/>
            <w:shd w:val="clear" w:color="auto" w:fill="B9CDE5"/>
            <w:vAlign w:val="center"/>
            <w:hideMark/>
          </w:tcPr>
          <w:p w14:paraId="2B8A495D" w14:textId="77777777" w:rsidR="00224ABF" w:rsidRPr="002725D3" w:rsidRDefault="00224ABF" w:rsidP="00224ABF">
            <w:pPr>
              <w:spacing w:after="0" w:line="240" w:lineRule="auto"/>
              <w:jc w:val="center"/>
              <w:rPr>
                <w:rFonts w:cs="Times New Roman"/>
                <w:b/>
                <w:color w:val="17365D"/>
                <w:sz w:val="18"/>
                <w:szCs w:val="18"/>
                <w:lang w:eastAsia="lv-LV"/>
              </w:rPr>
            </w:pPr>
            <w:r w:rsidRPr="002725D3">
              <w:rPr>
                <w:rFonts w:cs="Times New Roman"/>
                <w:b/>
                <w:color w:val="17365D"/>
                <w:sz w:val="18"/>
                <w:szCs w:val="18"/>
                <w:lang w:eastAsia="lv-LV"/>
              </w:rPr>
              <w:t>Pārskata periods</w:t>
            </w:r>
          </w:p>
        </w:tc>
        <w:tc>
          <w:tcPr>
            <w:tcW w:w="1559" w:type="dxa"/>
            <w:vMerge w:val="restart"/>
            <w:shd w:val="clear" w:color="auto" w:fill="B9CDE5"/>
            <w:vAlign w:val="center"/>
            <w:hideMark/>
          </w:tcPr>
          <w:p w14:paraId="732D4F5F" w14:textId="77777777" w:rsidR="00224ABF" w:rsidRPr="002725D3" w:rsidRDefault="00224ABF" w:rsidP="00224ABF">
            <w:pPr>
              <w:spacing w:after="0" w:line="240" w:lineRule="auto"/>
              <w:jc w:val="center"/>
              <w:rPr>
                <w:rFonts w:cs="Times New Roman"/>
                <w:b/>
                <w:color w:val="17365D"/>
                <w:sz w:val="18"/>
                <w:szCs w:val="18"/>
                <w:lang w:eastAsia="lv-LV"/>
              </w:rPr>
            </w:pPr>
            <w:r w:rsidRPr="002725D3">
              <w:rPr>
                <w:rFonts w:cs="Times New Roman"/>
                <w:b/>
                <w:color w:val="17365D"/>
                <w:sz w:val="18"/>
                <w:szCs w:val="18"/>
                <w:lang w:eastAsia="lv-LV"/>
              </w:rPr>
              <w:t>Iepriekšējais pārskata periods</w:t>
            </w:r>
          </w:p>
        </w:tc>
        <w:tc>
          <w:tcPr>
            <w:tcW w:w="1560" w:type="dxa"/>
            <w:vMerge w:val="restart"/>
            <w:shd w:val="clear" w:color="auto" w:fill="B9CDE5"/>
            <w:vAlign w:val="center"/>
            <w:hideMark/>
          </w:tcPr>
          <w:p w14:paraId="2C4AE081" w14:textId="77777777" w:rsidR="00224ABF" w:rsidRPr="002725D3" w:rsidRDefault="00224ABF" w:rsidP="00224ABF">
            <w:pPr>
              <w:spacing w:after="0" w:line="240" w:lineRule="auto"/>
              <w:ind w:left="-108" w:right="-108"/>
              <w:jc w:val="center"/>
              <w:rPr>
                <w:rFonts w:cs="Times New Roman"/>
                <w:b/>
                <w:color w:val="17365D"/>
                <w:sz w:val="18"/>
                <w:szCs w:val="18"/>
                <w:lang w:eastAsia="lv-LV"/>
              </w:rPr>
            </w:pPr>
            <w:r w:rsidRPr="002725D3">
              <w:rPr>
                <w:rFonts w:cs="Times New Roman"/>
                <w:b/>
                <w:color w:val="17365D"/>
                <w:sz w:val="18"/>
                <w:szCs w:val="18"/>
                <w:lang w:eastAsia="lv-LV"/>
              </w:rPr>
              <w:t>Palielinājums (+), samazinājums (-) (1. - 2.)</w:t>
            </w:r>
          </w:p>
        </w:tc>
        <w:tc>
          <w:tcPr>
            <w:tcW w:w="1275" w:type="dxa"/>
            <w:vMerge w:val="restart"/>
            <w:shd w:val="clear" w:color="auto" w:fill="B9CDE5"/>
            <w:vAlign w:val="center"/>
            <w:hideMark/>
          </w:tcPr>
          <w:p w14:paraId="4F938B68" w14:textId="77777777" w:rsidR="00224ABF" w:rsidRPr="002725D3" w:rsidRDefault="00224ABF" w:rsidP="00224ABF">
            <w:pPr>
              <w:spacing w:after="0" w:line="240" w:lineRule="auto"/>
              <w:ind w:left="-107" w:right="-108"/>
              <w:jc w:val="center"/>
              <w:rPr>
                <w:rFonts w:cs="Times New Roman"/>
                <w:b/>
                <w:color w:val="17365D"/>
                <w:sz w:val="18"/>
                <w:szCs w:val="18"/>
                <w:lang w:eastAsia="lv-LV"/>
              </w:rPr>
            </w:pPr>
            <w:r w:rsidRPr="002725D3">
              <w:rPr>
                <w:rFonts w:cs="Times New Roman"/>
                <w:b/>
                <w:color w:val="17365D"/>
                <w:sz w:val="18"/>
                <w:szCs w:val="18"/>
                <w:lang w:eastAsia="lv-LV"/>
              </w:rPr>
              <w:t xml:space="preserve">Procentuālās izmaiņas </w:t>
            </w:r>
          </w:p>
          <w:p w14:paraId="6A57E6C0" w14:textId="77777777" w:rsidR="00224ABF" w:rsidRPr="002725D3" w:rsidRDefault="00224ABF" w:rsidP="00224ABF">
            <w:pPr>
              <w:spacing w:after="0" w:line="240" w:lineRule="auto"/>
              <w:jc w:val="center"/>
              <w:rPr>
                <w:rFonts w:cs="Times New Roman"/>
                <w:b/>
                <w:color w:val="17365D"/>
                <w:sz w:val="18"/>
                <w:szCs w:val="18"/>
                <w:lang w:eastAsia="lv-LV"/>
              </w:rPr>
            </w:pPr>
            <w:r>
              <w:rPr>
                <w:rFonts w:cs="Times New Roman"/>
                <w:b/>
                <w:color w:val="17365D"/>
                <w:sz w:val="18"/>
                <w:szCs w:val="18"/>
                <w:lang w:eastAsia="lv-LV"/>
              </w:rPr>
              <w:t>(3</w:t>
            </w:r>
            <w:r w:rsidRPr="002725D3">
              <w:rPr>
                <w:rFonts w:cs="Times New Roman"/>
                <w:b/>
                <w:color w:val="17365D"/>
                <w:sz w:val="18"/>
                <w:szCs w:val="18"/>
                <w:lang w:eastAsia="lv-LV"/>
              </w:rPr>
              <w:t>. / 2. x 100)</w:t>
            </w:r>
          </w:p>
        </w:tc>
      </w:tr>
      <w:tr w:rsidR="00224ABF" w:rsidRPr="002725D3" w14:paraId="38DABDA6" w14:textId="77777777" w:rsidTr="00051043">
        <w:trPr>
          <w:trHeight w:val="517"/>
        </w:trPr>
        <w:tc>
          <w:tcPr>
            <w:tcW w:w="2552" w:type="dxa"/>
            <w:vMerge/>
            <w:shd w:val="clear" w:color="auto" w:fill="B9CDE5"/>
            <w:vAlign w:val="center"/>
            <w:hideMark/>
          </w:tcPr>
          <w:p w14:paraId="28C9DC32" w14:textId="77777777" w:rsidR="00224ABF" w:rsidRPr="002725D3" w:rsidRDefault="00224ABF" w:rsidP="00224ABF">
            <w:pPr>
              <w:spacing w:after="0" w:line="240" w:lineRule="auto"/>
              <w:rPr>
                <w:rFonts w:cs="Times New Roman"/>
                <w:b/>
                <w:color w:val="17365D"/>
                <w:sz w:val="18"/>
                <w:szCs w:val="18"/>
                <w:lang w:eastAsia="lv-LV"/>
              </w:rPr>
            </w:pPr>
          </w:p>
        </w:tc>
        <w:tc>
          <w:tcPr>
            <w:tcW w:w="851" w:type="dxa"/>
            <w:vMerge/>
            <w:shd w:val="clear" w:color="auto" w:fill="B9CDE5"/>
            <w:vAlign w:val="center"/>
            <w:hideMark/>
          </w:tcPr>
          <w:p w14:paraId="6311376A" w14:textId="77777777" w:rsidR="00224ABF" w:rsidRPr="002725D3" w:rsidRDefault="00224ABF" w:rsidP="00224ABF">
            <w:pPr>
              <w:spacing w:after="0" w:line="240" w:lineRule="auto"/>
              <w:rPr>
                <w:rFonts w:cs="Times New Roman"/>
                <w:b/>
                <w:color w:val="17365D"/>
                <w:sz w:val="18"/>
                <w:szCs w:val="18"/>
                <w:lang w:eastAsia="lv-LV"/>
              </w:rPr>
            </w:pPr>
          </w:p>
        </w:tc>
        <w:tc>
          <w:tcPr>
            <w:tcW w:w="1559" w:type="dxa"/>
            <w:vMerge/>
            <w:shd w:val="clear" w:color="auto" w:fill="B9CDE5"/>
            <w:vAlign w:val="center"/>
            <w:hideMark/>
          </w:tcPr>
          <w:p w14:paraId="2687C1C4" w14:textId="77777777" w:rsidR="00224ABF" w:rsidRPr="002725D3" w:rsidRDefault="00224ABF" w:rsidP="00224ABF">
            <w:pPr>
              <w:spacing w:after="0" w:line="240" w:lineRule="auto"/>
              <w:rPr>
                <w:rFonts w:cs="Times New Roman"/>
                <w:b/>
                <w:color w:val="17365D"/>
                <w:sz w:val="18"/>
                <w:szCs w:val="18"/>
                <w:lang w:eastAsia="lv-LV"/>
              </w:rPr>
            </w:pPr>
          </w:p>
        </w:tc>
        <w:tc>
          <w:tcPr>
            <w:tcW w:w="1559" w:type="dxa"/>
            <w:vMerge/>
            <w:shd w:val="clear" w:color="auto" w:fill="B9CDE5"/>
            <w:vAlign w:val="center"/>
            <w:hideMark/>
          </w:tcPr>
          <w:p w14:paraId="41213107" w14:textId="77777777" w:rsidR="00224ABF" w:rsidRPr="002725D3" w:rsidRDefault="00224ABF" w:rsidP="00224ABF">
            <w:pPr>
              <w:spacing w:after="0" w:line="240" w:lineRule="auto"/>
              <w:rPr>
                <w:rFonts w:cs="Times New Roman"/>
                <w:b/>
                <w:color w:val="17365D"/>
                <w:sz w:val="18"/>
                <w:szCs w:val="18"/>
                <w:lang w:eastAsia="lv-LV"/>
              </w:rPr>
            </w:pPr>
          </w:p>
        </w:tc>
        <w:tc>
          <w:tcPr>
            <w:tcW w:w="1560" w:type="dxa"/>
            <w:vMerge/>
            <w:shd w:val="clear" w:color="auto" w:fill="B9CDE5"/>
            <w:vAlign w:val="center"/>
            <w:hideMark/>
          </w:tcPr>
          <w:p w14:paraId="3162B58E" w14:textId="77777777" w:rsidR="00224ABF" w:rsidRPr="002725D3" w:rsidRDefault="00224ABF" w:rsidP="00224ABF">
            <w:pPr>
              <w:spacing w:after="0" w:line="240" w:lineRule="auto"/>
              <w:rPr>
                <w:rFonts w:cs="Times New Roman"/>
                <w:b/>
                <w:color w:val="17365D"/>
                <w:sz w:val="18"/>
                <w:szCs w:val="18"/>
                <w:lang w:eastAsia="lv-LV"/>
              </w:rPr>
            </w:pPr>
          </w:p>
        </w:tc>
        <w:tc>
          <w:tcPr>
            <w:tcW w:w="1275" w:type="dxa"/>
            <w:vMerge/>
            <w:shd w:val="clear" w:color="auto" w:fill="B9CDE5"/>
            <w:vAlign w:val="center"/>
            <w:hideMark/>
          </w:tcPr>
          <w:p w14:paraId="32DBE486" w14:textId="77777777" w:rsidR="00224ABF" w:rsidRPr="002725D3" w:rsidRDefault="00224ABF" w:rsidP="00224ABF">
            <w:pPr>
              <w:spacing w:after="0" w:line="240" w:lineRule="auto"/>
              <w:rPr>
                <w:rFonts w:cs="Times New Roman"/>
                <w:b/>
                <w:color w:val="17365D"/>
                <w:sz w:val="18"/>
                <w:szCs w:val="18"/>
                <w:lang w:eastAsia="lv-LV"/>
              </w:rPr>
            </w:pPr>
          </w:p>
        </w:tc>
      </w:tr>
      <w:tr w:rsidR="00224ABF" w:rsidRPr="002725D3" w14:paraId="06712530" w14:textId="77777777" w:rsidTr="00051043">
        <w:trPr>
          <w:trHeight w:val="517"/>
        </w:trPr>
        <w:tc>
          <w:tcPr>
            <w:tcW w:w="2552" w:type="dxa"/>
            <w:vMerge/>
            <w:tcBorders>
              <w:bottom w:val="single" w:sz="4" w:space="0" w:color="17365D"/>
            </w:tcBorders>
            <w:shd w:val="clear" w:color="auto" w:fill="B9CDE5"/>
            <w:vAlign w:val="center"/>
            <w:hideMark/>
          </w:tcPr>
          <w:p w14:paraId="3AAA6265" w14:textId="77777777" w:rsidR="00224ABF" w:rsidRPr="002725D3" w:rsidRDefault="00224ABF" w:rsidP="00224ABF">
            <w:pPr>
              <w:spacing w:after="0" w:line="240" w:lineRule="auto"/>
              <w:rPr>
                <w:rFonts w:cs="Times New Roman"/>
                <w:b/>
                <w:color w:val="17365D"/>
                <w:sz w:val="18"/>
                <w:szCs w:val="18"/>
                <w:lang w:eastAsia="lv-LV"/>
              </w:rPr>
            </w:pPr>
          </w:p>
        </w:tc>
        <w:tc>
          <w:tcPr>
            <w:tcW w:w="851" w:type="dxa"/>
            <w:vMerge/>
            <w:tcBorders>
              <w:bottom w:val="single" w:sz="4" w:space="0" w:color="17365D"/>
            </w:tcBorders>
            <w:shd w:val="clear" w:color="auto" w:fill="B9CDE5"/>
            <w:vAlign w:val="center"/>
            <w:hideMark/>
          </w:tcPr>
          <w:p w14:paraId="358D9568" w14:textId="77777777" w:rsidR="00224ABF" w:rsidRPr="002725D3" w:rsidRDefault="00224ABF" w:rsidP="00224ABF">
            <w:pPr>
              <w:spacing w:after="0" w:line="240" w:lineRule="auto"/>
              <w:rPr>
                <w:rFonts w:cs="Times New Roman"/>
                <w:b/>
                <w:color w:val="17365D"/>
                <w:sz w:val="18"/>
                <w:szCs w:val="18"/>
                <w:lang w:eastAsia="lv-LV"/>
              </w:rPr>
            </w:pPr>
          </w:p>
        </w:tc>
        <w:tc>
          <w:tcPr>
            <w:tcW w:w="1559" w:type="dxa"/>
            <w:vMerge/>
            <w:tcBorders>
              <w:bottom w:val="single" w:sz="4" w:space="0" w:color="17365D"/>
            </w:tcBorders>
            <w:shd w:val="clear" w:color="auto" w:fill="B9CDE5"/>
            <w:vAlign w:val="center"/>
            <w:hideMark/>
          </w:tcPr>
          <w:p w14:paraId="13A99305" w14:textId="77777777" w:rsidR="00224ABF" w:rsidRPr="002725D3" w:rsidRDefault="00224ABF" w:rsidP="00224ABF">
            <w:pPr>
              <w:spacing w:after="0" w:line="240" w:lineRule="auto"/>
              <w:rPr>
                <w:rFonts w:cs="Times New Roman"/>
                <w:b/>
                <w:color w:val="17365D"/>
                <w:sz w:val="18"/>
                <w:szCs w:val="18"/>
                <w:lang w:eastAsia="lv-LV"/>
              </w:rPr>
            </w:pPr>
          </w:p>
        </w:tc>
        <w:tc>
          <w:tcPr>
            <w:tcW w:w="1559" w:type="dxa"/>
            <w:vMerge/>
            <w:tcBorders>
              <w:bottom w:val="single" w:sz="4" w:space="0" w:color="17365D"/>
            </w:tcBorders>
            <w:shd w:val="clear" w:color="auto" w:fill="B9CDE5"/>
            <w:vAlign w:val="center"/>
            <w:hideMark/>
          </w:tcPr>
          <w:p w14:paraId="6B79F14B" w14:textId="77777777" w:rsidR="00224ABF" w:rsidRPr="002725D3" w:rsidRDefault="00224ABF" w:rsidP="00224ABF">
            <w:pPr>
              <w:spacing w:after="0" w:line="240" w:lineRule="auto"/>
              <w:rPr>
                <w:rFonts w:cs="Times New Roman"/>
                <w:b/>
                <w:color w:val="17365D"/>
                <w:sz w:val="18"/>
                <w:szCs w:val="18"/>
                <w:lang w:eastAsia="lv-LV"/>
              </w:rPr>
            </w:pPr>
          </w:p>
        </w:tc>
        <w:tc>
          <w:tcPr>
            <w:tcW w:w="1560" w:type="dxa"/>
            <w:vMerge/>
            <w:tcBorders>
              <w:bottom w:val="single" w:sz="4" w:space="0" w:color="17365D"/>
            </w:tcBorders>
            <w:shd w:val="clear" w:color="auto" w:fill="B9CDE5"/>
            <w:vAlign w:val="center"/>
            <w:hideMark/>
          </w:tcPr>
          <w:p w14:paraId="402AB937" w14:textId="77777777" w:rsidR="00224ABF" w:rsidRPr="002725D3" w:rsidRDefault="00224ABF" w:rsidP="00224ABF">
            <w:pPr>
              <w:spacing w:after="0" w:line="240" w:lineRule="auto"/>
              <w:rPr>
                <w:rFonts w:cs="Times New Roman"/>
                <w:b/>
                <w:color w:val="17365D"/>
                <w:sz w:val="18"/>
                <w:szCs w:val="18"/>
                <w:lang w:eastAsia="lv-LV"/>
              </w:rPr>
            </w:pPr>
          </w:p>
        </w:tc>
        <w:tc>
          <w:tcPr>
            <w:tcW w:w="1275" w:type="dxa"/>
            <w:vMerge/>
            <w:tcBorders>
              <w:bottom w:val="single" w:sz="4" w:space="0" w:color="17365D"/>
            </w:tcBorders>
            <w:shd w:val="clear" w:color="auto" w:fill="B9CDE5"/>
            <w:vAlign w:val="center"/>
            <w:hideMark/>
          </w:tcPr>
          <w:p w14:paraId="42104D45" w14:textId="77777777" w:rsidR="00224ABF" w:rsidRPr="002725D3" w:rsidRDefault="00224ABF" w:rsidP="00224ABF">
            <w:pPr>
              <w:spacing w:after="0" w:line="240" w:lineRule="auto"/>
              <w:rPr>
                <w:rFonts w:cs="Times New Roman"/>
                <w:b/>
                <w:color w:val="17365D"/>
                <w:sz w:val="18"/>
                <w:szCs w:val="18"/>
                <w:lang w:eastAsia="lv-LV"/>
              </w:rPr>
            </w:pPr>
          </w:p>
        </w:tc>
      </w:tr>
      <w:tr w:rsidR="00224ABF" w:rsidRPr="002725D3" w14:paraId="704BA748" w14:textId="77777777" w:rsidTr="00051043">
        <w:trPr>
          <w:trHeight w:val="60"/>
        </w:trPr>
        <w:tc>
          <w:tcPr>
            <w:tcW w:w="2552" w:type="dxa"/>
            <w:tcBorders>
              <w:top w:val="single" w:sz="4" w:space="0" w:color="17365D"/>
              <w:bottom w:val="single" w:sz="4" w:space="0" w:color="17365D"/>
            </w:tcBorders>
            <w:shd w:val="clear" w:color="auto" w:fill="auto"/>
            <w:vAlign w:val="center"/>
            <w:hideMark/>
          </w:tcPr>
          <w:p w14:paraId="3DAC631A" w14:textId="77777777" w:rsidR="00224ABF" w:rsidRPr="002725D3" w:rsidRDefault="00224ABF" w:rsidP="00224ABF">
            <w:pPr>
              <w:spacing w:after="0" w:line="240" w:lineRule="auto"/>
              <w:jc w:val="center"/>
              <w:rPr>
                <w:rFonts w:cs="Times New Roman"/>
                <w:b/>
                <w:color w:val="17365D"/>
                <w:sz w:val="18"/>
                <w:szCs w:val="18"/>
                <w:lang w:eastAsia="lv-LV"/>
              </w:rPr>
            </w:pPr>
            <w:r w:rsidRPr="002725D3">
              <w:rPr>
                <w:rFonts w:cs="Times New Roman"/>
                <w:b/>
                <w:color w:val="17365D"/>
                <w:sz w:val="18"/>
                <w:szCs w:val="18"/>
                <w:lang w:eastAsia="lv-LV"/>
              </w:rPr>
              <w:t>A</w:t>
            </w:r>
          </w:p>
        </w:tc>
        <w:tc>
          <w:tcPr>
            <w:tcW w:w="851" w:type="dxa"/>
            <w:tcBorders>
              <w:top w:val="single" w:sz="4" w:space="0" w:color="17365D"/>
              <w:bottom w:val="single" w:sz="4" w:space="0" w:color="17365D"/>
            </w:tcBorders>
            <w:shd w:val="clear" w:color="auto" w:fill="auto"/>
            <w:vAlign w:val="center"/>
            <w:hideMark/>
          </w:tcPr>
          <w:p w14:paraId="1962ACEC" w14:textId="77777777" w:rsidR="00224ABF" w:rsidRPr="002725D3" w:rsidRDefault="00224ABF" w:rsidP="00224ABF">
            <w:pPr>
              <w:spacing w:after="0" w:line="240" w:lineRule="auto"/>
              <w:jc w:val="center"/>
              <w:rPr>
                <w:rFonts w:cs="Times New Roman"/>
                <w:b/>
                <w:color w:val="17365D"/>
                <w:sz w:val="18"/>
                <w:szCs w:val="18"/>
                <w:lang w:eastAsia="lv-LV"/>
              </w:rPr>
            </w:pPr>
            <w:r w:rsidRPr="002725D3">
              <w:rPr>
                <w:rFonts w:cs="Times New Roman"/>
                <w:b/>
                <w:color w:val="17365D"/>
                <w:sz w:val="18"/>
                <w:szCs w:val="18"/>
                <w:lang w:eastAsia="lv-LV"/>
              </w:rPr>
              <w:t>B</w:t>
            </w:r>
          </w:p>
        </w:tc>
        <w:tc>
          <w:tcPr>
            <w:tcW w:w="1559" w:type="dxa"/>
            <w:tcBorders>
              <w:top w:val="single" w:sz="4" w:space="0" w:color="17365D"/>
              <w:bottom w:val="single" w:sz="4" w:space="0" w:color="17365D"/>
            </w:tcBorders>
            <w:shd w:val="clear" w:color="auto" w:fill="auto"/>
            <w:vAlign w:val="center"/>
            <w:hideMark/>
          </w:tcPr>
          <w:p w14:paraId="7990905B" w14:textId="77777777" w:rsidR="00224ABF" w:rsidRPr="002725D3" w:rsidRDefault="00224ABF" w:rsidP="00224ABF">
            <w:pPr>
              <w:spacing w:after="0" w:line="240" w:lineRule="auto"/>
              <w:jc w:val="center"/>
              <w:rPr>
                <w:rFonts w:cs="Times New Roman"/>
                <w:b/>
                <w:color w:val="17365D"/>
                <w:sz w:val="18"/>
                <w:szCs w:val="18"/>
                <w:lang w:eastAsia="lv-LV"/>
              </w:rPr>
            </w:pPr>
            <w:r w:rsidRPr="002725D3">
              <w:rPr>
                <w:rFonts w:cs="Times New Roman"/>
                <w:b/>
                <w:color w:val="17365D"/>
                <w:sz w:val="18"/>
                <w:szCs w:val="18"/>
                <w:lang w:eastAsia="lv-LV"/>
              </w:rPr>
              <w:t>1</w:t>
            </w:r>
          </w:p>
        </w:tc>
        <w:tc>
          <w:tcPr>
            <w:tcW w:w="1559" w:type="dxa"/>
            <w:tcBorders>
              <w:top w:val="single" w:sz="4" w:space="0" w:color="17365D"/>
              <w:bottom w:val="single" w:sz="4" w:space="0" w:color="17365D"/>
            </w:tcBorders>
            <w:shd w:val="clear" w:color="auto" w:fill="auto"/>
            <w:noWrap/>
            <w:vAlign w:val="center"/>
            <w:hideMark/>
          </w:tcPr>
          <w:p w14:paraId="39FEDCDC" w14:textId="77777777" w:rsidR="00224ABF" w:rsidRPr="002725D3" w:rsidRDefault="00224ABF" w:rsidP="00224ABF">
            <w:pPr>
              <w:spacing w:after="0" w:line="240" w:lineRule="auto"/>
              <w:jc w:val="center"/>
              <w:rPr>
                <w:rFonts w:cs="Times New Roman"/>
                <w:b/>
                <w:color w:val="17365D"/>
                <w:sz w:val="18"/>
                <w:szCs w:val="18"/>
                <w:lang w:eastAsia="lv-LV"/>
              </w:rPr>
            </w:pPr>
            <w:r w:rsidRPr="002725D3">
              <w:rPr>
                <w:rFonts w:cs="Times New Roman"/>
                <w:b/>
                <w:color w:val="17365D"/>
                <w:sz w:val="18"/>
                <w:szCs w:val="18"/>
                <w:lang w:eastAsia="lv-LV"/>
              </w:rPr>
              <w:t>2</w:t>
            </w:r>
          </w:p>
        </w:tc>
        <w:tc>
          <w:tcPr>
            <w:tcW w:w="1560" w:type="dxa"/>
            <w:tcBorders>
              <w:top w:val="single" w:sz="4" w:space="0" w:color="17365D"/>
              <w:bottom w:val="single" w:sz="4" w:space="0" w:color="17365D"/>
            </w:tcBorders>
            <w:shd w:val="clear" w:color="auto" w:fill="auto"/>
            <w:vAlign w:val="center"/>
            <w:hideMark/>
          </w:tcPr>
          <w:p w14:paraId="016BA9AF" w14:textId="77777777" w:rsidR="00224ABF" w:rsidRPr="002725D3" w:rsidRDefault="00224ABF" w:rsidP="00224ABF">
            <w:pPr>
              <w:spacing w:after="0" w:line="240" w:lineRule="auto"/>
              <w:jc w:val="center"/>
              <w:rPr>
                <w:rFonts w:cs="Times New Roman"/>
                <w:b/>
                <w:color w:val="17365D"/>
                <w:sz w:val="18"/>
                <w:szCs w:val="18"/>
                <w:lang w:eastAsia="lv-LV"/>
              </w:rPr>
            </w:pPr>
            <w:r w:rsidRPr="002725D3">
              <w:rPr>
                <w:rFonts w:cs="Times New Roman"/>
                <w:b/>
                <w:color w:val="17365D"/>
                <w:sz w:val="18"/>
                <w:szCs w:val="18"/>
                <w:lang w:eastAsia="lv-LV"/>
              </w:rPr>
              <w:t>3</w:t>
            </w:r>
          </w:p>
        </w:tc>
        <w:tc>
          <w:tcPr>
            <w:tcW w:w="1275" w:type="dxa"/>
            <w:tcBorders>
              <w:top w:val="single" w:sz="4" w:space="0" w:color="17365D"/>
              <w:bottom w:val="single" w:sz="4" w:space="0" w:color="17365D"/>
            </w:tcBorders>
            <w:shd w:val="clear" w:color="auto" w:fill="auto"/>
            <w:noWrap/>
            <w:vAlign w:val="center"/>
            <w:hideMark/>
          </w:tcPr>
          <w:p w14:paraId="1A59562C" w14:textId="77777777" w:rsidR="00224ABF" w:rsidRPr="002725D3" w:rsidRDefault="00224ABF" w:rsidP="00224ABF">
            <w:pPr>
              <w:spacing w:after="0" w:line="240" w:lineRule="auto"/>
              <w:jc w:val="center"/>
              <w:rPr>
                <w:rFonts w:cs="Times New Roman"/>
                <w:b/>
                <w:color w:val="17365D"/>
                <w:sz w:val="18"/>
                <w:szCs w:val="18"/>
                <w:lang w:eastAsia="lv-LV"/>
              </w:rPr>
            </w:pPr>
            <w:r w:rsidRPr="002725D3">
              <w:rPr>
                <w:rFonts w:cs="Times New Roman"/>
                <w:b/>
                <w:color w:val="17365D"/>
                <w:sz w:val="18"/>
                <w:szCs w:val="18"/>
                <w:lang w:eastAsia="lv-LV"/>
              </w:rPr>
              <w:t>4</w:t>
            </w:r>
          </w:p>
        </w:tc>
      </w:tr>
      <w:tr w:rsidR="00224ABF" w:rsidRPr="002725D3" w14:paraId="24110EB8" w14:textId="77777777" w:rsidTr="00873FDA">
        <w:trPr>
          <w:trHeight w:val="239"/>
        </w:trPr>
        <w:tc>
          <w:tcPr>
            <w:tcW w:w="2552" w:type="dxa"/>
            <w:tcBorders>
              <w:top w:val="single" w:sz="4" w:space="0" w:color="17365D"/>
              <w:bottom w:val="single" w:sz="4" w:space="0" w:color="17365D"/>
            </w:tcBorders>
            <w:shd w:val="clear" w:color="auto" w:fill="auto"/>
            <w:vAlign w:val="center"/>
            <w:hideMark/>
          </w:tcPr>
          <w:p w14:paraId="215D5D92" w14:textId="77777777" w:rsidR="00224ABF" w:rsidRPr="002725D3" w:rsidRDefault="00224ABF" w:rsidP="00224ABF">
            <w:pPr>
              <w:spacing w:after="0" w:line="240" w:lineRule="auto"/>
              <w:rPr>
                <w:rFonts w:cs="Times New Roman"/>
                <w:b/>
                <w:color w:val="17365D"/>
                <w:sz w:val="18"/>
                <w:szCs w:val="18"/>
                <w:lang w:eastAsia="lv-LV"/>
              </w:rPr>
            </w:pPr>
            <w:r w:rsidRPr="002725D3">
              <w:rPr>
                <w:rFonts w:cs="Times New Roman"/>
                <w:b/>
                <w:color w:val="17365D"/>
                <w:sz w:val="18"/>
                <w:szCs w:val="18"/>
                <w:lang w:eastAsia="lv-LV"/>
              </w:rPr>
              <w:t xml:space="preserve">Ieņēmumi no pamatdarbības </w:t>
            </w:r>
          </w:p>
        </w:tc>
        <w:tc>
          <w:tcPr>
            <w:tcW w:w="851" w:type="dxa"/>
            <w:tcBorders>
              <w:top w:val="single" w:sz="4" w:space="0" w:color="17365D"/>
              <w:bottom w:val="single" w:sz="4" w:space="0" w:color="17365D"/>
            </w:tcBorders>
            <w:shd w:val="clear" w:color="auto" w:fill="auto"/>
            <w:vAlign w:val="center"/>
            <w:hideMark/>
          </w:tcPr>
          <w:p w14:paraId="15DB7532" w14:textId="77777777" w:rsidR="00224ABF" w:rsidRPr="002725D3" w:rsidRDefault="00224ABF" w:rsidP="00224ABF">
            <w:pPr>
              <w:spacing w:after="0" w:line="240" w:lineRule="auto"/>
              <w:jc w:val="center"/>
              <w:rPr>
                <w:rFonts w:cs="Times New Roman"/>
                <w:b/>
                <w:color w:val="17365D"/>
                <w:sz w:val="18"/>
                <w:szCs w:val="18"/>
                <w:lang w:eastAsia="lv-LV"/>
              </w:rPr>
            </w:pPr>
          </w:p>
        </w:tc>
        <w:tc>
          <w:tcPr>
            <w:tcW w:w="1559" w:type="dxa"/>
            <w:tcBorders>
              <w:top w:val="single" w:sz="4" w:space="0" w:color="17365D"/>
              <w:bottom w:val="single" w:sz="4" w:space="0" w:color="17365D"/>
            </w:tcBorders>
            <w:shd w:val="clear" w:color="auto" w:fill="auto"/>
            <w:noWrap/>
            <w:vAlign w:val="center"/>
            <w:hideMark/>
          </w:tcPr>
          <w:p w14:paraId="1F2BB9C3" w14:textId="77777777" w:rsidR="00224ABF" w:rsidRPr="00EC756E" w:rsidRDefault="00224ABF" w:rsidP="00224ABF">
            <w:pPr>
              <w:spacing w:after="0" w:line="240" w:lineRule="auto"/>
              <w:jc w:val="right"/>
              <w:rPr>
                <w:rFonts w:cs="Times New Roman"/>
                <w:b/>
                <w:bCs/>
                <w:color w:val="17365D"/>
                <w:sz w:val="18"/>
                <w:szCs w:val="18"/>
              </w:rPr>
            </w:pPr>
            <w:r>
              <w:rPr>
                <w:rFonts w:cs="Times New Roman"/>
                <w:b/>
                <w:bCs/>
                <w:color w:val="17365D"/>
                <w:sz w:val="18"/>
                <w:szCs w:val="18"/>
              </w:rPr>
              <w:t>16</w:t>
            </w:r>
            <w:r w:rsidRPr="00EC756E">
              <w:rPr>
                <w:rFonts w:cs="Times New Roman"/>
                <w:b/>
                <w:bCs/>
                <w:color w:val="17365D"/>
                <w:sz w:val="18"/>
                <w:szCs w:val="18"/>
              </w:rPr>
              <w:t xml:space="preserve"> </w:t>
            </w:r>
            <w:r>
              <w:rPr>
                <w:rFonts w:cs="Times New Roman"/>
                <w:b/>
                <w:bCs/>
                <w:color w:val="17365D"/>
                <w:sz w:val="18"/>
                <w:szCs w:val="18"/>
              </w:rPr>
              <w:t>413 349 718</w:t>
            </w:r>
          </w:p>
        </w:tc>
        <w:tc>
          <w:tcPr>
            <w:tcW w:w="1559" w:type="dxa"/>
            <w:tcBorders>
              <w:top w:val="single" w:sz="4" w:space="0" w:color="17365D"/>
              <w:bottom w:val="single" w:sz="4" w:space="0" w:color="17365D"/>
            </w:tcBorders>
            <w:shd w:val="clear" w:color="auto" w:fill="auto"/>
            <w:noWrap/>
            <w:vAlign w:val="center"/>
            <w:hideMark/>
          </w:tcPr>
          <w:p w14:paraId="6B8222F6" w14:textId="77777777" w:rsidR="00224ABF" w:rsidRPr="00EC756E" w:rsidRDefault="00224ABF" w:rsidP="00224ABF">
            <w:pPr>
              <w:spacing w:after="0" w:line="240" w:lineRule="auto"/>
              <w:jc w:val="right"/>
              <w:rPr>
                <w:rFonts w:cs="Times New Roman"/>
                <w:b/>
                <w:bCs/>
                <w:color w:val="17365D"/>
                <w:sz w:val="18"/>
                <w:szCs w:val="18"/>
              </w:rPr>
            </w:pPr>
            <w:r>
              <w:rPr>
                <w:rFonts w:cs="Times New Roman"/>
                <w:b/>
                <w:bCs/>
                <w:color w:val="17365D"/>
                <w:sz w:val="18"/>
                <w:szCs w:val="18"/>
              </w:rPr>
              <w:t>14</w:t>
            </w:r>
            <w:r w:rsidRPr="00EC756E">
              <w:rPr>
                <w:rFonts w:cs="Times New Roman"/>
                <w:b/>
                <w:bCs/>
                <w:color w:val="17365D"/>
                <w:sz w:val="18"/>
                <w:szCs w:val="18"/>
              </w:rPr>
              <w:t xml:space="preserve"> </w:t>
            </w:r>
            <w:r>
              <w:rPr>
                <w:rFonts w:cs="Times New Roman"/>
                <w:b/>
                <w:bCs/>
                <w:color w:val="17365D"/>
                <w:sz w:val="18"/>
                <w:szCs w:val="18"/>
              </w:rPr>
              <w:t>970 560 478</w:t>
            </w:r>
          </w:p>
        </w:tc>
        <w:tc>
          <w:tcPr>
            <w:tcW w:w="1560" w:type="dxa"/>
            <w:tcBorders>
              <w:top w:val="single" w:sz="4" w:space="0" w:color="17365D"/>
              <w:bottom w:val="single" w:sz="4" w:space="0" w:color="17365D"/>
            </w:tcBorders>
            <w:shd w:val="clear" w:color="auto" w:fill="auto"/>
            <w:noWrap/>
            <w:vAlign w:val="center"/>
            <w:hideMark/>
          </w:tcPr>
          <w:p w14:paraId="7A842F40" w14:textId="77777777" w:rsidR="00224ABF" w:rsidRPr="00EC756E" w:rsidRDefault="00224ABF" w:rsidP="00224ABF">
            <w:pPr>
              <w:spacing w:after="0" w:line="240" w:lineRule="auto"/>
              <w:jc w:val="right"/>
              <w:rPr>
                <w:rFonts w:cs="Times New Roman"/>
                <w:b/>
                <w:bCs/>
                <w:color w:val="17365D"/>
                <w:sz w:val="18"/>
                <w:szCs w:val="18"/>
              </w:rPr>
            </w:pPr>
            <w:r>
              <w:rPr>
                <w:rFonts w:cs="Times New Roman"/>
                <w:b/>
                <w:bCs/>
                <w:color w:val="17365D"/>
                <w:sz w:val="18"/>
                <w:szCs w:val="18"/>
              </w:rPr>
              <w:t>1 442 789</w:t>
            </w:r>
            <w:r w:rsidRPr="00EC756E">
              <w:rPr>
                <w:rFonts w:cs="Times New Roman"/>
                <w:b/>
                <w:bCs/>
                <w:color w:val="17365D"/>
                <w:sz w:val="18"/>
                <w:szCs w:val="18"/>
              </w:rPr>
              <w:t xml:space="preserve"> </w:t>
            </w:r>
            <w:r>
              <w:rPr>
                <w:rFonts w:cs="Times New Roman"/>
                <w:b/>
                <w:bCs/>
                <w:color w:val="17365D"/>
                <w:sz w:val="18"/>
                <w:szCs w:val="18"/>
              </w:rPr>
              <w:t>240</w:t>
            </w:r>
          </w:p>
        </w:tc>
        <w:tc>
          <w:tcPr>
            <w:tcW w:w="1275" w:type="dxa"/>
            <w:tcBorders>
              <w:top w:val="single" w:sz="4" w:space="0" w:color="17365D"/>
              <w:bottom w:val="single" w:sz="4" w:space="0" w:color="17365D"/>
            </w:tcBorders>
            <w:shd w:val="clear" w:color="auto" w:fill="auto"/>
            <w:noWrap/>
            <w:vAlign w:val="center"/>
            <w:hideMark/>
          </w:tcPr>
          <w:p w14:paraId="3C159C11" w14:textId="77777777" w:rsidR="00224ABF" w:rsidRPr="00EC756E" w:rsidRDefault="00224ABF" w:rsidP="00224ABF">
            <w:pPr>
              <w:spacing w:after="0" w:line="240" w:lineRule="auto"/>
              <w:jc w:val="right"/>
              <w:rPr>
                <w:rFonts w:cs="Times New Roman"/>
                <w:b/>
                <w:bCs/>
                <w:color w:val="17365D"/>
                <w:sz w:val="18"/>
                <w:szCs w:val="18"/>
              </w:rPr>
            </w:pPr>
            <w:r>
              <w:rPr>
                <w:rFonts w:cs="Times New Roman"/>
                <w:b/>
                <w:bCs/>
                <w:color w:val="17365D"/>
                <w:sz w:val="18"/>
                <w:szCs w:val="18"/>
              </w:rPr>
              <w:t>9.64</w:t>
            </w:r>
          </w:p>
        </w:tc>
      </w:tr>
      <w:tr w:rsidR="00224ABF" w:rsidRPr="002725D3" w14:paraId="5339EADC" w14:textId="77777777" w:rsidTr="003574E8">
        <w:trPr>
          <w:trHeight w:val="255"/>
        </w:trPr>
        <w:tc>
          <w:tcPr>
            <w:tcW w:w="2552" w:type="dxa"/>
            <w:tcBorders>
              <w:top w:val="single" w:sz="4" w:space="0" w:color="17365D"/>
              <w:bottom w:val="single" w:sz="4" w:space="0" w:color="17365D"/>
            </w:tcBorders>
            <w:shd w:val="clear" w:color="auto" w:fill="auto"/>
            <w:vAlign w:val="center"/>
            <w:hideMark/>
          </w:tcPr>
          <w:p w14:paraId="3D6E7AD1" w14:textId="77777777" w:rsidR="00224ABF" w:rsidRPr="002725D3" w:rsidRDefault="00224ABF" w:rsidP="00224ABF">
            <w:pPr>
              <w:pStyle w:val="Tabulasteksts"/>
              <w:rPr>
                <w:bCs/>
                <w:color w:val="17365D"/>
                <w:sz w:val="18"/>
                <w:szCs w:val="18"/>
                <w:lang w:eastAsia="lv-LV"/>
              </w:rPr>
            </w:pPr>
            <w:r w:rsidRPr="002725D3">
              <w:rPr>
                <w:bCs/>
                <w:color w:val="17365D"/>
                <w:sz w:val="18"/>
                <w:szCs w:val="18"/>
                <w:lang w:eastAsia="lv-LV"/>
              </w:rPr>
              <w:t>Nodokļu ieņēmumi</w:t>
            </w:r>
          </w:p>
        </w:tc>
        <w:tc>
          <w:tcPr>
            <w:tcW w:w="851" w:type="dxa"/>
            <w:tcBorders>
              <w:top w:val="single" w:sz="4" w:space="0" w:color="17365D"/>
              <w:bottom w:val="single" w:sz="4" w:space="0" w:color="17365D"/>
            </w:tcBorders>
            <w:shd w:val="clear" w:color="auto" w:fill="auto"/>
            <w:vAlign w:val="center"/>
            <w:hideMark/>
          </w:tcPr>
          <w:p w14:paraId="526A72D3" w14:textId="77777777" w:rsidR="00224ABF" w:rsidRPr="002725D3" w:rsidRDefault="00224ABF" w:rsidP="00224ABF">
            <w:pPr>
              <w:pStyle w:val="Tabulasteksts"/>
              <w:jc w:val="center"/>
              <w:rPr>
                <w:color w:val="17365D"/>
                <w:sz w:val="18"/>
                <w:szCs w:val="18"/>
                <w:lang w:eastAsia="lv-LV"/>
              </w:rPr>
            </w:pPr>
          </w:p>
        </w:tc>
        <w:tc>
          <w:tcPr>
            <w:tcW w:w="1559" w:type="dxa"/>
            <w:tcBorders>
              <w:top w:val="single" w:sz="4" w:space="0" w:color="17365D"/>
              <w:bottom w:val="single" w:sz="4" w:space="0" w:color="17365D"/>
            </w:tcBorders>
            <w:shd w:val="clear" w:color="auto" w:fill="auto"/>
            <w:noWrap/>
            <w:vAlign w:val="center"/>
            <w:hideMark/>
          </w:tcPr>
          <w:p w14:paraId="58C3ECC1"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13</w:t>
            </w:r>
            <w:r w:rsidRPr="00EC756E">
              <w:rPr>
                <w:rFonts w:cs="Times New Roman"/>
                <w:color w:val="17365D"/>
                <w:sz w:val="18"/>
                <w:szCs w:val="18"/>
              </w:rPr>
              <w:t xml:space="preserve"> </w:t>
            </w:r>
            <w:r>
              <w:rPr>
                <w:rFonts w:cs="Times New Roman"/>
                <w:color w:val="17365D"/>
                <w:sz w:val="18"/>
                <w:szCs w:val="18"/>
              </w:rPr>
              <w:t>376</w:t>
            </w:r>
            <w:r w:rsidRPr="00EC756E">
              <w:rPr>
                <w:rFonts w:cs="Times New Roman"/>
                <w:color w:val="17365D"/>
                <w:sz w:val="18"/>
                <w:szCs w:val="18"/>
              </w:rPr>
              <w:t xml:space="preserve"> </w:t>
            </w:r>
            <w:r>
              <w:rPr>
                <w:rFonts w:cs="Times New Roman"/>
                <w:color w:val="17365D"/>
                <w:sz w:val="18"/>
                <w:szCs w:val="18"/>
              </w:rPr>
              <w:t>194</w:t>
            </w:r>
            <w:r w:rsidRPr="00EC756E">
              <w:rPr>
                <w:rFonts w:cs="Times New Roman"/>
                <w:color w:val="17365D"/>
                <w:sz w:val="18"/>
                <w:szCs w:val="18"/>
              </w:rPr>
              <w:t xml:space="preserve"> </w:t>
            </w:r>
            <w:r>
              <w:rPr>
                <w:rFonts w:cs="Times New Roman"/>
                <w:color w:val="17365D"/>
                <w:sz w:val="18"/>
                <w:szCs w:val="18"/>
              </w:rPr>
              <w:t>906</w:t>
            </w:r>
          </w:p>
        </w:tc>
        <w:tc>
          <w:tcPr>
            <w:tcW w:w="1559" w:type="dxa"/>
            <w:tcBorders>
              <w:top w:val="single" w:sz="4" w:space="0" w:color="17365D"/>
              <w:bottom w:val="single" w:sz="4" w:space="0" w:color="17365D"/>
            </w:tcBorders>
            <w:shd w:val="clear" w:color="auto" w:fill="auto"/>
            <w:noWrap/>
            <w:vAlign w:val="center"/>
            <w:hideMark/>
          </w:tcPr>
          <w:p w14:paraId="6F5E9BBA" w14:textId="77777777" w:rsidR="00224ABF" w:rsidRPr="003E3C94" w:rsidRDefault="00224ABF" w:rsidP="00224ABF">
            <w:pPr>
              <w:spacing w:after="0" w:line="240" w:lineRule="auto"/>
              <w:jc w:val="right"/>
              <w:rPr>
                <w:rFonts w:cs="Times New Roman"/>
                <w:color w:val="17365D"/>
                <w:sz w:val="18"/>
                <w:szCs w:val="18"/>
              </w:rPr>
            </w:pPr>
            <w:r w:rsidRPr="00EC756E">
              <w:rPr>
                <w:rFonts w:cs="Times New Roman"/>
                <w:color w:val="17365D"/>
                <w:sz w:val="18"/>
                <w:szCs w:val="18"/>
              </w:rPr>
              <w:t>12 246 007 438</w:t>
            </w:r>
          </w:p>
        </w:tc>
        <w:tc>
          <w:tcPr>
            <w:tcW w:w="1560" w:type="dxa"/>
            <w:tcBorders>
              <w:top w:val="single" w:sz="4" w:space="0" w:color="17365D"/>
              <w:bottom w:val="single" w:sz="4" w:space="0" w:color="17365D"/>
            </w:tcBorders>
            <w:shd w:val="clear" w:color="auto" w:fill="auto"/>
            <w:noWrap/>
            <w:vAlign w:val="center"/>
            <w:hideMark/>
          </w:tcPr>
          <w:p w14:paraId="1B8912D4" w14:textId="77777777" w:rsidR="00224ABF" w:rsidRPr="003E3C94" w:rsidRDefault="00224ABF" w:rsidP="00224ABF">
            <w:pPr>
              <w:spacing w:after="0" w:line="240" w:lineRule="auto"/>
              <w:jc w:val="right"/>
              <w:rPr>
                <w:rFonts w:cs="Times New Roman"/>
                <w:color w:val="17365D"/>
                <w:sz w:val="18"/>
                <w:szCs w:val="18"/>
              </w:rPr>
            </w:pPr>
            <w:r w:rsidRPr="00EC756E">
              <w:rPr>
                <w:rFonts w:cs="Times New Roman"/>
                <w:color w:val="17365D"/>
                <w:sz w:val="18"/>
                <w:szCs w:val="18"/>
              </w:rPr>
              <w:t xml:space="preserve">1 </w:t>
            </w:r>
            <w:r>
              <w:rPr>
                <w:rFonts w:cs="Times New Roman"/>
                <w:color w:val="17365D"/>
                <w:sz w:val="18"/>
                <w:szCs w:val="18"/>
              </w:rPr>
              <w:t>130</w:t>
            </w:r>
            <w:r w:rsidRPr="00EC756E">
              <w:rPr>
                <w:rFonts w:cs="Times New Roman"/>
                <w:color w:val="17365D"/>
                <w:sz w:val="18"/>
                <w:szCs w:val="18"/>
              </w:rPr>
              <w:t xml:space="preserve"> </w:t>
            </w:r>
            <w:r>
              <w:rPr>
                <w:rFonts w:cs="Times New Roman"/>
                <w:color w:val="17365D"/>
                <w:sz w:val="18"/>
                <w:szCs w:val="18"/>
              </w:rPr>
              <w:t>187</w:t>
            </w:r>
            <w:r w:rsidRPr="00EC756E">
              <w:rPr>
                <w:rFonts w:cs="Times New Roman"/>
                <w:color w:val="17365D"/>
                <w:sz w:val="18"/>
                <w:szCs w:val="18"/>
              </w:rPr>
              <w:t xml:space="preserve"> 46</w:t>
            </w:r>
            <w:r>
              <w:rPr>
                <w:rFonts w:cs="Times New Roman"/>
                <w:color w:val="17365D"/>
                <w:sz w:val="18"/>
                <w:szCs w:val="18"/>
              </w:rPr>
              <w:t>8</w:t>
            </w:r>
          </w:p>
        </w:tc>
        <w:tc>
          <w:tcPr>
            <w:tcW w:w="1275" w:type="dxa"/>
            <w:tcBorders>
              <w:top w:val="single" w:sz="4" w:space="0" w:color="17365D"/>
              <w:bottom w:val="single" w:sz="4" w:space="0" w:color="17365D"/>
            </w:tcBorders>
            <w:shd w:val="clear" w:color="auto" w:fill="auto"/>
            <w:noWrap/>
            <w:vAlign w:val="center"/>
            <w:hideMark/>
          </w:tcPr>
          <w:p w14:paraId="74A403FD"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9</w:t>
            </w:r>
            <w:r w:rsidRPr="00EC756E">
              <w:rPr>
                <w:rFonts w:cs="Times New Roman"/>
                <w:color w:val="17365D"/>
                <w:sz w:val="18"/>
                <w:szCs w:val="18"/>
              </w:rPr>
              <w:t>.2</w:t>
            </w:r>
            <w:r>
              <w:rPr>
                <w:rFonts w:cs="Times New Roman"/>
                <w:color w:val="17365D"/>
                <w:sz w:val="18"/>
                <w:szCs w:val="18"/>
              </w:rPr>
              <w:t>3</w:t>
            </w:r>
          </w:p>
        </w:tc>
      </w:tr>
      <w:tr w:rsidR="00224ABF" w:rsidRPr="002725D3" w14:paraId="391218E0" w14:textId="77777777" w:rsidTr="003574E8">
        <w:trPr>
          <w:trHeight w:val="255"/>
        </w:trPr>
        <w:tc>
          <w:tcPr>
            <w:tcW w:w="2552" w:type="dxa"/>
            <w:tcBorders>
              <w:top w:val="single" w:sz="4" w:space="0" w:color="17365D"/>
              <w:bottom w:val="single" w:sz="4" w:space="0" w:color="17365D"/>
            </w:tcBorders>
            <w:shd w:val="clear" w:color="auto" w:fill="auto"/>
            <w:vAlign w:val="center"/>
            <w:hideMark/>
          </w:tcPr>
          <w:p w14:paraId="6FF3CDC4" w14:textId="77777777" w:rsidR="00224ABF" w:rsidRPr="002725D3" w:rsidRDefault="00224ABF" w:rsidP="00224ABF">
            <w:pPr>
              <w:pStyle w:val="Tabulasteksts"/>
              <w:rPr>
                <w:bCs/>
                <w:color w:val="17365D"/>
                <w:sz w:val="18"/>
                <w:szCs w:val="18"/>
                <w:lang w:eastAsia="lv-LV"/>
              </w:rPr>
            </w:pPr>
            <w:r w:rsidRPr="002725D3">
              <w:rPr>
                <w:bCs/>
                <w:color w:val="17365D"/>
                <w:sz w:val="18"/>
                <w:szCs w:val="18"/>
                <w:lang w:eastAsia="lv-LV"/>
              </w:rPr>
              <w:t>Nenodokļu ieņēmumi</w:t>
            </w:r>
          </w:p>
        </w:tc>
        <w:tc>
          <w:tcPr>
            <w:tcW w:w="851" w:type="dxa"/>
            <w:tcBorders>
              <w:top w:val="single" w:sz="4" w:space="0" w:color="17365D"/>
              <w:bottom w:val="single" w:sz="4" w:space="0" w:color="17365D"/>
            </w:tcBorders>
            <w:shd w:val="clear" w:color="auto" w:fill="auto"/>
            <w:vAlign w:val="center"/>
            <w:hideMark/>
          </w:tcPr>
          <w:p w14:paraId="7729BBDB" w14:textId="77777777" w:rsidR="00224ABF" w:rsidRPr="002725D3" w:rsidRDefault="00224ABF" w:rsidP="00224ABF">
            <w:pPr>
              <w:pStyle w:val="Tabulasteksts"/>
              <w:jc w:val="center"/>
              <w:rPr>
                <w:color w:val="17365D"/>
                <w:sz w:val="18"/>
                <w:szCs w:val="18"/>
                <w:lang w:eastAsia="lv-LV"/>
              </w:rPr>
            </w:pPr>
            <w:r>
              <w:rPr>
                <w:color w:val="17365D"/>
                <w:sz w:val="18"/>
                <w:szCs w:val="18"/>
                <w:lang w:eastAsia="lv-LV"/>
              </w:rPr>
              <w:t>NP.A12.</w:t>
            </w:r>
          </w:p>
        </w:tc>
        <w:tc>
          <w:tcPr>
            <w:tcW w:w="1559" w:type="dxa"/>
            <w:tcBorders>
              <w:top w:val="single" w:sz="4" w:space="0" w:color="17365D"/>
              <w:bottom w:val="single" w:sz="4" w:space="0" w:color="17365D"/>
            </w:tcBorders>
            <w:shd w:val="clear" w:color="auto" w:fill="auto"/>
            <w:noWrap/>
            <w:vAlign w:val="center"/>
            <w:hideMark/>
          </w:tcPr>
          <w:p w14:paraId="1718B0E1"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907</w:t>
            </w:r>
            <w:r w:rsidRPr="00EC756E">
              <w:rPr>
                <w:rFonts w:cs="Times New Roman"/>
                <w:color w:val="17365D"/>
                <w:sz w:val="18"/>
                <w:szCs w:val="18"/>
              </w:rPr>
              <w:t xml:space="preserve"> </w:t>
            </w:r>
            <w:r>
              <w:rPr>
                <w:rFonts w:cs="Times New Roman"/>
                <w:color w:val="17365D"/>
                <w:sz w:val="18"/>
                <w:szCs w:val="18"/>
              </w:rPr>
              <w:t>575</w:t>
            </w:r>
            <w:r w:rsidRPr="00EC756E">
              <w:rPr>
                <w:rFonts w:cs="Times New Roman"/>
                <w:color w:val="17365D"/>
                <w:sz w:val="18"/>
                <w:szCs w:val="18"/>
              </w:rPr>
              <w:t xml:space="preserve"> </w:t>
            </w:r>
            <w:r>
              <w:rPr>
                <w:rFonts w:cs="Times New Roman"/>
                <w:color w:val="17365D"/>
                <w:sz w:val="18"/>
                <w:szCs w:val="18"/>
              </w:rPr>
              <w:t>600</w:t>
            </w:r>
          </w:p>
        </w:tc>
        <w:tc>
          <w:tcPr>
            <w:tcW w:w="1559" w:type="dxa"/>
            <w:tcBorders>
              <w:top w:val="single" w:sz="4" w:space="0" w:color="17365D"/>
              <w:bottom w:val="single" w:sz="4" w:space="0" w:color="17365D"/>
            </w:tcBorders>
            <w:shd w:val="clear" w:color="auto" w:fill="auto"/>
            <w:noWrap/>
            <w:vAlign w:val="center"/>
            <w:hideMark/>
          </w:tcPr>
          <w:p w14:paraId="29466601"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738</w:t>
            </w:r>
            <w:r w:rsidRPr="00EC756E">
              <w:rPr>
                <w:rFonts w:cs="Times New Roman"/>
                <w:color w:val="17365D"/>
                <w:sz w:val="18"/>
                <w:szCs w:val="18"/>
              </w:rPr>
              <w:t xml:space="preserve"> </w:t>
            </w:r>
            <w:r>
              <w:rPr>
                <w:rFonts w:cs="Times New Roman"/>
                <w:color w:val="17365D"/>
                <w:sz w:val="18"/>
                <w:szCs w:val="18"/>
              </w:rPr>
              <w:t>710</w:t>
            </w:r>
            <w:r w:rsidRPr="00EC756E">
              <w:rPr>
                <w:rFonts w:cs="Times New Roman"/>
                <w:color w:val="17365D"/>
                <w:sz w:val="18"/>
                <w:szCs w:val="18"/>
              </w:rPr>
              <w:t xml:space="preserve"> </w:t>
            </w:r>
            <w:r>
              <w:rPr>
                <w:rFonts w:cs="Times New Roman"/>
                <w:color w:val="17365D"/>
                <w:sz w:val="18"/>
                <w:szCs w:val="18"/>
              </w:rPr>
              <w:t>910</w:t>
            </w:r>
          </w:p>
        </w:tc>
        <w:tc>
          <w:tcPr>
            <w:tcW w:w="1560" w:type="dxa"/>
            <w:tcBorders>
              <w:top w:val="single" w:sz="4" w:space="0" w:color="17365D"/>
              <w:bottom w:val="single" w:sz="4" w:space="0" w:color="17365D"/>
            </w:tcBorders>
            <w:shd w:val="clear" w:color="auto" w:fill="auto"/>
            <w:noWrap/>
            <w:vAlign w:val="center"/>
            <w:hideMark/>
          </w:tcPr>
          <w:p w14:paraId="0CC40C08"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168</w:t>
            </w:r>
            <w:r w:rsidRPr="00EC756E">
              <w:rPr>
                <w:rFonts w:cs="Times New Roman"/>
                <w:color w:val="17365D"/>
                <w:sz w:val="18"/>
                <w:szCs w:val="18"/>
              </w:rPr>
              <w:t xml:space="preserve"> </w:t>
            </w:r>
            <w:r>
              <w:rPr>
                <w:rFonts w:cs="Times New Roman"/>
                <w:color w:val="17365D"/>
                <w:sz w:val="18"/>
                <w:szCs w:val="18"/>
              </w:rPr>
              <w:t>864</w:t>
            </w:r>
            <w:r w:rsidRPr="00EC756E">
              <w:rPr>
                <w:rFonts w:cs="Times New Roman"/>
                <w:color w:val="17365D"/>
                <w:sz w:val="18"/>
                <w:szCs w:val="18"/>
              </w:rPr>
              <w:t xml:space="preserve"> </w:t>
            </w:r>
            <w:r>
              <w:rPr>
                <w:rFonts w:cs="Times New Roman"/>
                <w:color w:val="17365D"/>
                <w:sz w:val="18"/>
                <w:szCs w:val="18"/>
              </w:rPr>
              <w:t>690</w:t>
            </w:r>
          </w:p>
        </w:tc>
        <w:tc>
          <w:tcPr>
            <w:tcW w:w="1275" w:type="dxa"/>
            <w:tcBorders>
              <w:top w:val="single" w:sz="4" w:space="0" w:color="17365D"/>
              <w:bottom w:val="single" w:sz="4" w:space="0" w:color="17365D"/>
            </w:tcBorders>
            <w:shd w:val="clear" w:color="auto" w:fill="auto"/>
            <w:noWrap/>
            <w:vAlign w:val="center"/>
            <w:hideMark/>
          </w:tcPr>
          <w:p w14:paraId="580E5650"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22.88</w:t>
            </w:r>
          </w:p>
        </w:tc>
      </w:tr>
      <w:tr w:rsidR="00224ABF" w:rsidRPr="002725D3" w14:paraId="1CEA4A7C" w14:textId="77777777" w:rsidTr="003574E8">
        <w:trPr>
          <w:trHeight w:val="255"/>
        </w:trPr>
        <w:tc>
          <w:tcPr>
            <w:tcW w:w="2552" w:type="dxa"/>
            <w:tcBorders>
              <w:top w:val="single" w:sz="4" w:space="0" w:color="17365D"/>
              <w:bottom w:val="single" w:sz="4" w:space="0" w:color="17365D"/>
            </w:tcBorders>
            <w:shd w:val="clear" w:color="auto" w:fill="auto"/>
            <w:vAlign w:val="center"/>
            <w:hideMark/>
          </w:tcPr>
          <w:p w14:paraId="06510CBD" w14:textId="77777777" w:rsidR="00224ABF" w:rsidRPr="002725D3" w:rsidRDefault="00224ABF" w:rsidP="00224ABF">
            <w:pPr>
              <w:pStyle w:val="Tabulasteksts"/>
              <w:rPr>
                <w:bCs/>
                <w:color w:val="17365D"/>
                <w:sz w:val="18"/>
                <w:szCs w:val="18"/>
                <w:lang w:eastAsia="lv-LV"/>
              </w:rPr>
            </w:pPr>
            <w:r w:rsidRPr="002725D3">
              <w:rPr>
                <w:color w:val="17365D"/>
                <w:sz w:val="18"/>
                <w:szCs w:val="18"/>
                <w:lang w:eastAsia="lv-LV"/>
              </w:rPr>
              <w:t>Maksas pakalpojumi un citi pašu ieņēmumi</w:t>
            </w:r>
          </w:p>
        </w:tc>
        <w:tc>
          <w:tcPr>
            <w:tcW w:w="851" w:type="dxa"/>
            <w:tcBorders>
              <w:top w:val="single" w:sz="4" w:space="0" w:color="17365D"/>
              <w:bottom w:val="single" w:sz="4" w:space="0" w:color="17365D"/>
            </w:tcBorders>
            <w:shd w:val="clear" w:color="auto" w:fill="auto"/>
            <w:vAlign w:val="center"/>
            <w:hideMark/>
          </w:tcPr>
          <w:p w14:paraId="6E626D73" w14:textId="77777777" w:rsidR="00224ABF" w:rsidRPr="002725D3" w:rsidRDefault="00224ABF" w:rsidP="00224ABF">
            <w:pPr>
              <w:pStyle w:val="Tabulasteksts"/>
              <w:jc w:val="center"/>
              <w:rPr>
                <w:color w:val="17365D"/>
                <w:sz w:val="18"/>
                <w:szCs w:val="18"/>
                <w:lang w:eastAsia="lv-LV"/>
              </w:rPr>
            </w:pPr>
          </w:p>
        </w:tc>
        <w:tc>
          <w:tcPr>
            <w:tcW w:w="1559" w:type="dxa"/>
            <w:tcBorders>
              <w:top w:val="single" w:sz="4" w:space="0" w:color="17365D"/>
              <w:bottom w:val="single" w:sz="4" w:space="0" w:color="17365D"/>
            </w:tcBorders>
            <w:shd w:val="clear" w:color="auto" w:fill="auto"/>
            <w:noWrap/>
            <w:vAlign w:val="center"/>
            <w:hideMark/>
          </w:tcPr>
          <w:p w14:paraId="510DB6DC"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493</w:t>
            </w:r>
            <w:r w:rsidRPr="00EC756E">
              <w:rPr>
                <w:rFonts w:cs="Times New Roman"/>
                <w:color w:val="17365D"/>
                <w:sz w:val="18"/>
                <w:szCs w:val="18"/>
              </w:rPr>
              <w:t xml:space="preserve"> </w:t>
            </w:r>
            <w:r>
              <w:rPr>
                <w:rFonts w:cs="Times New Roman"/>
                <w:color w:val="17365D"/>
                <w:sz w:val="18"/>
                <w:szCs w:val="18"/>
              </w:rPr>
              <w:t>679</w:t>
            </w:r>
            <w:r w:rsidRPr="00EC756E">
              <w:rPr>
                <w:rFonts w:cs="Times New Roman"/>
                <w:color w:val="17365D"/>
                <w:sz w:val="18"/>
                <w:szCs w:val="18"/>
              </w:rPr>
              <w:t xml:space="preserve"> </w:t>
            </w:r>
            <w:r>
              <w:rPr>
                <w:rFonts w:cs="Times New Roman"/>
                <w:color w:val="17365D"/>
                <w:sz w:val="18"/>
                <w:szCs w:val="18"/>
              </w:rPr>
              <w:t>494</w:t>
            </w:r>
          </w:p>
        </w:tc>
        <w:tc>
          <w:tcPr>
            <w:tcW w:w="1559" w:type="dxa"/>
            <w:tcBorders>
              <w:top w:val="single" w:sz="4" w:space="0" w:color="17365D"/>
              <w:bottom w:val="single" w:sz="4" w:space="0" w:color="17365D"/>
            </w:tcBorders>
            <w:shd w:val="clear" w:color="auto" w:fill="auto"/>
            <w:noWrap/>
            <w:vAlign w:val="center"/>
            <w:hideMark/>
          </w:tcPr>
          <w:p w14:paraId="162CE6EC"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418</w:t>
            </w:r>
            <w:r w:rsidRPr="00EC756E">
              <w:rPr>
                <w:rFonts w:cs="Times New Roman"/>
                <w:color w:val="17365D"/>
                <w:sz w:val="18"/>
                <w:szCs w:val="18"/>
              </w:rPr>
              <w:t xml:space="preserve"> </w:t>
            </w:r>
            <w:r>
              <w:rPr>
                <w:rFonts w:cs="Times New Roman"/>
                <w:color w:val="17365D"/>
                <w:sz w:val="18"/>
                <w:szCs w:val="18"/>
              </w:rPr>
              <w:t>784</w:t>
            </w:r>
            <w:r w:rsidRPr="00EC756E">
              <w:rPr>
                <w:rFonts w:cs="Times New Roman"/>
                <w:color w:val="17365D"/>
                <w:sz w:val="18"/>
                <w:szCs w:val="18"/>
              </w:rPr>
              <w:t xml:space="preserve"> </w:t>
            </w:r>
            <w:r>
              <w:rPr>
                <w:rFonts w:cs="Times New Roman"/>
                <w:color w:val="17365D"/>
                <w:sz w:val="18"/>
                <w:szCs w:val="18"/>
              </w:rPr>
              <w:t>762</w:t>
            </w:r>
          </w:p>
        </w:tc>
        <w:tc>
          <w:tcPr>
            <w:tcW w:w="1560" w:type="dxa"/>
            <w:tcBorders>
              <w:top w:val="single" w:sz="4" w:space="0" w:color="17365D"/>
              <w:bottom w:val="single" w:sz="4" w:space="0" w:color="17365D"/>
            </w:tcBorders>
            <w:shd w:val="clear" w:color="auto" w:fill="auto"/>
            <w:noWrap/>
            <w:vAlign w:val="center"/>
            <w:hideMark/>
          </w:tcPr>
          <w:p w14:paraId="53A3ACC5"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75</w:t>
            </w:r>
            <w:r w:rsidRPr="00EC756E">
              <w:rPr>
                <w:rFonts w:cs="Times New Roman"/>
                <w:color w:val="17365D"/>
                <w:sz w:val="18"/>
                <w:szCs w:val="18"/>
              </w:rPr>
              <w:t xml:space="preserve"> </w:t>
            </w:r>
            <w:r>
              <w:rPr>
                <w:rFonts w:cs="Times New Roman"/>
                <w:color w:val="17365D"/>
                <w:sz w:val="18"/>
                <w:szCs w:val="18"/>
              </w:rPr>
              <w:t>023</w:t>
            </w:r>
            <w:r w:rsidRPr="00EC756E">
              <w:rPr>
                <w:rFonts w:cs="Times New Roman"/>
                <w:color w:val="17365D"/>
                <w:sz w:val="18"/>
                <w:szCs w:val="18"/>
              </w:rPr>
              <w:t xml:space="preserve"> </w:t>
            </w:r>
            <w:r>
              <w:rPr>
                <w:rFonts w:cs="Times New Roman"/>
                <w:color w:val="17365D"/>
                <w:sz w:val="18"/>
                <w:szCs w:val="18"/>
              </w:rPr>
              <w:t>813</w:t>
            </w:r>
          </w:p>
        </w:tc>
        <w:tc>
          <w:tcPr>
            <w:tcW w:w="1275" w:type="dxa"/>
            <w:tcBorders>
              <w:top w:val="single" w:sz="4" w:space="0" w:color="17365D"/>
              <w:bottom w:val="single" w:sz="4" w:space="0" w:color="17365D"/>
            </w:tcBorders>
            <w:shd w:val="clear" w:color="auto" w:fill="auto"/>
            <w:noWrap/>
            <w:vAlign w:val="center"/>
            <w:hideMark/>
          </w:tcPr>
          <w:p w14:paraId="4927F4E1" w14:textId="77777777" w:rsidR="00224ABF" w:rsidRPr="003E3C94" w:rsidRDefault="00224ABF" w:rsidP="00224ABF">
            <w:pPr>
              <w:spacing w:after="0" w:line="240" w:lineRule="auto"/>
              <w:jc w:val="right"/>
              <w:rPr>
                <w:rFonts w:cs="Times New Roman"/>
                <w:color w:val="17365D"/>
                <w:sz w:val="18"/>
                <w:szCs w:val="18"/>
              </w:rPr>
            </w:pPr>
            <w:r w:rsidRPr="00EC756E">
              <w:rPr>
                <w:rFonts w:cs="Times New Roman"/>
                <w:color w:val="17365D"/>
                <w:sz w:val="18"/>
                <w:szCs w:val="18"/>
              </w:rPr>
              <w:t>1</w:t>
            </w:r>
            <w:r>
              <w:rPr>
                <w:rFonts w:cs="Times New Roman"/>
                <w:color w:val="17365D"/>
                <w:sz w:val="18"/>
                <w:szCs w:val="18"/>
              </w:rPr>
              <w:t>7.92</w:t>
            </w:r>
          </w:p>
        </w:tc>
      </w:tr>
      <w:tr w:rsidR="00224ABF" w:rsidRPr="002725D3" w14:paraId="4F11044B" w14:textId="77777777" w:rsidTr="003574E8">
        <w:trPr>
          <w:trHeight w:val="255"/>
        </w:trPr>
        <w:tc>
          <w:tcPr>
            <w:tcW w:w="2552" w:type="dxa"/>
            <w:tcBorders>
              <w:top w:val="single" w:sz="4" w:space="0" w:color="17365D"/>
              <w:bottom w:val="single" w:sz="4" w:space="0" w:color="17365D"/>
            </w:tcBorders>
            <w:shd w:val="clear" w:color="auto" w:fill="auto"/>
            <w:vAlign w:val="center"/>
            <w:hideMark/>
          </w:tcPr>
          <w:p w14:paraId="63383C5B" w14:textId="77777777" w:rsidR="00224ABF" w:rsidRPr="002725D3" w:rsidRDefault="00224ABF" w:rsidP="00224ABF">
            <w:pPr>
              <w:pStyle w:val="Tabulasteksts"/>
              <w:rPr>
                <w:color w:val="17365D"/>
                <w:sz w:val="18"/>
                <w:szCs w:val="18"/>
                <w:lang w:eastAsia="lv-LV"/>
              </w:rPr>
            </w:pPr>
            <w:r w:rsidRPr="002725D3">
              <w:rPr>
                <w:color w:val="17365D"/>
                <w:sz w:val="18"/>
                <w:szCs w:val="18"/>
                <w:lang w:eastAsia="lv-LV"/>
              </w:rPr>
              <w:t>Ārvalstu finanšu palīdzība</w:t>
            </w:r>
          </w:p>
        </w:tc>
        <w:tc>
          <w:tcPr>
            <w:tcW w:w="851" w:type="dxa"/>
            <w:tcBorders>
              <w:top w:val="single" w:sz="4" w:space="0" w:color="17365D"/>
              <w:bottom w:val="single" w:sz="4" w:space="0" w:color="17365D"/>
            </w:tcBorders>
            <w:shd w:val="clear" w:color="auto" w:fill="auto"/>
            <w:vAlign w:val="center"/>
            <w:hideMark/>
          </w:tcPr>
          <w:p w14:paraId="7F704992" w14:textId="77777777" w:rsidR="00224ABF" w:rsidRPr="002725D3" w:rsidRDefault="00224ABF" w:rsidP="00224ABF">
            <w:pPr>
              <w:pStyle w:val="Tabulasteksts"/>
              <w:jc w:val="center"/>
              <w:rPr>
                <w:color w:val="17365D"/>
                <w:sz w:val="18"/>
                <w:szCs w:val="18"/>
                <w:lang w:eastAsia="lv-LV"/>
              </w:rPr>
            </w:pPr>
          </w:p>
        </w:tc>
        <w:tc>
          <w:tcPr>
            <w:tcW w:w="1559" w:type="dxa"/>
            <w:tcBorders>
              <w:top w:val="single" w:sz="4" w:space="0" w:color="17365D"/>
              <w:bottom w:val="single" w:sz="4" w:space="0" w:color="17365D"/>
            </w:tcBorders>
            <w:shd w:val="clear" w:color="auto" w:fill="auto"/>
            <w:noWrap/>
            <w:vAlign w:val="center"/>
            <w:hideMark/>
          </w:tcPr>
          <w:p w14:paraId="11C35011" w14:textId="77777777" w:rsidR="00224ABF" w:rsidRPr="003E3C94" w:rsidRDefault="00224ABF" w:rsidP="00224ABF">
            <w:pPr>
              <w:spacing w:after="0" w:line="240" w:lineRule="auto"/>
              <w:jc w:val="right"/>
              <w:rPr>
                <w:rFonts w:cs="Times New Roman"/>
                <w:color w:val="17365D"/>
                <w:sz w:val="18"/>
                <w:szCs w:val="18"/>
              </w:rPr>
            </w:pPr>
            <w:r w:rsidRPr="00EC756E">
              <w:rPr>
                <w:rFonts w:cs="Times New Roman"/>
                <w:color w:val="17365D"/>
                <w:sz w:val="18"/>
                <w:szCs w:val="18"/>
              </w:rPr>
              <w:t xml:space="preserve">1 </w:t>
            </w:r>
            <w:r>
              <w:rPr>
                <w:rFonts w:cs="Times New Roman"/>
                <w:color w:val="17365D"/>
                <w:sz w:val="18"/>
                <w:szCs w:val="18"/>
              </w:rPr>
              <w:t>489</w:t>
            </w:r>
            <w:r w:rsidRPr="00EC756E">
              <w:rPr>
                <w:rFonts w:cs="Times New Roman"/>
                <w:color w:val="17365D"/>
                <w:sz w:val="18"/>
                <w:szCs w:val="18"/>
              </w:rPr>
              <w:t xml:space="preserve"> </w:t>
            </w:r>
            <w:r>
              <w:rPr>
                <w:rFonts w:cs="Times New Roman"/>
                <w:color w:val="17365D"/>
                <w:sz w:val="18"/>
                <w:szCs w:val="18"/>
              </w:rPr>
              <w:t>939</w:t>
            </w:r>
            <w:r w:rsidRPr="00EC756E">
              <w:rPr>
                <w:rFonts w:cs="Times New Roman"/>
                <w:color w:val="17365D"/>
                <w:sz w:val="18"/>
                <w:szCs w:val="18"/>
              </w:rPr>
              <w:t xml:space="preserve"> </w:t>
            </w:r>
            <w:r>
              <w:rPr>
                <w:rFonts w:cs="Times New Roman"/>
                <w:color w:val="17365D"/>
                <w:sz w:val="18"/>
                <w:szCs w:val="18"/>
              </w:rPr>
              <w:t>693</w:t>
            </w:r>
          </w:p>
        </w:tc>
        <w:tc>
          <w:tcPr>
            <w:tcW w:w="1559" w:type="dxa"/>
            <w:tcBorders>
              <w:top w:val="single" w:sz="4" w:space="0" w:color="17365D"/>
              <w:bottom w:val="single" w:sz="4" w:space="0" w:color="17365D"/>
            </w:tcBorders>
            <w:shd w:val="clear" w:color="auto" w:fill="auto"/>
            <w:noWrap/>
            <w:vAlign w:val="center"/>
            <w:hideMark/>
          </w:tcPr>
          <w:p w14:paraId="0CE3508E" w14:textId="77777777" w:rsidR="00224ABF" w:rsidRPr="003E3C94" w:rsidRDefault="00224ABF" w:rsidP="00224ABF">
            <w:pPr>
              <w:spacing w:after="0" w:line="240" w:lineRule="auto"/>
              <w:jc w:val="right"/>
              <w:rPr>
                <w:rFonts w:cs="Times New Roman"/>
                <w:color w:val="17365D"/>
                <w:sz w:val="18"/>
                <w:szCs w:val="18"/>
              </w:rPr>
            </w:pPr>
            <w:r w:rsidRPr="00EC756E">
              <w:rPr>
                <w:rFonts w:cs="Times New Roman"/>
                <w:color w:val="17365D"/>
                <w:sz w:val="18"/>
                <w:szCs w:val="18"/>
              </w:rPr>
              <w:t>1 522 690 421</w:t>
            </w:r>
          </w:p>
        </w:tc>
        <w:tc>
          <w:tcPr>
            <w:tcW w:w="1560" w:type="dxa"/>
            <w:tcBorders>
              <w:top w:val="single" w:sz="4" w:space="0" w:color="17365D"/>
              <w:bottom w:val="single" w:sz="4" w:space="0" w:color="17365D"/>
            </w:tcBorders>
            <w:shd w:val="clear" w:color="auto" w:fill="auto"/>
            <w:noWrap/>
            <w:vAlign w:val="center"/>
            <w:hideMark/>
          </w:tcPr>
          <w:p w14:paraId="079609CB"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-32</w:t>
            </w:r>
            <w:r w:rsidRPr="00EC756E">
              <w:rPr>
                <w:rFonts w:cs="Times New Roman"/>
                <w:color w:val="17365D"/>
                <w:sz w:val="18"/>
                <w:szCs w:val="18"/>
              </w:rPr>
              <w:t xml:space="preserve"> 8</w:t>
            </w:r>
            <w:r>
              <w:rPr>
                <w:rFonts w:cs="Times New Roman"/>
                <w:color w:val="17365D"/>
                <w:sz w:val="18"/>
                <w:szCs w:val="18"/>
              </w:rPr>
              <w:t>4</w:t>
            </w:r>
            <w:r w:rsidRPr="00EC756E">
              <w:rPr>
                <w:rFonts w:cs="Times New Roman"/>
                <w:color w:val="17365D"/>
                <w:sz w:val="18"/>
                <w:szCs w:val="18"/>
              </w:rPr>
              <w:t xml:space="preserve">5 </w:t>
            </w:r>
            <w:r>
              <w:rPr>
                <w:rFonts w:cs="Times New Roman"/>
                <w:color w:val="17365D"/>
                <w:sz w:val="18"/>
                <w:szCs w:val="18"/>
              </w:rPr>
              <w:t>06</w:t>
            </w:r>
            <w:r w:rsidRPr="00EC756E">
              <w:rPr>
                <w:rFonts w:cs="Times New Roman"/>
                <w:color w:val="17365D"/>
                <w:sz w:val="18"/>
                <w:szCs w:val="18"/>
              </w:rPr>
              <w:t>9</w:t>
            </w:r>
          </w:p>
        </w:tc>
        <w:tc>
          <w:tcPr>
            <w:tcW w:w="1275" w:type="dxa"/>
            <w:tcBorders>
              <w:top w:val="single" w:sz="4" w:space="0" w:color="17365D"/>
              <w:bottom w:val="single" w:sz="4" w:space="0" w:color="17365D"/>
            </w:tcBorders>
            <w:shd w:val="clear" w:color="auto" w:fill="auto"/>
            <w:noWrap/>
            <w:vAlign w:val="center"/>
            <w:hideMark/>
          </w:tcPr>
          <w:p w14:paraId="220258AF"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-2.16</w:t>
            </w:r>
          </w:p>
        </w:tc>
      </w:tr>
      <w:tr w:rsidR="00224ABF" w:rsidRPr="002725D3" w14:paraId="6D0AA767" w14:textId="77777777" w:rsidTr="003574E8">
        <w:trPr>
          <w:trHeight w:val="255"/>
        </w:trPr>
        <w:tc>
          <w:tcPr>
            <w:tcW w:w="2552" w:type="dxa"/>
            <w:tcBorders>
              <w:top w:val="single" w:sz="4" w:space="0" w:color="17365D"/>
              <w:bottom w:val="single" w:sz="4" w:space="0" w:color="17365D"/>
            </w:tcBorders>
            <w:shd w:val="clear" w:color="auto" w:fill="auto"/>
            <w:vAlign w:val="center"/>
            <w:hideMark/>
          </w:tcPr>
          <w:p w14:paraId="5ADE9F77" w14:textId="77777777" w:rsidR="00224ABF" w:rsidRPr="002725D3" w:rsidRDefault="00224ABF" w:rsidP="00224ABF">
            <w:pPr>
              <w:pStyle w:val="Tabulasteksts"/>
              <w:rPr>
                <w:color w:val="17365D"/>
                <w:sz w:val="18"/>
                <w:szCs w:val="18"/>
                <w:lang w:eastAsia="lv-LV"/>
              </w:rPr>
            </w:pPr>
            <w:r w:rsidRPr="002725D3">
              <w:rPr>
                <w:color w:val="17365D"/>
                <w:sz w:val="18"/>
                <w:szCs w:val="18"/>
                <w:lang w:eastAsia="lv-LV"/>
              </w:rPr>
              <w:t>Transferti</w:t>
            </w:r>
          </w:p>
        </w:tc>
        <w:tc>
          <w:tcPr>
            <w:tcW w:w="851" w:type="dxa"/>
            <w:tcBorders>
              <w:top w:val="single" w:sz="4" w:space="0" w:color="17365D"/>
              <w:bottom w:val="single" w:sz="4" w:space="0" w:color="17365D"/>
            </w:tcBorders>
            <w:shd w:val="clear" w:color="auto" w:fill="auto"/>
            <w:vAlign w:val="center"/>
            <w:hideMark/>
          </w:tcPr>
          <w:p w14:paraId="2998797D" w14:textId="77777777" w:rsidR="00224ABF" w:rsidRPr="002725D3" w:rsidRDefault="00224ABF" w:rsidP="00224ABF">
            <w:pPr>
              <w:pStyle w:val="Tabulasteksts"/>
              <w:jc w:val="center"/>
              <w:rPr>
                <w:color w:val="17365D"/>
                <w:sz w:val="18"/>
                <w:szCs w:val="18"/>
                <w:lang w:eastAsia="lv-LV"/>
              </w:rPr>
            </w:pPr>
          </w:p>
        </w:tc>
        <w:tc>
          <w:tcPr>
            <w:tcW w:w="1559" w:type="dxa"/>
            <w:tcBorders>
              <w:top w:val="single" w:sz="4" w:space="0" w:color="17365D"/>
              <w:bottom w:val="single" w:sz="4" w:space="0" w:color="17365D"/>
            </w:tcBorders>
            <w:shd w:val="clear" w:color="auto" w:fill="auto"/>
            <w:noWrap/>
            <w:vAlign w:val="center"/>
            <w:hideMark/>
          </w:tcPr>
          <w:p w14:paraId="59798168"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132</w:t>
            </w:r>
            <w:r w:rsidRPr="00E14C73">
              <w:rPr>
                <w:rFonts w:cs="Times New Roman"/>
                <w:color w:val="17365D"/>
                <w:sz w:val="18"/>
                <w:szCs w:val="18"/>
              </w:rPr>
              <w:t xml:space="preserve"> </w:t>
            </w:r>
            <w:r>
              <w:rPr>
                <w:rFonts w:cs="Times New Roman"/>
                <w:color w:val="17365D"/>
                <w:sz w:val="18"/>
                <w:szCs w:val="18"/>
              </w:rPr>
              <w:t>454</w:t>
            </w:r>
          </w:p>
        </w:tc>
        <w:tc>
          <w:tcPr>
            <w:tcW w:w="1559" w:type="dxa"/>
            <w:tcBorders>
              <w:top w:val="single" w:sz="4" w:space="0" w:color="17365D"/>
              <w:bottom w:val="single" w:sz="4" w:space="0" w:color="17365D"/>
            </w:tcBorders>
            <w:shd w:val="clear" w:color="auto" w:fill="auto"/>
            <w:noWrap/>
            <w:vAlign w:val="center"/>
            <w:hideMark/>
          </w:tcPr>
          <w:p w14:paraId="25665A2F" w14:textId="77777777" w:rsidR="00224ABF" w:rsidRPr="003E3C94" w:rsidRDefault="00224ABF" w:rsidP="00224ABF">
            <w:pPr>
              <w:spacing w:after="0" w:line="240" w:lineRule="auto"/>
              <w:jc w:val="right"/>
              <w:rPr>
                <w:rFonts w:cs="Times New Roman"/>
                <w:color w:val="17365D"/>
                <w:sz w:val="18"/>
                <w:szCs w:val="18"/>
              </w:rPr>
            </w:pPr>
            <w:r w:rsidRPr="00EC756E">
              <w:rPr>
                <w:rFonts w:cs="Times New Roman"/>
                <w:color w:val="17365D"/>
                <w:sz w:val="18"/>
                <w:szCs w:val="18"/>
              </w:rPr>
              <w:t>0</w:t>
            </w:r>
          </w:p>
        </w:tc>
        <w:tc>
          <w:tcPr>
            <w:tcW w:w="1560" w:type="dxa"/>
            <w:tcBorders>
              <w:top w:val="single" w:sz="4" w:space="0" w:color="17365D"/>
              <w:bottom w:val="single" w:sz="4" w:space="0" w:color="17365D"/>
            </w:tcBorders>
            <w:shd w:val="clear" w:color="auto" w:fill="auto"/>
            <w:noWrap/>
            <w:vAlign w:val="center"/>
            <w:hideMark/>
          </w:tcPr>
          <w:p w14:paraId="629E8A06"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132</w:t>
            </w:r>
            <w:r w:rsidRPr="00EC756E">
              <w:rPr>
                <w:rFonts w:cs="Times New Roman"/>
                <w:color w:val="17365D"/>
                <w:sz w:val="18"/>
                <w:szCs w:val="18"/>
              </w:rPr>
              <w:t xml:space="preserve"> </w:t>
            </w:r>
            <w:r>
              <w:rPr>
                <w:rFonts w:cs="Times New Roman"/>
                <w:color w:val="17365D"/>
                <w:sz w:val="18"/>
                <w:szCs w:val="18"/>
              </w:rPr>
              <w:t>454</w:t>
            </w:r>
          </w:p>
        </w:tc>
        <w:tc>
          <w:tcPr>
            <w:tcW w:w="1275" w:type="dxa"/>
            <w:tcBorders>
              <w:top w:val="single" w:sz="4" w:space="0" w:color="17365D"/>
              <w:bottom w:val="single" w:sz="4" w:space="0" w:color="17365D"/>
            </w:tcBorders>
            <w:shd w:val="clear" w:color="auto" w:fill="auto"/>
            <w:noWrap/>
            <w:vAlign w:val="center"/>
            <w:hideMark/>
          </w:tcPr>
          <w:p w14:paraId="7721F6EC" w14:textId="77777777" w:rsidR="00224ABF" w:rsidRPr="003E3C94" w:rsidRDefault="00224ABF" w:rsidP="00224ABF">
            <w:pPr>
              <w:spacing w:after="0" w:line="240" w:lineRule="auto"/>
              <w:jc w:val="right"/>
              <w:rPr>
                <w:rFonts w:cs="Times New Roman"/>
                <w:color w:val="17365D"/>
                <w:sz w:val="18"/>
                <w:szCs w:val="18"/>
              </w:rPr>
            </w:pPr>
            <w:r w:rsidRPr="00EC756E">
              <w:rPr>
                <w:rFonts w:cs="Times New Roman"/>
                <w:color w:val="17365D"/>
                <w:sz w:val="18"/>
                <w:szCs w:val="18"/>
              </w:rPr>
              <w:t>100.0</w:t>
            </w:r>
            <w:r>
              <w:rPr>
                <w:rFonts w:cs="Times New Roman"/>
                <w:color w:val="17365D"/>
                <w:sz w:val="18"/>
                <w:szCs w:val="18"/>
              </w:rPr>
              <w:t>0</w:t>
            </w:r>
          </w:p>
        </w:tc>
      </w:tr>
      <w:tr w:rsidR="00224ABF" w:rsidRPr="002725D3" w14:paraId="7084964C" w14:textId="77777777" w:rsidTr="003574E8">
        <w:trPr>
          <w:trHeight w:val="255"/>
        </w:trPr>
        <w:tc>
          <w:tcPr>
            <w:tcW w:w="2552" w:type="dxa"/>
            <w:tcBorders>
              <w:top w:val="single" w:sz="4" w:space="0" w:color="17365D"/>
              <w:bottom w:val="single" w:sz="4" w:space="0" w:color="17365D"/>
            </w:tcBorders>
            <w:shd w:val="clear" w:color="auto" w:fill="auto"/>
            <w:vAlign w:val="center"/>
            <w:hideMark/>
          </w:tcPr>
          <w:p w14:paraId="4CC51B5E" w14:textId="77777777" w:rsidR="00224ABF" w:rsidRPr="002725D3" w:rsidRDefault="00224ABF" w:rsidP="00224ABF">
            <w:pPr>
              <w:pStyle w:val="Tabulasteksts"/>
              <w:rPr>
                <w:color w:val="17365D"/>
                <w:sz w:val="18"/>
                <w:szCs w:val="18"/>
                <w:lang w:eastAsia="lv-LV"/>
              </w:rPr>
            </w:pPr>
            <w:r w:rsidRPr="002725D3">
              <w:rPr>
                <w:color w:val="17365D"/>
                <w:sz w:val="18"/>
                <w:szCs w:val="18"/>
                <w:lang w:eastAsia="lv-LV"/>
              </w:rPr>
              <w:t>Ziedojumi un dāvinājumi</w:t>
            </w:r>
          </w:p>
        </w:tc>
        <w:tc>
          <w:tcPr>
            <w:tcW w:w="851" w:type="dxa"/>
            <w:tcBorders>
              <w:top w:val="single" w:sz="4" w:space="0" w:color="17365D"/>
              <w:bottom w:val="single" w:sz="4" w:space="0" w:color="17365D"/>
            </w:tcBorders>
            <w:shd w:val="clear" w:color="auto" w:fill="auto"/>
            <w:vAlign w:val="center"/>
            <w:hideMark/>
          </w:tcPr>
          <w:p w14:paraId="40B7D637" w14:textId="77777777" w:rsidR="00224ABF" w:rsidRPr="002725D3" w:rsidRDefault="00224ABF" w:rsidP="00224ABF">
            <w:pPr>
              <w:pStyle w:val="Tabulasteksts"/>
              <w:jc w:val="center"/>
              <w:rPr>
                <w:color w:val="17365D"/>
                <w:sz w:val="18"/>
                <w:szCs w:val="18"/>
                <w:lang w:eastAsia="lv-LV"/>
              </w:rPr>
            </w:pPr>
          </w:p>
        </w:tc>
        <w:tc>
          <w:tcPr>
            <w:tcW w:w="1559" w:type="dxa"/>
            <w:tcBorders>
              <w:top w:val="single" w:sz="4" w:space="0" w:color="17365D"/>
              <w:bottom w:val="single" w:sz="4" w:space="0" w:color="17365D"/>
            </w:tcBorders>
            <w:shd w:val="clear" w:color="auto" w:fill="auto"/>
            <w:noWrap/>
            <w:vAlign w:val="center"/>
            <w:hideMark/>
          </w:tcPr>
          <w:p w14:paraId="67A1D97D" w14:textId="77777777" w:rsidR="00224ABF" w:rsidRPr="003E3C94" w:rsidRDefault="00224ABF" w:rsidP="00224ABF">
            <w:pPr>
              <w:spacing w:after="0" w:line="240" w:lineRule="auto"/>
              <w:jc w:val="right"/>
              <w:rPr>
                <w:rFonts w:cs="Times New Roman"/>
                <w:color w:val="17365D"/>
                <w:sz w:val="18"/>
                <w:szCs w:val="18"/>
              </w:rPr>
            </w:pPr>
            <w:r w:rsidRPr="00EC756E">
              <w:rPr>
                <w:rFonts w:cs="Times New Roman"/>
                <w:color w:val="17365D"/>
                <w:sz w:val="18"/>
                <w:szCs w:val="18"/>
              </w:rPr>
              <w:t xml:space="preserve">1 </w:t>
            </w:r>
            <w:r>
              <w:rPr>
                <w:rFonts w:cs="Times New Roman"/>
                <w:color w:val="17365D"/>
                <w:sz w:val="18"/>
                <w:szCs w:val="18"/>
              </w:rPr>
              <w:t>840</w:t>
            </w:r>
            <w:r w:rsidRPr="00EC756E">
              <w:rPr>
                <w:rFonts w:cs="Times New Roman"/>
                <w:color w:val="17365D"/>
                <w:sz w:val="18"/>
                <w:szCs w:val="18"/>
              </w:rPr>
              <w:t xml:space="preserve"> </w:t>
            </w:r>
            <w:r>
              <w:rPr>
                <w:rFonts w:cs="Times New Roman"/>
                <w:color w:val="17365D"/>
                <w:sz w:val="18"/>
                <w:szCs w:val="18"/>
              </w:rPr>
              <w:t>698</w:t>
            </w:r>
          </w:p>
        </w:tc>
        <w:tc>
          <w:tcPr>
            <w:tcW w:w="1559" w:type="dxa"/>
            <w:tcBorders>
              <w:top w:val="single" w:sz="4" w:space="0" w:color="17365D"/>
              <w:bottom w:val="single" w:sz="4" w:space="0" w:color="17365D"/>
            </w:tcBorders>
            <w:shd w:val="clear" w:color="auto" w:fill="auto"/>
            <w:noWrap/>
            <w:vAlign w:val="center"/>
            <w:hideMark/>
          </w:tcPr>
          <w:p w14:paraId="472184A0" w14:textId="77777777" w:rsidR="00224ABF" w:rsidRPr="003E3C94" w:rsidRDefault="00224ABF" w:rsidP="00224ABF">
            <w:pPr>
              <w:spacing w:after="0" w:line="240" w:lineRule="auto"/>
              <w:jc w:val="right"/>
              <w:rPr>
                <w:rFonts w:cs="Times New Roman"/>
                <w:color w:val="17365D"/>
                <w:sz w:val="18"/>
                <w:szCs w:val="18"/>
              </w:rPr>
            </w:pPr>
            <w:r w:rsidRPr="00EC756E">
              <w:rPr>
                <w:rFonts w:cs="Times New Roman"/>
                <w:color w:val="17365D"/>
                <w:sz w:val="18"/>
                <w:szCs w:val="18"/>
              </w:rPr>
              <w:t>1 614 093</w:t>
            </w:r>
          </w:p>
        </w:tc>
        <w:tc>
          <w:tcPr>
            <w:tcW w:w="1560" w:type="dxa"/>
            <w:tcBorders>
              <w:top w:val="single" w:sz="4" w:space="0" w:color="17365D"/>
              <w:bottom w:val="single" w:sz="4" w:space="0" w:color="17365D"/>
            </w:tcBorders>
            <w:shd w:val="clear" w:color="auto" w:fill="auto"/>
            <w:noWrap/>
            <w:vAlign w:val="center"/>
            <w:hideMark/>
          </w:tcPr>
          <w:p w14:paraId="6BE9BD66"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226 605</w:t>
            </w:r>
          </w:p>
        </w:tc>
        <w:tc>
          <w:tcPr>
            <w:tcW w:w="1275" w:type="dxa"/>
            <w:tcBorders>
              <w:top w:val="single" w:sz="4" w:space="0" w:color="17365D"/>
              <w:bottom w:val="single" w:sz="4" w:space="0" w:color="17365D"/>
            </w:tcBorders>
            <w:shd w:val="clear" w:color="auto" w:fill="auto"/>
            <w:noWrap/>
            <w:vAlign w:val="center"/>
            <w:hideMark/>
          </w:tcPr>
          <w:p w14:paraId="0113D2A4"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14</w:t>
            </w:r>
            <w:r w:rsidRPr="00EC756E">
              <w:rPr>
                <w:rFonts w:cs="Times New Roman"/>
                <w:color w:val="17365D"/>
                <w:sz w:val="18"/>
                <w:szCs w:val="18"/>
              </w:rPr>
              <w:t>.0</w:t>
            </w:r>
            <w:r>
              <w:rPr>
                <w:rFonts w:cs="Times New Roman"/>
                <w:color w:val="17365D"/>
                <w:sz w:val="18"/>
                <w:szCs w:val="18"/>
              </w:rPr>
              <w:t>4</w:t>
            </w:r>
          </w:p>
        </w:tc>
      </w:tr>
      <w:tr w:rsidR="00224ABF" w:rsidRPr="002725D3" w14:paraId="5666AD81" w14:textId="77777777" w:rsidTr="003574E8">
        <w:trPr>
          <w:trHeight w:val="255"/>
        </w:trPr>
        <w:tc>
          <w:tcPr>
            <w:tcW w:w="2552" w:type="dxa"/>
            <w:tcBorders>
              <w:top w:val="single" w:sz="4" w:space="0" w:color="17365D"/>
              <w:bottom w:val="single" w:sz="4" w:space="0" w:color="17365D"/>
            </w:tcBorders>
            <w:shd w:val="clear" w:color="auto" w:fill="auto"/>
            <w:vAlign w:val="center"/>
          </w:tcPr>
          <w:p w14:paraId="2986CEB5" w14:textId="77777777" w:rsidR="00224ABF" w:rsidRPr="002725D3" w:rsidRDefault="00224ABF" w:rsidP="00224ABF">
            <w:pPr>
              <w:pStyle w:val="Tabulasteksts"/>
              <w:rPr>
                <w:color w:val="17365D"/>
                <w:sz w:val="18"/>
                <w:szCs w:val="18"/>
                <w:lang w:eastAsia="lv-LV"/>
              </w:rPr>
            </w:pPr>
            <w:r w:rsidRPr="002725D3">
              <w:rPr>
                <w:color w:val="17365D"/>
                <w:sz w:val="18"/>
                <w:szCs w:val="18"/>
                <w:lang w:eastAsia="lv-LV"/>
              </w:rPr>
              <w:t>Aizdevumu atmaksas</w:t>
            </w:r>
          </w:p>
        </w:tc>
        <w:tc>
          <w:tcPr>
            <w:tcW w:w="851" w:type="dxa"/>
            <w:tcBorders>
              <w:top w:val="single" w:sz="4" w:space="0" w:color="17365D"/>
              <w:bottom w:val="single" w:sz="4" w:space="0" w:color="17365D"/>
            </w:tcBorders>
            <w:shd w:val="clear" w:color="auto" w:fill="auto"/>
            <w:vAlign w:val="center"/>
          </w:tcPr>
          <w:p w14:paraId="33B4C6C1" w14:textId="77777777" w:rsidR="00224ABF" w:rsidRPr="002725D3" w:rsidRDefault="00224ABF" w:rsidP="00224ABF">
            <w:pPr>
              <w:pStyle w:val="Tabulasteksts"/>
              <w:jc w:val="center"/>
              <w:rPr>
                <w:color w:val="17365D"/>
                <w:sz w:val="18"/>
                <w:szCs w:val="18"/>
                <w:lang w:eastAsia="lv-LV"/>
              </w:rPr>
            </w:pPr>
          </w:p>
        </w:tc>
        <w:tc>
          <w:tcPr>
            <w:tcW w:w="1559" w:type="dxa"/>
            <w:tcBorders>
              <w:top w:val="single" w:sz="4" w:space="0" w:color="17365D"/>
              <w:bottom w:val="single" w:sz="4" w:space="0" w:color="17365D"/>
            </w:tcBorders>
            <w:shd w:val="clear" w:color="auto" w:fill="auto"/>
            <w:noWrap/>
            <w:vAlign w:val="center"/>
          </w:tcPr>
          <w:p w14:paraId="39399B27"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33</w:t>
            </w:r>
            <w:r w:rsidRPr="00EC756E">
              <w:rPr>
                <w:rFonts w:cs="Times New Roman"/>
                <w:color w:val="17365D"/>
                <w:sz w:val="18"/>
                <w:szCs w:val="18"/>
              </w:rPr>
              <w:t xml:space="preserve"> </w:t>
            </w:r>
            <w:r>
              <w:rPr>
                <w:rFonts w:cs="Times New Roman"/>
                <w:color w:val="17365D"/>
                <w:sz w:val="18"/>
                <w:szCs w:val="18"/>
              </w:rPr>
              <w:t>132</w:t>
            </w:r>
            <w:r w:rsidRPr="00EC756E">
              <w:rPr>
                <w:rFonts w:cs="Times New Roman"/>
                <w:color w:val="17365D"/>
                <w:sz w:val="18"/>
                <w:szCs w:val="18"/>
              </w:rPr>
              <w:t xml:space="preserve"> </w:t>
            </w:r>
            <w:r>
              <w:rPr>
                <w:rFonts w:cs="Times New Roman"/>
                <w:color w:val="17365D"/>
                <w:sz w:val="18"/>
                <w:szCs w:val="18"/>
              </w:rPr>
              <w:t>811</w:t>
            </w:r>
          </w:p>
        </w:tc>
        <w:tc>
          <w:tcPr>
            <w:tcW w:w="1559" w:type="dxa"/>
            <w:tcBorders>
              <w:top w:val="single" w:sz="4" w:space="0" w:color="17365D"/>
              <w:bottom w:val="single" w:sz="4" w:space="0" w:color="17365D"/>
            </w:tcBorders>
            <w:shd w:val="clear" w:color="auto" w:fill="auto"/>
            <w:noWrap/>
            <w:vAlign w:val="center"/>
          </w:tcPr>
          <w:p w14:paraId="7201F41E" w14:textId="77777777" w:rsidR="00224ABF" w:rsidRPr="003E3C94" w:rsidRDefault="00224ABF" w:rsidP="00224ABF">
            <w:pPr>
              <w:spacing w:after="0" w:line="240" w:lineRule="auto"/>
              <w:jc w:val="right"/>
              <w:rPr>
                <w:rFonts w:cs="Times New Roman"/>
                <w:color w:val="17365D"/>
                <w:sz w:val="18"/>
                <w:szCs w:val="18"/>
              </w:rPr>
            </w:pPr>
            <w:r w:rsidRPr="00EC756E">
              <w:rPr>
                <w:rFonts w:cs="Times New Roman"/>
                <w:color w:val="17365D"/>
                <w:sz w:val="18"/>
                <w:szCs w:val="18"/>
              </w:rPr>
              <w:t>21 629 478</w:t>
            </w:r>
          </w:p>
        </w:tc>
        <w:tc>
          <w:tcPr>
            <w:tcW w:w="1560" w:type="dxa"/>
            <w:tcBorders>
              <w:top w:val="single" w:sz="4" w:space="0" w:color="17365D"/>
              <w:bottom w:val="single" w:sz="4" w:space="0" w:color="17365D"/>
            </w:tcBorders>
            <w:shd w:val="clear" w:color="auto" w:fill="auto"/>
            <w:noWrap/>
            <w:vAlign w:val="center"/>
          </w:tcPr>
          <w:p w14:paraId="4FFF11A4"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11</w:t>
            </w:r>
            <w:r w:rsidRPr="00EC756E">
              <w:rPr>
                <w:rFonts w:cs="Times New Roman"/>
                <w:color w:val="17365D"/>
                <w:sz w:val="18"/>
                <w:szCs w:val="18"/>
              </w:rPr>
              <w:t xml:space="preserve"> </w:t>
            </w:r>
            <w:r>
              <w:rPr>
                <w:rFonts w:cs="Times New Roman"/>
                <w:color w:val="17365D"/>
                <w:sz w:val="18"/>
                <w:szCs w:val="18"/>
              </w:rPr>
              <w:t>503</w:t>
            </w:r>
            <w:r w:rsidRPr="00EC756E">
              <w:rPr>
                <w:rFonts w:cs="Times New Roman"/>
                <w:color w:val="17365D"/>
                <w:sz w:val="18"/>
                <w:szCs w:val="18"/>
              </w:rPr>
              <w:t xml:space="preserve"> </w:t>
            </w:r>
            <w:r>
              <w:rPr>
                <w:rFonts w:cs="Times New Roman"/>
                <w:color w:val="17365D"/>
                <w:sz w:val="18"/>
                <w:szCs w:val="18"/>
              </w:rPr>
              <w:t>333</w:t>
            </w:r>
          </w:p>
        </w:tc>
        <w:tc>
          <w:tcPr>
            <w:tcW w:w="1275" w:type="dxa"/>
            <w:tcBorders>
              <w:top w:val="single" w:sz="4" w:space="0" w:color="17365D"/>
              <w:bottom w:val="single" w:sz="4" w:space="0" w:color="17365D"/>
            </w:tcBorders>
            <w:shd w:val="clear" w:color="auto" w:fill="auto"/>
            <w:noWrap/>
            <w:vAlign w:val="center"/>
          </w:tcPr>
          <w:p w14:paraId="0754AC67"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53.18</w:t>
            </w:r>
          </w:p>
        </w:tc>
      </w:tr>
      <w:tr w:rsidR="00224ABF" w:rsidRPr="002725D3" w14:paraId="6B20E966" w14:textId="77777777" w:rsidTr="003574E8">
        <w:trPr>
          <w:trHeight w:val="255"/>
        </w:trPr>
        <w:tc>
          <w:tcPr>
            <w:tcW w:w="2552" w:type="dxa"/>
            <w:tcBorders>
              <w:top w:val="single" w:sz="4" w:space="0" w:color="17365D"/>
              <w:bottom w:val="single" w:sz="4" w:space="0" w:color="17365D"/>
            </w:tcBorders>
            <w:shd w:val="clear" w:color="auto" w:fill="auto"/>
            <w:vAlign w:val="center"/>
          </w:tcPr>
          <w:p w14:paraId="3C1B0FA5" w14:textId="77777777" w:rsidR="00224ABF" w:rsidRPr="002725D3" w:rsidRDefault="00224ABF" w:rsidP="00224ABF">
            <w:pPr>
              <w:pStyle w:val="Tabulasteksts"/>
              <w:rPr>
                <w:bCs/>
                <w:color w:val="17365D"/>
                <w:sz w:val="18"/>
                <w:szCs w:val="18"/>
                <w:lang w:eastAsia="lv-LV"/>
              </w:rPr>
            </w:pPr>
            <w:r w:rsidRPr="002725D3">
              <w:rPr>
                <w:bCs/>
                <w:color w:val="17365D"/>
                <w:sz w:val="18"/>
                <w:szCs w:val="18"/>
                <w:lang w:eastAsia="lv-LV"/>
              </w:rPr>
              <w:t>Procentu ieņēmumi</w:t>
            </w:r>
          </w:p>
        </w:tc>
        <w:tc>
          <w:tcPr>
            <w:tcW w:w="851" w:type="dxa"/>
            <w:tcBorders>
              <w:top w:val="single" w:sz="4" w:space="0" w:color="17365D"/>
              <w:bottom w:val="single" w:sz="4" w:space="0" w:color="17365D"/>
            </w:tcBorders>
            <w:shd w:val="clear" w:color="auto" w:fill="auto"/>
            <w:vAlign w:val="center"/>
          </w:tcPr>
          <w:p w14:paraId="7534085A" w14:textId="77777777" w:rsidR="00224ABF" w:rsidRPr="002725D3" w:rsidRDefault="00224ABF" w:rsidP="00224ABF">
            <w:pPr>
              <w:spacing w:after="0" w:line="240" w:lineRule="auto"/>
              <w:jc w:val="right"/>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6831559C"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90 508</w:t>
            </w:r>
            <w:r w:rsidRPr="00EC756E">
              <w:rPr>
                <w:rFonts w:cs="Times New Roman"/>
                <w:color w:val="17365D"/>
                <w:sz w:val="18"/>
                <w:szCs w:val="18"/>
              </w:rPr>
              <w:t xml:space="preserve"> </w:t>
            </w:r>
            <w:r>
              <w:rPr>
                <w:rFonts w:cs="Times New Roman"/>
                <w:color w:val="17365D"/>
                <w:sz w:val="18"/>
                <w:szCs w:val="18"/>
              </w:rPr>
              <w:t>704</w:t>
            </w:r>
          </w:p>
        </w:tc>
        <w:tc>
          <w:tcPr>
            <w:tcW w:w="1559" w:type="dxa"/>
            <w:tcBorders>
              <w:top w:val="single" w:sz="4" w:space="0" w:color="17365D"/>
              <w:bottom w:val="single" w:sz="4" w:space="0" w:color="17365D"/>
            </w:tcBorders>
            <w:shd w:val="clear" w:color="auto" w:fill="auto"/>
            <w:noWrap/>
            <w:vAlign w:val="center"/>
          </w:tcPr>
          <w:p w14:paraId="47AE37AF"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14 809</w:t>
            </w:r>
            <w:r w:rsidRPr="00EC756E">
              <w:rPr>
                <w:rFonts w:cs="Times New Roman"/>
                <w:color w:val="17365D"/>
                <w:sz w:val="18"/>
                <w:szCs w:val="18"/>
              </w:rPr>
              <w:t xml:space="preserve"> </w:t>
            </w:r>
            <w:r>
              <w:rPr>
                <w:rFonts w:cs="Times New Roman"/>
                <w:color w:val="17365D"/>
                <w:sz w:val="18"/>
                <w:szCs w:val="18"/>
              </w:rPr>
              <w:t>153</w:t>
            </w:r>
          </w:p>
        </w:tc>
        <w:tc>
          <w:tcPr>
            <w:tcW w:w="1560" w:type="dxa"/>
            <w:tcBorders>
              <w:top w:val="single" w:sz="4" w:space="0" w:color="17365D"/>
              <w:bottom w:val="single" w:sz="4" w:space="0" w:color="17365D"/>
            </w:tcBorders>
            <w:shd w:val="clear" w:color="auto" w:fill="auto"/>
            <w:noWrap/>
            <w:vAlign w:val="center"/>
          </w:tcPr>
          <w:p w14:paraId="019B11A4"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75</w:t>
            </w:r>
            <w:r w:rsidRPr="00EC756E">
              <w:rPr>
                <w:rFonts w:cs="Times New Roman"/>
                <w:color w:val="17365D"/>
                <w:sz w:val="18"/>
                <w:szCs w:val="18"/>
              </w:rPr>
              <w:t xml:space="preserve"> </w:t>
            </w:r>
            <w:r>
              <w:rPr>
                <w:rFonts w:cs="Times New Roman"/>
                <w:color w:val="17365D"/>
                <w:sz w:val="18"/>
                <w:szCs w:val="18"/>
              </w:rPr>
              <w:t>699</w:t>
            </w:r>
            <w:r w:rsidRPr="00EC756E">
              <w:rPr>
                <w:rFonts w:cs="Times New Roman"/>
                <w:color w:val="17365D"/>
                <w:sz w:val="18"/>
                <w:szCs w:val="18"/>
              </w:rPr>
              <w:t xml:space="preserve"> </w:t>
            </w:r>
            <w:r>
              <w:rPr>
                <w:rFonts w:cs="Times New Roman"/>
                <w:color w:val="17365D"/>
                <w:sz w:val="18"/>
                <w:szCs w:val="18"/>
              </w:rPr>
              <w:t>551</w:t>
            </w:r>
          </w:p>
        </w:tc>
        <w:tc>
          <w:tcPr>
            <w:tcW w:w="1275" w:type="dxa"/>
            <w:tcBorders>
              <w:top w:val="single" w:sz="4" w:space="0" w:color="17365D"/>
              <w:bottom w:val="single" w:sz="4" w:space="0" w:color="17365D"/>
            </w:tcBorders>
            <w:shd w:val="clear" w:color="auto" w:fill="auto"/>
            <w:noWrap/>
            <w:vAlign w:val="center"/>
          </w:tcPr>
          <w:p w14:paraId="3500649F"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511</w:t>
            </w:r>
            <w:r w:rsidRPr="00EC756E">
              <w:rPr>
                <w:rFonts w:cs="Times New Roman"/>
                <w:color w:val="17365D"/>
                <w:sz w:val="18"/>
                <w:szCs w:val="18"/>
              </w:rPr>
              <w:t>.</w:t>
            </w:r>
            <w:r>
              <w:rPr>
                <w:rFonts w:cs="Times New Roman"/>
                <w:color w:val="17365D"/>
                <w:sz w:val="18"/>
                <w:szCs w:val="18"/>
              </w:rPr>
              <w:t>17</w:t>
            </w:r>
          </w:p>
        </w:tc>
      </w:tr>
      <w:tr w:rsidR="00224ABF" w:rsidRPr="002725D3" w14:paraId="4EE742F2" w14:textId="77777777" w:rsidTr="003574E8">
        <w:trPr>
          <w:trHeight w:val="255"/>
        </w:trPr>
        <w:tc>
          <w:tcPr>
            <w:tcW w:w="2552" w:type="dxa"/>
            <w:tcBorders>
              <w:top w:val="single" w:sz="4" w:space="0" w:color="17365D"/>
              <w:bottom w:val="single" w:sz="4" w:space="0" w:color="17365D"/>
            </w:tcBorders>
            <w:shd w:val="clear" w:color="auto" w:fill="auto"/>
            <w:vAlign w:val="center"/>
            <w:hideMark/>
          </w:tcPr>
          <w:p w14:paraId="68A6D7E4" w14:textId="77777777" w:rsidR="00224ABF" w:rsidRPr="002725D3" w:rsidRDefault="00224ABF" w:rsidP="00224ABF">
            <w:pPr>
              <w:pStyle w:val="Tabulasteksts"/>
              <w:rPr>
                <w:color w:val="17365D"/>
                <w:sz w:val="18"/>
                <w:szCs w:val="18"/>
                <w:lang w:eastAsia="lv-LV"/>
              </w:rPr>
            </w:pPr>
            <w:r w:rsidRPr="002725D3">
              <w:rPr>
                <w:color w:val="17365D"/>
                <w:sz w:val="18"/>
                <w:szCs w:val="18"/>
                <w:lang w:eastAsia="lv-LV"/>
              </w:rPr>
              <w:t>Citi ieņēmumi no pamatdarbības</w:t>
            </w:r>
          </w:p>
        </w:tc>
        <w:tc>
          <w:tcPr>
            <w:tcW w:w="851" w:type="dxa"/>
            <w:tcBorders>
              <w:top w:val="single" w:sz="4" w:space="0" w:color="17365D"/>
              <w:bottom w:val="single" w:sz="4" w:space="0" w:color="17365D"/>
            </w:tcBorders>
            <w:shd w:val="clear" w:color="auto" w:fill="auto"/>
            <w:vAlign w:val="center"/>
            <w:hideMark/>
          </w:tcPr>
          <w:p w14:paraId="63B5225D" w14:textId="77777777" w:rsidR="00224ABF" w:rsidRPr="002725D3" w:rsidRDefault="00224ABF" w:rsidP="00224ABF">
            <w:pPr>
              <w:spacing w:after="0" w:line="240" w:lineRule="auto"/>
              <w:jc w:val="center"/>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hideMark/>
          </w:tcPr>
          <w:p w14:paraId="36F43023"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20</w:t>
            </w:r>
            <w:r w:rsidRPr="00EC756E">
              <w:rPr>
                <w:rFonts w:cs="Times New Roman"/>
                <w:color w:val="17365D"/>
                <w:sz w:val="18"/>
                <w:szCs w:val="18"/>
              </w:rPr>
              <w:t xml:space="preserve"> 34</w:t>
            </w:r>
            <w:r>
              <w:rPr>
                <w:rFonts w:cs="Times New Roman"/>
                <w:color w:val="17365D"/>
                <w:sz w:val="18"/>
                <w:szCs w:val="18"/>
              </w:rPr>
              <w:t>5</w:t>
            </w:r>
            <w:r w:rsidRPr="00EC756E">
              <w:rPr>
                <w:rFonts w:cs="Times New Roman"/>
                <w:color w:val="17365D"/>
                <w:sz w:val="18"/>
                <w:szCs w:val="18"/>
              </w:rPr>
              <w:t xml:space="preserve"> </w:t>
            </w:r>
            <w:r>
              <w:rPr>
                <w:rFonts w:cs="Times New Roman"/>
                <w:color w:val="17365D"/>
                <w:sz w:val="18"/>
                <w:szCs w:val="18"/>
              </w:rPr>
              <w:t>358</w:t>
            </w:r>
          </w:p>
        </w:tc>
        <w:tc>
          <w:tcPr>
            <w:tcW w:w="1559" w:type="dxa"/>
            <w:tcBorders>
              <w:top w:val="single" w:sz="4" w:space="0" w:color="17365D"/>
              <w:bottom w:val="single" w:sz="4" w:space="0" w:color="17365D"/>
            </w:tcBorders>
            <w:shd w:val="clear" w:color="auto" w:fill="auto"/>
            <w:noWrap/>
            <w:vAlign w:val="center"/>
            <w:hideMark/>
          </w:tcPr>
          <w:p w14:paraId="50E78D33" w14:textId="77777777" w:rsidR="00224ABF" w:rsidRPr="003E3C94" w:rsidRDefault="00224ABF" w:rsidP="00224ABF">
            <w:pPr>
              <w:spacing w:after="0" w:line="240" w:lineRule="auto"/>
              <w:jc w:val="right"/>
              <w:rPr>
                <w:rFonts w:cs="Times New Roman"/>
                <w:color w:val="17365D"/>
                <w:sz w:val="18"/>
                <w:szCs w:val="18"/>
              </w:rPr>
            </w:pPr>
            <w:r w:rsidRPr="00EC756E">
              <w:rPr>
                <w:rFonts w:cs="Times New Roman"/>
                <w:color w:val="17365D"/>
                <w:sz w:val="18"/>
                <w:szCs w:val="18"/>
              </w:rPr>
              <w:t>6 348 963</w:t>
            </w:r>
          </w:p>
        </w:tc>
        <w:tc>
          <w:tcPr>
            <w:tcW w:w="1560" w:type="dxa"/>
            <w:tcBorders>
              <w:top w:val="single" w:sz="4" w:space="0" w:color="17365D"/>
              <w:bottom w:val="single" w:sz="4" w:space="0" w:color="17365D"/>
            </w:tcBorders>
            <w:shd w:val="clear" w:color="auto" w:fill="auto"/>
            <w:noWrap/>
            <w:vAlign w:val="center"/>
            <w:hideMark/>
          </w:tcPr>
          <w:p w14:paraId="5E20B93D"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13</w:t>
            </w:r>
            <w:r w:rsidRPr="00EC756E">
              <w:rPr>
                <w:rFonts w:cs="Times New Roman"/>
                <w:color w:val="17365D"/>
                <w:sz w:val="18"/>
                <w:szCs w:val="18"/>
              </w:rPr>
              <w:t xml:space="preserve"> </w:t>
            </w:r>
            <w:r>
              <w:rPr>
                <w:rFonts w:cs="Times New Roman"/>
                <w:color w:val="17365D"/>
                <w:sz w:val="18"/>
                <w:szCs w:val="18"/>
              </w:rPr>
              <w:t>996</w:t>
            </w:r>
            <w:r w:rsidRPr="00EC756E">
              <w:rPr>
                <w:rFonts w:cs="Times New Roman"/>
                <w:color w:val="17365D"/>
                <w:sz w:val="18"/>
                <w:szCs w:val="18"/>
              </w:rPr>
              <w:t xml:space="preserve"> </w:t>
            </w:r>
            <w:r>
              <w:rPr>
                <w:rFonts w:cs="Times New Roman"/>
                <w:color w:val="17365D"/>
                <w:sz w:val="18"/>
                <w:szCs w:val="18"/>
              </w:rPr>
              <w:t>395</w:t>
            </w:r>
          </w:p>
        </w:tc>
        <w:tc>
          <w:tcPr>
            <w:tcW w:w="1275" w:type="dxa"/>
            <w:tcBorders>
              <w:top w:val="single" w:sz="4" w:space="0" w:color="17365D"/>
              <w:bottom w:val="single" w:sz="4" w:space="0" w:color="17365D"/>
            </w:tcBorders>
            <w:shd w:val="clear" w:color="auto" w:fill="auto"/>
            <w:noWrap/>
            <w:vAlign w:val="center"/>
            <w:hideMark/>
          </w:tcPr>
          <w:p w14:paraId="286F3F97"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220.45</w:t>
            </w:r>
          </w:p>
        </w:tc>
      </w:tr>
      <w:tr w:rsidR="00224ABF" w:rsidRPr="002725D3" w14:paraId="66F8A575" w14:textId="77777777" w:rsidTr="003574E8">
        <w:trPr>
          <w:trHeight w:val="255"/>
        </w:trPr>
        <w:tc>
          <w:tcPr>
            <w:tcW w:w="2552" w:type="dxa"/>
            <w:tcBorders>
              <w:top w:val="single" w:sz="4" w:space="0" w:color="17365D"/>
              <w:bottom w:val="single" w:sz="4" w:space="0" w:color="17365D"/>
            </w:tcBorders>
            <w:shd w:val="clear" w:color="auto" w:fill="auto"/>
            <w:vAlign w:val="center"/>
          </w:tcPr>
          <w:p w14:paraId="19001582" w14:textId="77777777" w:rsidR="00224ABF" w:rsidRPr="002725D3" w:rsidRDefault="00224ABF" w:rsidP="00224ABF">
            <w:pPr>
              <w:pStyle w:val="Tabulasteksts"/>
              <w:rPr>
                <w:color w:val="17365D"/>
                <w:sz w:val="18"/>
                <w:szCs w:val="18"/>
                <w:lang w:eastAsia="lv-LV"/>
              </w:rPr>
            </w:pPr>
            <w:r w:rsidRPr="002725D3">
              <w:rPr>
                <w:b/>
                <w:color w:val="17365D"/>
                <w:sz w:val="18"/>
                <w:szCs w:val="18"/>
                <w:lang w:eastAsia="lv-LV"/>
              </w:rPr>
              <w:t xml:space="preserve">Izdevumi no pamatdarbības </w:t>
            </w:r>
          </w:p>
        </w:tc>
        <w:tc>
          <w:tcPr>
            <w:tcW w:w="851" w:type="dxa"/>
            <w:tcBorders>
              <w:top w:val="single" w:sz="4" w:space="0" w:color="17365D"/>
              <w:bottom w:val="single" w:sz="4" w:space="0" w:color="17365D"/>
            </w:tcBorders>
            <w:shd w:val="clear" w:color="auto" w:fill="auto"/>
            <w:vAlign w:val="center"/>
          </w:tcPr>
          <w:p w14:paraId="3345DCAA" w14:textId="77777777" w:rsidR="00224ABF" w:rsidRPr="002725D3" w:rsidRDefault="00224ABF" w:rsidP="00224ABF">
            <w:pPr>
              <w:spacing w:after="0" w:line="240" w:lineRule="auto"/>
              <w:jc w:val="center"/>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1A2F47B1" w14:textId="77777777" w:rsidR="00224ABF" w:rsidRPr="003E3C94" w:rsidRDefault="00224ABF" w:rsidP="00224ABF">
            <w:pPr>
              <w:spacing w:after="0" w:line="240" w:lineRule="auto"/>
              <w:jc w:val="right"/>
              <w:rPr>
                <w:rFonts w:cs="Times New Roman"/>
                <w:color w:val="17365D"/>
                <w:sz w:val="18"/>
                <w:szCs w:val="18"/>
              </w:rPr>
            </w:pPr>
            <w:r w:rsidRPr="003E3C94">
              <w:rPr>
                <w:rFonts w:cs="Times New Roman"/>
                <w:b/>
                <w:bCs/>
                <w:color w:val="17365D"/>
                <w:sz w:val="18"/>
                <w:szCs w:val="18"/>
              </w:rPr>
              <w:t>1</w:t>
            </w:r>
            <w:r>
              <w:rPr>
                <w:rFonts w:cs="Times New Roman"/>
                <w:b/>
                <w:bCs/>
                <w:color w:val="17365D"/>
                <w:sz w:val="18"/>
                <w:szCs w:val="18"/>
              </w:rPr>
              <w:t>6</w:t>
            </w:r>
            <w:r w:rsidRPr="003E3C94">
              <w:rPr>
                <w:rFonts w:cs="Times New Roman"/>
                <w:b/>
                <w:bCs/>
                <w:color w:val="17365D"/>
                <w:sz w:val="18"/>
                <w:szCs w:val="18"/>
              </w:rPr>
              <w:t> </w:t>
            </w:r>
            <w:r>
              <w:rPr>
                <w:rFonts w:cs="Times New Roman"/>
                <w:b/>
                <w:bCs/>
                <w:color w:val="17365D"/>
                <w:sz w:val="18"/>
                <w:szCs w:val="18"/>
              </w:rPr>
              <w:t>140</w:t>
            </w:r>
            <w:r w:rsidRPr="003E3C94">
              <w:rPr>
                <w:rFonts w:cs="Times New Roman"/>
                <w:b/>
                <w:bCs/>
                <w:color w:val="17365D"/>
                <w:sz w:val="18"/>
                <w:szCs w:val="18"/>
              </w:rPr>
              <w:t> </w:t>
            </w:r>
            <w:r>
              <w:rPr>
                <w:rFonts w:cs="Times New Roman"/>
                <w:b/>
                <w:bCs/>
                <w:color w:val="17365D"/>
                <w:sz w:val="18"/>
                <w:szCs w:val="18"/>
              </w:rPr>
              <w:t>304</w:t>
            </w:r>
            <w:r w:rsidRPr="003E3C94">
              <w:rPr>
                <w:rFonts w:cs="Times New Roman"/>
                <w:b/>
                <w:bCs/>
                <w:color w:val="17365D"/>
                <w:sz w:val="18"/>
                <w:szCs w:val="18"/>
              </w:rPr>
              <w:t> </w:t>
            </w:r>
            <w:r>
              <w:rPr>
                <w:rFonts w:cs="Times New Roman"/>
                <w:b/>
                <w:bCs/>
                <w:color w:val="17365D"/>
                <w:sz w:val="18"/>
                <w:szCs w:val="18"/>
              </w:rPr>
              <w:t>686</w:t>
            </w:r>
          </w:p>
        </w:tc>
        <w:tc>
          <w:tcPr>
            <w:tcW w:w="1559" w:type="dxa"/>
            <w:tcBorders>
              <w:top w:val="single" w:sz="4" w:space="0" w:color="17365D"/>
              <w:bottom w:val="single" w:sz="4" w:space="0" w:color="17365D"/>
            </w:tcBorders>
            <w:shd w:val="clear" w:color="auto" w:fill="auto"/>
            <w:noWrap/>
            <w:vAlign w:val="center"/>
          </w:tcPr>
          <w:p w14:paraId="22DE144A" w14:textId="77777777" w:rsidR="00224ABF" w:rsidRPr="003E3C94" w:rsidRDefault="00224ABF" w:rsidP="00224ABF">
            <w:pPr>
              <w:spacing w:after="0" w:line="240" w:lineRule="auto"/>
              <w:jc w:val="right"/>
              <w:rPr>
                <w:rFonts w:cs="Times New Roman"/>
                <w:color w:val="17365D"/>
                <w:sz w:val="18"/>
                <w:szCs w:val="18"/>
              </w:rPr>
            </w:pPr>
            <w:r w:rsidRPr="003E3C94">
              <w:rPr>
                <w:rFonts w:cs="Times New Roman"/>
                <w:b/>
                <w:bCs/>
                <w:color w:val="17365D"/>
                <w:sz w:val="18"/>
                <w:szCs w:val="18"/>
              </w:rPr>
              <w:t>1</w:t>
            </w:r>
            <w:r>
              <w:rPr>
                <w:rFonts w:cs="Times New Roman"/>
                <w:b/>
                <w:bCs/>
                <w:color w:val="17365D"/>
                <w:sz w:val="18"/>
                <w:szCs w:val="18"/>
              </w:rPr>
              <w:t>5</w:t>
            </w:r>
            <w:r w:rsidRPr="003E3C94">
              <w:rPr>
                <w:rFonts w:cs="Times New Roman"/>
                <w:b/>
                <w:bCs/>
                <w:color w:val="17365D"/>
                <w:sz w:val="18"/>
                <w:szCs w:val="18"/>
              </w:rPr>
              <w:t> </w:t>
            </w:r>
            <w:r>
              <w:rPr>
                <w:rFonts w:cs="Times New Roman"/>
                <w:b/>
                <w:bCs/>
                <w:color w:val="17365D"/>
                <w:sz w:val="18"/>
                <w:szCs w:val="18"/>
              </w:rPr>
              <w:t>020</w:t>
            </w:r>
            <w:r w:rsidRPr="003E3C94">
              <w:rPr>
                <w:rFonts w:cs="Times New Roman"/>
                <w:b/>
                <w:bCs/>
                <w:color w:val="17365D"/>
                <w:sz w:val="18"/>
                <w:szCs w:val="18"/>
              </w:rPr>
              <w:t> </w:t>
            </w:r>
            <w:r>
              <w:rPr>
                <w:rFonts w:cs="Times New Roman"/>
                <w:b/>
                <w:bCs/>
                <w:color w:val="17365D"/>
                <w:sz w:val="18"/>
                <w:szCs w:val="18"/>
              </w:rPr>
              <w:t>047</w:t>
            </w:r>
            <w:r w:rsidRPr="003E3C94">
              <w:rPr>
                <w:rFonts w:cs="Times New Roman"/>
                <w:b/>
                <w:bCs/>
                <w:color w:val="17365D"/>
                <w:sz w:val="18"/>
                <w:szCs w:val="18"/>
              </w:rPr>
              <w:t> </w:t>
            </w:r>
            <w:r>
              <w:rPr>
                <w:rFonts w:cs="Times New Roman"/>
                <w:b/>
                <w:bCs/>
                <w:color w:val="17365D"/>
                <w:sz w:val="18"/>
                <w:szCs w:val="18"/>
              </w:rPr>
              <w:t>393</w:t>
            </w:r>
          </w:p>
        </w:tc>
        <w:tc>
          <w:tcPr>
            <w:tcW w:w="1560" w:type="dxa"/>
            <w:tcBorders>
              <w:top w:val="single" w:sz="4" w:space="0" w:color="17365D"/>
              <w:bottom w:val="single" w:sz="4" w:space="0" w:color="17365D"/>
            </w:tcBorders>
            <w:shd w:val="clear" w:color="auto" w:fill="auto"/>
            <w:noWrap/>
            <w:vAlign w:val="center"/>
          </w:tcPr>
          <w:p w14:paraId="3CBD1D32" w14:textId="77777777" w:rsidR="00224ABF" w:rsidRPr="003E3C94" w:rsidRDefault="00224ABF" w:rsidP="00224ABF">
            <w:pPr>
              <w:spacing w:after="0" w:line="240" w:lineRule="auto"/>
              <w:jc w:val="right"/>
              <w:rPr>
                <w:rFonts w:cs="Times New Roman"/>
                <w:color w:val="17365D"/>
                <w:sz w:val="18"/>
                <w:szCs w:val="18"/>
              </w:rPr>
            </w:pPr>
            <w:r w:rsidRPr="003E3C94">
              <w:rPr>
                <w:rFonts w:cs="Times New Roman"/>
                <w:b/>
                <w:color w:val="17365D"/>
                <w:sz w:val="18"/>
                <w:szCs w:val="18"/>
                <w:lang w:eastAsia="lv-LV"/>
              </w:rPr>
              <w:t xml:space="preserve">1 </w:t>
            </w:r>
            <w:r>
              <w:rPr>
                <w:rFonts w:cs="Times New Roman"/>
                <w:b/>
                <w:color w:val="17365D"/>
                <w:sz w:val="18"/>
                <w:szCs w:val="18"/>
                <w:lang w:eastAsia="lv-LV"/>
              </w:rPr>
              <w:t>120</w:t>
            </w:r>
            <w:r w:rsidRPr="003E3C94">
              <w:rPr>
                <w:rFonts w:cs="Times New Roman"/>
                <w:b/>
                <w:color w:val="17365D"/>
                <w:sz w:val="18"/>
                <w:szCs w:val="18"/>
                <w:lang w:eastAsia="lv-LV"/>
              </w:rPr>
              <w:t xml:space="preserve"> </w:t>
            </w:r>
            <w:r>
              <w:rPr>
                <w:rFonts w:cs="Times New Roman"/>
                <w:b/>
                <w:color w:val="17365D"/>
                <w:sz w:val="18"/>
                <w:szCs w:val="18"/>
                <w:lang w:eastAsia="lv-LV"/>
              </w:rPr>
              <w:t>257</w:t>
            </w:r>
            <w:r w:rsidRPr="003E3C94">
              <w:rPr>
                <w:rFonts w:cs="Times New Roman"/>
                <w:b/>
                <w:color w:val="17365D"/>
                <w:sz w:val="18"/>
                <w:szCs w:val="18"/>
                <w:lang w:eastAsia="lv-LV"/>
              </w:rPr>
              <w:t> </w:t>
            </w:r>
            <w:r>
              <w:rPr>
                <w:rFonts w:cs="Times New Roman"/>
                <w:b/>
                <w:color w:val="17365D"/>
                <w:sz w:val="18"/>
                <w:szCs w:val="18"/>
                <w:lang w:eastAsia="lv-LV"/>
              </w:rPr>
              <w:t>293</w:t>
            </w:r>
          </w:p>
        </w:tc>
        <w:tc>
          <w:tcPr>
            <w:tcW w:w="1275" w:type="dxa"/>
            <w:tcBorders>
              <w:top w:val="single" w:sz="4" w:space="0" w:color="17365D"/>
              <w:bottom w:val="single" w:sz="4" w:space="0" w:color="17365D"/>
            </w:tcBorders>
            <w:shd w:val="clear" w:color="auto" w:fill="auto"/>
            <w:noWrap/>
            <w:vAlign w:val="center"/>
          </w:tcPr>
          <w:p w14:paraId="3E15D77D" w14:textId="77777777" w:rsidR="00224ABF" w:rsidRPr="003E3C94" w:rsidRDefault="00224ABF" w:rsidP="00224ABF">
            <w:pPr>
              <w:spacing w:after="0" w:line="240" w:lineRule="auto"/>
              <w:jc w:val="right"/>
              <w:rPr>
                <w:rFonts w:cs="Times New Roman"/>
                <w:color w:val="17365D"/>
                <w:sz w:val="18"/>
                <w:szCs w:val="18"/>
              </w:rPr>
            </w:pPr>
            <w:r>
              <w:rPr>
                <w:rFonts w:cs="Times New Roman"/>
                <w:b/>
                <w:bCs/>
                <w:color w:val="17365D"/>
                <w:sz w:val="18"/>
                <w:szCs w:val="18"/>
              </w:rPr>
              <w:t>7</w:t>
            </w:r>
            <w:r>
              <w:rPr>
                <w:rFonts w:cs="Times New Roman"/>
                <w:color w:val="17365D"/>
                <w:sz w:val="18"/>
                <w:szCs w:val="18"/>
              </w:rPr>
              <w:t>.46</w:t>
            </w:r>
          </w:p>
        </w:tc>
      </w:tr>
      <w:tr w:rsidR="00224ABF" w:rsidRPr="002725D3" w14:paraId="57C27350" w14:textId="77777777" w:rsidTr="003574E8">
        <w:trPr>
          <w:trHeight w:val="255"/>
        </w:trPr>
        <w:tc>
          <w:tcPr>
            <w:tcW w:w="2552" w:type="dxa"/>
            <w:tcBorders>
              <w:top w:val="single" w:sz="4" w:space="0" w:color="17365D"/>
              <w:bottom w:val="single" w:sz="4" w:space="0" w:color="17365D"/>
            </w:tcBorders>
            <w:shd w:val="clear" w:color="auto" w:fill="auto"/>
            <w:vAlign w:val="center"/>
          </w:tcPr>
          <w:p w14:paraId="6BF06B8B" w14:textId="77777777" w:rsidR="00224ABF" w:rsidRPr="002725D3" w:rsidRDefault="00224ABF" w:rsidP="00224ABF">
            <w:pPr>
              <w:pStyle w:val="Tabulasteksts"/>
              <w:rPr>
                <w:color w:val="17365D"/>
                <w:sz w:val="18"/>
                <w:szCs w:val="18"/>
                <w:lang w:eastAsia="lv-LV"/>
              </w:rPr>
            </w:pPr>
            <w:r w:rsidRPr="002725D3">
              <w:rPr>
                <w:color w:val="17365D"/>
                <w:sz w:val="18"/>
                <w:szCs w:val="18"/>
              </w:rPr>
              <w:t>Atalgojums</w:t>
            </w:r>
          </w:p>
        </w:tc>
        <w:tc>
          <w:tcPr>
            <w:tcW w:w="851" w:type="dxa"/>
            <w:tcBorders>
              <w:top w:val="single" w:sz="4" w:space="0" w:color="17365D"/>
              <w:bottom w:val="single" w:sz="4" w:space="0" w:color="17365D"/>
            </w:tcBorders>
            <w:shd w:val="clear" w:color="auto" w:fill="auto"/>
            <w:vAlign w:val="center"/>
          </w:tcPr>
          <w:p w14:paraId="015A9EDF" w14:textId="77777777" w:rsidR="00224ABF" w:rsidRPr="002725D3" w:rsidRDefault="00224ABF" w:rsidP="00224ABF">
            <w:pPr>
              <w:spacing w:after="0" w:line="240" w:lineRule="auto"/>
              <w:jc w:val="right"/>
              <w:rPr>
                <w:rFonts w:cs="Times New Roman"/>
                <w:color w:val="17365D"/>
                <w:sz w:val="18"/>
                <w:szCs w:val="18"/>
              </w:rPr>
            </w:pPr>
            <w:r>
              <w:rPr>
                <w:color w:val="17365D"/>
                <w:sz w:val="18"/>
                <w:szCs w:val="18"/>
                <w:lang w:eastAsia="lv-LV"/>
              </w:rPr>
              <w:t>NP.A21.</w:t>
            </w:r>
          </w:p>
        </w:tc>
        <w:tc>
          <w:tcPr>
            <w:tcW w:w="1559" w:type="dxa"/>
            <w:tcBorders>
              <w:top w:val="single" w:sz="4" w:space="0" w:color="17365D"/>
              <w:bottom w:val="single" w:sz="4" w:space="0" w:color="17365D"/>
            </w:tcBorders>
            <w:shd w:val="clear" w:color="auto" w:fill="auto"/>
            <w:noWrap/>
            <w:vAlign w:val="center"/>
          </w:tcPr>
          <w:p w14:paraId="0C8D8FBB"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 xml:space="preserve">2 </w:t>
            </w:r>
            <w:r>
              <w:rPr>
                <w:rFonts w:cs="Times New Roman"/>
                <w:color w:val="17365D"/>
                <w:sz w:val="18"/>
                <w:szCs w:val="18"/>
              </w:rPr>
              <w:t>724</w:t>
            </w:r>
            <w:r w:rsidRPr="00E14C73">
              <w:rPr>
                <w:rFonts w:cs="Times New Roman"/>
                <w:color w:val="17365D"/>
                <w:sz w:val="18"/>
                <w:szCs w:val="18"/>
              </w:rPr>
              <w:t xml:space="preserve"> </w:t>
            </w:r>
            <w:r>
              <w:rPr>
                <w:rFonts w:cs="Times New Roman"/>
                <w:color w:val="17365D"/>
                <w:sz w:val="18"/>
                <w:szCs w:val="18"/>
              </w:rPr>
              <w:t>507</w:t>
            </w:r>
            <w:r w:rsidRPr="00E14C73">
              <w:rPr>
                <w:rFonts w:cs="Times New Roman"/>
                <w:color w:val="17365D"/>
                <w:sz w:val="18"/>
                <w:szCs w:val="18"/>
              </w:rPr>
              <w:t xml:space="preserve"> </w:t>
            </w:r>
            <w:r>
              <w:rPr>
                <w:rFonts w:cs="Times New Roman"/>
                <w:color w:val="17365D"/>
                <w:sz w:val="18"/>
                <w:szCs w:val="18"/>
              </w:rPr>
              <w:t>048</w:t>
            </w:r>
          </w:p>
        </w:tc>
        <w:tc>
          <w:tcPr>
            <w:tcW w:w="1559" w:type="dxa"/>
            <w:tcBorders>
              <w:top w:val="single" w:sz="4" w:space="0" w:color="17365D"/>
              <w:bottom w:val="single" w:sz="4" w:space="0" w:color="17365D"/>
            </w:tcBorders>
            <w:shd w:val="clear" w:color="auto" w:fill="auto"/>
            <w:noWrap/>
            <w:vAlign w:val="center"/>
          </w:tcPr>
          <w:p w14:paraId="2DCFADB0"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2 363 820 982</w:t>
            </w:r>
          </w:p>
        </w:tc>
        <w:tc>
          <w:tcPr>
            <w:tcW w:w="1560" w:type="dxa"/>
            <w:tcBorders>
              <w:top w:val="single" w:sz="4" w:space="0" w:color="17365D"/>
              <w:bottom w:val="single" w:sz="4" w:space="0" w:color="17365D"/>
            </w:tcBorders>
            <w:shd w:val="clear" w:color="auto" w:fill="auto"/>
            <w:noWrap/>
            <w:vAlign w:val="center"/>
          </w:tcPr>
          <w:p w14:paraId="1346F31F"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360</w:t>
            </w:r>
            <w:r w:rsidRPr="00E14C73">
              <w:rPr>
                <w:rFonts w:cs="Times New Roman"/>
                <w:color w:val="17365D"/>
                <w:sz w:val="18"/>
                <w:szCs w:val="18"/>
              </w:rPr>
              <w:t xml:space="preserve"> </w:t>
            </w:r>
            <w:r>
              <w:rPr>
                <w:rFonts w:cs="Times New Roman"/>
                <w:color w:val="17365D"/>
                <w:sz w:val="18"/>
                <w:szCs w:val="18"/>
              </w:rPr>
              <w:t>686</w:t>
            </w:r>
            <w:r w:rsidRPr="00E14C73">
              <w:rPr>
                <w:rFonts w:cs="Times New Roman"/>
                <w:color w:val="17365D"/>
                <w:sz w:val="18"/>
                <w:szCs w:val="18"/>
              </w:rPr>
              <w:t xml:space="preserve"> </w:t>
            </w:r>
            <w:r>
              <w:rPr>
                <w:rFonts w:cs="Times New Roman"/>
                <w:color w:val="17365D"/>
                <w:sz w:val="18"/>
                <w:szCs w:val="18"/>
              </w:rPr>
              <w:t>066</w:t>
            </w:r>
          </w:p>
        </w:tc>
        <w:tc>
          <w:tcPr>
            <w:tcW w:w="1275" w:type="dxa"/>
            <w:tcBorders>
              <w:top w:val="single" w:sz="4" w:space="0" w:color="17365D"/>
              <w:bottom w:val="single" w:sz="4" w:space="0" w:color="17365D"/>
            </w:tcBorders>
            <w:shd w:val="clear" w:color="auto" w:fill="auto"/>
            <w:noWrap/>
            <w:vAlign w:val="center"/>
          </w:tcPr>
          <w:p w14:paraId="23E9B49B"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w:t>
            </w:r>
            <w:r w:rsidRPr="00E14C73">
              <w:rPr>
                <w:rFonts w:cs="Times New Roman"/>
                <w:color w:val="17365D"/>
                <w:sz w:val="18"/>
                <w:szCs w:val="18"/>
              </w:rPr>
              <w:t>5.</w:t>
            </w:r>
            <w:r>
              <w:rPr>
                <w:rFonts w:cs="Times New Roman"/>
                <w:color w:val="17365D"/>
                <w:sz w:val="18"/>
                <w:szCs w:val="18"/>
              </w:rPr>
              <w:t>26</w:t>
            </w:r>
          </w:p>
        </w:tc>
      </w:tr>
      <w:tr w:rsidR="00224ABF" w:rsidRPr="002725D3" w14:paraId="6B518F87" w14:textId="77777777" w:rsidTr="003574E8">
        <w:trPr>
          <w:trHeight w:val="255"/>
        </w:trPr>
        <w:tc>
          <w:tcPr>
            <w:tcW w:w="2552" w:type="dxa"/>
            <w:tcBorders>
              <w:top w:val="single" w:sz="4" w:space="0" w:color="17365D"/>
              <w:bottom w:val="single" w:sz="4" w:space="0" w:color="17365D"/>
            </w:tcBorders>
            <w:shd w:val="clear" w:color="auto" w:fill="auto"/>
            <w:vAlign w:val="center"/>
          </w:tcPr>
          <w:p w14:paraId="59CEB3D1" w14:textId="77777777" w:rsidR="00224ABF" w:rsidRPr="002725D3" w:rsidRDefault="00224ABF" w:rsidP="00224ABF">
            <w:pPr>
              <w:pStyle w:val="Tabulasteksts"/>
              <w:rPr>
                <w:color w:val="17365D"/>
                <w:sz w:val="18"/>
                <w:szCs w:val="18"/>
                <w:lang w:eastAsia="lv-LV"/>
              </w:rPr>
            </w:pPr>
            <w:r w:rsidRPr="002725D3">
              <w:rPr>
                <w:color w:val="17365D"/>
                <w:sz w:val="18"/>
                <w:szCs w:val="18"/>
              </w:rPr>
              <w:t>Darba devēja sociālās apdrošināšanas iemaksas, pabalsti un kompensācijas</w:t>
            </w:r>
          </w:p>
        </w:tc>
        <w:tc>
          <w:tcPr>
            <w:tcW w:w="851" w:type="dxa"/>
            <w:tcBorders>
              <w:top w:val="single" w:sz="4" w:space="0" w:color="17365D"/>
              <w:bottom w:val="single" w:sz="4" w:space="0" w:color="17365D"/>
            </w:tcBorders>
            <w:shd w:val="clear" w:color="auto" w:fill="auto"/>
            <w:vAlign w:val="center"/>
          </w:tcPr>
          <w:p w14:paraId="69D542B9" w14:textId="77777777" w:rsidR="00224ABF" w:rsidRPr="002725D3" w:rsidRDefault="00224ABF" w:rsidP="00224ABF">
            <w:pPr>
              <w:spacing w:after="0" w:line="240" w:lineRule="auto"/>
              <w:jc w:val="right"/>
              <w:rPr>
                <w:rFonts w:cs="Times New Roman"/>
                <w:color w:val="17365D"/>
                <w:sz w:val="18"/>
                <w:szCs w:val="18"/>
              </w:rPr>
            </w:pPr>
            <w:r>
              <w:rPr>
                <w:color w:val="17365D"/>
                <w:sz w:val="18"/>
                <w:szCs w:val="18"/>
                <w:lang w:eastAsia="lv-LV"/>
              </w:rPr>
              <w:t>NP.A22.</w:t>
            </w:r>
          </w:p>
        </w:tc>
        <w:tc>
          <w:tcPr>
            <w:tcW w:w="1559" w:type="dxa"/>
            <w:tcBorders>
              <w:top w:val="single" w:sz="4" w:space="0" w:color="17365D"/>
              <w:bottom w:val="single" w:sz="4" w:space="0" w:color="17365D"/>
            </w:tcBorders>
            <w:shd w:val="clear" w:color="auto" w:fill="auto"/>
            <w:noWrap/>
            <w:vAlign w:val="center"/>
          </w:tcPr>
          <w:p w14:paraId="356D9F54"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 xml:space="preserve">1 </w:t>
            </w:r>
            <w:r>
              <w:rPr>
                <w:rFonts w:cs="Times New Roman"/>
                <w:color w:val="17365D"/>
                <w:sz w:val="18"/>
                <w:szCs w:val="18"/>
              </w:rPr>
              <w:t>641</w:t>
            </w:r>
            <w:r w:rsidRPr="00E14C73">
              <w:rPr>
                <w:rFonts w:cs="Times New Roman"/>
                <w:color w:val="17365D"/>
                <w:sz w:val="18"/>
                <w:szCs w:val="18"/>
              </w:rPr>
              <w:t xml:space="preserve"> </w:t>
            </w:r>
            <w:r>
              <w:rPr>
                <w:rFonts w:cs="Times New Roman"/>
                <w:color w:val="17365D"/>
                <w:sz w:val="18"/>
                <w:szCs w:val="18"/>
              </w:rPr>
              <w:t>182</w:t>
            </w:r>
            <w:r w:rsidRPr="00E14C73">
              <w:rPr>
                <w:rFonts w:cs="Times New Roman"/>
                <w:color w:val="17365D"/>
                <w:sz w:val="18"/>
                <w:szCs w:val="18"/>
              </w:rPr>
              <w:t xml:space="preserve"> </w:t>
            </w:r>
            <w:r>
              <w:rPr>
                <w:rFonts w:cs="Times New Roman"/>
                <w:color w:val="17365D"/>
                <w:sz w:val="18"/>
                <w:szCs w:val="18"/>
              </w:rPr>
              <w:t>356</w:t>
            </w:r>
          </w:p>
        </w:tc>
        <w:tc>
          <w:tcPr>
            <w:tcW w:w="1559" w:type="dxa"/>
            <w:tcBorders>
              <w:top w:val="single" w:sz="4" w:space="0" w:color="17365D"/>
              <w:bottom w:val="single" w:sz="4" w:space="0" w:color="17365D"/>
            </w:tcBorders>
            <w:shd w:val="clear" w:color="auto" w:fill="auto"/>
            <w:noWrap/>
            <w:vAlign w:val="center"/>
          </w:tcPr>
          <w:p w14:paraId="4986377A"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1 444 679 494</w:t>
            </w:r>
          </w:p>
        </w:tc>
        <w:tc>
          <w:tcPr>
            <w:tcW w:w="1560" w:type="dxa"/>
            <w:tcBorders>
              <w:top w:val="single" w:sz="4" w:space="0" w:color="17365D"/>
              <w:bottom w:val="single" w:sz="4" w:space="0" w:color="17365D"/>
            </w:tcBorders>
            <w:shd w:val="clear" w:color="auto" w:fill="auto"/>
            <w:noWrap/>
            <w:vAlign w:val="center"/>
          </w:tcPr>
          <w:p w14:paraId="3D0B149E"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1</w:t>
            </w:r>
            <w:r>
              <w:rPr>
                <w:rFonts w:cs="Times New Roman"/>
                <w:color w:val="17365D"/>
                <w:sz w:val="18"/>
                <w:szCs w:val="18"/>
              </w:rPr>
              <w:t>96 5</w:t>
            </w:r>
            <w:r w:rsidRPr="00E14C73">
              <w:rPr>
                <w:rFonts w:cs="Times New Roman"/>
                <w:color w:val="17365D"/>
                <w:sz w:val="18"/>
                <w:szCs w:val="18"/>
              </w:rPr>
              <w:t xml:space="preserve">02 </w:t>
            </w:r>
            <w:r>
              <w:rPr>
                <w:rFonts w:cs="Times New Roman"/>
                <w:color w:val="17365D"/>
                <w:sz w:val="18"/>
                <w:szCs w:val="18"/>
              </w:rPr>
              <w:t>862</w:t>
            </w:r>
          </w:p>
        </w:tc>
        <w:tc>
          <w:tcPr>
            <w:tcW w:w="1275" w:type="dxa"/>
            <w:tcBorders>
              <w:top w:val="single" w:sz="4" w:space="0" w:color="17365D"/>
              <w:bottom w:val="single" w:sz="4" w:space="0" w:color="17365D"/>
            </w:tcBorders>
            <w:shd w:val="clear" w:color="auto" w:fill="auto"/>
            <w:noWrap/>
            <w:vAlign w:val="center"/>
          </w:tcPr>
          <w:p w14:paraId="6D22CE4F"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1</w:t>
            </w:r>
            <w:r>
              <w:rPr>
                <w:rFonts w:cs="Times New Roman"/>
                <w:color w:val="17365D"/>
                <w:sz w:val="18"/>
                <w:szCs w:val="18"/>
              </w:rPr>
              <w:t>3.60</w:t>
            </w:r>
          </w:p>
        </w:tc>
      </w:tr>
      <w:tr w:rsidR="00224ABF" w:rsidRPr="002725D3" w14:paraId="103F4874" w14:textId="77777777" w:rsidTr="003574E8">
        <w:trPr>
          <w:trHeight w:val="255"/>
        </w:trPr>
        <w:tc>
          <w:tcPr>
            <w:tcW w:w="2552" w:type="dxa"/>
            <w:tcBorders>
              <w:top w:val="single" w:sz="4" w:space="0" w:color="17365D"/>
              <w:bottom w:val="single" w:sz="4" w:space="0" w:color="17365D"/>
            </w:tcBorders>
            <w:shd w:val="clear" w:color="auto" w:fill="auto"/>
            <w:vAlign w:val="center"/>
          </w:tcPr>
          <w:p w14:paraId="32FC1E5D" w14:textId="77777777" w:rsidR="00224ABF" w:rsidRPr="002725D3" w:rsidRDefault="00224ABF" w:rsidP="00224ABF">
            <w:pPr>
              <w:pStyle w:val="Tabulasteksts"/>
              <w:rPr>
                <w:color w:val="17365D"/>
                <w:sz w:val="18"/>
                <w:szCs w:val="18"/>
                <w:lang w:eastAsia="lv-LV"/>
              </w:rPr>
            </w:pPr>
            <w:r w:rsidRPr="002725D3">
              <w:rPr>
                <w:color w:val="17365D"/>
                <w:sz w:val="18"/>
                <w:szCs w:val="18"/>
              </w:rPr>
              <w:t>Mācību, darba un dienesta komandējumi un dienesta, darba braucieni</w:t>
            </w:r>
          </w:p>
        </w:tc>
        <w:tc>
          <w:tcPr>
            <w:tcW w:w="851" w:type="dxa"/>
            <w:tcBorders>
              <w:top w:val="single" w:sz="4" w:space="0" w:color="17365D"/>
              <w:bottom w:val="single" w:sz="4" w:space="0" w:color="17365D"/>
            </w:tcBorders>
            <w:shd w:val="clear" w:color="auto" w:fill="auto"/>
            <w:vAlign w:val="center"/>
          </w:tcPr>
          <w:p w14:paraId="0D25940E" w14:textId="77777777" w:rsidR="00224ABF" w:rsidRPr="002725D3" w:rsidRDefault="00224ABF" w:rsidP="00224ABF">
            <w:pPr>
              <w:spacing w:after="0" w:line="240" w:lineRule="auto"/>
              <w:jc w:val="right"/>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75AD8E63"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45</w:t>
            </w:r>
            <w:r w:rsidRPr="00E14C73">
              <w:rPr>
                <w:rFonts w:cs="Times New Roman"/>
                <w:color w:val="17365D"/>
                <w:sz w:val="18"/>
                <w:szCs w:val="18"/>
              </w:rPr>
              <w:t xml:space="preserve"> </w:t>
            </w:r>
            <w:r>
              <w:rPr>
                <w:rFonts w:cs="Times New Roman"/>
                <w:color w:val="17365D"/>
                <w:sz w:val="18"/>
                <w:szCs w:val="18"/>
              </w:rPr>
              <w:t>051</w:t>
            </w:r>
            <w:r w:rsidRPr="00E14C73">
              <w:rPr>
                <w:rFonts w:cs="Times New Roman"/>
                <w:color w:val="17365D"/>
                <w:sz w:val="18"/>
                <w:szCs w:val="18"/>
              </w:rPr>
              <w:t xml:space="preserve"> </w:t>
            </w:r>
            <w:r>
              <w:rPr>
                <w:rFonts w:cs="Times New Roman"/>
                <w:color w:val="17365D"/>
                <w:sz w:val="18"/>
                <w:szCs w:val="18"/>
              </w:rPr>
              <w:t>025</w:t>
            </w:r>
          </w:p>
        </w:tc>
        <w:tc>
          <w:tcPr>
            <w:tcW w:w="1559" w:type="dxa"/>
            <w:tcBorders>
              <w:top w:val="single" w:sz="4" w:space="0" w:color="17365D"/>
              <w:bottom w:val="single" w:sz="4" w:space="0" w:color="17365D"/>
            </w:tcBorders>
            <w:shd w:val="clear" w:color="auto" w:fill="auto"/>
            <w:noWrap/>
            <w:vAlign w:val="center"/>
          </w:tcPr>
          <w:p w14:paraId="1E3C59BD"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40 948 306</w:t>
            </w:r>
          </w:p>
        </w:tc>
        <w:tc>
          <w:tcPr>
            <w:tcW w:w="1560" w:type="dxa"/>
            <w:tcBorders>
              <w:top w:val="single" w:sz="4" w:space="0" w:color="17365D"/>
              <w:bottom w:val="single" w:sz="4" w:space="0" w:color="17365D"/>
            </w:tcBorders>
            <w:shd w:val="clear" w:color="auto" w:fill="auto"/>
            <w:noWrap/>
            <w:vAlign w:val="center"/>
          </w:tcPr>
          <w:p w14:paraId="0C4B5F2F"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4 1</w:t>
            </w:r>
            <w:r w:rsidRPr="00E14C73">
              <w:rPr>
                <w:rFonts w:cs="Times New Roman"/>
                <w:color w:val="17365D"/>
                <w:sz w:val="18"/>
                <w:szCs w:val="18"/>
              </w:rPr>
              <w:t xml:space="preserve">02 </w:t>
            </w:r>
            <w:r>
              <w:rPr>
                <w:rFonts w:cs="Times New Roman"/>
                <w:color w:val="17365D"/>
                <w:sz w:val="18"/>
                <w:szCs w:val="18"/>
              </w:rPr>
              <w:t>71</w:t>
            </w:r>
            <w:r w:rsidRPr="00E14C73">
              <w:rPr>
                <w:rFonts w:cs="Times New Roman"/>
                <w:color w:val="17365D"/>
                <w:sz w:val="18"/>
                <w:szCs w:val="18"/>
              </w:rPr>
              <w:t>9</w:t>
            </w:r>
          </w:p>
        </w:tc>
        <w:tc>
          <w:tcPr>
            <w:tcW w:w="1275" w:type="dxa"/>
            <w:tcBorders>
              <w:top w:val="single" w:sz="4" w:space="0" w:color="17365D"/>
              <w:bottom w:val="single" w:sz="4" w:space="0" w:color="17365D"/>
            </w:tcBorders>
            <w:shd w:val="clear" w:color="auto" w:fill="auto"/>
            <w:noWrap/>
            <w:vAlign w:val="center"/>
          </w:tcPr>
          <w:p w14:paraId="428F5867"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1</w:t>
            </w:r>
            <w:r>
              <w:rPr>
                <w:rFonts w:cs="Times New Roman"/>
                <w:color w:val="17365D"/>
                <w:sz w:val="18"/>
                <w:szCs w:val="18"/>
              </w:rPr>
              <w:t>0.02</w:t>
            </w:r>
          </w:p>
        </w:tc>
      </w:tr>
      <w:tr w:rsidR="00224ABF" w:rsidRPr="002725D3" w14:paraId="0D24BE71" w14:textId="77777777" w:rsidTr="003574E8">
        <w:trPr>
          <w:trHeight w:val="255"/>
        </w:trPr>
        <w:tc>
          <w:tcPr>
            <w:tcW w:w="2552" w:type="dxa"/>
            <w:tcBorders>
              <w:top w:val="single" w:sz="4" w:space="0" w:color="17365D"/>
              <w:bottom w:val="single" w:sz="4" w:space="0" w:color="17365D"/>
            </w:tcBorders>
            <w:shd w:val="clear" w:color="auto" w:fill="auto"/>
            <w:vAlign w:val="center"/>
          </w:tcPr>
          <w:p w14:paraId="66CB463B" w14:textId="77777777" w:rsidR="00224ABF" w:rsidRPr="002725D3" w:rsidRDefault="00224ABF" w:rsidP="00224ABF">
            <w:pPr>
              <w:pStyle w:val="Tabulasteksts"/>
              <w:rPr>
                <w:color w:val="17365D"/>
                <w:sz w:val="18"/>
                <w:szCs w:val="18"/>
                <w:lang w:eastAsia="lv-LV"/>
              </w:rPr>
            </w:pPr>
            <w:r w:rsidRPr="002725D3">
              <w:rPr>
                <w:color w:val="17365D"/>
                <w:sz w:val="18"/>
                <w:szCs w:val="18"/>
              </w:rPr>
              <w:t>Pakalpojumi</w:t>
            </w:r>
          </w:p>
        </w:tc>
        <w:tc>
          <w:tcPr>
            <w:tcW w:w="851" w:type="dxa"/>
            <w:tcBorders>
              <w:top w:val="single" w:sz="4" w:space="0" w:color="17365D"/>
              <w:bottom w:val="single" w:sz="4" w:space="0" w:color="17365D"/>
            </w:tcBorders>
            <w:shd w:val="clear" w:color="auto" w:fill="auto"/>
            <w:vAlign w:val="center"/>
          </w:tcPr>
          <w:p w14:paraId="1F523933" w14:textId="77777777" w:rsidR="00224ABF" w:rsidRPr="002725D3" w:rsidRDefault="00224ABF" w:rsidP="00224ABF">
            <w:pPr>
              <w:spacing w:after="0" w:line="240" w:lineRule="auto"/>
              <w:jc w:val="right"/>
              <w:rPr>
                <w:rFonts w:cs="Times New Roman"/>
                <w:color w:val="17365D"/>
                <w:sz w:val="18"/>
                <w:szCs w:val="18"/>
              </w:rPr>
            </w:pPr>
            <w:r>
              <w:rPr>
                <w:color w:val="17365D"/>
                <w:sz w:val="18"/>
                <w:szCs w:val="18"/>
                <w:lang w:eastAsia="lv-LV"/>
              </w:rPr>
              <w:t>NP.A24.</w:t>
            </w:r>
          </w:p>
        </w:tc>
        <w:tc>
          <w:tcPr>
            <w:tcW w:w="1559" w:type="dxa"/>
            <w:tcBorders>
              <w:top w:val="single" w:sz="4" w:space="0" w:color="17365D"/>
              <w:bottom w:val="single" w:sz="4" w:space="0" w:color="17365D"/>
            </w:tcBorders>
            <w:shd w:val="clear" w:color="auto" w:fill="auto"/>
            <w:noWrap/>
            <w:vAlign w:val="center"/>
          </w:tcPr>
          <w:p w14:paraId="3069255B"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 xml:space="preserve">1 </w:t>
            </w:r>
            <w:r>
              <w:rPr>
                <w:rFonts w:cs="Times New Roman"/>
                <w:color w:val="17365D"/>
                <w:sz w:val="18"/>
                <w:szCs w:val="18"/>
              </w:rPr>
              <w:t>458</w:t>
            </w:r>
            <w:r w:rsidRPr="00E14C73">
              <w:rPr>
                <w:rFonts w:cs="Times New Roman"/>
                <w:color w:val="17365D"/>
                <w:sz w:val="18"/>
                <w:szCs w:val="18"/>
              </w:rPr>
              <w:t xml:space="preserve"> </w:t>
            </w:r>
            <w:r>
              <w:rPr>
                <w:rFonts w:cs="Times New Roman"/>
                <w:color w:val="17365D"/>
                <w:sz w:val="18"/>
                <w:szCs w:val="18"/>
              </w:rPr>
              <w:t>457</w:t>
            </w:r>
            <w:r w:rsidRPr="00E14C73">
              <w:rPr>
                <w:rFonts w:cs="Times New Roman"/>
                <w:color w:val="17365D"/>
                <w:sz w:val="18"/>
                <w:szCs w:val="18"/>
              </w:rPr>
              <w:t xml:space="preserve"> </w:t>
            </w:r>
            <w:r>
              <w:rPr>
                <w:rFonts w:cs="Times New Roman"/>
                <w:color w:val="17365D"/>
                <w:sz w:val="18"/>
                <w:szCs w:val="18"/>
              </w:rPr>
              <w:t>160</w:t>
            </w:r>
          </w:p>
        </w:tc>
        <w:tc>
          <w:tcPr>
            <w:tcW w:w="1559" w:type="dxa"/>
            <w:tcBorders>
              <w:top w:val="single" w:sz="4" w:space="0" w:color="17365D"/>
              <w:bottom w:val="single" w:sz="4" w:space="0" w:color="17365D"/>
            </w:tcBorders>
            <w:shd w:val="clear" w:color="auto" w:fill="auto"/>
            <w:noWrap/>
            <w:vAlign w:val="center"/>
          </w:tcPr>
          <w:p w14:paraId="4CCAE701"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1 286 611 033</w:t>
            </w:r>
          </w:p>
        </w:tc>
        <w:tc>
          <w:tcPr>
            <w:tcW w:w="1560" w:type="dxa"/>
            <w:tcBorders>
              <w:top w:val="single" w:sz="4" w:space="0" w:color="17365D"/>
              <w:bottom w:val="single" w:sz="4" w:space="0" w:color="17365D"/>
            </w:tcBorders>
            <w:shd w:val="clear" w:color="auto" w:fill="auto"/>
            <w:noWrap/>
            <w:vAlign w:val="center"/>
          </w:tcPr>
          <w:p w14:paraId="1F0CEE20"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171</w:t>
            </w:r>
            <w:r w:rsidRPr="00E14C73">
              <w:rPr>
                <w:rFonts w:cs="Times New Roman"/>
                <w:color w:val="17365D"/>
                <w:sz w:val="18"/>
                <w:szCs w:val="18"/>
              </w:rPr>
              <w:t xml:space="preserve"> </w:t>
            </w:r>
            <w:r>
              <w:rPr>
                <w:rFonts w:cs="Times New Roman"/>
                <w:color w:val="17365D"/>
                <w:sz w:val="18"/>
                <w:szCs w:val="18"/>
              </w:rPr>
              <w:t>846</w:t>
            </w:r>
            <w:r w:rsidRPr="00E14C73">
              <w:rPr>
                <w:rFonts w:cs="Times New Roman"/>
                <w:color w:val="17365D"/>
                <w:sz w:val="18"/>
                <w:szCs w:val="18"/>
              </w:rPr>
              <w:t xml:space="preserve"> </w:t>
            </w:r>
            <w:r>
              <w:rPr>
                <w:rFonts w:cs="Times New Roman"/>
                <w:color w:val="17365D"/>
                <w:sz w:val="18"/>
                <w:szCs w:val="18"/>
              </w:rPr>
              <w:t>127</w:t>
            </w:r>
          </w:p>
        </w:tc>
        <w:tc>
          <w:tcPr>
            <w:tcW w:w="1275" w:type="dxa"/>
            <w:tcBorders>
              <w:top w:val="single" w:sz="4" w:space="0" w:color="17365D"/>
              <w:bottom w:val="single" w:sz="4" w:space="0" w:color="17365D"/>
            </w:tcBorders>
            <w:shd w:val="clear" w:color="auto" w:fill="auto"/>
            <w:noWrap/>
            <w:vAlign w:val="center"/>
          </w:tcPr>
          <w:p w14:paraId="4E181685"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13.36</w:t>
            </w:r>
          </w:p>
        </w:tc>
      </w:tr>
      <w:tr w:rsidR="00224ABF" w:rsidRPr="002725D3" w14:paraId="0FCC339C" w14:textId="77777777" w:rsidTr="003574E8">
        <w:trPr>
          <w:trHeight w:val="255"/>
        </w:trPr>
        <w:tc>
          <w:tcPr>
            <w:tcW w:w="2552" w:type="dxa"/>
            <w:tcBorders>
              <w:top w:val="single" w:sz="4" w:space="0" w:color="17365D"/>
              <w:bottom w:val="single" w:sz="4" w:space="0" w:color="17365D"/>
            </w:tcBorders>
            <w:shd w:val="clear" w:color="auto" w:fill="auto"/>
            <w:vAlign w:val="center"/>
          </w:tcPr>
          <w:p w14:paraId="55AAAB86" w14:textId="77777777" w:rsidR="00224ABF" w:rsidRPr="002725D3" w:rsidRDefault="00224ABF" w:rsidP="00224ABF">
            <w:pPr>
              <w:pStyle w:val="Tabulasteksts"/>
              <w:rPr>
                <w:color w:val="17365D"/>
                <w:sz w:val="18"/>
                <w:szCs w:val="18"/>
                <w:lang w:eastAsia="lv-LV"/>
              </w:rPr>
            </w:pPr>
            <w:r w:rsidRPr="002725D3">
              <w:rPr>
                <w:color w:val="17365D"/>
                <w:sz w:val="18"/>
                <w:szCs w:val="18"/>
              </w:rPr>
              <w:t>Krājumi, materiāli, energoresursi, preces, biroja preces un inventārs, periodika</w:t>
            </w:r>
          </w:p>
        </w:tc>
        <w:tc>
          <w:tcPr>
            <w:tcW w:w="851" w:type="dxa"/>
            <w:tcBorders>
              <w:top w:val="single" w:sz="4" w:space="0" w:color="17365D"/>
              <w:bottom w:val="single" w:sz="4" w:space="0" w:color="17365D"/>
            </w:tcBorders>
            <w:shd w:val="clear" w:color="auto" w:fill="auto"/>
            <w:vAlign w:val="center"/>
          </w:tcPr>
          <w:p w14:paraId="0F830F8C" w14:textId="77777777" w:rsidR="00224ABF" w:rsidRPr="002725D3" w:rsidRDefault="00224ABF" w:rsidP="00224ABF">
            <w:pPr>
              <w:spacing w:after="0" w:line="240" w:lineRule="auto"/>
              <w:jc w:val="right"/>
              <w:rPr>
                <w:rFonts w:cs="Times New Roman"/>
                <w:color w:val="17365D"/>
                <w:sz w:val="18"/>
                <w:szCs w:val="18"/>
              </w:rPr>
            </w:pPr>
            <w:r>
              <w:rPr>
                <w:color w:val="17365D"/>
                <w:sz w:val="18"/>
                <w:szCs w:val="18"/>
                <w:lang w:eastAsia="lv-LV"/>
              </w:rPr>
              <w:t>NP.A25.</w:t>
            </w:r>
          </w:p>
        </w:tc>
        <w:tc>
          <w:tcPr>
            <w:tcW w:w="1559" w:type="dxa"/>
            <w:tcBorders>
              <w:top w:val="single" w:sz="4" w:space="0" w:color="17365D"/>
              <w:bottom w:val="single" w:sz="4" w:space="0" w:color="17365D"/>
            </w:tcBorders>
            <w:shd w:val="clear" w:color="auto" w:fill="auto"/>
            <w:noWrap/>
            <w:vAlign w:val="center"/>
          </w:tcPr>
          <w:p w14:paraId="31F8157F"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777</w:t>
            </w:r>
            <w:r w:rsidRPr="00E14C73">
              <w:rPr>
                <w:rFonts w:cs="Times New Roman"/>
                <w:color w:val="17365D"/>
                <w:sz w:val="18"/>
                <w:szCs w:val="18"/>
              </w:rPr>
              <w:t xml:space="preserve"> </w:t>
            </w:r>
            <w:r>
              <w:rPr>
                <w:rFonts w:cs="Times New Roman"/>
                <w:color w:val="17365D"/>
                <w:sz w:val="18"/>
                <w:szCs w:val="18"/>
              </w:rPr>
              <w:t>525</w:t>
            </w:r>
            <w:r w:rsidRPr="00E14C73">
              <w:rPr>
                <w:rFonts w:cs="Times New Roman"/>
                <w:color w:val="17365D"/>
                <w:sz w:val="18"/>
                <w:szCs w:val="18"/>
              </w:rPr>
              <w:t xml:space="preserve"> </w:t>
            </w:r>
            <w:r>
              <w:rPr>
                <w:rFonts w:cs="Times New Roman"/>
                <w:color w:val="17365D"/>
                <w:sz w:val="18"/>
                <w:szCs w:val="18"/>
              </w:rPr>
              <w:t>852</w:t>
            </w:r>
          </w:p>
        </w:tc>
        <w:tc>
          <w:tcPr>
            <w:tcW w:w="1559" w:type="dxa"/>
            <w:tcBorders>
              <w:top w:val="single" w:sz="4" w:space="0" w:color="17365D"/>
              <w:bottom w:val="single" w:sz="4" w:space="0" w:color="17365D"/>
            </w:tcBorders>
            <w:shd w:val="clear" w:color="auto" w:fill="auto"/>
            <w:noWrap/>
            <w:vAlign w:val="center"/>
          </w:tcPr>
          <w:p w14:paraId="155D865A"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954 775 157</w:t>
            </w:r>
          </w:p>
        </w:tc>
        <w:tc>
          <w:tcPr>
            <w:tcW w:w="1560" w:type="dxa"/>
            <w:tcBorders>
              <w:top w:val="single" w:sz="4" w:space="0" w:color="17365D"/>
              <w:bottom w:val="single" w:sz="4" w:space="0" w:color="17365D"/>
            </w:tcBorders>
            <w:shd w:val="clear" w:color="auto" w:fill="auto"/>
            <w:noWrap/>
            <w:vAlign w:val="center"/>
          </w:tcPr>
          <w:p w14:paraId="3FF7DCAC"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-177</w:t>
            </w:r>
            <w:r w:rsidRPr="00E14C73">
              <w:rPr>
                <w:rFonts w:cs="Times New Roman"/>
                <w:color w:val="17365D"/>
                <w:sz w:val="18"/>
                <w:szCs w:val="18"/>
              </w:rPr>
              <w:t xml:space="preserve"> </w:t>
            </w:r>
            <w:r>
              <w:rPr>
                <w:rFonts w:cs="Times New Roman"/>
                <w:color w:val="17365D"/>
                <w:sz w:val="18"/>
                <w:szCs w:val="18"/>
              </w:rPr>
              <w:t>249</w:t>
            </w:r>
            <w:r w:rsidRPr="00E14C73">
              <w:rPr>
                <w:rFonts w:cs="Times New Roman"/>
                <w:color w:val="17365D"/>
                <w:sz w:val="18"/>
                <w:szCs w:val="18"/>
              </w:rPr>
              <w:t xml:space="preserve"> </w:t>
            </w:r>
            <w:r>
              <w:rPr>
                <w:rFonts w:cs="Times New Roman"/>
                <w:color w:val="17365D"/>
                <w:sz w:val="18"/>
                <w:szCs w:val="18"/>
              </w:rPr>
              <w:t>305</w:t>
            </w:r>
          </w:p>
        </w:tc>
        <w:tc>
          <w:tcPr>
            <w:tcW w:w="1275" w:type="dxa"/>
            <w:tcBorders>
              <w:top w:val="single" w:sz="4" w:space="0" w:color="17365D"/>
              <w:bottom w:val="single" w:sz="4" w:space="0" w:color="17365D"/>
            </w:tcBorders>
            <w:shd w:val="clear" w:color="auto" w:fill="auto"/>
            <w:noWrap/>
            <w:vAlign w:val="center"/>
          </w:tcPr>
          <w:p w14:paraId="22D9923F"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-18</w:t>
            </w:r>
            <w:r w:rsidRPr="00E14C73">
              <w:rPr>
                <w:rFonts w:cs="Times New Roman"/>
                <w:color w:val="17365D"/>
                <w:sz w:val="18"/>
                <w:szCs w:val="18"/>
              </w:rPr>
              <w:t>.</w:t>
            </w:r>
            <w:r>
              <w:rPr>
                <w:rFonts w:cs="Times New Roman"/>
                <w:color w:val="17365D"/>
                <w:sz w:val="18"/>
                <w:szCs w:val="18"/>
              </w:rPr>
              <w:t>56</w:t>
            </w:r>
          </w:p>
        </w:tc>
      </w:tr>
      <w:tr w:rsidR="00224ABF" w:rsidRPr="002725D3" w14:paraId="41C7F6A7" w14:textId="77777777" w:rsidTr="003574E8">
        <w:trPr>
          <w:trHeight w:val="255"/>
        </w:trPr>
        <w:tc>
          <w:tcPr>
            <w:tcW w:w="2552" w:type="dxa"/>
            <w:tcBorders>
              <w:top w:val="single" w:sz="4" w:space="0" w:color="17365D"/>
              <w:bottom w:val="single" w:sz="4" w:space="0" w:color="17365D"/>
            </w:tcBorders>
            <w:shd w:val="clear" w:color="auto" w:fill="auto"/>
            <w:vAlign w:val="center"/>
          </w:tcPr>
          <w:p w14:paraId="27E4AE68" w14:textId="77777777" w:rsidR="00224ABF" w:rsidRPr="002725D3" w:rsidRDefault="00224ABF" w:rsidP="00224ABF">
            <w:pPr>
              <w:pStyle w:val="Tabulasteksts"/>
              <w:rPr>
                <w:color w:val="17365D"/>
                <w:sz w:val="18"/>
                <w:szCs w:val="18"/>
                <w:lang w:eastAsia="lv-LV"/>
              </w:rPr>
            </w:pPr>
            <w:r w:rsidRPr="002725D3">
              <w:rPr>
                <w:color w:val="17365D"/>
                <w:sz w:val="18"/>
                <w:szCs w:val="18"/>
              </w:rPr>
              <w:t>Nodokļu, nodevu un naudas sodu maksājumi</w:t>
            </w:r>
          </w:p>
        </w:tc>
        <w:tc>
          <w:tcPr>
            <w:tcW w:w="851" w:type="dxa"/>
            <w:tcBorders>
              <w:top w:val="single" w:sz="4" w:space="0" w:color="17365D"/>
              <w:bottom w:val="single" w:sz="4" w:space="0" w:color="17365D"/>
            </w:tcBorders>
            <w:shd w:val="clear" w:color="auto" w:fill="auto"/>
            <w:vAlign w:val="center"/>
          </w:tcPr>
          <w:p w14:paraId="0B03913E" w14:textId="77777777" w:rsidR="00224ABF" w:rsidRPr="002725D3" w:rsidRDefault="00224ABF" w:rsidP="00224ABF">
            <w:pPr>
              <w:spacing w:after="0" w:line="240" w:lineRule="auto"/>
              <w:jc w:val="right"/>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22E7B99D"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2</w:t>
            </w:r>
            <w:r>
              <w:rPr>
                <w:rFonts w:cs="Times New Roman"/>
                <w:color w:val="17365D"/>
                <w:sz w:val="18"/>
                <w:szCs w:val="18"/>
              </w:rPr>
              <w:t>7</w:t>
            </w:r>
            <w:r w:rsidRPr="00E14C73">
              <w:rPr>
                <w:rFonts w:cs="Times New Roman"/>
                <w:color w:val="17365D"/>
                <w:sz w:val="18"/>
                <w:szCs w:val="18"/>
              </w:rPr>
              <w:t xml:space="preserve"> </w:t>
            </w:r>
            <w:r>
              <w:rPr>
                <w:rFonts w:cs="Times New Roman"/>
                <w:color w:val="17365D"/>
                <w:sz w:val="18"/>
                <w:szCs w:val="18"/>
              </w:rPr>
              <w:t>298</w:t>
            </w:r>
            <w:r w:rsidRPr="00E14C73">
              <w:rPr>
                <w:rFonts w:cs="Times New Roman"/>
                <w:color w:val="17365D"/>
                <w:sz w:val="18"/>
                <w:szCs w:val="18"/>
              </w:rPr>
              <w:t xml:space="preserve"> </w:t>
            </w:r>
            <w:r>
              <w:rPr>
                <w:rFonts w:cs="Times New Roman"/>
                <w:color w:val="17365D"/>
                <w:sz w:val="18"/>
                <w:szCs w:val="18"/>
              </w:rPr>
              <w:t>872</w:t>
            </w:r>
          </w:p>
        </w:tc>
        <w:tc>
          <w:tcPr>
            <w:tcW w:w="1559" w:type="dxa"/>
            <w:tcBorders>
              <w:top w:val="single" w:sz="4" w:space="0" w:color="17365D"/>
              <w:bottom w:val="single" w:sz="4" w:space="0" w:color="17365D"/>
            </w:tcBorders>
            <w:shd w:val="clear" w:color="auto" w:fill="auto"/>
            <w:noWrap/>
            <w:vAlign w:val="center"/>
          </w:tcPr>
          <w:p w14:paraId="2EC87774"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24 011 435</w:t>
            </w:r>
          </w:p>
        </w:tc>
        <w:tc>
          <w:tcPr>
            <w:tcW w:w="1560" w:type="dxa"/>
            <w:tcBorders>
              <w:top w:val="single" w:sz="4" w:space="0" w:color="17365D"/>
              <w:bottom w:val="single" w:sz="4" w:space="0" w:color="17365D"/>
            </w:tcBorders>
            <w:shd w:val="clear" w:color="auto" w:fill="auto"/>
            <w:noWrap/>
            <w:vAlign w:val="center"/>
          </w:tcPr>
          <w:p w14:paraId="5B9B788D"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3 287</w:t>
            </w:r>
            <w:r w:rsidRPr="00E14C73">
              <w:rPr>
                <w:rFonts w:cs="Times New Roman"/>
                <w:color w:val="17365D"/>
                <w:sz w:val="18"/>
                <w:szCs w:val="18"/>
              </w:rPr>
              <w:t xml:space="preserve"> </w:t>
            </w:r>
            <w:r>
              <w:rPr>
                <w:rFonts w:cs="Times New Roman"/>
                <w:color w:val="17365D"/>
                <w:sz w:val="18"/>
                <w:szCs w:val="18"/>
              </w:rPr>
              <w:t>437</w:t>
            </w:r>
          </w:p>
        </w:tc>
        <w:tc>
          <w:tcPr>
            <w:tcW w:w="1275" w:type="dxa"/>
            <w:tcBorders>
              <w:top w:val="single" w:sz="4" w:space="0" w:color="17365D"/>
              <w:bottom w:val="single" w:sz="4" w:space="0" w:color="17365D"/>
            </w:tcBorders>
            <w:shd w:val="clear" w:color="auto" w:fill="auto"/>
            <w:noWrap/>
            <w:vAlign w:val="center"/>
          </w:tcPr>
          <w:p w14:paraId="766CAA23"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13</w:t>
            </w:r>
            <w:r w:rsidRPr="00E14C73">
              <w:rPr>
                <w:rFonts w:cs="Times New Roman"/>
                <w:color w:val="17365D"/>
                <w:sz w:val="18"/>
                <w:szCs w:val="18"/>
              </w:rPr>
              <w:t>.</w:t>
            </w:r>
            <w:r>
              <w:rPr>
                <w:rFonts w:cs="Times New Roman"/>
                <w:color w:val="17365D"/>
                <w:sz w:val="18"/>
                <w:szCs w:val="18"/>
              </w:rPr>
              <w:t>69</w:t>
            </w:r>
          </w:p>
        </w:tc>
      </w:tr>
      <w:tr w:rsidR="00224ABF" w:rsidRPr="002725D3" w14:paraId="5AE6BB87" w14:textId="77777777" w:rsidTr="003574E8">
        <w:trPr>
          <w:trHeight w:val="255"/>
        </w:trPr>
        <w:tc>
          <w:tcPr>
            <w:tcW w:w="2552" w:type="dxa"/>
            <w:tcBorders>
              <w:top w:val="single" w:sz="4" w:space="0" w:color="17365D"/>
              <w:bottom w:val="single" w:sz="4" w:space="0" w:color="17365D"/>
            </w:tcBorders>
            <w:shd w:val="clear" w:color="auto" w:fill="auto"/>
            <w:vAlign w:val="center"/>
          </w:tcPr>
          <w:p w14:paraId="2F4E3AE9" w14:textId="77777777" w:rsidR="00224ABF" w:rsidRPr="002725D3" w:rsidRDefault="00224ABF" w:rsidP="00224ABF">
            <w:pPr>
              <w:pStyle w:val="Tabulasteksts"/>
              <w:rPr>
                <w:color w:val="17365D"/>
                <w:sz w:val="18"/>
                <w:szCs w:val="18"/>
                <w:lang w:eastAsia="lv-LV"/>
              </w:rPr>
            </w:pPr>
            <w:r w:rsidRPr="002725D3">
              <w:rPr>
                <w:color w:val="17365D"/>
                <w:sz w:val="18"/>
                <w:szCs w:val="18"/>
              </w:rPr>
              <w:t>Subsīdijas, dotācijas un sociālie pabalsti, kārtējie maksājumi Eiropas Savienības budžetā un starptautiskā sadarbība</w:t>
            </w:r>
          </w:p>
        </w:tc>
        <w:tc>
          <w:tcPr>
            <w:tcW w:w="851" w:type="dxa"/>
            <w:tcBorders>
              <w:top w:val="single" w:sz="4" w:space="0" w:color="17365D"/>
              <w:bottom w:val="single" w:sz="4" w:space="0" w:color="17365D"/>
            </w:tcBorders>
            <w:shd w:val="clear" w:color="auto" w:fill="auto"/>
            <w:vAlign w:val="center"/>
          </w:tcPr>
          <w:p w14:paraId="6736D91B" w14:textId="77777777" w:rsidR="00224ABF" w:rsidRPr="002725D3" w:rsidRDefault="00224ABF" w:rsidP="00224ABF">
            <w:pPr>
              <w:spacing w:after="0" w:line="240" w:lineRule="auto"/>
              <w:jc w:val="right"/>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3E33C031"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9</w:t>
            </w:r>
            <w:r w:rsidRPr="00E14C73">
              <w:rPr>
                <w:rFonts w:cs="Times New Roman"/>
                <w:color w:val="17365D"/>
                <w:sz w:val="18"/>
                <w:szCs w:val="18"/>
              </w:rPr>
              <w:t xml:space="preserve"> </w:t>
            </w:r>
            <w:r>
              <w:rPr>
                <w:rFonts w:cs="Times New Roman"/>
                <w:color w:val="17365D"/>
                <w:sz w:val="18"/>
                <w:szCs w:val="18"/>
              </w:rPr>
              <w:t>376</w:t>
            </w:r>
            <w:r w:rsidRPr="00E14C73">
              <w:rPr>
                <w:rFonts w:cs="Times New Roman"/>
                <w:color w:val="17365D"/>
                <w:sz w:val="18"/>
                <w:szCs w:val="18"/>
              </w:rPr>
              <w:t xml:space="preserve"> </w:t>
            </w:r>
            <w:r>
              <w:rPr>
                <w:rFonts w:cs="Times New Roman"/>
                <w:color w:val="17365D"/>
                <w:sz w:val="18"/>
                <w:szCs w:val="18"/>
              </w:rPr>
              <w:t>903</w:t>
            </w:r>
            <w:r w:rsidRPr="00E14C73">
              <w:rPr>
                <w:rFonts w:cs="Times New Roman"/>
                <w:color w:val="17365D"/>
                <w:sz w:val="18"/>
                <w:szCs w:val="18"/>
              </w:rPr>
              <w:t xml:space="preserve"> </w:t>
            </w:r>
            <w:r>
              <w:rPr>
                <w:rFonts w:cs="Times New Roman"/>
                <w:color w:val="17365D"/>
                <w:sz w:val="18"/>
                <w:szCs w:val="18"/>
              </w:rPr>
              <w:t>458</w:t>
            </w:r>
          </w:p>
        </w:tc>
        <w:tc>
          <w:tcPr>
            <w:tcW w:w="1559" w:type="dxa"/>
            <w:tcBorders>
              <w:top w:val="single" w:sz="4" w:space="0" w:color="17365D"/>
              <w:bottom w:val="single" w:sz="4" w:space="0" w:color="17365D"/>
            </w:tcBorders>
            <w:shd w:val="clear" w:color="auto" w:fill="auto"/>
            <w:noWrap/>
            <w:vAlign w:val="center"/>
          </w:tcPr>
          <w:p w14:paraId="6260FA68"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8 822 293 698</w:t>
            </w:r>
          </w:p>
        </w:tc>
        <w:tc>
          <w:tcPr>
            <w:tcW w:w="1560" w:type="dxa"/>
            <w:tcBorders>
              <w:top w:val="single" w:sz="4" w:space="0" w:color="17365D"/>
              <w:bottom w:val="single" w:sz="4" w:space="0" w:color="17365D"/>
            </w:tcBorders>
            <w:shd w:val="clear" w:color="auto" w:fill="auto"/>
            <w:noWrap/>
            <w:vAlign w:val="center"/>
          </w:tcPr>
          <w:p w14:paraId="3D73431F"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554</w:t>
            </w:r>
            <w:r w:rsidRPr="00E14C73">
              <w:rPr>
                <w:rFonts w:cs="Times New Roman"/>
                <w:color w:val="17365D"/>
                <w:sz w:val="18"/>
                <w:szCs w:val="18"/>
              </w:rPr>
              <w:t xml:space="preserve"> </w:t>
            </w:r>
            <w:r>
              <w:rPr>
                <w:rFonts w:cs="Times New Roman"/>
                <w:color w:val="17365D"/>
                <w:sz w:val="18"/>
                <w:szCs w:val="18"/>
              </w:rPr>
              <w:t>609</w:t>
            </w:r>
            <w:r w:rsidRPr="00E14C73">
              <w:rPr>
                <w:rFonts w:cs="Times New Roman"/>
                <w:color w:val="17365D"/>
                <w:sz w:val="18"/>
                <w:szCs w:val="18"/>
              </w:rPr>
              <w:t xml:space="preserve"> </w:t>
            </w:r>
            <w:r>
              <w:rPr>
                <w:rFonts w:cs="Times New Roman"/>
                <w:color w:val="17365D"/>
                <w:sz w:val="18"/>
                <w:szCs w:val="18"/>
              </w:rPr>
              <w:t>760</w:t>
            </w:r>
          </w:p>
        </w:tc>
        <w:tc>
          <w:tcPr>
            <w:tcW w:w="1275" w:type="dxa"/>
            <w:tcBorders>
              <w:top w:val="single" w:sz="4" w:space="0" w:color="17365D"/>
              <w:bottom w:val="single" w:sz="4" w:space="0" w:color="17365D"/>
            </w:tcBorders>
            <w:shd w:val="clear" w:color="auto" w:fill="auto"/>
            <w:noWrap/>
            <w:vAlign w:val="center"/>
          </w:tcPr>
          <w:p w14:paraId="09E2BFDA"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6.29</w:t>
            </w:r>
          </w:p>
        </w:tc>
      </w:tr>
      <w:tr w:rsidR="00224ABF" w:rsidRPr="002725D3" w14:paraId="5B9CC0D2" w14:textId="77777777" w:rsidTr="003574E8">
        <w:trPr>
          <w:trHeight w:val="255"/>
        </w:trPr>
        <w:tc>
          <w:tcPr>
            <w:tcW w:w="2552" w:type="dxa"/>
            <w:tcBorders>
              <w:top w:val="single" w:sz="4" w:space="0" w:color="17365D"/>
              <w:bottom w:val="single" w:sz="4" w:space="0" w:color="17365D"/>
            </w:tcBorders>
            <w:shd w:val="clear" w:color="auto" w:fill="auto"/>
            <w:vAlign w:val="center"/>
          </w:tcPr>
          <w:p w14:paraId="60B4FFC2" w14:textId="77777777" w:rsidR="00224ABF" w:rsidRPr="002725D3" w:rsidRDefault="00224ABF" w:rsidP="00224ABF">
            <w:pPr>
              <w:pStyle w:val="Tabulasteksts"/>
              <w:rPr>
                <w:color w:val="17365D"/>
                <w:sz w:val="18"/>
                <w:szCs w:val="18"/>
                <w:lang w:eastAsia="lv-LV"/>
              </w:rPr>
            </w:pPr>
            <w:r w:rsidRPr="002725D3">
              <w:rPr>
                <w:color w:val="17365D"/>
                <w:sz w:val="18"/>
                <w:szCs w:val="18"/>
              </w:rPr>
              <w:t>Procentu izdevumi</w:t>
            </w:r>
          </w:p>
        </w:tc>
        <w:tc>
          <w:tcPr>
            <w:tcW w:w="851" w:type="dxa"/>
            <w:tcBorders>
              <w:top w:val="single" w:sz="4" w:space="0" w:color="17365D"/>
              <w:bottom w:val="single" w:sz="4" w:space="0" w:color="17365D"/>
            </w:tcBorders>
            <w:shd w:val="clear" w:color="auto" w:fill="auto"/>
            <w:vAlign w:val="center"/>
          </w:tcPr>
          <w:p w14:paraId="1AC4ADE4" w14:textId="77777777" w:rsidR="00224ABF" w:rsidRPr="002725D3" w:rsidRDefault="00224ABF" w:rsidP="00224ABF">
            <w:pPr>
              <w:spacing w:after="0" w:line="240" w:lineRule="auto"/>
              <w:jc w:val="right"/>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064FB356"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449</w:t>
            </w:r>
            <w:r w:rsidRPr="00E14C73">
              <w:rPr>
                <w:rFonts w:cs="Times New Roman"/>
                <w:color w:val="17365D"/>
                <w:sz w:val="18"/>
                <w:szCs w:val="18"/>
              </w:rPr>
              <w:t xml:space="preserve"> </w:t>
            </w:r>
            <w:r>
              <w:rPr>
                <w:rFonts w:cs="Times New Roman"/>
                <w:color w:val="17365D"/>
                <w:sz w:val="18"/>
                <w:szCs w:val="18"/>
              </w:rPr>
              <w:t>344</w:t>
            </w:r>
          </w:p>
        </w:tc>
        <w:tc>
          <w:tcPr>
            <w:tcW w:w="1559" w:type="dxa"/>
            <w:tcBorders>
              <w:top w:val="single" w:sz="4" w:space="0" w:color="17365D"/>
              <w:bottom w:val="single" w:sz="4" w:space="0" w:color="17365D"/>
            </w:tcBorders>
            <w:shd w:val="clear" w:color="auto" w:fill="auto"/>
            <w:noWrap/>
            <w:vAlign w:val="center"/>
          </w:tcPr>
          <w:p w14:paraId="3A9FA3DD"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7 588 869</w:t>
            </w:r>
          </w:p>
        </w:tc>
        <w:tc>
          <w:tcPr>
            <w:tcW w:w="1560" w:type="dxa"/>
            <w:tcBorders>
              <w:top w:val="single" w:sz="4" w:space="0" w:color="17365D"/>
              <w:bottom w:val="single" w:sz="4" w:space="0" w:color="17365D"/>
            </w:tcBorders>
            <w:shd w:val="clear" w:color="auto" w:fill="auto"/>
            <w:noWrap/>
            <w:vAlign w:val="center"/>
          </w:tcPr>
          <w:p w14:paraId="195E22EA"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-7</w:t>
            </w:r>
            <w:r w:rsidRPr="00E14C73">
              <w:rPr>
                <w:rFonts w:cs="Times New Roman"/>
                <w:color w:val="17365D"/>
                <w:sz w:val="18"/>
                <w:szCs w:val="18"/>
              </w:rPr>
              <w:t xml:space="preserve"> </w:t>
            </w:r>
            <w:r>
              <w:rPr>
                <w:rFonts w:cs="Times New Roman"/>
                <w:color w:val="17365D"/>
                <w:sz w:val="18"/>
                <w:szCs w:val="18"/>
              </w:rPr>
              <w:t>139</w:t>
            </w:r>
            <w:r w:rsidRPr="00E14C73">
              <w:rPr>
                <w:rFonts w:cs="Times New Roman"/>
                <w:color w:val="17365D"/>
                <w:sz w:val="18"/>
                <w:szCs w:val="18"/>
              </w:rPr>
              <w:t xml:space="preserve"> </w:t>
            </w:r>
            <w:r>
              <w:rPr>
                <w:rFonts w:cs="Times New Roman"/>
                <w:color w:val="17365D"/>
                <w:sz w:val="18"/>
                <w:szCs w:val="18"/>
              </w:rPr>
              <w:t>525</w:t>
            </w:r>
          </w:p>
        </w:tc>
        <w:tc>
          <w:tcPr>
            <w:tcW w:w="1275" w:type="dxa"/>
            <w:tcBorders>
              <w:top w:val="single" w:sz="4" w:space="0" w:color="17365D"/>
              <w:bottom w:val="single" w:sz="4" w:space="0" w:color="17365D"/>
            </w:tcBorders>
            <w:shd w:val="clear" w:color="auto" w:fill="auto"/>
            <w:noWrap/>
            <w:vAlign w:val="center"/>
          </w:tcPr>
          <w:p w14:paraId="4B6E2560"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-9</w:t>
            </w:r>
            <w:r>
              <w:rPr>
                <w:rFonts w:cs="Times New Roman"/>
                <w:color w:val="17365D"/>
                <w:sz w:val="18"/>
                <w:szCs w:val="18"/>
              </w:rPr>
              <w:t>4.08</w:t>
            </w:r>
          </w:p>
        </w:tc>
      </w:tr>
      <w:tr w:rsidR="00224ABF" w:rsidRPr="002725D3" w14:paraId="29CF7603" w14:textId="77777777" w:rsidTr="003574E8">
        <w:trPr>
          <w:trHeight w:val="255"/>
        </w:trPr>
        <w:tc>
          <w:tcPr>
            <w:tcW w:w="2552" w:type="dxa"/>
            <w:tcBorders>
              <w:top w:val="single" w:sz="4" w:space="0" w:color="17365D"/>
              <w:bottom w:val="single" w:sz="4" w:space="0" w:color="17365D"/>
            </w:tcBorders>
            <w:shd w:val="clear" w:color="auto" w:fill="auto"/>
            <w:vAlign w:val="center"/>
          </w:tcPr>
          <w:p w14:paraId="279E162D" w14:textId="77777777" w:rsidR="00224ABF" w:rsidRPr="002725D3" w:rsidRDefault="00224ABF" w:rsidP="00224ABF">
            <w:pPr>
              <w:pStyle w:val="Tabulasteksts"/>
              <w:rPr>
                <w:color w:val="17365D"/>
                <w:sz w:val="18"/>
                <w:szCs w:val="18"/>
                <w:lang w:eastAsia="lv-LV"/>
              </w:rPr>
            </w:pPr>
            <w:r w:rsidRPr="002725D3">
              <w:rPr>
                <w:color w:val="17365D"/>
                <w:sz w:val="18"/>
                <w:szCs w:val="18"/>
              </w:rPr>
              <w:t>Aizdevumu izsniegšana</w:t>
            </w:r>
          </w:p>
        </w:tc>
        <w:tc>
          <w:tcPr>
            <w:tcW w:w="851" w:type="dxa"/>
            <w:tcBorders>
              <w:top w:val="single" w:sz="4" w:space="0" w:color="17365D"/>
              <w:bottom w:val="single" w:sz="4" w:space="0" w:color="17365D"/>
            </w:tcBorders>
            <w:shd w:val="clear" w:color="auto" w:fill="auto"/>
            <w:vAlign w:val="center"/>
          </w:tcPr>
          <w:p w14:paraId="76C586AC" w14:textId="77777777" w:rsidR="00224ABF" w:rsidRPr="002725D3" w:rsidRDefault="00224ABF" w:rsidP="00224ABF">
            <w:pPr>
              <w:spacing w:after="0" w:line="240" w:lineRule="auto"/>
              <w:jc w:val="right"/>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12CC7BE2"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85</w:t>
            </w:r>
            <w:r w:rsidRPr="00E14C73">
              <w:rPr>
                <w:rFonts w:cs="Times New Roman"/>
                <w:color w:val="17365D"/>
                <w:sz w:val="18"/>
                <w:szCs w:val="18"/>
              </w:rPr>
              <w:t xml:space="preserve"> </w:t>
            </w:r>
            <w:r>
              <w:rPr>
                <w:rFonts w:cs="Times New Roman"/>
                <w:color w:val="17365D"/>
                <w:sz w:val="18"/>
                <w:szCs w:val="18"/>
              </w:rPr>
              <w:t>588</w:t>
            </w:r>
            <w:r w:rsidRPr="00E14C73">
              <w:rPr>
                <w:rFonts w:cs="Times New Roman"/>
                <w:color w:val="17365D"/>
                <w:sz w:val="18"/>
                <w:szCs w:val="18"/>
              </w:rPr>
              <w:t xml:space="preserve"> </w:t>
            </w:r>
            <w:r>
              <w:rPr>
                <w:rFonts w:cs="Times New Roman"/>
                <w:color w:val="17365D"/>
                <w:sz w:val="18"/>
                <w:szCs w:val="18"/>
              </w:rPr>
              <w:t>881</w:t>
            </w:r>
          </w:p>
        </w:tc>
        <w:tc>
          <w:tcPr>
            <w:tcW w:w="1559" w:type="dxa"/>
            <w:tcBorders>
              <w:top w:val="single" w:sz="4" w:space="0" w:color="17365D"/>
              <w:bottom w:val="single" w:sz="4" w:space="0" w:color="17365D"/>
            </w:tcBorders>
            <w:shd w:val="clear" w:color="auto" w:fill="auto"/>
            <w:noWrap/>
            <w:vAlign w:val="center"/>
          </w:tcPr>
          <w:p w14:paraId="49B94945"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69 139 416</w:t>
            </w:r>
          </w:p>
        </w:tc>
        <w:tc>
          <w:tcPr>
            <w:tcW w:w="1560" w:type="dxa"/>
            <w:tcBorders>
              <w:top w:val="single" w:sz="4" w:space="0" w:color="17365D"/>
              <w:bottom w:val="single" w:sz="4" w:space="0" w:color="17365D"/>
            </w:tcBorders>
            <w:shd w:val="clear" w:color="auto" w:fill="auto"/>
            <w:noWrap/>
            <w:vAlign w:val="center"/>
          </w:tcPr>
          <w:p w14:paraId="643CB06F"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16</w:t>
            </w:r>
            <w:r w:rsidRPr="00E14C73">
              <w:rPr>
                <w:rFonts w:cs="Times New Roman"/>
                <w:color w:val="17365D"/>
                <w:sz w:val="18"/>
                <w:szCs w:val="18"/>
              </w:rPr>
              <w:t xml:space="preserve"> </w:t>
            </w:r>
            <w:r>
              <w:rPr>
                <w:rFonts w:cs="Times New Roman"/>
                <w:color w:val="17365D"/>
                <w:sz w:val="18"/>
                <w:szCs w:val="18"/>
              </w:rPr>
              <w:t>449</w:t>
            </w:r>
            <w:r w:rsidRPr="00E14C73">
              <w:rPr>
                <w:rFonts w:cs="Times New Roman"/>
                <w:color w:val="17365D"/>
                <w:sz w:val="18"/>
                <w:szCs w:val="18"/>
              </w:rPr>
              <w:t xml:space="preserve"> </w:t>
            </w:r>
            <w:r>
              <w:rPr>
                <w:rFonts w:cs="Times New Roman"/>
                <w:color w:val="17365D"/>
                <w:sz w:val="18"/>
                <w:szCs w:val="18"/>
              </w:rPr>
              <w:t>465</w:t>
            </w:r>
          </w:p>
        </w:tc>
        <w:tc>
          <w:tcPr>
            <w:tcW w:w="1275" w:type="dxa"/>
            <w:tcBorders>
              <w:top w:val="single" w:sz="4" w:space="0" w:color="17365D"/>
              <w:bottom w:val="single" w:sz="4" w:space="0" w:color="17365D"/>
            </w:tcBorders>
            <w:shd w:val="clear" w:color="auto" w:fill="auto"/>
            <w:noWrap/>
            <w:vAlign w:val="center"/>
          </w:tcPr>
          <w:p w14:paraId="07498066"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23.79</w:t>
            </w:r>
          </w:p>
        </w:tc>
      </w:tr>
      <w:tr w:rsidR="00224ABF" w:rsidRPr="002725D3" w14:paraId="5C5BE874" w14:textId="77777777" w:rsidTr="003574E8">
        <w:trPr>
          <w:trHeight w:val="255"/>
        </w:trPr>
        <w:tc>
          <w:tcPr>
            <w:tcW w:w="2552" w:type="dxa"/>
            <w:tcBorders>
              <w:top w:val="single" w:sz="4" w:space="0" w:color="17365D"/>
              <w:bottom w:val="single" w:sz="4" w:space="0" w:color="17365D"/>
            </w:tcBorders>
            <w:shd w:val="clear" w:color="auto" w:fill="auto"/>
            <w:vAlign w:val="center"/>
          </w:tcPr>
          <w:p w14:paraId="16EF2A55" w14:textId="77777777" w:rsidR="00224ABF" w:rsidRPr="002725D3" w:rsidRDefault="00224ABF" w:rsidP="00224ABF">
            <w:pPr>
              <w:pStyle w:val="Tabulasteksts"/>
              <w:rPr>
                <w:color w:val="17365D"/>
                <w:sz w:val="18"/>
                <w:szCs w:val="18"/>
                <w:lang w:eastAsia="lv-LV"/>
              </w:rPr>
            </w:pPr>
            <w:r w:rsidRPr="002725D3">
              <w:rPr>
                <w:color w:val="17365D"/>
                <w:sz w:val="18"/>
                <w:szCs w:val="18"/>
              </w:rPr>
              <w:t>Citi izdevumi no pamatdarbības</w:t>
            </w:r>
          </w:p>
        </w:tc>
        <w:tc>
          <w:tcPr>
            <w:tcW w:w="851" w:type="dxa"/>
            <w:tcBorders>
              <w:top w:val="single" w:sz="4" w:space="0" w:color="17365D"/>
              <w:bottom w:val="single" w:sz="4" w:space="0" w:color="17365D"/>
            </w:tcBorders>
            <w:shd w:val="clear" w:color="auto" w:fill="auto"/>
            <w:vAlign w:val="center"/>
          </w:tcPr>
          <w:p w14:paraId="7037BF2A" w14:textId="77777777" w:rsidR="00224ABF" w:rsidRPr="002725D3" w:rsidRDefault="00224ABF" w:rsidP="00224ABF">
            <w:pPr>
              <w:spacing w:after="0" w:line="240" w:lineRule="auto"/>
              <w:jc w:val="right"/>
              <w:rPr>
                <w:rFonts w:cs="Times New Roman"/>
                <w:color w:val="17365D"/>
                <w:sz w:val="18"/>
                <w:szCs w:val="18"/>
              </w:rPr>
            </w:pPr>
          </w:p>
        </w:tc>
        <w:tc>
          <w:tcPr>
            <w:tcW w:w="1559" w:type="dxa"/>
            <w:tcBorders>
              <w:top w:val="single" w:sz="4" w:space="0" w:color="17365D"/>
              <w:bottom w:val="single" w:sz="4" w:space="0" w:color="17365D"/>
            </w:tcBorders>
            <w:shd w:val="clear" w:color="auto" w:fill="auto"/>
            <w:noWrap/>
            <w:vAlign w:val="center"/>
          </w:tcPr>
          <w:p w14:paraId="25ADA89E"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3</w:t>
            </w:r>
            <w:r w:rsidRPr="00E14C73">
              <w:rPr>
                <w:rFonts w:cs="Times New Roman"/>
                <w:color w:val="17365D"/>
                <w:sz w:val="18"/>
                <w:szCs w:val="18"/>
              </w:rPr>
              <w:t xml:space="preserve"> </w:t>
            </w:r>
            <w:r>
              <w:rPr>
                <w:rFonts w:cs="Times New Roman"/>
                <w:color w:val="17365D"/>
                <w:sz w:val="18"/>
                <w:szCs w:val="18"/>
              </w:rPr>
              <w:t>340</w:t>
            </w:r>
            <w:r w:rsidRPr="00E14C73">
              <w:rPr>
                <w:rFonts w:cs="Times New Roman"/>
                <w:color w:val="17365D"/>
                <w:sz w:val="18"/>
                <w:szCs w:val="18"/>
              </w:rPr>
              <w:t xml:space="preserve"> </w:t>
            </w:r>
            <w:r>
              <w:rPr>
                <w:rFonts w:cs="Times New Roman"/>
                <w:color w:val="17365D"/>
                <w:sz w:val="18"/>
                <w:szCs w:val="18"/>
              </w:rPr>
              <w:t>690</w:t>
            </w:r>
          </w:p>
        </w:tc>
        <w:tc>
          <w:tcPr>
            <w:tcW w:w="1559" w:type="dxa"/>
            <w:tcBorders>
              <w:top w:val="single" w:sz="4" w:space="0" w:color="17365D"/>
              <w:bottom w:val="single" w:sz="4" w:space="0" w:color="17365D"/>
            </w:tcBorders>
            <w:shd w:val="clear" w:color="auto" w:fill="auto"/>
            <w:noWrap/>
            <w:vAlign w:val="center"/>
          </w:tcPr>
          <w:p w14:paraId="122A80B4" w14:textId="77777777" w:rsidR="00224ABF" w:rsidRPr="003E3C94" w:rsidRDefault="00224ABF" w:rsidP="00224ABF">
            <w:pPr>
              <w:spacing w:after="0" w:line="240" w:lineRule="auto"/>
              <w:jc w:val="right"/>
              <w:rPr>
                <w:rFonts w:cs="Times New Roman"/>
                <w:color w:val="17365D"/>
                <w:sz w:val="18"/>
                <w:szCs w:val="18"/>
              </w:rPr>
            </w:pPr>
            <w:r w:rsidRPr="00E14C73">
              <w:rPr>
                <w:rFonts w:cs="Times New Roman"/>
                <w:color w:val="17365D"/>
                <w:sz w:val="18"/>
                <w:szCs w:val="18"/>
              </w:rPr>
              <w:t>6 179 003</w:t>
            </w:r>
          </w:p>
        </w:tc>
        <w:tc>
          <w:tcPr>
            <w:tcW w:w="1560" w:type="dxa"/>
            <w:tcBorders>
              <w:top w:val="single" w:sz="4" w:space="0" w:color="17365D"/>
              <w:bottom w:val="single" w:sz="4" w:space="0" w:color="17365D"/>
            </w:tcBorders>
            <w:shd w:val="clear" w:color="auto" w:fill="auto"/>
            <w:noWrap/>
            <w:vAlign w:val="center"/>
          </w:tcPr>
          <w:p w14:paraId="039841ED"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-2</w:t>
            </w:r>
            <w:r w:rsidRPr="00E14C73">
              <w:rPr>
                <w:rFonts w:cs="Times New Roman"/>
                <w:color w:val="17365D"/>
                <w:sz w:val="18"/>
                <w:szCs w:val="18"/>
              </w:rPr>
              <w:t xml:space="preserve"> </w:t>
            </w:r>
            <w:r>
              <w:rPr>
                <w:rFonts w:cs="Times New Roman"/>
                <w:color w:val="17365D"/>
                <w:sz w:val="18"/>
                <w:szCs w:val="18"/>
              </w:rPr>
              <w:t>838</w:t>
            </w:r>
            <w:r w:rsidRPr="00E14C73">
              <w:rPr>
                <w:rFonts w:cs="Times New Roman"/>
                <w:color w:val="17365D"/>
                <w:sz w:val="18"/>
                <w:szCs w:val="18"/>
              </w:rPr>
              <w:t xml:space="preserve"> </w:t>
            </w:r>
            <w:r>
              <w:rPr>
                <w:rFonts w:cs="Times New Roman"/>
                <w:color w:val="17365D"/>
                <w:sz w:val="18"/>
                <w:szCs w:val="18"/>
              </w:rPr>
              <w:t>313</w:t>
            </w:r>
          </w:p>
        </w:tc>
        <w:tc>
          <w:tcPr>
            <w:tcW w:w="1275" w:type="dxa"/>
            <w:tcBorders>
              <w:top w:val="single" w:sz="4" w:space="0" w:color="17365D"/>
              <w:bottom w:val="single" w:sz="4" w:space="0" w:color="17365D"/>
            </w:tcBorders>
            <w:shd w:val="clear" w:color="auto" w:fill="auto"/>
            <w:noWrap/>
            <w:vAlign w:val="center"/>
          </w:tcPr>
          <w:p w14:paraId="0325CDFC" w14:textId="77777777" w:rsidR="00224ABF" w:rsidRPr="003E3C94" w:rsidRDefault="00224ABF" w:rsidP="00224ABF">
            <w:pPr>
              <w:spacing w:after="0" w:line="240" w:lineRule="auto"/>
              <w:jc w:val="right"/>
              <w:rPr>
                <w:rFonts w:cs="Times New Roman"/>
                <w:color w:val="17365D"/>
                <w:sz w:val="18"/>
                <w:szCs w:val="18"/>
              </w:rPr>
            </w:pPr>
            <w:r>
              <w:rPr>
                <w:rFonts w:cs="Times New Roman"/>
                <w:color w:val="17365D"/>
                <w:sz w:val="18"/>
                <w:szCs w:val="18"/>
              </w:rPr>
              <w:t>-45</w:t>
            </w:r>
            <w:r w:rsidRPr="00E14C73">
              <w:rPr>
                <w:rFonts w:cs="Times New Roman"/>
                <w:color w:val="17365D"/>
                <w:sz w:val="18"/>
                <w:szCs w:val="18"/>
              </w:rPr>
              <w:t>.9</w:t>
            </w:r>
            <w:r>
              <w:rPr>
                <w:rFonts w:cs="Times New Roman"/>
                <w:color w:val="17365D"/>
                <w:sz w:val="18"/>
                <w:szCs w:val="18"/>
              </w:rPr>
              <w:t>3</w:t>
            </w:r>
          </w:p>
        </w:tc>
      </w:tr>
      <w:tr w:rsidR="00224ABF" w:rsidRPr="002725D3" w14:paraId="01985B6D" w14:textId="77777777" w:rsidTr="00051043">
        <w:trPr>
          <w:trHeight w:val="255"/>
        </w:trPr>
        <w:tc>
          <w:tcPr>
            <w:tcW w:w="2552" w:type="dxa"/>
            <w:tcBorders>
              <w:top w:val="single" w:sz="4" w:space="0" w:color="17365D"/>
            </w:tcBorders>
            <w:shd w:val="clear" w:color="auto" w:fill="B9CDE5"/>
            <w:vAlign w:val="center"/>
          </w:tcPr>
          <w:p w14:paraId="4CF194EA" w14:textId="77777777" w:rsidR="00224ABF" w:rsidRPr="002725D3" w:rsidRDefault="00224ABF" w:rsidP="00224ABF">
            <w:pPr>
              <w:pStyle w:val="Tabulasteksts"/>
              <w:rPr>
                <w:color w:val="17365D"/>
                <w:sz w:val="18"/>
                <w:szCs w:val="18"/>
                <w:lang w:eastAsia="lv-LV"/>
              </w:rPr>
            </w:pPr>
          </w:p>
        </w:tc>
        <w:tc>
          <w:tcPr>
            <w:tcW w:w="851" w:type="dxa"/>
            <w:tcBorders>
              <w:top w:val="single" w:sz="4" w:space="0" w:color="17365D"/>
            </w:tcBorders>
            <w:shd w:val="clear" w:color="auto" w:fill="B9CDE5"/>
            <w:vAlign w:val="center"/>
          </w:tcPr>
          <w:p w14:paraId="6AEABFA1" w14:textId="77777777" w:rsidR="00224ABF" w:rsidRPr="002725D3" w:rsidRDefault="00224ABF" w:rsidP="00224ABF">
            <w:pPr>
              <w:pStyle w:val="Tabulasteksts"/>
              <w:jc w:val="center"/>
              <w:rPr>
                <w:color w:val="17365D"/>
                <w:sz w:val="18"/>
                <w:szCs w:val="18"/>
                <w:lang w:eastAsia="lv-LV"/>
              </w:rPr>
            </w:pPr>
          </w:p>
        </w:tc>
        <w:tc>
          <w:tcPr>
            <w:tcW w:w="1559" w:type="dxa"/>
            <w:tcBorders>
              <w:top w:val="single" w:sz="4" w:space="0" w:color="17365D"/>
            </w:tcBorders>
            <w:shd w:val="clear" w:color="auto" w:fill="B9CDE5"/>
            <w:noWrap/>
            <w:vAlign w:val="center"/>
          </w:tcPr>
          <w:p w14:paraId="4AC66F89" w14:textId="77777777" w:rsidR="00224ABF" w:rsidRPr="002725D3" w:rsidRDefault="00224ABF" w:rsidP="00224ABF">
            <w:pPr>
              <w:spacing w:after="0" w:line="240" w:lineRule="auto"/>
              <w:jc w:val="right"/>
              <w:rPr>
                <w:rFonts w:cs="Times New Roman"/>
                <w:color w:val="17365D"/>
                <w:sz w:val="18"/>
                <w:szCs w:val="18"/>
              </w:rPr>
            </w:pPr>
          </w:p>
        </w:tc>
        <w:tc>
          <w:tcPr>
            <w:tcW w:w="1559" w:type="dxa"/>
            <w:tcBorders>
              <w:top w:val="single" w:sz="4" w:space="0" w:color="17365D"/>
            </w:tcBorders>
            <w:shd w:val="clear" w:color="auto" w:fill="B9CDE5"/>
            <w:noWrap/>
            <w:vAlign w:val="center"/>
          </w:tcPr>
          <w:p w14:paraId="39B1B1E9" w14:textId="77777777" w:rsidR="00224ABF" w:rsidRPr="002725D3" w:rsidRDefault="00224ABF" w:rsidP="00224ABF">
            <w:pPr>
              <w:spacing w:after="0" w:line="240" w:lineRule="auto"/>
              <w:jc w:val="right"/>
              <w:rPr>
                <w:rFonts w:cs="Times New Roman"/>
                <w:color w:val="17365D"/>
                <w:sz w:val="18"/>
                <w:szCs w:val="18"/>
              </w:rPr>
            </w:pPr>
          </w:p>
        </w:tc>
        <w:tc>
          <w:tcPr>
            <w:tcW w:w="1560" w:type="dxa"/>
            <w:tcBorders>
              <w:top w:val="single" w:sz="4" w:space="0" w:color="17365D"/>
            </w:tcBorders>
            <w:shd w:val="clear" w:color="auto" w:fill="B9CDE5"/>
            <w:noWrap/>
            <w:vAlign w:val="center"/>
          </w:tcPr>
          <w:p w14:paraId="71031AFF" w14:textId="77777777" w:rsidR="00224ABF" w:rsidRPr="002725D3" w:rsidRDefault="00224ABF" w:rsidP="00224ABF">
            <w:pPr>
              <w:spacing w:after="0" w:line="240" w:lineRule="auto"/>
              <w:jc w:val="right"/>
              <w:rPr>
                <w:rFonts w:cs="Times New Roman"/>
                <w:color w:val="17365D"/>
                <w:sz w:val="18"/>
                <w:szCs w:val="18"/>
              </w:rPr>
            </w:pPr>
          </w:p>
        </w:tc>
        <w:tc>
          <w:tcPr>
            <w:tcW w:w="1275" w:type="dxa"/>
            <w:tcBorders>
              <w:top w:val="single" w:sz="4" w:space="0" w:color="17365D"/>
            </w:tcBorders>
            <w:shd w:val="clear" w:color="auto" w:fill="B9CDE5"/>
            <w:noWrap/>
            <w:vAlign w:val="center"/>
          </w:tcPr>
          <w:p w14:paraId="1F2FA34C" w14:textId="77777777" w:rsidR="00224ABF" w:rsidRPr="002725D3" w:rsidRDefault="00224ABF" w:rsidP="00224ABF">
            <w:pPr>
              <w:spacing w:after="0" w:line="240" w:lineRule="auto"/>
              <w:jc w:val="right"/>
              <w:rPr>
                <w:rFonts w:cs="Times New Roman"/>
                <w:color w:val="17365D"/>
                <w:sz w:val="18"/>
                <w:szCs w:val="18"/>
              </w:rPr>
            </w:pPr>
          </w:p>
        </w:tc>
      </w:tr>
    </w:tbl>
    <w:p w14:paraId="4CF81CA5" w14:textId="77777777" w:rsidR="00224ABF" w:rsidRDefault="00224ABF" w:rsidP="00224ABF">
      <w:pPr>
        <w:pStyle w:val="Pamatteksts1"/>
        <w:spacing w:before="120"/>
        <w:ind w:firstLine="284"/>
        <w:rPr>
          <w:color w:val="17365D"/>
        </w:rPr>
      </w:pPr>
      <w:r w:rsidRPr="00905AEC">
        <w:rPr>
          <w:color w:val="17365D"/>
        </w:rPr>
        <w:t>Valsts budžeta nodokļu un pašvaldību nodokļu ieņēmumu izpilde, t.sk. informācija par izmaiņām, atklāta 2. sējuma skaidrojum</w:t>
      </w:r>
      <w:r>
        <w:rPr>
          <w:color w:val="17365D"/>
        </w:rPr>
        <w:t>ā</w:t>
      </w:r>
      <w:r w:rsidRPr="00905AEC">
        <w:rPr>
          <w:color w:val="17365D"/>
        </w:rPr>
        <w:t xml:space="preserve"> “Skaidrojums </w:t>
      </w:r>
      <w:r>
        <w:rPr>
          <w:color w:val="17365D"/>
        </w:rPr>
        <w:t>par konsolidēto valsts budžeta izpildi</w:t>
      </w:r>
      <w:r w:rsidRPr="00905AEC">
        <w:rPr>
          <w:color w:val="17365D"/>
        </w:rPr>
        <w:t>” un “Skaidrojums par pašvaldību konsolidētā budžeta izpildi”.</w:t>
      </w:r>
    </w:p>
    <w:p w14:paraId="491C97D7" w14:textId="77777777" w:rsidR="00454F1D" w:rsidRDefault="00454F1D" w:rsidP="00224ABF">
      <w:pPr>
        <w:pStyle w:val="Pamatteksts1"/>
        <w:ind w:firstLine="0"/>
        <w:rPr>
          <w:color w:val="17365D"/>
        </w:rPr>
      </w:pPr>
    </w:p>
    <w:p w14:paraId="54A2605F" w14:textId="77777777" w:rsidR="00454F1D" w:rsidRDefault="00454F1D" w:rsidP="00224ABF">
      <w:pPr>
        <w:pStyle w:val="Pamatteksts1"/>
        <w:ind w:firstLine="0"/>
        <w:rPr>
          <w:color w:val="17365D"/>
        </w:rPr>
      </w:pPr>
    </w:p>
    <w:p w14:paraId="04F61BF2" w14:textId="77777777" w:rsidR="00454F1D" w:rsidRDefault="00454F1D" w:rsidP="00224ABF">
      <w:pPr>
        <w:pStyle w:val="Pamatteksts1"/>
        <w:ind w:firstLine="0"/>
        <w:rPr>
          <w:color w:val="17365D"/>
        </w:rPr>
      </w:pPr>
    </w:p>
    <w:p w14:paraId="3064748E" w14:textId="77777777" w:rsidR="00224ABF" w:rsidRPr="00A82FA4" w:rsidRDefault="00224ABF" w:rsidP="00224ABF">
      <w:pPr>
        <w:pStyle w:val="Heading4"/>
        <w:rPr>
          <w:rFonts w:cs="Times New Roman"/>
        </w:rPr>
      </w:pPr>
      <w:r w:rsidRPr="00A82FA4">
        <w:rPr>
          <w:rFonts w:cs="Times New Roman"/>
        </w:rPr>
        <w:lastRenderedPageBreak/>
        <w:t>Piezīme Nr. NP.A12. Nenodokļu ieņēmumi</w:t>
      </w:r>
    </w:p>
    <w:p w14:paraId="18D835FE" w14:textId="77777777" w:rsidR="00224ABF" w:rsidRDefault="00224ABF" w:rsidP="00224ABF">
      <w:pPr>
        <w:pStyle w:val="Pamatteksts1"/>
        <w:ind w:left="284" w:firstLine="0"/>
        <w:rPr>
          <w:color w:val="17365D"/>
        </w:rPr>
      </w:pPr>
      <w:r>
        <w:rPr>
          <w:color w:val="17365D"/>
        </w:rPr>
        <w:t>Šī posteņa palielinājumu veido:</w:t>
      </w:r>
    </w:p>
    <w:p w14:paraId="399C12E9" w14:textId="4791F5E1" w:rsidR="00224ABF" w:rsidRPr="00951799" w:rsidRDefault="00454F1D" w:rsidP="00146A16">
      <w:pPr>
        <w:pStyle w:val="Pamatteksts1"/>
        <w:numPr>
          <w:ilvl w:val="0"/>
          <w:numId w:val="24"/>
        </w:numPr>
        <w:rPr>
          <w:bCs/>
          <w:color w:val="17365D"/>
        </w:rPr>
      </w:pPr>
      <w:r>
        <w:rPr>
          <w:bCs/>
          <w:iCs/>
          <w:color w:val="17365D"/>
        </w:rPr>
        <w:t>VID</w:t>
      </w:r>
      <w:r w:rsidR="00224ABF" w:rsidRPr="00E72168">
        <w:rPr>
          <w:bCs/>
          <w:iCs/>
          <w:color w:val="17365D"/>
        </w:rPr>
        <w:t xml:space="preserve"> administrēto valsts budžeta ieņēmumu uzskaitē</w:t>
      </w:r>
      <w:r w:rsidR="00224ABF">
        <w:rPr>
          <w:color w:val="17365D"/>
        </w:rPr>
        <w:t xml:space="preserve"> </w:t>
      </w:r>
      <w:r w:rsidR="00224ABF" w:rsidRPr="00951799">
        <w:rPr>
          <w:color w:val="17365D"/>
        </w:rPr>
        <w:t xml:space="preserve">par ieņēmumiem no </w:t>
      </w:r>
      <w:r w:rsidR="00224ABF" w:rsidRPr="00951799">
        <w:rPr>
          <w:bCs/>
          <w:color w:val="17365D"/>
        </w:rPr>
        <w:t xml:space="preserve">dividendēm </w:t>
      </w:r>
      <w:r w:rsidR="00224ABF">
        <w:rPr>
          <w:bCs/>
          <w:color w:val="17365D"/>
        </w:rPr>
        <w:t>un citiem maksājumiem par</w:t>
      </w:r>
      <w:r w:rsidR="00224ABF" w:rsidRPr="00951799">
        <w:rPr>
          <w:bCs/>
          <w:color w:val="17365D"/>
        </w:rPr>
        <w:t xml:space="preserve"> valsts kapitāla izmantošan</w:t>
      </w:r>
      <w:r w:rsidR="00224ABF">
        <w:rPr>
          <w:bCs/>
          <w:color w:val="17365D"/>
        </w:rPr>
        <w:t>u</w:t>
      </w:r>
      <w:r w:rsidR="00224ABF" w:rsidRPr="00951799">
        <w:rPr>
          <w:bCs/>
          <w:color w:val="17365D"/>
        </w:rPr>
        <w:t xml:space="preserve"> 109 625 449 </w:t>
      </w:r>
      <w:r w:rsidR="00224ABF" w:rsidRPr="00951799">
        <w:rPr>
          <w:bCs/>
          <w:i/>
          <w:color w:val="17365D"/>
        </w:rPr>
        <w:t>euro</w:t>
      </w:r>
      <w:r w:rsidR="00224ABF" w:rsidRPr="00951799">
        <w:rPr>
          <w:bCs/>
          <w:color w:val="17365D"/>
        </w:rPr>
        <w:t xml:space="preserve"> vērtībā;</w:t>
      </w:r>
    </w:p>
    <w:p w14:paraId="338E52FB" w14:textId="77777777" w:rsidR="00224ABF" w:rsidRPr="00951799" w:rsidRDefault="00224ABF" w:rsidP="00146A16">
      <w:pPr>
        <w:pStyle w:val="Pamatteksts1"/>
        <w:numPr>
          <w:ilvl w:val="0"/>
          <w:numId w:val="24"/>
        </w:numPr>
        <w:rPr>
          <w:bCs/>
          <w:color w:val="17365D"/>
        </w:rPr>
      </w:pPr>
      <w:r>
        <w:rPr>
          <w:color w:val="17365D"/>
        </w:rPr>
        <w:t>v</w:t>
      </w:r>
      <w:r w:rsidRPr="00590556">
        <w:rPr>
          <w:color w:val="17365D"/>
        </w:rPr>
        <w:t>alsts budžeta finanšu uzskaitē</w:t>
      </w:r>
      <w:r w:rsidRPr="00951799">
        <w:rPr>
          <w:color w:val="17365D"/>
        </w:rPr>
        <w:t xml:space="preserve"> </w:t>
      </w:r>
      <w:r w:rsidRPr="00951799">
        <w:rPr>
          <w:bCs/>
          <w:color w:val="17365D"/>
        </w:rPr>
        <w:t>82 258 383 </w:t>
      </w:r>
      <w:r w:rsidRPr="00951799">
        <w:rPr>
          <w:bCs/>
          <w:i/>
          <w:color w:val="17365D"/>
        </w:rPr>
        <w:t>euro</w:t>
      </w:r>
      <w:r w:rsidRPr="00951799">
        <w:rPr>
          <w:bCs/>
          <w:color w:val="17365D"/>
        </w:rPr>
        <w:t xml:space="preserve"> vērtībā</w:t>
      </w:r>
      <w:r w:rsidRPr="00951799">
        <w:rPr>
          <w:color w:val="17365D"/>
        </w:rPr>
        <w:t xml:space="preserve"> par:</w:t>
      </w:r>
    </w:p>
    <w:p w14:paraId="761234F5" w14:textId="77777777" w:rsidR="00224ABF" w:rsidRPr="00951799" w:rsidRDefault="00224ABF" w:rsidP="00146A16">
      <w:pPr>
        <w:pStyle w:val="Pamatteksts1"/>
        <w:numPr>
          <w:ilvl w:val="0"/>
          <w:numId w:val="47"/>
        </w:numPr>
        <w:ind w:left="1134"/>
        <w:rPr>
          <w:bCs/>
          <w:color w:val="17365D"/>
        </w:rPr>
      </w:pPr>
      <w:r w:rsidRPr="00951799">
        <w:rPr>
          <w:color w:val="17365D"/>
        </w:rPr>
        <w:t xml:space="preserve">ieņēmumiem no valsts nodevas par naftas produktu drošības rezervju uzturēšanu </w:t>
      </w:r>
      <w:r w:rsidRPr="00951799">
        <w:rPr>
          <w:bCs/>
          <w:color w:val="17365D"/>
        </w:rPr>
        <w:t>44 393 850 </w:t>
      </w:r>
      <w:r w:rsidRPr="00951799">
        <w:rPr>
          <w:bCs/>
          <w:i/>
          <w:color w:val="17365D"/>
        </w:rPr>
        <w:t>euro</w:t>
      </w:r>
      <w:r w:rsidRPr="00951799">
        <w:rPr>
          <w:bCs/>
          <w:color w:val="17365D"/>
        </w:rPr>
        <w:t xml:space="preserve"> vērtībā;</w:t>
      </w:r>
    </w:p>
    <w:p w14:paraId="338689AD" w14:textId="77777777" w:rsidR="00224ABF" w:rsidRPr="00951799" w:rsidRDefault="00224ABF" w:rsidP="00146A16">
      <w:pPr>
        <w:pStyle w:val="Pamatteksts1"/>
        <w:numPr>
          <w:ilvl w:val="0"/>
          <w:numId w:val="47"/>
        </w:numPr>
        <w:ind w:left="1134"/>
        <w:rPr>
          <w:bCs/>
          <w:color w:val="17365D"/>
        </w:rPr>
      </w:pPr>
      <w:r>
        <w:rPr>
          <w:bCs/>
          <w:color w:val="17365D"/>
        </w:rPr>
        <w:t xml:space="preserve">saņemtām </w:t>
      </w:r>
      <w:r w:rsidRPr="00951799">
        <w:rPr>
          <w:bCs/>
          <w:color w:val="17365D"/>
        </w:rPr>
        <w:t>debitoru parād</w:t>
      </w:r>
      <w:r>
        <w:rPr>
          <w:bCs/>
          <w:color w:val="17365D"/>
        </w:rPr>
        <w:t>u atmaksām</w:t>
      </w:r>
      <w:r w:rsidRPr="00951799">
        <w:rPr>
          <w:bCs/>
          <w:color w:val="17365D"/>
        </w:rPr>
        <w:t xml:space="preserve"> 26 345 448 </w:t>
      </w:r>
      <w:r w:rsidRPr="00951799">
        <w:rPr>
          <w:bCs/>
          <w:i/>
          <w:color w:val="17365D"/>
        </w:rPr>
        <w:t>euro</w:t>
      </w:r>
      <w:r w:rsidRPr="00951799">
        <w:rPr>
          <w:bCs/>
          <w:color w:val="17365D"/>
        </w:rPr>
        <w:t xml:space="preserve"> vērtībā;</w:t>
      </w:r>
    </w:p>
    <w:p w14:paraId="4B5C7043" w14:textId="77777777" w:rsidR="00224ABF" w:rsidRPr="0030173D" w:rsidRDefault="00224ABF" w:rsidP="00146A16">
      <w:pPr>
        <w:pStyle w:val="Pamatteksts1"/>
        <w:numPr>
          <w:ilvl w:val="0"/>
          <w:numId w:val="47"/>
        </w:numPr>
        <w:ind w:left="1134"/>
        <w:rPr>
          <w:bCs/>
          <w:color w:val="17365D"/>
        </w:rPr>
      </w:pPr>
      <w:r w:rsidRPr="00951799">
        <w:rPr>
          <w:bCs/>
          <w:color w:val="17365D"/>
        </w:rPr>
        <w:t>Latvijai piešķirto emisijas kvotu izsol</w:t>
      </w:r>
      <w:r>
        <w:rPr>
          <w:bCs/>
          <w:color w:val="17365D"/>
        </w:rPr>
        <w:t>ī</w:t>
      </w:r>
      <w:r w:rsidRPr="00951799">
        <w:rPr>
          <w:bCs/>
          <w:color w:val="17365D"/>
        </w:rPr>
        <w:t>šan</w:t>
      </w:r>
      <w:r>
        <w:rPr>
          <w:bCs/>
          <w:color w:val="17365D"/>
        </w:rPr>
        <w:t>u</w:t>
      </w:r>
      <w:r w:rsidRPr="00951799">
        <w:rPr>
          <w:bCs/>
          <w:color w:val="17365D"/>
        </w:rPr>
        <w:t xml:space="preserve"> Modernizācijas fonda ietvar</w:t>
      </w:r>
      <w:r>
        <w:rPr>
          <w:bCs/>
          <w:color w:val="17365D"/>
        </w:rPr>
        <w:t xml:space="preserve">os, </w:t>
      </w:r>
      <w:r w:rsidRPr="00951799">
        <w:rPr>
          <w:bCs/>
          <w:color w:val="17365D"/>
        </w:rPr>
        <w:t>darījumiem ar gada emisijas vienībām un Latvijai 2023.</w:t>
      </w:r>
      <w:r>
        <w:rPr>
          <w:bCs/>
          <w:color w:val="17365D"/>
        </w:rPr>
        <w:t> </w:t>
      </w:r>
      <w:r w:rsidRPr="00951799">
        <w:rPr>
          <w:bCs/>
          <w:color w:val="17365D"/>
        </w:rPr>
        <w:t>gadā piešķirtajām emisijas kvotām 11 519 085 </w:t>
      </w:r>
      <w:r w:rsidRPr="00951799">
        <w:rPr>
          <w:bCs/>
          <w:i/>
          <w:color w:val="17365D"/>
        </w:rPr>
        <w:t>euro</w:t>
      </w:r>
      <w:r w:rsidRPr="00951799">
        <w:rPr>
          <w:bCs/>
          <w:color w:val="17365D"/>
        </w:rPr>
        <w:t xml:space="preserve"> vērtībā;</w:t>
      </w:r>
    </w:p>
    <w:p w14:paraId="344B9FF2" w14:textId="77777777" w:rsidR="00224ABF" w:rsidRPr="0030173D" w:rsidRDefault="00224ABF" w:rsidP="00224ABF">
      <w:pPr>
        <w:pStyle w:val="Pamatteksts1"/>
        <w:rPr>
          <w:bCs/>
          <w:color w:val="17365D"/>
        </w:rPr>
      </w:pPr>
      <w:r>
        <w:rPr>
          <w:color w:val="17365D"/>
        </w:rPr>
        <w:t>Šī posteņa būtiskākais samazinājums bija v</w:t>
      </w:r>
      <w:r w:rsidRPr="00590556">
        <w:rPr>
          <w:color w:val="17365D"/>
        </w:rPr>
        <w:t>alsts budžeta finanšu uzskaitē</w:t>
      </w:r>
      <w:r>
        <w:rPr>
          <w:color w:val="17365D"/>
        </w:rPr>
        <w:t xml:space="preserve">, jo pārskata periodā samazinājušies </w:t>
      </w:r>
      <w:r w:rsidRPr="0030173D">
        <w:rPr>
          <w:color w:val="17365D"/>
        </w:rPr>
        <w:t>ieņēmumi no konfiscēto noziedzīgi iegūto līdzekļu realizācijas (</w:t>
      </w:r>
      <w:r w:rsidRPr="0030173D">
        <w:rPr>
          <w:bCs/>
          <w:color w:val="17365D"/>
        </w:rPr>
        <w:t>1 640 939) </w:t>
      </w:r>
      <w:r w:rsidRPr="0030173D">
        <w:rPr>
          <w:bCs/>
          <w:i/>
          <w:color w:val="17365D"/>
        </w:rPr>
        <w:t>euro</w:t>
      </w:r>
      <w:r w:rsidRPr="0030173D">
        <w:rPr>
          <w:bCs/>
          <w:color w:val="17365D"/>
        </w:rPr>
        <w:t xml:space="preserve"> vērtībā</w:t>
      </w:r>
      <w:r w:rsidRPr="0030173D">
        <w:rPr>
          <w:color w:val="17365D"/>
        </w:rPr>
        <w:t>.</w:t>
      </w:r>
      <w:r w:rsidRPr="0030173D">
        <w:rPr>
          <w:bCs/>
          <w:color w:val="17365D"/>
        </w:rPr>
        <w:t xml:space="preserve"> </w:t>
      </w:r>
    </w:p>
    <w:p w14:paraId="5443C614" w14:textId="77777777" w:rsidR="00224ABF" w:rsidRPr="003E3C94" w:rsidRDefault="00224ABF" w:rsidP="00224ABF">
      <w:pPr>
        <w:pStyle w:val="Heading4"/>
      </w:pPr>
      <w:r w:rsidRPr="00E72168">
        <w:t>Piezīme Nr</w:t>
      </w:r>
      <w:r>
        <w:t>.</w:t>
      </w:r>
      <w:r w:rsidRPr="00951799">
        <w:t xml:space="preserve"> </w:t>
      </w:r>
      <w:r w:rsidRPr="003E3C94">
        <w:t>NP.A19. Citi ieņēmumi no pamatdarbības</w:t>
      </w:r>
    </w:p>
    <w:p w14:paraId="4712CBD3" w14:textId="77777777" w:rsidR="00224ABF" w:rsidRPr="00905AEC" w:rsidRDefault="00224ABF" w:rsidP="00224ABF">
      <w:pPr>
        <w:pStyle w:val="Pamatteksts1"/>
        <w:ind w:firstLine="284"/>
        <w:rPr>
          <w:bCs/>
          <w:color w:val="17365D"/>
        </w:rPr>
      </w:pPr>
      <w:r w:rsidRPr="003E3C94">
        <w:rPr>
          <w:bCs/>
          <w:color w:val="17365D"/>
        </w:rPr>
        <w:t>Saskaņā ar ministriju, centrālo valsts iestāžu un pašvaldību sniegto informāciju (</w:t>
      </w:r>
      <w:r>
        <w:rPr>
          <w:bCs/>
          <w:color w:val="17365D"/>
        </w:rPr>
        <w:t>3.2.</w:t>
      </w:r>
      <w:r w:rsidRPr="003E3C94">
        <w:rPr>
          <w:bCs/>
          <w:color w:val="17365D"/>
        </w:rPr>
        <w:t xml:space="preserve">tabulā) būtiskāko citu ieņēmumu no pamatdarbības summu </w:t>
      </w:r>
      <w:r>
        <w:rPr>
          <w:bCs/>
          <w:color w:val="17365D"/>
        </w:rPr>
        <w:t>20</w:t>
      </w:r>
      <w:r w:rsidRPr="003E3C94">
        <w:rPr>
          <w:bCs/>
          <w:color w:val="17365D"/>
        </w:rPr>
        <w:t> </w:t>
      </w:r>
      <w:r>
        <w:rPr>
          <w:bCs/>
          <w:color w:val="17365D"/>
        </w:rPr>
        <w:t>345</w:t>
      </w:r>
      <w:r w:rsidRPr="003E3C94">
        <w:rPr>
          <w:bCs/>
          <w:color w:val="17365D"/>
        </w:rPr>
        <w:t> </w:t>
      </w:r>
      <w:r>
        <w:rPr>
          <w:bCs/>
          <w:color w:val="17365D"/>
        </w:rPr>
        <w:t>358</w:t>
      </w:r>
      <w:r w:rsidRPr="003E3C94">
        <w:rPr>
          <w:bCs/>
          <w:color w:val="17365D"/>
        </w:rPr>
        <w:t xml:space="preserve"> </w:t>
      </w:r>
      <w:r w:rsidRPr="003E3C94">
        <w:rPr>
          <w:bCs/>
          <w:i/>
          <w:color w:val="17365D"/>
        </w:rPr>
        <w:t>euro</w:t>
      </w:r>
      <w:r w:rsidRPr="003E3C94">
        <w:rPr>
          <w:bCs/>
          <w:color w:val="17365D"/>
        </w:rPr>
        <w:t xml:space="preserve"> veido </w:t>
      </w:r>
      <w:r>
        <w:rPr>
          <w:bCs/>
          <w:color w:val="17365D"/>
        </w:rPr>
        <w:t>saņemtie maksājumi no SIA “REAP” saskaņā ar Cesijas līgumu un</w:t>
      </w:r>
      <w:r w:rsidRPr="003E3C94">
        <w:rPr>
          <w:bCs/>
          <w:color w:val="17365D"/>
        </w:rPr>
        <w:t xml:space="preserve"> </w:t>
      </w:r>
      <w:r>
        <w:rPr>
          <w:bCs/>
          <w:color w:val="17365D"/>
        </w:rPr>
        <w:t>citu budžetu līdzekļi, kas uz laiku ir iestādes glabājumā.</w:t>
      </w:r>
    </w:p>
    <w:p w14:paraId="37224055" w14:textId="77777777" w:rsidR="00224ABF" w:rsidRPr="00905AEC" w:rsidRDefault="00224ABF" w:rsidP="00224ABF">
      <w:pPr>
        <w:pStyle w:val="Tabulasnosaukums"/>
        <w:spacing w:before="0"/>
        <w:ind w:left="720"/>
        <w:rPr>
          <w:rFonts w:eastAsia="Arial Unicode MS"/>
          <w:color w:val="17365D"/>
          <w:szCs w:val="20"/>
        </w:rPr>
      </w:pPr>
      <w:r>
        <w:rPr>
          <w:rFonts w:eastAsia="Arial Unicode MS"/>
          <w:color w:val="17365D"/>
          <w:szCs w:val="20"/>
        </w:rPr>
        <w:t>3.2.</w:t>
      </w:r>
      <w:r w:rsidRPr="00905AEC">
        <w:rPr>
          <w:rFonts w:eastAsia="Arial Unicode MS"/>
          <w:color w:val="17365D"/>
          <w:szCs w:val="20"/>
        </w:rPr>
        <w:t> tabula. NP.A19. Citi ieņēmumi no pamatdarbības (euro)</w:t>
      </w:r>
    </w:p>
    <w:tbl>
      <w:tblPr>
        <w:tblW w:w="5000" w:type="pct"/>
        <w:tblInd w:w="5" w:type="dxa"/>
        <w:tblBorders>
          <w:top w:val="single" w:sz="4" w:space="0" w:color="auto"/>
          <w:bottom w:val="single" w:sz="4" w:space="0" w:color="auto"/>
          <w:insideH w:val="single" w:sz="4" w:space="0" w:color="000000"/>
        </w:tblBorders>
        <w:tblLook w:val="04A0" w:firstRow="1" w:lastRow="0" w:firstColumn="1" w:lastColumn="0" w:noHBand="0" w:noVBand="1"/>
      </w:tblPr>
      <w:tblGrid>
        <w:gridCol w:w="6189"/>
        <w:gridCol w:w="1604"/>
        <w:gridCol w:w="1561"/>
      </w:tblGrid>
      <w:tr w:rsidR="00224ABF" w:rsidRPr="00905AEC" w14:paraId="747A941B" w14:textId="77777777" w:rsidTr="00224ABF">
        <w:trPr>
          <w:trHeight w:val="515"/>
        </w:trPr>
        <w:tc>
          <w:tcPr>
            <w:tcW w:w="6189" w:type="dxa"/>
            <w:tcBorders>
              <w:top w:val="nil"/>
              <w:bottom w:val="single" w:sz="4" w:space="0" w:color="17365D"/>
            </w:tcBorders>
            <w:shd w:val="clear" w:color="auto" w:fill="B8CCE4" w:themeFill="accent1" w:themeFillTint="66"/>
            <w:vAlign w:val="center"/>
            <w:hideMark/>
          </w:tcPr>
          <w:p w14:paraId="380ADF30" w14:textId="77777777" w:rsidR="00224ABF" w:rsidRPr="00905AEC" w:rsidRDefault="00224ABF" w:rsidP="00224ABF">
            <w:pPr>
              <w:spacing w:after="0" w:line="240" w:lineRule="auto"/>
              <w:jc w:val="center"/>
              <w:rPr>
                <w:b/>
                <w:bCs/>
                <w:noProof/>
                <w:color w:val="17365D"/>
                <w:sz w:val="18"/>
                <w:szCs w:val="18"/>
                <w:lang w:eastAsia="lv-LV"/>
              </w:rPr>
            </w:pPr>
            <w:r w:rsidRPr="00905AEC">
              <w:rPr>
                <w:b/>
                <w:bCs/>
                <w:noProof/>
                <w:color w:val="17365D"/>
                <w:sz w:val="18"/>
                <w:szCs w:val="18"/>
                <w:lang w:eastAsia="lv-LV"/>
              </w:rPr>
              <w:t>Darījuma apraksts</w:t>
            </w:r>
          </w:p>
        </w:tc>
        <w:tc>
          <w:tcPr>
            <w:tcW w:w="1604" w:type="dxa"/>
            <w:tcBorders>
              <w:top w:val="nil"/>
              <w:bottom w:val="single" w:sz="4" w:space="0" w:color="17365D"/>
            </w:tcBorders>
            <w:shd w:val="clear" w:color="auto" w:fill="B8CCE4" w:themeFill="accent1" w:themeFillTint="66"/>
            <w:vAlign w:val="center"/>
            <w:hideMark/>
          </w:tcPr>
          <w:p w14:paraId="1420F3E8" w14:textId="77777777" w:rsidR="00224ABF" w:rsidRPr="00905AEC" w:rsidRDefault="00224ABF" w:rsidP="00224ABF">
            <w:pPr>
              <w:spacing w:after="0" w:line="240" w:lineRule="auto"/>
              <w:jc w:val="center"/>
              <w:rPr>
                <w:b/>
                <w:bCs/>
                <w:noProof/>
                <w:color w:val="17365D"/>
                <w:sz w:val="18"/>
                <w:szCs w:val="18"/>
                <w:lang w:eastAsia="lv-LV"/>
              </w:rPr>
            </w:pPr>
            <w:r w:rsidRPr="00905AEC">
              <w:rPr>
                <w:b/>
                <w:bCs/>
                <w:noProof/>
                <w:color w:val="17365D"/>
                <w:sz w:val="18"/>
                <w:szCs w:val="18"/>
                <w:lang w:eastAsia="lv-LV"/>
              </w:rPr>
              <w:t>Pārskata periodā</w:t>
            </w:r>
          </w:p>
        </w:tc>
        <w:tc>
          <w:tcPr>
            <w:tcW w:w="1561" w:type="dxa"/>
            <w:tcBorders>
              <w:top w:val="nil"/>
              <w:bottom w:val="single" w:sz="4" w:space="0" w:color="17365D"/>
            </w:tcBorders>
            <w:shd w:val="clear" w:color="auto" w:fill="B8CCE4" w:themeFill="accent1" w:themeFillTint="66"/>
          </w:tcPr>
          <w:p w14:paraId="4F39B8FD" w14:textId="77777777" w:rsidR="00224ABF" w:rsidRPr="00905AEC" w:rsidRDefault="00224ABF" w:rsidP="00224ABF">
            <w:pPr>
              <w:spacing w:after="0" w:line="240" w:lineRule="auto"/>
              <w:jc w:val="center"/>
              <w:rPr>
                <w:b/>
                <w:bCs/>
                <w:noProof/>
                <w:color w:val="17365D"/>
                <w:sz w:val="18"/>
                <w:szCs w:val="18"/>
                <w:lang w:eastAsia="lv-LV"/>
              </w:rPr>
            </w:pPr>
            <w:r w:rsidRPr="00905AEC">
              <w:rPr>
                <w:b/>
                <w:bCs/>
                <w:noProof/>
                <w:color w:val="17365D"/>
                <w:sz w:val="18"/>
                <w:szCs w:val="18"/>
                <w:lang w:eastAsia="lv-LV"/>
              </w:rPr>
              <w:t>Iepriekšējā pārskata periodā</w:t>
            </w:r>
          </w:p>
        </w:tc>
      </w:tr>
      <w:tr w:rsidR="00224ABF" w:rsidRPr="00905AEC" w14:paraId="4101E6CF" w14:textId="77777777" w:rsidTr="003574E8">
        <w:trPr>
          <w:trHeight w:val="255"/>
        </w:trPr>
        <w:tc>
          <w:tcPr>
            <w:tcW w:w="6189" w:type="dxa"/>
            <w:tcBorders>
              <w:top w:val="single" w:sz="4" w:space="0" w:color="17365D"/>
              <w:bottom w:val="single" w:sz="4" w:space="0" w:color="17365D"/>
            </w:tcBorders>
            <w:shd w:val="clear" w:color="auto" w:fill="auto"/>
            <w:vAlign w:val="center"/>
            <w:hideMark/>
          </w:tcPr>
          <w:p w14:paraId="1D90B39E" w14:textId="77777777" w:rsidR="00224ABF" w:rsidRPr="00905AEC" w:rsidRDefault="00224ABF" w:rsidP="00224ABF">
            <w:pPr>
              <w:spacing w:after="0" w:line="240" w:lineRule="auto"/>
              <w:jc w:val="center"/>
              <w:rPr>
                <w:b/>
                <w:bCs/>
                <w:noProof/>
                <w:color w:val="17365D"/>
                <w:sz w:val="18"/>
                <w:szCs w:val="18"/>
                <w:lang w:eastAsia="lv-LV"/>
              </w:rPr>
            </w:pPr>
            <w:r w:rsidRPr="00905AEC">
              <w:rPr>
                <w:b/>
                <w:bCs/>
                <w:noProof/>
                <w:color w:val="17365D"/>
                <w:sz w:val="18"/>
                <w:szCs w:val="18"/>
                <w:lang w:eastAsia="lv-LV"/>
              </w:rPr>
              <w:t>A</w:t>
            </w:r>
          </w:p>
        </w:tc>
        <w:tc>
          <w:tcPr>
            <w:tcW w:w="1604" w:type="dxa"/>
            <w:tcBorders>
              <w:top w:val="single" w:sz="4" w:space="0" w:color="17365D"/>
              <w:bottom w:val="single" w:sz="4" w:space="0" w:color="17365D"/>
            </w:tcBorders>
            <w:shd w:val="clear" w:color="auto" w:fill="auto"/>
            <w:vAlign w:val="center"/>
            <w:hideMark/>
          </w:tcPr>
          <w:p w14:paraId="534765C6" w14:textId="77777777" w:rsidR="00224ABF" w:rsidRPr="00905AEC" w:rsidRDefault="00224ABF" w:rsidP="00224ABF">
            <w:pPr>
              <w:spacing w:after="0" w:line="240" w:lineRule="auto"/>
              <w:jc w:val="center"/>
              <w:rPr>
                <w:b/>
                <w:bCs/>
                <w:noProof/>
                <w:color w:val="17365D"/>
                <w:sz w:val="18"/>
                <w:szCs w:val="18"/>
                <w:lang w:eastAsia="lv-LV"/>
              </w:rPr>
            </w:pPr>
            <w:r w:rsidRPr="00905AEC">
              <w:rPr>
                <w:b/>
                <w:bCs/>
                <w:noProof/>
                <w:color w:val="17365D"/>
                <w:sz w:val="18"/>
                <w:szCs w:val="18"/>
                <w:lang w:eastAsia="lv-LV"/>
              </w:rPr>
              <w:t>1</w:t>
            </w:r>
          </w:p>
        </w:tc>
        <w:tc>
          <w:tcPr>
            <w:tcW w:w="1561" w:type="dxa"/>
            <w:tcBorders>
              <w:top w:val="single" w:sz="4" w:space="0" w:color="17365D"/>
              <w:bottom w:val="single" w:sz="4" w:space="0" w:color="17365D"/>
            </w:tcBorders>
            <w:vAlign w:val="center"/>
          </w:tcPr>
          <w:p w14:paraId="751851AA" w14:textId="7F9CBCAF" w:rsidR="00224ABF" w:rsidRPr="00905AEC" w:rsidRDefault="003574E8" w:rsidP="00224ABF">
            <w:pPr>
              <w:spacing w:after="0" w:line="240" w:lineRule="auto"/>
              <w:jc w:val="center"/>
              <w:rPr>
                <w:b/>
                <w:bCs/>
                <w:noProof/>
                <w:color w:val="17365D"/>
                <w:sz w:val="18"/>
                <w:szCs w:val="18"/>
                <w:lang w:eastAsia="lv-LV"/>
              </w:rPr>
            </w:pPr>
            <w:r>
              <w:rPr>
                <w:b/>
                <w:bCs/>
                <w:noProof/>
                <w:color w:val="17365D"/>
                <w:sz w:val="18"/>
                <w:szCs w:val="18"/>
                <w:lang w:eastAsia="lv-LV"/>
              </w:rPr>
              <w:t>2</w:t>
            </w:r>
          </w:p>
        </w:tc>
      </w:tr>
      <w:tr w:rsidR="00224ABF" w:rsidRPr="00905AEC" w14:paraId="56998480" w14:textId="77777777" w:rsidTr="00224ABF">
        <w:trPr>
          <w:trHeight w:val="469"/>
        </w:trPr>
        <w:tc>
          <w:tcPr>
            <w:tcW w:w="6189" w:type="dxa"/>
            <w:tcBorders>
              <w:top w:val="single" w:sz="4" w:space="0" w:color="17365D"/>
              <w:bottom w:val="single" w:sz="4" w:space="0" w:color="17365D"/>
            </w:tcBorders>
            <w:shd w:val="clear" w:color="F2F2F2" w:fill="FFFFFF"/>
            <w:vAlign w:val="center"/>
          </w:tcPr>
          <w:p w14:paraId="01007D60" w14:textId="77777777" w:rsidR="00224ABF" w:rsidRPr="00905AEC" w:rsidRDefault="00224ABF" w:rsidP="00224ABF">
            <w:pPr>
              <w:spacing w:after="0" w:line="240" w:lineRule="auto"/>
              <w:rPr>
                <w:bCs/>
                <w:noProof/>
                <w:color w:val="17365D"/>
                <w:sz w:val="18"/>
                <w:szCs w:val="18"/>
                <w:lang w:eastAsia="lv-LV"/>
              </w:rPr>
            </w:pPr>
            <w:r w:rsidRPr="00905AEC">
              <w:rPr>
                <w:bCs/>
                <w:noProof/>
                <w:color w:val="17365D"/>
                <w:sz w:val="18"/>
                <w:szCs w:val="18"/>
                <w:lang w:eastAsia="lv-LV"/>
              </w:rPr>
              <w:t>Citu budžetu līdzekļi, kas uz laiku ir iestādes glabājumā (konkursa vai drošības nauda, vēlēšanu drošības nauda, sociālās aprūpes iestādēs dzīvojošo pensijas, atsavinātie līdzekļi no aizturētajām personām un ieņēmumi par mantas realizāciju no krimināllietām un administratīvo pārkāpumu lietām līdz tiesas lēmumam, ieslodzīto un citu personu personīgā nauda, drošības nauda par kasācijas sūdzību) un nav pieejami iestādei lietošanai</w:t>
            </w:r>
          </w:p>
        </w:tc>
        <w:tc>
          <w:tcPr>
            <w:tcW w:w="1604" w:type="dxa"/>
            <w:tcBorders>
              <w:top w:val="single" w:sz="4" w:space="0" w:color="17365D"/>
              <w:bottom w:val="single" w:sz="4" w:space="0" w:color="17365D"/>
            </w:tcBorders>
            <w:shd w:val="clear" w:color="F2F2F2" w:fill="FFFFFF"/>
            <w:vAlign w:val="center"/>
          </w:tcPr>
          <w:p w14:paraId="0AD68E1D" w14:textId="77777777" w:rsidR="00224ABF" w:rsidRPr="00905AEC" w:rsidRDefault="00224ABF" w:rsidP="00224ABF">
            <w:pPr>
              <w:spacing w:after="0" w:line="240" w:lineRule="auto"/>
              <w:jc w:val="right"/>
              <w:rPr>
                <w:bCs/>
                <w:noProof/>
                <w:color w:val="17365D"/>
                <w:sz w:val="18"/>
                <w:szCs w:val="18"/>
                <w:lang w:eastAsia="lv-LV"/>
              </w:rPr>
            </w:pPr>
            <w:r>
              <w:rPr>
                <w:bCs/>
                <w:noProof/>
                <w:color w:val="17365D"/>
                <w:sz w:val="18"/>
                <w:szCs w:val="18"/>
                <w:lang w:eastAsia="lv-LV"/>
              </w:rPr>
              <w:t>9</w:t>
            </w:r>
            <w:r w:rsidRPr="00905AEC">
              <w:rPr>
                <w:bCs/>
                <w:noProof/>
                <w:color w:val="17365D"/>
                <w:sz w:val="18"/>
                <w:szCs w:val="18"/>
                <w:lang w:eastAsia="lv-LV"/>
              </w:rPr>
              <w:t xml:space="preserve"> </w:t>
            </w:r>
            <w:r>
              <w:rPr>
                <w:bCs/>
                <w:noProof/>
                <w:color w:val="17365D"/>
                <w:sz w:val="18"/>
                <w:szCs w:val="18"/>
                <w:lang w:eastAsia="lv-LV"/>
              </w:rPr>
              <w:t>294</w:t>
            </w:r>
            <w:r w:rsidRPr="00905AEC">
              <w:rPr>
                <w:bCs/>
                <w:noProof/>
                <w:color w:val="17365D"/>
                <w:sz w:val="18"/>
                <w:szCs w:val="18"/>
                <w:lang w:eastAsia="lv-LV"/>
              </w:rPr>
              <w:t> </w:t>
            </w:r>
            <w:r>
              <w:rPr>
                <w:bCs/>
                <w:noProof/>
                <w:color w:val="17365D"/>
                <w:sz w:val="18"/>
                <w:szCs w:val="18"/>
                <w:lang w:eastAsia="lv-LV"/>
              </w:rPr>
              <w:t>195</w:t>
            </w:r>
          </w:p>
        </w:tc>
        <w:tc>
          <w:tcPr>
            <w:tcW w:w="1561" w:type="dxa"/>
            <w:tcBorders>
              <w:top w:val="single" w:sz="4" w:space="0" w:color="17365D"/>
              <w:bottom w:val="single" w:sz="4" w:space="0" w:color="17365D"/>
            </w:tcBorders>
            <w:shd w:val="clear" w:color="F2F2F2" w:fill="FFFFFF"/>
            <w:vAlign w:val="center"/>
          </w:tcPr>
          <w:p w14:paraId="6416B7E4" w14:textId="77777777" w:rsidR="00224ABF" w:rsidRPr="00905AEC" w:rsidRDefault="00224ABF" w:rsidP="00224ABF">
            <w:pPr>
              <w:spacing w:after="0" w:line="240" w:lineRule="auto"/>
              <w:jc w:val="right"/>
              <w:rPr>
                <w:bCs/>
                <w:noProof/>
                <w:color w:val="17365D"/>
                <w:sz w:val="18"/>
                <w:szCs w:val="18"/>
                <w:lang w:eastAsia="lv-LV"/>
              </w:rPr>
            </w:pPr>
            <w:r>
              <w:rPr>
                <w:bCs/>
                <w:noProof/>
                <w:color w:val="17365D"/>
                <w:sz w:val="18"/>
                <w:szCs w:val="18"/>
                <w:lang w:eastAsia="lv-LV"/>
              </w:rPr>
              <w:t>5</w:t>
            </w:r>
            <w:r w:rsidRPr="00905AEC">
              <w:rPr>
                <w:bCs/>
                <w:noProof/>
                <w:color w:val="17365D"/>
                <w:sz w:val="18"/>
                <w:szCs w:val="18"/>
                <w:lang w:eastAsia="lv-LV"/>
              </w:rPr>
              <w:t xml:space="preserve"> </w:t>
            </w:r>
            <w:r>
              <w:rPr>
                <w:bCs/>
                <w:noProof/>
                <w:color w:val="17365D"/>
                <w:sz w:val="18"/>
                <w:szCs w:val="18"/>
                <w:lang w:eastAsia="lv-LV"/>
              </w:rPr>
              <w:t>507</w:t>
            </w:r>
            <w:r w:rsidRPr="00905AEC">
              <w:rPr>
                <w:bCs/>
                <w:noProof/>
                <w:color w:val="17365D"/>
                <w:sz w:val="18"/>
                <w:szCs w:val="18"/>
                <w:lang w:eastAsia="lv-LV"/>
              </w:rPr>
              <w:t> </w:t>
            </w:r>
            <w:r>
              <w:rPr>
                <w:bCs/>
                <w:noProof/>
                <w:color w:val="17365D"/>
                <w:sz w:val="18"/>
                <w:szCs w:val="18"/>
                <w:lang w:eastAsia="lv-LV"/>
              </w:rPr>
              <w:t>349</w:t>
            </w:r>
          </w:p>
        </w:tc>
      </w:tr>
      <w:tr w:rsidR="00224ABF" w:rsidRPr="00905AEC" w14:paraId="52C37180" w14:textId="77777777" w:rsidTr="00224ABF">
        <w:trPr>
          <w:trHeight w:val="469"/>
        </w:trPr>
        <w:tc>
          <w:tcPr>
            <w:tcW w:w="6189" w:type="dxa"/>
            <w:tcBorders>
              <w:top w:val="single" w:sz="4" w:space="0" w:color="17365D"/>
              <w:bottom w:val="single" w:sz="4" w:space="0" w:color="17365D"/>
            </w:tcBorders>
            <w:shd w:val="clear" w:color="F2F2F2" w:fill="FFFFFF"/>
            <w:vAlign w:val="center"/>
          </w:tcPr>
          <w:p w14:paraId="5A7CFC6A" w14:textId="77777777" w:rsidR="00224ABF" w:rsidRPr="00905AEC" w:rsidRDefault="00224ABF" w:rsidP="00224ABF">
            <w:pPr>
              <w:spacing w:after="0" w:line="240" w:lineRule="auto"/>
              <w:rPr>
                <w:bCs/>
                <w:noProof/>
                <w:color w:val="17365D"/>
                <w:sz w:val="18"/>
                <w:szCs w:val="18"/>
                <w:lang w:eastAsia="lv-LV"/>
              </w:rPr>
            </w:pPr>
            <w:r w:rsidRPr="00BB6C85">
              <w:rPr>
                <w:bCs/>
                <w:noProof/>
                <w:color w:val="17365D"/>
                <w:sz w:val="18"/>
                <w:szCs w:val="18"/>
                <w:lang w:eastAsia="lv-LV"/>
              </w:rPr>
              <w:t>Valsts budžetā saņemts maksājums saskaņā ar Cesijas līgumu par valsts galvotu aizdevumu no SIA "REAP"</w:t>
            </w:r>
          </w:p>
        </w:tc>
        <w:tc>
          <w:tcPr>
            <w:tcW w:w="1604" w:type="dxa"/>
            <w:tcBorders>
              <w:top w:val="single" w:sz="4" w:space="0" w:color="17365D"/>
              <w:bottom w:val="single" w:sz="4" w:space="0" w:color="17365D"/>
            </w:tcBorders>
            <w:shd w:val="clear" w:color="F2F2F2" w:fill="FFFFFF"/>
            <w:vAlign w:val="center"/>
          </w:tcPr>
          <w:p w14:paraId="07EC4727" w14:textId="77777777" w:rsidR="00224ABF" w:rsidRDefault="00224ABF" w:rsidP="00224ABF">
            <w:pPr>
              <w:spacing w:after="0" w:line="240" w:lineRule="auto"/>
              <w:jc w:val="right"/>
              <w:rPr>
                <w:bCs/>
                <w:noProof/>
                <w:color w:val="17365D"/>
                <w:sz w:val="18"/>
                <w:szCs w:val="18"/>
                <w:lang w:eastAsia="lv-LV"/>
              </w:rPr>
            </w:pPr>
            <w:r>
              <w:rPr>
                <w:bCs/>
                <w:noProof/>
                <w:color w:val="17365D"/>
                <w:sz w:val="18"/>
                <w:szCs w:val="18"/>
                <w:lang w:eastAsia="lv-LV"/>
              </w:rPr>
              <w:t>10</w:t>
            </w:r>
            <w:r w:rsidRPr="00905AEC">
              <w:rPr>
                <w:bCs/>
                <w:noProof/>
                <w:color w:val="17365D"/>
                <w:sz w:val="18"/>
                <w:szCs w:val="18"/>
                <w:lang w:eastAsia="lv-LV"/>
              </w:rPr>
              <w:t xml:space="preserve"> </w:t>
            </w:r>
            <w:r>
              <w:rPr>
                <w:bCs/>
                <w:noProof/>
                <w:color w:val="17365D"/>
                <w:sz w:val="18"/>
                <w:szCs w:val="18"/>
                <w:lang w:eastAsia="lv-LV"/>
              </w:rPr>
              <w:t>650</w:t>
            </w:r>
            <w:r w:rsidRPr="00905AEC">
              <w:rPr>
                <w:bCs/>
                <w:noProof/>
                <w:color w:val="17365D"/>
                <w:sz w:val="18"/>
                <w:szCs w:val="18"/>
                <w:lang w:eastAsia="lv-LV"/>
              </w:rPr>
              <w:t> </w:t>
            </w:r>
            <w:r>
              <w:rPr>
                <w:bCs/>
                <w:noProof/>
                <w:color w:val="17365D"/>
                <w:sz w:val="18"/>
                <w:szCs w:val="18"/>
                <w:lang w:eastAsia="lv-LV"/>
              </w:rPr>
              <w:t>000</w:t>
            </w:r>
          </w:p>
        </w:tc>
        <w:tc>
          <w:tcPr>
            <w:tcW w:w="1561" w:type="dxa"/>
            <w:tcBorders>
              <w:top w:val="single" w:sz="4" w:space="0" w:color="17365D"/>
              <w:bottom w:val="single" w:sz="4" w:space="0" w:color="17365D"/>
            </w:tcBorders>
            <w:shd w:val="clear" w:color="F2F2F2" w:fill="FFFFFF"/>
            <w:vAlign w:val="center"/>
          </w:tcPr>
          <w:p w14:paraId="0E725214" w14:textId="77777777" w:rsidR="00224ABF" w:rsidRPr="00905AEC" w:rsidRDefault="00224ABF" w:rsidP="00224ABF">
            <w:pPr>
              <w:spacing w:after="0" w:line="240" w:lineRule="auto"/>
              <w:jc w:val="right"/>
              <w:rPr>
                <w:bCs/>
                <w:noProof/>
                <w:color w:val="17365D"/>
                <w:sz w:val="18"/>
                <w:szCs w:val="18"/>
                <w:lang w:eastAsia="lv-LV"/>
              </w:rPr>
            </w:pPr>
            <w:r w:rsidRPr="00905AEC">
              <w:rPr>
                <w:bCs/>
                <w:noProof/>
                <w:color w:val="17365D"/>
                <w:sz w:val="18"/>
                <w:szCs w:val="18"/>
                <w:lang w:eastAsia="lv-LV"/>
              </w:rPr>
              <w:t xml:space="preserve"> </w:t>
            </w:r>
            <w:r>
              <w:rPr>
                <w:bCs/>
                <w:noProof/>
                <w:color w:val="17365D"/>
                <w:sz w:val="18"/>
                <w:szCs w:val="18"/>
                <w:lang w:eastAsia="lv-LV"/>
              </w:rPr>
              <w:t>953</w:t>
            </w:r>
            <w:r w:rsidRPr="00905AEC">
              <w:rPr>
                <w:bCs/>
                <w:noProof/>
                <w:color w:val="17365D"/>
                <w:sz w:val="18"/>
                <w:szCs w:val="18"/>
                <w:lang w:eastAsia="lv-LV"/>
              </w:rPr>
              <w:t> </w:t>
            </w:r>
            <w:r>
              <w:rPr>
                <w:bCs/>
                <w:noProof/>
                <w:color w:val="17365D"/>
                <w:sz w:val="18"/>
                <w:szCs w:val="18"/>
                <w:lang w:eastAsia="lv-LV"/>
              </w:rPr>
              <w:t>189</w:t>
            </w:r>
          </w:p>
        </w:tc>
      </w:tr>
      <w:tr w:rsidR="00224ABF" w:rsidRPr="00905AEC" w14:paraId="3D9F6677" w14:textId="77777777" w:rsidTr="00454F1D">
        <w:trPr>
          <w:trHeight w:val="387"/>
        </w:trPr>
        <w:tc>
          <w:tcPr>
            <w:tcW w:w="6189" w:type="dxa"/>
            <w:tcBorders>
              <w:top w:val="single" w:sz="4" w:space="0" w:color="17365D"/>
              <w:bottom w:val="single" w:sz="4" w:space="0" w:color="17365D"/>
            </w:tcBorders>
            <w:shd w:val="clear" w:color="F2F2F2" w:fill="FFFFFF"/>
            <w:vAlign w:val="center"/>
          </w:tcPr>
          <w:p w14:paraId="2EE62A18" w14:textId="77777777" w:rsidR="00224ABF" w:rsidRPr="00905AEC" w:rsidRDefault="00224ABF" w:rsidP="00224ABF">
            <w:pPr>
              <w:spacing w:after="0" w:line="240" w:lineRule="auto"/>
              <w:rPr>
                <w:bCs/>
                <w:noProof/>
                <w:color w:val="17365D"/>
                <w:sz w:val="18"/>
                <w:szCs w:val="18"/>
                <w:lang w:eastAsia="lv-LV"/>
              </w:rPr>
            </w:pPr>
            <w:r w:rsidRPr="00905AEC">
              <w:rPr>
                <w:bCs/>
                <w:noProof/>
                <w:color w:val="17365D"/>
                <w:sz w:val="18"/>
                <w:szCs w:val="18"/>
                <w:lang w:eastAsia="lv-LV"/>
              </w:rPr>
              <w:t>Citi ieņēmumi no pamatdarbības</w:t>
            </w:r>
          </w:p>
        </w:tc>
        <w:tc>
          <w:tcPr>
            <w:tcW w:w="1604" w:type="dxa"/>
            <w:tcBorders>
              <w:top w:val="single" w:sz="4" w:space="0" w:color="17365D"/>
              <w:bottom w:val="single" w:sz="4" w:space="0" w:color="17365D"/>
            </w:tcBorders>
            <w:shd w:val="clear" w:color="F2F2F2" w:fill="FFFFFF"/>
            <w:vAlign w:val="center"/>
          </w:tcPr>
          <w:p w14:paraId="4EE9B874" w14:textId="77777777" w:rsidR="00224ABF" w:rsidRPr="00905AEC" w:rsidRDefault="00224ABF" w:rsidP="00224ABF">
            <w:pPr>
              <w:spacing w:after="0" w:line="240" w:lineRule="auto"/>
              <w:jc w:val="right"/>
              <w:rPr>
                <w:bCs/>
                <w:noProof/>
                <w:color w:val="17365D"/>
                <w:sz w:val="18"/>
                <w:szCs w:val="18"/>
                <w:lang w:eastAsia="lv-LV"/>
              </w:rPr>
            </w:pPr>
            <w:r>
              <w:rPr>
                <w:bCs/>
                <w:noProof/>
                <w:color w:val="17365D"/>
                <w:sz w:val="18"/>
                <w:szCs w:val="18"/>
                <w:lang w:eastAsia="lv-LV"/>
              </w:rPr>
              <w:t>401</w:t>
            </w:r>
            <w:r w:rsidRPr="00905AEC">
              <w:rPr>
                <w:bCs/>
                <w:noProof/>
                <w:color w:val="17365D"/>
                <w:sz w:val="18"/>
                <w:szCs w:val="18"/>
                <w:lang w:eastAsia="lv-LV"/>
              </w:rPr>
              <w:t> </w:t>
            </w:r>
            <w:r>
              <w:rPr>
                <w:bCs/>
                <w:noProof/>
                <w:color w:val="17365D"/>
                <w:sz w:val="18"/>
                <w:szCs w:val="18"/>
                <w:lang w:eastAsia="lv-LV"/>
              </w:rPr>
              <w:t>163</w:t>
            </w:r>
          </w:p>
        </w:tc>
        <w:tc>
          <w:tcPr>
            <w:tcW w:w="1561" w:type="dxa"/>
            <w:tcBorders>
              <w:top w:val="single" w:sz="4" w:space="0" w:color="17365D"/>
              <w:bottom w:val="single" w:sz="4" w:space="0" w:color="17365D"/>
            </w:tcBorders>
            <w:shd w:val="clear" w:color="F2F2F2" w:fill="FFFFFF"/>
            <w:vAlign w:val="center"/>
          </w:tcPr>
          <w:p w14:paraId="77561CE5" w14:textId="77777777" w:rsidR="00224ABF" w:rsidRPr="00905AEC" w:rsidRDefault="00224ABF" w:rsidP="00224ABF">
            <w:pPr>
              <w:spacing w:after="0" w:line="240" w:lineRule="auto"/>
              <w:jc w:val="right"/>
              <w:rPr>
                <w:bCs/>
                <w:noProof/>
                <w:color w:val="17365D"/>
                <w:sz w:val="18"/>
                <w:szCs w:val="18"/>
                <w:lang w:eastAsia="lv-LV"/>
              </w:rPr>
            </w:pPr>
            <w:r>
              <w:rPr>
                <w:bCs/>
                <w:noProof/>
                <w:color w:val="17365D"/>
                <w:sz w:val="18"/>
                <w:szCs w:val="18"/>
                <w:lang w:eastAsia="lv-LV"/>
              </w:rPr>
              <w:t>-111</w:t>
            </w:r>
            <w:r w:rsidRPr="00905AEC">
              <w:rPr>
                <w:bCs/>
                <w:noProof/>
                <w:color w:val="17365D"/>
                <w:sz w:val="18"/>
                <w:szCs w:val="18"/>
                <w:lang w:eastAsia="lv-LV"/>
              </w:rPr>
              <w:t> </w:t>
            </w:r>
            <w:r>
              <w:rPr>
                <w:bCs/>
                <w:noProof/>
                <w:color w:val="17365D"/>
                <w:sz w:val="18"/>
                <w:szCs w:val="18"/>
                <w:lang w:eastAsia="lv-LV"/>
              </w:rPr>
              <w:t>575</w:t>
            </w:r>
          </w:p>
        </w:tc>
      </w:tr>
      <w:tr w:rsidR="00224ABF" w:rsidRPr="00905AEC" w14:paraId="09283273" w14:textId="77777777" w:rsidTr="00454F1D">
        <w:trPr>
          <w:trHeight w:val="265"/>
        </w:trPr>
        <w:tc>
          <w:tcPr>
            <w:tcW w:w="6189" w:type="dxa"/>
            <w:tcBorders>
              <w:top w:val="single" w:sz="4" w:space="0" w:color="17365D"/>
              <w:bottom w:val="nil"/>
            </w:tcBorders>
            <w:shd w:val="clear" w:color="auto" w:fill="B8CCE4" w:themeFill="accent1" w:themeFillTint="66"/>
            <w:vAlign w:val="center"/>
          </w:tcPr>
          <w:p w14:paraId="272AC504" w14:textId="77777777" w:rsidR="00224ABF" w:rsidRPr="00BE7F6A" w:rsidRDefault="00224ABF" w:rsidP="00224ABF">
            <w:pPr>
              <w:spacing w:after="0" w:line="240" w:lineRule="auto"/>
              <w:rPr>
                <w:bCs/>
                <w:noProof/>
                <w:color w:val="17365D"/>
                <w:sz w:val="18"/>
                <w:szCs w:val="18"/>
                <w:lang w:eastAsia="lv-LV"/>
              </w:rPr>
            </w:pPr>
            <w:r w:rsidRPr="00905AEC">
              <w:rPr>
                <w:b/>
                <w:bCs/>
                <w:noProof/>
                <w:color w:val="17365D"/>
                <w:sz w:val="18"/>
                <w:szCs w:val="18"/>
                <w:lang w:eastAsia="lv-LV"/>
              </w:rPr>
              <w:t>Kopā</w:t>
            </w:r>
          </w:p>
        </w:tc>
        <w:tc>
          <w:tcPr>
            <w:tcW w:w="1604" w:type="dxa"/>
            <w:tcBorders>
              <w:top w:val="single" w:sz="4" w:space="0" w:color="17365D"/>
              <w:bottom w:val="nil"/>
            </w:tcBorders>
            <w:shd w:val="clear" w:color="auto" w:fill="B8CCE4" w:themeFill="accent1" w:themeFillTint="66"/>
            <w:vAlign w:val="center"/>
          </w:tcPr>
          <w:p w14:paraId="2ED4DF81" w14:textId="77777777" w:rsidR="00224ABF" w:rsidRDefault="00224ABF" w:rsidP="00224ABF">
            <w:pPr>
              <w:spacing w:after="0" w:line="240" w:lineRule="auto"/>
              <w:jc w:val="right"/>
              <w:rPr>
                <w:bCs/>
                <w:noProof/>
                <w:color w:val="17365D"/>
                <w:sz w:val="18"/>
                <w:szCs w:val="18"/>
                <w:lang w:eastAsia="lv-LV"/>
              </w:rPr>
            </w:pPr>
            <w:r>
              <w:rPr>
                <w:b/>
                <w:bCs/>
                <w:noProof/>
                <w:color w:val="17365D"/>
                <w:sz w:val="18"/>
                <w:szCs w:val="18"/>
                <w:lang w:eastAsia="lv-LV"/>
              </w:rPr>
              <w:t>20</w:t>
            </w:r>
            <w:r w:rsidRPr="00905AEC">
              <w:rPr>
                <w:b/>
                <w:bCs/>
                <w:noProof/>
                <w:color w:val="17365D"/>
                <w:sz w:val="18"/>
                <w:szCs w:val="18"/>
                <w:lang w:eastAsia="lv-LV"/>
              </w:rPr>
              <w:t xml:space="preserve"> </w:t>
            </w:r>
            <w:r>
              <w:rPr>
                <w:b/>
                <w:bCs/>
                <w:noProof/>
                <w:color w:val="17365D"/>
                <w:sz w:val="18"/>
                <w:szCs w:val="18"/>
                <w:lang w:eastAsia="lv-LV"/>
              </w:rPr>
              <w:t>345</w:t>
            </w:r>
            <w:r w:rsidRPr="00905AEC">
              <w:rPr>
                <w:b/>
                <w:bCs/>
                <w:noProof/>
                <w:color w:val="17365D"/>
                <w:sz w:val="18"/>
                <w:szCs w:val="18"/>
                <w:lang w:eastAsia="lv-LV"/>
              </w:rPr>
              <w:t> </w:t>
            </w:r>
            <w:r>
              <w:rPr>
                <w:b/>
                <w:bCs/>
                <w:noProof/>
                <w:color w:val="17365D"/>
                <w:sz w:val="18"/>
                <w:szCs w:val="18"/>
                <w:lang w:eastAsia="lv-LV"/>
              </w:rPr>
              <w:t>358</w:t>
            </w:r>
          </w:p>
        </w:tc>
        <w:tc>
          <w:tcPr>
            <w:tcW w:w="1561" w:type="dxa"/>
            <w:tcBorders>
              <w:top w:val="single" w:sz="4" w:space="0" w:color="17365D"/>
              <w:bottom w:val="nil"/>
            </w:tcBorders>
            <w:shd w:val="clear" w:color="auto" w:fill="B8CCE4" w:themeFill="accent1" w:themeFillTint="66"/>
            <w:vAlign w:val="center"/>
          </w:tcPr>
          <w:p w14:paraId="378F226B" w14:textId="77777777" w:rsidR="00224ABF" w:rsidRDefault="00224ABF" w:rsidP="00224ABF">
            <w:pPr>
              <w:spacing w:after="0" w:line="240" w:lineRule="auto"/>
              <w:jc w:val="right"/>
              <w:rPr>
                <w:bCs/>
                <w:noProof/>
                <w:color w:val="17365D"/>
                <w:sz w:val="18"/>
                <w:szCs w:val="18"/>
                <w:lang w:eastAsia="lv-LV"/>
              </w:rPr>
            </w:pPr>
            <w:r>
              <w:rPr>
                <w:b/>
                <w:bCs/>
                <w:noProof/>
                <w:color w:val="17365D"/>
                <w:sz w:val="18"/>
                <w:szCs w:val="18"/>
                <w:lang w:eastAsia="lv-LV"/>
              </w:rPr>
              <w:t>6</w:t>
            </w:r>
            <w:r w:rsidRPr="00905AEC">
              <w:rPr>
                <w:b/>
                <w:bCs/>
                <w:noProof/>
                <w:color w:val="17365D"/>
                <w:sz w:val="18"/>
                <w:szCs w:val="18"/>
                <w:lang w:eastAsia="lv-LV"/>
              </w:rPr>
              <w:t xml:space="preserve"> </w:t>
            </w:r>
            <w:r>
              <w:rPr>
                <w:b/>
                <w:bCs/>
                <w:noProof/>
                <w:color w:val="17365D"/>
                <w:sz w:val="18"/>
                <w:szCs w:val="18"/>
                <w:lang w:eastAsia="lv-LV"/>
              </w:rPr>
              <w:t>348</w:t>
            </w:r>
            <w:r w:rsidRPr="00905AEC">
              <w:rPr>
                <w:b/>
                <w:bCs/>
                <w:noProof/>
                <w:color w:val="17365D"/>
                <w:sz w:val="18"/>
                <w:szCs w:val="18"/>
                <w:lang w:eastAsia="lv-LV"/>
              </w:rPr>
              <w:t> </w:t>
            </w:r>
            <w:r>
              <w:rPr>
                <w:b/>
                <w:bCs/>
                <w:noProof/>
                <w:color w:val="17365D"/>
                <w:sz w:val="18"/>
                <w:szCs w:val="18"/>
                <w:lang w:eastAsia="lv-LV"/>
              </w:rPr>
              <w:t>963</w:t>
            </w:r>
          </w:p>
        </w:tc>
      </w:tr>
    </w:tbl>
    <w:p w14:paraId="418FAF60" w14:textId="77777777" w:rsidR="00224ABF" w:rsidRPr="00951799" w:rsidRDefault="00224ABF" w:rsidP="00224ABF">
      <w:pPr>
        <w:pStyle w:val="Heading4"/>
      </w:pPr>
      <w:r w:rsidRPr="00E72168">
        <w:t>Piezīme Nr</w:t>
      </w:r>
      <w:r>
        <w:t>.</w:t>
      </w:r>
      <w:r w:rsidRPr="00951799">
        <w:t xml:space="preserve"> NP.A21. Atalgojums</w:t>
      </w:r>
    </w:p>
    <w:p w14:paraId="4047D7BB" w14:textId="77777777" w:rsidR="00224ABF" w:rsidRDefault="00224ABF" w:rsidP="00224ABF">
      <w:pPr>
        <w:pStyle w:val="Pamatteksts1"/>
        <w:ind w:left="360" w:firstLine="0"/>
        <w:rPr>
          <w:bCs/>
          <w:color w:val="17365D"/>
        </w:rPr>
      </w:pPr>
      <w:r>
        <w:rPr>
          <w:bCs/>
          <w:color w:val="17365D"/>
        </w:rPr>
        <w:t>Izdevumi atlīdzībai ir palielinājušies:</w:t>
      </w:r>
    </w:p>
    <w:p w14:paraId="1F2C0351" w14:textId="77777777" w:rsidR="00224ABF" w:rsidRPr="00951799" w:rsidRDefault="00224ABF" w:rsidP="00224ABF">
      <w:pPr>
        <w:pStyle w:val="Pamatteksts1"/>
        <w:numPr>
          <w:ilvl w:val="0"/>
          <w:numId w:val="19"/>
        </w:numPr>
        <w:rPr>
          <w:bCs/>
          <w:color w:val="17365D"/>
        </w:rPr>
      </w:pPr>
      <w:r w:rsidRPr="00951799">
        <w:rPr>
          <w:bCs/>
          <w:color w:val="17365D"/>
        </w:rPr>
        <w:t>Rīgas valstspilsētai</w:t>
      </w:r>
      <w:r>
        <w:rPr>
          <w:bCs/>
          <w:color w:val="17365D"/>
        </w:rPr>
        <w:t xml:space="preserve"> </w:t>
      </w:r>
      <w:r w:rsidRPr="00951799">
        <w:rPr>
          <w:bCs/>
          <w:color w:val="17365D"/>
        </w:rPr>
        <w:t>45</w:t>
      </w:r>
      <w:r>
        <w:rPr>
          <w:bCs/>
          <w:color w:val="17365D"/>
        </w:rPr>
        <w:t> </w:t>
      </w:r>
      <w:r w:rsidRPr="00951799">
        <w:rPr>
          <w:bCs/>
          <w:color w:val="17365D"/>
        </w:rPr>
        <w:t>994</w:t>
      </w:r>
      <w:r>
        <w:rPr>
          <w:bCs/>
          <w:color w:val="17365D"/>
        </w:rPr>
        <w:t> </w:t>
      </w:r>
      <w:r w:rsidRPr="00951799">
        <w:rPr>
          <w:bCs/>
          <w:color w:val="17365D"/>
        </w:rPr>
        <w:t xml:space="preserve">934 </w:t>
      </w:r>
      <w:r w:rsidRPr="00951799">
        <w:rPr>
          <w:bCs/>
          <w:i/>
          <w:color w:val="17365D"/>
        </w:rPr>
        <w:t>euro</w:t>
      </w:r>
      <w:r w:rsidRPr="00951799">
        <w:rPr>
          <w:bCs/>
          <w:color w:val="17365D"/>
        </w:rPr>
        <w:t xml:space="preserve"> </w:t>
      </w:r>
      <w:r>
        <w:rPr>
          <w:bCs/>
          <w:color w:val="17365D"/>
        </w:rPr>
        <w:t>vērtībā</w:t>
      </w:r>
      <w:r w:rsidRPr="00951799">
        <w:rPr>
          <w:bCs/>
          <w:color w:val="17365D"/>
        </w:rPr>
        <w:t>, kas saistīts ar minimālās algas palielinājumu un ar papildu finansējumu darba samaksas izlīdzināšanai pašvaldībā strādājošajiem ar vidējo atalgojumu valstī, atbilstoši valsts un pašvaldību institūciju amatpersonu un darbinieku atlīdzības likumā noteiktajam, par atalgojuma izmaiņām pedagogiem un Ukrainas civiliedzīvotāju izglītības nodrošināšanai</w:t>
      </w:r>
      <w:r>
        <w:rPr>
          <w:bCs/>
          <w:color w:val="17365D"/>
        </w:rPr>
        <w:t>;</w:t>
      </w:r>
    </w:p>
    <w:p w14:paraId="768800DB" w14:textId="77777777" w:rsidR="00224ABF" w:rsidRPr="00951799" w:rsidRDefault="00224ABF" w:rsidP="00224ABF">
      <w:pPr>
        <w:pStyle w:val="Pamatteksts1"/>
        <w:numPr>
          <w:ilvl w:val="0"/>
          <w:numId w:val="19"/>
        </w:numPr>
        <w:rPr>
          <w:bCs/>
          <w:color w:val="17365D"/>
        </w:rPr>
      </w:pPr>
      <w:r w:rsidRPr="00951799">
        <w:rPr>
          <w:bCs/>
          <w:color w:val="17365D"/>
        </w:rPr>
        <w:t>Aizsardzības ministrijai 38</w:t>
      </w:r>
      <w:r>
        <w:rPr>
          <w:bCs/>
          <w:color w:val="17365D"/>
        </w:rPr>
        <w:t> </w:t>
      </w:r>
      <w:r w:rsidRPr="00951799">
        <w:rPr>
          <w:bCs/>
          <w:color w:val="17365D"/>
        </w:rPr>
        <w:t>243</w:t>
      </w:r>
      <w:r>
        <w:rPr>
          <w:bCs/>
          <w:color w:val="17365D"/>
        </w:rPr>
        <w:t> </w:t>
      </w:r>
      <w:r w:rsidRPr="00951799">
        <w:rPr>
          <w:bCs/>
          <w:color w:val="17365D"/>
        </w:rPr>
        <w:t xml:space="preserve">429 </w:t>
      </w:r>
      <w:r w:rsidRPr="007A4F78">
        <w:rPr>
          <w:bCs/>
          <w:i/>
          <w:color w:val="17365D"/>
        </w:rPr>
        <w:t>euro</w:t>
      </w:r>
      <w:r w:rsidRPr="00951799">
        <w:rPr>
          <w:bCs/>
          <w:color w:val="17365D"/>
        </w:rPr>
        <w:t xml:space="preserve"> vērtībā</w:t>
      </w:r>
      <w:r>
        <w:rPr>
          <w:bCs/>
          <w:color w:val="17365D"/>
        </w:rPr>
        <w:t>, kas</w:t>
      </w:r>
      <w:r w:rsidRPr="00951799">
        <w:rPr>
          <w:bCs/>
          <w:color w:val="17365D"/>
        </w:rPr>
        <w:t xml:space="preserve"> saistīts ar atalgojuma palielinājumu civilajiem darbiniekiem, karavīriem un papildus Nacionālo bruņoto spēku personāla dalībai starptautiskajās operācijās, kā arī saistībā ar minimālās mēneša darba algas palielināšanu un par papildus atvērtām amata vietām jaunsargu instruktoriem, par piema</w:t>
      </w:r>
      <w:r>
        <w:rPr>
          <w:bCs/>
          <w:color w:val="17365D"/>
        </w:rPr>
        <w:t>ksām, prēmijām un naudas balvām</w:t>
      </w:r>
      <w:r w:rsidRPr="00951799">
        <w:rPr>
          <w:bCs/>
          <w:color w:val="17365D"/>
        </w:rPr>
        <w:t>;</w:t>
      </w:r>
    </w:p>
    <w:p w14:paraId="5A95C7DE" w14:textId="70BFC661" w:rsidR="00224ABF" w:rsidRPr="00951799" w:rsidRDefault="00224ABF" w:rsidP="00224ABF">
      <w:pPr>
        <w:pStyle w:val="Pamatteksts1"/>
        <w:numPr>
          <w:ilvl w:val="0"/>
          <w:numId w:val="19"/>
        </w:numPr>
        <w:rPr>
          <w:bCs/>
          <w:color w:val="17365D"/>
        </w:rPr>
      </w:pPr>
      <w:r w:rsidRPr="00951799">
        <w:rPr>
          <w:bCs/>
          <w:color w:val="17365D"/>
        </w:rPr>
        <w:lastRenderedPageBreak/>
        <w:t xml:space="preserve">Iekšlietu ministrijai </w:t>
      </w:r>
      <w:r w:rsidR="007420DA" w:rsidRPr="00951799">
        <w:rPr>
          <w:bCs/>
          <w:color w:val="17365D"/>
        </w:rPr>
        <w:t>2</w:t>
      </w:r>
      <w:r w:rsidR="007420DA">
        <w:rPr>
          <w:bCs/>
          <w:color w:val="17365D"/>
        </w:rPr>
        <w:t>5 064 517</w:t>
      </w:r>
      <w:r w:rsidR="007420DA" w:rsidRPr="00951799">
        <w:rPr>
          <w:bCs/>
          <w:color w:val="17365D"/>
        </w:rPr>
        <w:t xml:space="preserve"> </w:t>
      </w:r>
      <w:r w:rsidRPr="00EC33F9">
        <w:rPr>
          <w:bCs/>
          <w:i/>
          <w:color w:val="17365D"/>
        </w:rPr>
        <w:t>euro</w:t>
      </w:r>
      <w:r w:rsidRPr="00951799">
        <w:rPr>
          <w:bCs/>
          <w:color w:val="17365D"/>
        </w:rPr>
        <w:t xml:space="preserve"> vērtībā </w:t>
      </w:r>
      <w:r>
        <w:rPr>
          <w:bCs/>
          <w:color w:val="17365D"/>
        </w:rPr>
        <w:t xml:space="preserve">saistībā ar </w:t>
      </w:r>
      <w:r w:rsidRPr="00951799">
        <w:rPr>
          <w:bCs/>
          <w:color w:val="17365D"/>
        </w:rPr>
        <w:t>amatpersonām ar speciālajām dienesta pakāpēm, kas nodrošina valsts iekšējās drošības stiprināšanas pasākumu īstenošanu</w:t>
      </w:r>
      <w:r>
        <w:rPr>
          <w:bCs/>
          <w:color w:val="17365D"/>
        </w:rPr>
        <w:t xml:space="preserve">, </w:t>
      </w:r>
      <w:r w:rsidR="00454F1D">
        <w:rPr>
          <w:bCs/>
          <w:color w:val="17365D"/>
        </w:rPr>
        <w:t xml:space="preserve">un </w:t>
      </w:r>
      <w:r>
        <w:rPr>
          <w:bCs/>
          <w:color w:val="17365D"/>
        </w:rPr>
        <w:t>pārējiem resorā nodarbinātajiem sakarā ar izmaiņām Atlīdzības likumā;</w:t>
      </w:r>
    </w:p>
    <w:p w14:paraId="3F2188A8" w14:textId="12DCE141" w:rsidR="00224ABF" w:rsidRPr="00951799" w:rsidRDefault="00224ABF" w:rsidP="00224ABF">
      <w:pPr>
        <w:pStyle w:val="Pamatteksts1"/>
        <w:numPr>
          <w:ilvl w:val="0"/>
          <w:numId w:val="19"/>
        </w:numPr>
        <w:rPr>
          <w:bCs/>
          <w:color w:val="17365D"/>
        </w:rPr>
      </w:pPr>
      <w:r w:rsidRPr="00951799">
        <w:rPr>
          <w:bCs/>
          <w:color w:val="17365D"/>
        </w:rPr>
        <w:t>Izglītības un zinātnes ministrijai 2</w:t>
      </w:r>
      <w:r w:rsidR="007420DA">
        <w:rPr>
          <w:bCs/>
          <w:color w:val="17365D"/>
        </w:rPr>
        <w:t>0</w:t>
      </w:r>
      <w:r>
        <w:rPr>
          <w:bCs/>
          <w:color w:val="17365D"/>
        </w:rPr>
        <w:t> </w:t>
      </w:r>
      <w:r w:rsidR="007420DA">
        <w:rPr>
          <w:bCs/>
          <w:color w:val="17365D"/>
        </w:rPr>
        <w:t>957 088</w:t>
      </w:r>
      <w:r w:rsidR="007420DA" w:rsidRPr="00951799">
        <w:rPr>
          <w:bCs/>
          <w:color w:val="17365D"/>
        </w:rPr>
        <w:t xml:space="preserve"> </w:t>
      </w:r>
      <w:r w:rsidRPr="00951799">
        <w:rPr>
          <w:bCs/>
          <w:i/>
          <w:color w:val="17365D"/>
        </w:rPr>
        <w:t xml:space="preserve">euro </w:t>
      </w:r>
      <w:r w:rsidRPr="00951799">
        <w:rPr>
          <w:bCs/>
          <w:color w:val="17365D"/>
        </w:rPr>
        <w:t>vērtībā saistībā ar pedagogu darba samaksas palielinājum</w:t>
      </w:r>
      <w:r>
        <w:rPr>
          <w:bCs/>
          <w:color w:val="17365D"/>
        </w:rPr>
        <w:t>u</w:t>
      </w:r>
      <w:r w:rsidRPr="00951799">
        <w:rPr>
          <w:bCs/>
          <w:color w:val="17365D"/>
        </w:rPr>
        <w:t xml:space="preserve"> un minimālās algas palie</w:t>
      </w:r>
      <w:r>
        <w:rPr>
          <w:bCs/>
          <w:color w:val="17365D"/>
        </w:rPr>
        <w:t>linājumu ar 2023. gada 1. janvāri;</w:t>
      </w:r>
      <w:r w:rsidRPr="00951799">
        <w:rPr>
          <w:bCs/>
          <w:color w:val="17365D"/>
        </w:rPr>
        <w:t xml:space="preserve"> </w:t>
      </w:r>
    </w:p>
    <w:p w14:paraId="04847C49" w14:textId="2659E238" w:rsidR="00224ABF" w:rsidRPr="0053160F" w:rsidRDefault="00224ABF" w:rsidP="00224ABF">
      <w:pPr>
        <w:pStyle w:val="Pamatteksts1"/>
        <w:numPr>
          <w:ilvl w:val="0"/>
          <w:numId w:val="19"/>
        </w:numPr>
        <w:rPr>
          <w:bCs/>
          <w:color w:val="17365D"/>
        </w:rPr>
      </w:pPr>
      <w:r w:rsidRPr="0053160F">
        <w:rPr>
          <w:bCs/>
          <w:color w:val="17365D"/>
        </w:rPr>
        <w:t>Tieslietu ministrija</w:t>
      </w:r>
      <w:r>
        <w:rPr>
          <w:bCs/>
          <w:color w:val="17365D"/>
        </w:rPr>
        <w:t xml:space="preserve">i </w:t>
      </w:r>
      <w:r w:rsidR="007420DA" w:rsidRPr="0053160F">
        <w:rPr>
          <w:bCs/>
          <w:color w:val="17365D"/>
        </w:rPr>
        <w:t>1</w:t>
      </w:r>
      <w:r w:rsidR="007420DA">
        <w:rPr>
          <w:bCs/>
          <w:color w:val="17365D"/>
        </w:rPr>
        <w:t>6</w:t>
      </w:r>
      <w:r w:rsidR="007420DA" w:rsidRPr="0053160F">
        <w:rPr>
          <w:bCs/>
          <w:color w:val="17365D"/>
        </w:rPr>
        <w:t xml:space="preserve"> </w:t>
      </w:r>
      <w:r w:rsidR="007420DA">
        <w:rPr>
          <w:bCs/>
          <w:color w:val="17365D"/>
        </w:rPr>
        <w:t>536</w:t>
      </w:r>
      <w:r w:rsidR="007420DA" w:rsidRPr="0053160F">
        <w:rPr>
          <w:bCs/>
          <w:color w:val="17365D"/>
        </w:rPr>
        <w:t xml:space="preserve"> </w:t>
      </w:r>
      <w:r w:rsidR="007420DA">
        <w:rPr>
          <w:bCs/>
          <w:color w:val="17365D"/>
        </w:rPr>
        <w:t>322</w:t>
      </w:r>
      <w:r w:rsidR="007420DA" w:rsidRPr="0053160F">
        <w:rPr>
          <w:bCs/>
          <w:color w:val="17365D"/>
        </w:rPr>
        <w:t xml:space="preserve"> </w:t>
      </w:r>
      <w:r w:rsidRPr="0053160F">
        <w:rPr>
          <w:bCs/>
          <w:i/>
          <w:color w:val="17365D"/>
        </w:rPr>
        <w:t>euro</w:t>
      </w:r>
      <w:r w:rsidRPr="0053160F">
        <w:rPr>
          <w:bCs/>
          <w:color w:val="17365D"/>
        </w:rPr>
        <w:t xml:space="preserve"> </w:t>
      </w:r>
      <w:r>
        <w:rPr>
          <w:bCs/>
          <w:color w:val="17365D"/>
        </w:rPr>
        <w:t>vērtībā</w:t>
      </w:r>
      <w:r w:rsidRPr="0053160F">
        <w:rPr>
          <w:bCs/>
          <w:color w:val="17365D"/>
        </w:rPr>
        <w:t xml:space="preserve"> saistībā ar tiesu darbinieku – tiesnešu palīgu, arhivāru, sekretāru un citu darbinieku – atlīdzības paaugstināšanu par 16%, darba samaksas palielinājums amatpersonām ar speciālo dienesta pakāpi, kas nodrošina valsts iekšējās  drošības stiprināšanas pasākumu īstenošanu, un ārstniecības personām, virsstundu darba apmaksai nodarbinātajiem, kuru darbs saistīts ar īpašu risku.</w:t>
      </w:r>
    </w:p>
    <w:p w14:paraId="69A0BB88" w14:textId="1423E3F3" w:rsidR="00224ABF" w:rsidRPr="00873FDA" w:rsidRDefault="00224ABF" w:rsidP="00873FDA">
      <w:pPr>
        <w:pStyle w:val="Heading4"/>
        <w:rPr>
          <w:b w:val="0"/>
          <w:bCs w:val="0"/>
          <w:i w:val="0"/>
          <w:iCs w:val="0"/>
        </w:rPr>
      </w:pPr>
      <w:r w:rsidRPr="00EC33F9">
        <w:t>Piezīme Nr.</w:t>
      </w:r>
      <w:r w:rsidR="00454F1D">
        <w:t> </w:t>
      </w:r>
      <w:r w:rsidRPr="00EC33F9">
        <w:t xml:space="preserve">NP.A22. </w:t>
      </w:r>
      <w:r w:rsidRPr="00873FDA">
        <w:t>Darba</w:t>
      </w:r>
      <w:r w:rsidRPr="00EC33F9">
        <w:t xml:space="preserve"> devēja valsts sociālās apdrošināšanas obligātās iemaksas, pabalsti </w:t>
      </w:r>
      <w:r w:rsidRPr="00873FDA">
        <w:t>un kompensācijas:</w:t>
      </w:r>
    </w:p>
    <w:p w14:paraId="56474764" w14:textId="77777777" w:rsidR="00224ABF" w:rsidRDefault="00224ABF" w:rsidP="00454F1D">
      <w:pPr>
        <w:pStyle w:val="Pamatteksts1"/>
        <w:ind w:left="284" w:firstLine="0"/>
        <w:rPr>
          <w:bCs/>
          <w:color w:val="17365D"/>
        </w:rPr>
      </w:pPr>
      <w:r>
        <w:rPr>
          <w:bCs/>
          <w:color w:val="17365D"/>
        </w:rPr>
        <w:t>Palielinājumu šajā postenī veido:</w:t>
      </w:r>
    </w:p>
    <w:p w14:paraId="078AB241" w14:textId="77777777" w:rsidR="00224ABF" w:rsidRPr="00951799" w:rsidRDefault="00224ABF" w:rsidP="00454F1D">
      <w:pPr>
        <w:pStyle w:val="Pamatteksts1"/>
        <w:numPr>
          <w:ilvl w:val="0"/>
          <w:numId w:val="19"/>
        </w:numPr>
        <w:ind w:left="709"/>
        <w:rPr>
          <w:bCs/>
          <w:color w:val="17365D"/>
        </w:rPr>
      </w:pPr>
      <w:r w:rsidRPr="00951799">
        <w:rPr>
          <w:bCs/>
          <w:color w:val="17365D"/>
        </w:rPr>
        <w:t>Labklājības ministrija</w:t>
      </w:r>
      <w:r>
        <w:rPr>
          <w:bCs/>
          <w:color w:val="17365D"/>
        </w:rPr>
        <w:t>s</w:t>
      </w:r>
      <w:r w:rsidRPr="00951799">
        <w:rPr>
          <w:bCs/>
          <w:color w:val="17365D"/>
        </w:rPr>
        <w:t xml:space="preserve"> ieguldījumi Valsts fondēto pensiju shēmā 107</w:t>
      </w:r>
      <w:r>
        <w:rPr>
          <w:bCs/>
          <w:color w:val="17365D"/>
        </w:rPr>
        <w:t> </w:t>
      </w:r>
      <w:r w:rsidRPr="00951799">
        <w:rPr>
          <w:bCs/>
          <w:color w:val="17365D"/>
        </w:rPr>
        <w:t>419</w:t>
      </w:r>
      <w:r>
        <w:rPr>
          <w:bCs/>
          <w:color w:val="17365D"/>
        </w:rPr>
        <w:t> </w:t>
      </w:r>
      <w:r w:rsidRPr="00951799">
        <w:rPr>
          <w:bCs/>
          <w:color w:val="17365D"/>
        </w:rPr>
        <w:t>575</w:t>
      </w:r>
      <w:r w:rsidRPr="00951799">
        <w:rPr>
          <w:bCs/>
          <w:i/>
          <w:color w:val="17365D"/>
        </w:rPr>
        <w:t xml:space="preserve"> euro</w:t>
      </w:r>
      <w:r w:rsidRPr="00951799">
        <w:rPr>
          <w:bCs/>
          <w:color w:val="17365D"/>
        </w:rPr>
        <w:t xml:space="preserve"> apmērā;</w:t>
      </w:r>
    </w:p>
    <w:p w14:paraId="6EE522CE" w14:textId="77777777" w:rsidR="00224ABF" w:rsidRPr="00951799" w:rsidRDefault="00224ABF" w:rsidP="00454F1D">
      <w:pPr>
        <w:pStyle w:val="Pamatteksts1"/>
        <w:numPr>
          <w:ilvl w:val="0"/>
          <w:numId w:val="19"/>
        </w:numPr>
        <w:ind w:left="709"/>
        <w:rPr>
          <w:bCs/>
          <w:color w:val="17365D"/>
        </w:rPr>
      </w:pPr>
      <w:r w:rsidRPr="00951799">
        <w:rPr>
          <w:bCs/>
          <w:color w:val="17365D"/>
        </w:rPr>
        <w:t>Aizsardzības ministrija</w:t>
      </w:r>
      <w:r>
        <w:rPr>
          <w:bCs/>
          <w:color w:val="17365D"/>
        </w:rPr>
        <w:t>i</w:t>
      </w:r>
      <w:r w:rsidRPr="00951799">
        <w:rPr>
          <w:bCs/>
          <w:color w:val="17365D"/>
        </w:rPr>
        <w:t xml:space="preserve"> 29</w:t>
      </w:r>
      <w:r>
        <w:rPr>
          <w:bCs/>
          <w:color w:val="17365D"/>
        </w:rPr>
        <w:t> </w:t>
      </w:r>
      <w:r w:rsidRPr="00951799">
        <w:rPr>
          <w:bCs/>
          <w:color w:val="17365D"/>
        </w:rPr>
        <w:t>026</w:t>
      </w:r>
      <w:r>
        <w:rPr>
          <w:bCs/>
          <w:color w:val="17365D"/>
        </w:rPr>
        <w:t> </w:t>
      </w:r>
      <w:r w:rsidRPr="00951799">
        <w:rPr>
          <w:bCs/>
          <w:color w:val="17365D"/>
        </w:rPr>
        <w:t xml:space="preserve">279 </w:t>
      </w:r>
      <w:r w:rsidRPr="008D6C37">
        <w:rPr>
          <w:bCs/>
          <w:i/>
          <w:color w:val="17365D"/>
        </w:rPr>
        <w:t>euro</w:t>
      </w:r>
      <w:r w:rsidRPr="00951799">
        <w:rPr>
          <w:bCs/>
          <w:color w:val="17365D"/>
        </w:rPr>
        <w:t xml:space="preserve"> vērtībā</w:t>
      </w:r>
      <w:r>
        <w:rPr>
          <w:bCs/>
          <w:color w:val="17365D"/>
        </w:rPr>
        <w:t>,</w:t>
      </w:r>
      <w:r w:rsidRPr="00951799">
        <w:rPr>
          <w:bCs/>
          <w:color w:val="17365D"/>
        </w:rPr>
        <w:t xml:space="preserve"> </w:t>
      </w:r>
      <w:r>
        <w:rPr>
          <w:bCs/>
          <w:color w:val="17365D"/>
        </w:rPr>
        <w:t xml:space="preserve">palielinot </w:t>
      </w:r>
      <w:r w:rsidRPr="00951799">
        <w:rPr>
          <w:bCs/>
          <w:color w:val="17365D"/>
        </w:rPr>
        <w:t>finansējum</w:t>
      </w:r>
      <w:r>
        <w:rPr>
          <w:bCs/>
          <w:color w:val="17365D"/>
        </w:rPr>
        <w:t>u</w:t>
      </w:r>
      <w:r w:rsidRPr="00951799">
        <w:rPr>
          <w:bCs/>
          <w:color w:val="17365D"/>
        </w:rPr>
        <w:t xml:space="preserve"> atlīdzībai, kā arī minimālās alga</w:t>
      </w:r>
      <w:r>
        <w:rPr>
          <w:bCs/>
          <w:color w:val="17365D"/>
        </w:rPr>
        <w:t>s izmaiņas</w:t>
      </w:r>
      <w:r w:rsidRPr="00951799">
        <w:rPr>
          <w:bCs/>
          <w:color w:val="17365D"/>
        </w:rPr>
        <w:t>;</w:t>
      </w:r>
    </w:p>
    <w:p w14:paraId="677525B4" w14:textId="77777777" w:rsidR="00224ABF" w:rsidRPr="00951799" w:rsidRDefault="00224ABF" w:rsidP="00454F1D">
      <w:pPr>
        <w:pStyle w:val="Pamatteksts1"/>
        <w:numPr>
          <w:ilvl w:val="0"/>
          <w:numId w:val="19"/>
        </w:numPr>
        <w:ind w:left="709"/>
        <w:rPr>
          <w:bCs/>
          <w:color w:val="17365D"/>
        </w:rPr>
      </w:pPr>
      <w:r w:rsidRPr="00951799">
        <w:rPr>
          <w:bCs/>
          <w:color w:val="17365D"/>
        </w:rPr>
        <w:t>Rīgas valstspilsēta</w:t>
      </w:r>
      <w:r>
        <w:rPr>
          <w:bCs/>
          <w:color w:val="17365D"/>
        </w:rPr>
        <w:t>s</w:t>
      </w:r>
      <w:r w:rsidRPr="00951799">
        <w:rPr>
          <w:bCs/>
          <w:color w:val="17365D"/>
        </w:rPr>
        <w:t xml:space="preserve"> izdevumi 13</w:t>
      </w:r>
      <w:r>
        <w:rPr>
          <w:bCs/>
          <w:color w:val="17365D"/>
        </w:rPr>
        <w:t> </w:t>
      </w:r>
      <w:r w:rsidRPr="00951799">
        <w:rPr>
          <w:bCs/>
          <w:color w:val="17365D"/>
        </w:rPr>
        <w:t>858</w:t>
      </w:r>
      <w:r>
        <w:rPr>
          <w:bCs/>
          <w:color w:val="17365D"/>
        </w:rPr>
        <w:t> </w:t>
      </w:r>
      <w:r w:rsidRPr="00951799">
        <w:rPr>
          <w:bCs/>
          <w:color w:val="17365D"/>
        </w:rPr>
        <w:t xml:space="preserve">159 </w:t>
      </w:r>
      <w:r w:rsidRPr="008D6C37">
        <w:rPr>
          <w:bCs/>
          <w:i/>
          <w:color w:val="17365D"/>
        </w:rPr>
        <w:t>euro</w:t>
      </w:r>
      <w:r w:rsidRPr="00951799">
        <w:rPr>
          <w:bCs/>
          <w:color w:val="17365D"/>
        </w:rPr>
        <w:t xml:space="preserve"> vērtībā par pabalstiem un kompensācijām, kas saistīts ar minimālās algas palielinājumu un ar papildu finansējumu darba samaksas izlīdzināšanai pašvaldībā strādājošajiem ar vidējo atalgojumu valstī, kā arī par atalgojuma izmaiņām pedagogiem un Ukrainas civiliedzīv</w:t>
      </w:r>
      <w:r>
        <w:rPr>
          <w:bCs/>
          <w:color w:val="17365D"/>
        </w:rPr>
        <w:t>otāju izglītības nodrošināšanai;</w:t>
      </w:r>
    </w:p>
    <w:p w14:paraId="143467C0" w14:textId="77777777" w:rsidR="00224ABF" w:rsidRPr="00951799" w:rsidRDefault="00224ABF" w:rsidP="00454F1D">
      <w:pPr>
        <w:pStyle w:val="Pamatteksts1"/>
        <w:numPr>
          <w:ilvl w:val="0"/>
          <w:numId w:val="19"/>
        </w:numPr>
        <w:ind w:left="709"/>
        <w:rPr>
          <w:bCs/>
          <w:color w:val="17365D"/>
        </w:rPr>
      </w:pPr>
      <w:r w:rsidRPr="00951799">
        <w:rPr>
          <w:bCs/>
          <w:color w:val="17365D"/>
        </w:rPr>
        <w:t>Ārlietu ministrija</w:t>
      </w:r>
      <w:r>
        <w:rPr>
          <w:bCs/>
          <w:color w:val="17365D"/>
        </w:rPr>
        <w:t>s</w:t>
      </w:r>
      <w:r w:rsidRPr="00951799">
        <w:rPr>
          <w:bCs/>
          <w:color w:val="17365D"/>
        </w:rPr>
        <w:t xml:space="preserve"> </w:t>
      </w:r>
      <w:r>
        <w:rPr>
          <w:bCs/>
          <w:color w:val="17365D"/>
        </w:rPr>
        <w:t>izdevumi</w:t>
      </w:r>
      <w:r w:rsidRPr="00951799">
        <w:rPr>
          <w:bCs/>
          <w:color w:val="17365D"/>
        </w:rPr>
        <w:t xml:space="preserve"> 12</w:t>
      </w:r>
      <w:r>
        <w:rPr>
          <w:bCs/>
          <w:color w:val="17365D"/>
        </w:rPr>
        <w:t> </w:t>
      </w:r>
      <w:r w:rsidRPr="00951799">
        <w:rPr>
          <w:bCs/>
          <w:color w:val="17365D"/>
        </w:rPr>
        <w:t>629</w:t>
      </w:r>
      <w:r>
        <w:rPr>
          <w:bCs/>
          <w:color w:val="17365D"/>
        </w:rPr>
        <w:t> </w:t>
      </w:r>
      <w:r w:rsidRPr="00951799">
        <w:rPr>
          <w:bCs/>
          <w:color w:val="17365D"/>
        </w:rPr>
        <w:t xml:space="preserve">762 </w:t>
      </w:r>
      <w:r w:rsidRPr="008D6C37">
        <w:rPr>
          <w:bCs/>
          <w:i/>
          <w:color w:val="17365D"/>
        </w:rPr>
        <w:t>euro</w:t>
      </w:r>
      <w:r w:rsidRPr="00951799">
        <w:rPr>
          <w:bCs/>
          <w:color w:val="17365D"/>
        </w:rPr>
        <w:t xml:space="preserve"> vērtībā par pabalstu un kompensāciju nodrošinājumu par dienestu ārvalstīs kvalitatīvai Latvijas nacionālo drošības un ekonomisko interešu aizstāvībai</w:t>
      </w:r>
      <w:r>
        <w:rPr>
          <w:bCs/>
          <w:color w:val="17365D"/>
        </w:rPr>
        <w:t>.</w:t>
      </w:r>
    </w:p>
    <w:p w14:paraId="397CDFCE" w14:textId="26604EA8" w:rsidR="00224ABF" w:rsidRPr="00951799" w:rsidRDefault="00224ABF" w:rsidP="00454F1D">
      <w:pPr>
        <w:pStyle w:val="Pamatteksts1"/>
        <w:rPr>
          <w:bCs/>
          <w:color w:val="17365D"/>
        </w:rPr>
      </w:pPr>
      <w:r>
        <w:rPr>
          <w:bCs/>
          <w:color w:val="17365D"/>
        </w:rPr>
        <w:t xml:space="preserve">Samazinājumu šajā postenī veido </w:t>
      </w:r>
      <w:r w:rsidRPr="00951799">
        <w:rPr>
          <w:bCs/>
          <w:color w:val="17365D"/>
        </w:rPr>
        <w:t>Labklājības ministrija</w:t>
      </w:r>
      <w:r>
        <w:rPr>
          <w:bCs/>
          <w:color w:val="17365D"/>
        </w:rPr>
        <w:t>s</w:t>
      </w:r>
      <w:r w:rsidRPr="00951799">
        <w:rPr>
          <w:bCs/>
          <w:color w:val="17365D"/>
        </w:rPr>
        <w:t xml:space="preserve"> izdevum</w:t>
      </w:r>
      <w:r>
        <w:rPr>
          <w:bCs/>
          <w:color w:val="17365D"/>
        </w:rPr>
        <w:t>i</w:t>
      </w:r>
      <w:r w:rsidRPr="00951799">
        <w:rPr>
          <w:bCs/>
          <w:color w:val="17365D"/>
        </w:rPr>
        <w:t xml:space="preserve"> </w:t>
      </w:r>
      <w:r w:rsidR="00454F1D">
        <w:rPr>
          <w:bCs/>
          <w:color w:val="17365D"/>
        </w:rPr>
        <w:t>(</w:t>
      </w:r>
      <w:r w:rsidRPr="00951799">
        <w:rPr>
          <w:bCs/>
          <w:color w:val="17365D"/>
        </w:rPr>
        <w:t>31</w:t>
      </w:r>
      <w:r>
        <w:rPr>
          <w:bCs/>
          <w:color w:val="17365D"/>
        </w:rPr>
        <w:t> </w:t>
      </w:r>
      <w:r w:rsidRPr="00951799">
        <w:rPr>
          <w:bCs/>
          <w:color w:val="17365D"/>
        </w:rPr>
        <w:t>988</w:t>
      </w:r>
      <w:r w:rsidR="00454F1D">
        <w:rPr>
          <w:bCs/>
          <w:color w:val="17365D"/>
        </w:rPr>
        <w:t> </w:t>
      </w:r>
      <w:r w:rsidRPr="00951799">
        <w:rPr>
          <w:bCs/>
          <w:color w:val="17365D"/>
        </w:rPr>
        <w:t>487</w:t>
      </w:r>
      <w:r w:rsidR="00454F1D">
        <w:rPr>
          <w:bCs/>
          <w:color w:val="17365D"/>
        </w:rPr>
        <w:t>)</w:t>
      </w:r>
      <w:r w:rsidRPr="00951799">
        <w:rPr>
          <w:bCs/>
          <w:color w:val="17365D"/>
        </w:rPr>
        <w:t xml:space="preserve"> </w:t>
      </w:r>
      <w:r w:rsidRPr="0019126D">
        <w:rPr>
          <w:bCs/>
          <w:i/>
          <w:color w:val="17365D"/>
        </w:rPr>
        <w:t>euro</w:t>
      </w:r>
      <w:r w:rsidRPr="00951799">
        <w:rPr>
          <w:bCs/>
          <w:color w:val="17365D"/>
        </w:rPr>
        <w:t xml:space="preserve"> vērtībā</w:t>
      </w:r>
      <w:r>
        <w:rPr>
          <w:bCs/>
          <w:color w:val="17365D"/>
        </w:rPr>
        <w:t xml:space="preserve"> par</w:t>
      </w:r>
      <w:r w:rsidRPr="00951799">
        <w:rPr>
          <w:bCs/>
          <w:color w:val="17365D"/>
        </w:rPr>
        <w:t xml:space="preserve"> uzkrātā fondētā pensijas kapitāla maksājumiem apdrošināšanas sabiedrībām mūža pensijas polises iegādei un uzkrātā fondēto pensiju kapitāla iemaksām valsts pensiju speciālajā budžetā.</w:t>
      </w:r>
    </w:p>
    <w:p w14:paraId="06A2BE60" w14:textId="77777777" w:rsidR="00224ABF" w:rsidRPr="00951799" w:rsidRDefault="00224ABF" w:rsidP="00873FDA">
      <w:pPr>
        <w:pStyle w:val="Heading4"/>
      </w:pPr>
      <w:r w:rsidRPr="00E72168">
        <w:t>Piezīme Nr</w:t>
      </w:r>
      <w:r>
        <w:t>.</w:t>
      </w:r>
      <w:r w:rsidRPr="00951799">
        <w:t xml:space="preserve"> NP.A24. </w:t>
      </w:r>
      <w:r w:rsidRPr="00873FDA">
        <w:t>Pakalpojumi</w:t>
      </w:r>
    </w:p>
    <w:p w14:paraId="2C6E28DE" w14:textId="77777777" w:rsidR="00224ABF" w:rsidRDefault="00224ABF" w:rsidP="00454F1D">
      <w:pPr>
        <w:pStyle w:val="Pamatteksts1"/>
        <w:ind w:left="284" w:firstLine="0"/>
        <w:rPr>
          <w:bCs/>
          <w:color w:val="17365D"/>
        </w:rPr>
      </w:pPr>
      <w:r>
        <w:rPr>
          <w:bCs/>
          <w:color w:val="17365D"/>
        </w:rPr>
        <w:t>Palielinājumu šajā postenī veido:</w:t>
      </w:r>
    </w:p>
    <w:p w14:paraId="192284C6" w14:textId="77777777" w:rsidR="00224ABF" w:rsidRPr="00951799" w:rsidRDefault="00224ABF" w:rsidP="00224ABF">
      <w:pPr>
        <w:pStyle w:val="Pamatteksts1"/>
        <w:numPr>
          <w:ilvl w:val="0"/>
          <w:numId w:val="19"/>
        </w:numPr>
        <w:rPr>
          <w:bCs/>
          <w:color w:val="17365D"/>
        </w:rPr>
      </w:pPr>
      <w:r w:rsidRPr="00951799">
        <w:rPr>
          <w:bCs/>
          <w:color w:val="17365D"/>
        </w:rPr>
        <w:t>Ekonomikas ministrija</w:t>
      </w:r>
      <w:r>
        <w:rPr>
          <w:bCs/>
          <w:color w:val="17365D"/>
        </w:rPr>
        <w:t>s izdevumi</w:t>
      </w:r>
      <w:r w:rsidRPr="00951799">
        <w:rPr>
          <w:bCs/>
          <w:color w:val="17365D"/>
        </w:rPr>
        <w:t xml:space="preserve"> 59</w:t>
      </w:r>
      <w:r>
        <w:rPr>
          <w:bCs/>
          <w:color w:val="17365D"/>
        </w:rPr>
        <w:t> </w:t>
      </w:r>
      <w:r w:rsidRPr="00951799">
        <w:rPr>
          <w:bCs/>
          <w:color w:val="17365D"/>
        </w:rPr>
        <w:t>222</w:t>
      </w:r>
      <w:r>
        <w:rPr>
          <w:bCs/>
          <w:color w:val="17365D"/>
        </w:rPr>
        <w:t> </w:t>
      </w:r>
      <w:r w:rsidRPr="00951799">
        <w:rPr>
          <w:bCs/>
          <w:color w:val="17365D"/>
        </w:rPr>
        <w:t xml:space="preserve">453 </w:t>
      </w:r>
      <w:r w:rsidRPr="0019126D">
        <w:rPr>
          <w:bCs/>
          <w:i/>
          <w:color w:val="17365D"/>
        </w:rPr>
        <w:t>euro</w:t>
      </w:r>
      <w:r w:rsidRPr="00951799">
        <w:rPr>
          <w:bCs/>
          <w:color w:val="17365D"/>
        </w:rPr>
        <w:t xml:space="preserve"> vērtībā par valsts naftas rezervj</w:t>
      </w:r>
      <w:r>
        <w:rPr>
          <w:bCs/>
          <w:color w:val="17365D"/>
        </w:rPr>
        <w:t>u nodrošināšanas pakalpojumiem;</w:t>
      </w:r>
    </w:p>
    <w:p w14:paraId="5C4C5547" w14:textId="77777777" w:rsidR="00224ABF" w:rsidRPr="00951799" w:rsidRDefault="00224ABF" w:rsidP="00224ABF">
      <w:pPr>
        <w:pStyle w:val="Pamatteksts1"/>
        <w:numPr>
          <w:ilvl w:val="0"/>
          <w:numId w:val="19"/>
        </w:numPr>
        <w:rPr>
          <w:bCs/>
          <w:color w:val="17365D"/>
        </w:rPr>
      </w:pPr>
      <w:r w:rsidRPr="00951799">
        <w:rPr>
          <w:bCs/>
          <w:color w:val="17365D"/>
        </w:rPr>
        <w:t>Iekšlietu ministrija</w:t>
      </w:r>
      <w:r>
        <w:rPr>
          <w:bCs/>
          <w:color w:val="17365D"/>
        </w:rPr>
        <w:t>s</w:t>
      </w:r>
      <w:r w:rsidRPr="00951799">
        <w:rPr>
          <w:bCs/>
          <w:color w:val="17365D"/>
        </w:rPr>
        <w:t xml:space="preserve"> izdevum</w:t>
      </w:r>
      <w:r>
        <w:rPr>
          <w:bCs/>
          <w:color w:val="17365D"/>
        </w:rPr>
        <w:t>i</w:t>
      </w:r>
      <w:r w:rsidRPr="00951799">
        <w:rPr>
          <w:bCs/>
          <w:color w:val="17365D"/>
        </w:rPr>
        <w:t xml:space="preserve"> 24</w:t>
      </w:r>
      <w:r>
        <w:rPr>
          <w:bCs/>
          <w:color w:val="17365D"/>
        </w:rPr>
        <w:t> </w:t>
      </w:r>
      <w:r w:rsidRPr="00951799">
        <w:rPr>
          <w:bCs/>
          <w:color w:val="17365D"/>
        </w:rPr>
        <w:t>857</w:t>
      </w:r>
      <w:r>
        <w:rPr>
          <w:bCs/>
          <w:color w:val="17365D"/>
        </w:rPr>
        <w:t> </w:t>
      </w:r>
      <w:r w:rsidRPr="00951799">
        <w:rPr>
          <w:bCs/>
          <w:color w:val="17365D"/>
        </w:rPr>
        <w:t xml:space="preserve">177 </w:t>
      </w:r>
      <w:r w:rsidRPr="0019126D">
        <w:rPr>
          <w:bCs/>
          <w:i/>
          <w:color w:val="17365D"/>
        </w:rPr>
        <w:t>euro</w:t>
      </w:r>
      <w:r w:rsidRPr="00951799">
        <w:rPr>
          <w:bCs/>
          <w:color w:val="17365D"/>
        </w:rPr>
        <w:t xml:space="preserve"> vērtībā par:</w:t>
      </w:r>
    </w:p>
    <w:p w14:paraId="77706B38" w14:textId="77777777" w:rsidR="00224ABF" w:rsidRPr="00951799" w:rsidRDefault="00224ABF" w:rsidP="00146A16">
      <w:pPr>
        <w:pStyle w:val="Pamatteksts1"/>
        <w:numPr>
          <w:ilvl w:val="0"/>
          <w:numId w:val="48"/>
        </w:numPr>
        <w:ind w:left="1134" w:hanging="425"/>
        <w:rPr>
          <w:bCs/>
          <w:color w:val="17365D"/>
        </w:rPr>
      </w:pPr>
      <w:r w:rsidRPr="00951799">
        <w:rPr>
          <w:bCs/>
          <w:color w:val="17365D"/>
        </w:rPr>
        <w:t>Eiropas Savienības politiku instrumentu un pārējās ārvalstu finanšu palīdzības projektu un pasākumu īst</w:t>
      </w:r>
      <w:r>
        <w:rPr>
          <w:bCs/>
          <w:color w:val="17365D"/>
        </w:rPr>
        <w:t xml:space="preserve">enošanai 2 713 457 </w:t>
      </w:r>
      <w:r w:rsidRPr="0019126D">
        <w:rPr>
          <w:bCs/>
          <w:i/>
          <w:color w:val="17365D"/>
        </w:rPr>
        <w:t>euro</w:t>
      </w:r>
      <w:r>
        <w:rPr>
          <w:bCs/>
          <w:color w:val="17365D"/>
        </w:rPr>
        <w:t xml:space="preserve"> vērtībā,</w:t>
      </w:r>
    </w:p>
    <w:p w14:paraId="2ECE28CC" w14:textId="77777777" w:rsidR="00224ABF" w:rsidRPr="00951799" w:rsidRDefault="00224ABF" w:rsidP="00146A16">
      <w:pPr>
        <w:pStyle w:val="Pamatteksts1"/>
        <w:numPr>
          <w:ilvl w:val="0"/>
          <w:numId w:val="48"/>
        </w:numPr>
        <w:ind w:left="1134" w:hanging="425"/>
        <w:rPr>
          <w:bCs/>
          <w:color w:val="17365D"/>
        </w:rPr>
      </w:pPr>
      <w:r>
        <w:rPr>
          <w:bCs/>
          <w:color w:val="17365D"/>
        </w:rPr>
        <w:t>izdevumiem</w:t>
      </w:r>
      <w:r w:rsidRPr="00951799">
        <w:rPr>
          <w:bCs/>
          <w:color w:val="17365D"/>
        </w:rPr>
        <w:t xml:space="preserve">, kas saistīti ar operatīvo </w:t>
      </w:r>
      <w:r>
        <w:rPr>
          <w:bCs/>
          <w:color w:val="17365D"/>
        </w:rPr>
        <w:t xml:space="preserve">darbību 17 655 116 </w:t>
      </w:r>
      <w:r w:rsidRPr="0019126D">
        <w:rPr>
          <w:bCs/>
          <w:i/>
          <w:color w:val="17365D"/>
        </w:rPr>
        <w:t>euro</w:t>
      </w:r>
      <w:r>
        <w:rPr>
          <w:bCs/>
          <w:color w:val="17365D"/>
        </w:rPr>
        <w:t xml:space="preserve"> vērtībā,</w:t>
      </w:r>
    </w:p>
    <w:p w14:paraId="35FFF1DA" w14:textId="77777777" w:rsidR="00224ABF" w:rsidRPr="00951799" w:rsidRDefault="00224ABF" w:rsidP="00146A16">
      <w:pPr>
        <w:pStyle w:val="Pamatteksts1"/>
        <w:numPr>
          <w:ilvl w:val="0"/>
          <w:numId w:val="48"/>
        </w:numPr>
        <w:ind w:left="1134" w:hanging="425"/>
        <w:rPr>
          <w:bCs/>
          <w:color w:val="17365D"/>
        </w:rPr>
      </w:pPr>
      <w:r w:rsidRPr="00951799">
        <w:rPr>
          <w:bCs/>
          <w:color w:val="17365D"/>
        </w:rPr>
        <w:t xml:space="preserve">prioritārā pasākuma </w:t>
      </w:r>
      <w:r>
        <w:rPr>
          <w:bCs/>
          <w:color w:val="17365D"/>
        </w:rPr>
        <w:t>“</w:t>
      </w:r>
      <w:r w:rsidRPr="00951799">
        <w:rPr>
          <w:bCs/>
          <w:color w:val="17365D"/>
        </w:rPr>
        <w:t>Valsts policijas nodrošinājums ar funkciju izpildei nepieciešamajiem transportlīdzekļiem</w:t>
      </w:r>
      <w:r>
        <w:rPr>
          <w:bCs/>
          <w:color w:val="17365D"/>
        </w:rPr>
        <w:t>”</w:t>
      </w:r>
      <w:r w:rsidRPr="00951799">
        <w:rPr>
          <w:bCs/>
          <w:color w:val="17365D"/>
        </w:rPr>
        <w:t xml:space="preserve"> īstenošanu 4</w:t>
      </w:r>
      <w:r>
        <w:rPr>
          <w:bCs/>
          <w:color w:val="17365D"/>
        </w:rPr>
        <w:t> </w:t>
      </w:r>
      <w:r w:rsidRPr="00951799">
        <w:rPr>
          <w:bCs/>
          <w:color w:val="17365D"/>
        </w:rPr>
        <w:t>488</w:t>
      </w:r>
      <w:r>
        <w:rPr>
          <w:bCs/>
          <w:color w:val="17365D"/>
        </w:rPr>
        <w:t> </w:t>
      </w:r>
      <w:r w:rsidRPr="00951799">
        <w:rPr>
          <w:bCs/>
          <w:color w:val="17365D"/>
        </w:rPr>
        <w:t xml:space="preserve">604 </w:t>
      </w:r>
      <w:r w:rsidRPr="0019126D">
        <w:rPr>
          <w:bCs/>
          <w:i/>
          <w:color w:val="17365D"/>
        </w:rPr>
        <w:t>euro</w:t>
      </w:r>
      <w:r w:rsidRPr="00951799">
        <w:rPr>
          <w:bCs/>
          <w:color w:val="17365D"/>
        </w:rPr>
        <w:t xml:space="preserve"> vērtībā</w:t>
      </w:r>
      <w:r>
        <w:rPr>
          <w:bCs/>
          <w:color w:val="17365D"/>
        </w:rPr>
        <w:t>,</w:t>
      </w:r>
    </w:p>
    <w:p w14:paraId="36EE0692" w14:textId="77777777" w:rsidR="00224ABF" w:rsidRPr="00951799" w:rsidRDefault="00224ABF" w:rsidP="00224ABF">
      <w:pPr>
        <w:pStyle w:val="Pamatteksts1"/>
        <w:numPr>
          <w:ilvl w:val="0"/>
          <w:numId w:val="19"/>
        </w:numPr>
        <w:rPr>
          <w:bCs/>
          <w:color w:val="17365D"/>
        </w:rPr>
      </w:pPr>
      <w:r w:rsidRPr="00951799">
        <w:rPr>
          <w:bCs/>
          <w:color w:val="17365D"/>
        </w:rPr>
        <w:t>Rīgas valstspilsēta</w:t>
      </w:r>
      <w:r>
        <w:rPr>
          <w:bCs/>
          <w:color w:val="17365D"/>
        </w:rPr>
        <w:t>s</w:t>
      </w:r>
      <w:r w:rsidRPr="00951799">
        <w:rPr>
          <w:bCs/>
          <w:color w:val="17365D"/>
        </w:rPr>
        <w:t xml:space="preserve"> izdevumi 23</w:t>
      </w:r>
      <w:r>
        <w:rPr>
          <w:bCs/>
          <w:color w:val="17365D"/>
        </w:rPr>
        <w:t> </w:t>
      </w:r>
      <w:r w:rsidRPr="00951799">
        <w:rPr>
          <w:bCs/>
          <w:color w:val="17365D"/>
        </w:rPr>
        <w:t>535</w:t>
      </w:r>
      <w:r>
        <w:rPr>
          <w:bCs/>
          <w:color w:val="17365D"/>
        </w:rPr>
        <w:t> </w:t>
      </w:r>
      <w:r w:rsidRPr="00951799">
        <w:rPr>
          <w:bCs/>
          <w:color w:val="17365D"/>
        </w:rPr>
        <w:t xml:space="preserve">683 </w:t>
      </w:r>
      <w:r w:rsidRPr="0019126D">
        <w:rPr>
          <w:bCs/>
          <w:i/>
          <w:color w:val="17365D"/>
        </w:rPr>
        <w:t>euro</w:t>
      </w:r>
      <w:r w:rsidRPr="00951799">
        <w:rPr>
          <w:bCs/>
          <w:color w:val="17365D"/>
        </w:rPr>
        <w:t xml:space="preserve"> vērtībā par:</w:t>
      </w:r>
    </w:p>
    <w:p w14:paraId="647EE8BA" w14:textId="77777777" w:rsidR="00224ABF" w:rsidRPr="00951799" w:rsidRDefault="00224ABF" w:rsidP="00224ABF">
      <w:pPr>
        <w:pStyle w:val="Pamatteksts1"/>
        <w:numPr>
          <w:ilvl w:val="1"/>
          <w:numId w:val="19"/>
        </w:numPr>
        <w:ind w:left="1134"/>
        <w:rPr>
          <w:bCs/>
          <w:color w:val="17365D"/>
        </w:rPr>
      </w:pPr>
      <w:r w:rsidRPr="00951799">
        <w:rPr>
          <w:bCs/>
          <w:color w:val="17365D"/>
        </w:rPr>
        <w:t>autoceļu un ielu pārvaldīšanu un uzturēšanu 8</w:t>
      </w:r>
      <w:r>
        <w:rPr>
          <w:bCs/>
          <w:color w:val="17365D"/>
        </w:rPr>
        <w:t> </w:t>
      </w:r>
      <w:r w:rsidRPr="00951799">
        <w:rPr>
          <w:bCs/>
          <w:color w:val="17365D"/>
        </w:rPr>
        <w:t>284</w:t>
      </w:r>
      <w:r>
        <w:rPr>
          <w:bCs/>
          <w:color w:val="17365D"/>
        </w:rPr>
        <w:t> </w:t>
      </w:r>
      <w:r w:rsidRPr="00951799">
        <w:rPr>
          <w:bCs/>
          <w:color w:val="17365D"/>
        </w:rPr>
        <w:t xml:space="preserve">112 </w:t>
      </w:r>
      <w:r w:rsidRPr="0019126D">
        <w:rPr>
          <w:bCs/>
          <w:i/>
          <w:color w:val="17365D"/>
        </w:rPr>
        <w:t>euro</w:t>
      </w:r>
      <w:r>
        <w:rPr>
          <w:bCs/>
          <w:color w:val="17365D"/>
        </w:rPr>
        <w:t xml:space="preserve"> vērtībā,</w:t>
      </w:r>
    </w:p>
    <w:p w14:paraId="73B311AA" w14:textId="77777777" w:rsidR="00224ABF" w:rsidRPr="00951799" w:rsidRDefault="00224ABF" w:rsidP="00224ABF">
      <w:pPr>
        <w:pStyle w:val="Pamatteksts1"/>
        <w:numPr>
          <w:ilvl w:val="1"/>
          <w:numId w:val="19"/>
        </w:numPr>
        <w:ind w:left="1134"/>
        <w:rPr>
          <w:bCs/>
          <w:color w:val="17365D"/>
        </w:rPr>
      </w:pPr>
      <w:r w:rsidRPr="00951799">
        <w:rPr>
          <w:bCs/>
          <w:color w:val="17365D"/>
        </w:rPr>
        <w:t>siltumenerģij</w:t>
      </w:r>
      <w:r>
        <w:rPr>
          <w:bCs/>
          <w:color w:val="17365D"/>
        </w:rPr>
        <w:t>as izdevumiem</w:t>
      </w:r>
      <w:r w:rsidRPr="00951799">
        <w:rPr>
          <w:bCs/>
          <w:color w:val="17365D"/>
        </w:rPr>
        <w:t xml:space="preserve"> 8</w:t>
      </w:r>
      <w:r>
        <w:rPr>
          <w:bCs/>
          <w:color w:val="17365D"/>
        </w:rPr>
        <w:t> </w:t>
      </w:r>
      <w:r w:rsidRPr="00951799">
        <w:rPr>
          <w:bCs/>
          <w:color w:val="17365D"/>
        </w:rPr>
        <w:t>197</w:t>
      </w:r>
      <w:r>
        <w:rPr>
          <w:bCs/>
          <w:color w:val="17365D"/>
        </w:rPr>
        <w:t> </w:t>
      </w:r>
      <w:r w:rsidRPr="00951799">
        <w:rPr>
          <w:bCs/>
          <w:color w:val="17365D"/>
        </w:rPr>
        <w:t xml:space="preserve">822 </w:t>
      </w:r>
      <w:r w:rsidRPr="0019126D">
        <w:rPr>
          <w:bCs/>
          <w:i/>
          <w:color w:val="17365D"/>
        </w:rPr>
        <w:t>euro</w:t>
      </w:r>
      <w:r>
        <w:rPr>
          <w:bCs/>
          <w:color w:val="17365D"/>
        </w:rPr>
        <w:t xml:space="preserve"> vērtībā,</w:t>
      </w:r>
    </w:p>
    <w:p w14:paraId="37B9AEC1" w14:textId="77777777" w:rsidR="00224ABF" w:rsidRPr="00951799" w:rsidRDefault="00224ABF" w:rsidP="00224ABF">
      <w:pPr>
        <w:pStyle w:val="Pamatteksts1"/>
        <w:numPr>
          <w:ilvl w:val="1"/>
          <w:numId w:val="19"/>
        </w:numPr>
        <w:ind w:left="1134"/>
        <w:rPr>
          <w:bCs/>
          <w:color w:val="17365D"/>
        </w:rPr>
      </w:pPr>
      <w:r w:rsidRPr="00951799">
        <w:rPr>
          <w:bCs/>
          <w:color w:val="17365D"/>
        </w:rPr>
        <w:lastRenderedPageBreak/>
        <w:t>par remontdarbiem un iestāžu uzturēšanas pakalpojumiem 4</w:t>
      </w:r>
      <w:r>
        <w:rPr>
          <w:bCs/>
          <w:color w:val="17365D"/>
        </w:rPr>
        <w:t> </w:t>
      </w:r>
      <w:r w:rsidRPr="00951799">
        <w:rPr>
          <w:bCs/>
          <w:color w:val="17365D"/>
        </w:rPr>
        <w:t>466</w:t>
      </w:r>
      <w:r>
        <w:rPr>
          <w:bCs/>
          <w:color w:val="17365D"/>
        </w:rPr>
        <w:t> </w:t>
      </w:r>
      <w:r w:rsidRPr="00951799">
        <w:rPr>
          <w:bCs/>
          <w:color w:val="17365D"/>
        </w:rPr>
        <w:t xml:space="preserve">465 </w:t>
      </w:r>
      <w:r w:rsidRPr="00F2603E">
        <w:rPr>
          <w:bCs/>
          <w:i/>
          <w:color w:val="17365D"/>
        </w:rPr>
        <w:t>euro</w:t>
      </w:r>
      <w:r>
        <w:rPr>
          <w:bCs/>
          <w:color w:val="17365D"/>
        </w:rPr>
        <w:t xml:space="preserve"> vērtībā,</w:t>
      </w:r>
    </w:p>
    <w:p w14:paraId="6971EFA9" w14:textId="77777777" w:rsidR="00224ABF" w:rsidRPr="00951799" w:rsidRDefault="00224ABF" w:rsidP="00224ABF">
      <w:pPr>
        <w:pStyle w:val="Pamatteksts1"/>
        <w:numPr>
          <w:ilvl w:val="1"/>
          <w:numId w:val="19"/>
        </w:numPr>
        <w:ind w:left="1134"/>
        <w:rPr>
          <w:bCs/>
          <w:color w:val="17365D"/>
        </w:rPr>
      </w:pPr>
      <w:r w:rsidRPr="00951799">
        <w:rPr>
          <w:bCs/>
          <w:color w:val="17365D"/>
        </w:rPr>
        <w:t>pašvaldības finansējumu privātajām pirmsskolas izglītības iestādēm, kā arī Ukrainas bērnu atbalstam (ēdināšana u.c. pakalpojumi) 2</w:t>
      </w:r>
      <w:r>
        <w:rPr>
          <w:bCs/>
          <w:color w:val="17365D"/>
        </w:rPr>
        <w:t> </w:t>
      </w:r>
      <w:r w:rsidRPr="00951799">
        <w:rPr>
          <w:bCs/>
          <w:color w:val="17365D"/>
        </w:rPr>
        <w:t>587</w:t>
      </w:r>
      <w:r>
        <w:rPr>
          <w:bCs/>
          <w:color w:val="17365D"/>
        </w:rPr>
        <w:t> </w:t>
      </w:r>
      <w:r w:rsidRPr="00951799">
        <w:rPr>
          <w:bCs/>
          <w:color w:val="17365D"/>
        </w:rPr>
        <w:t xml:space="preserve">284 </w:t>
      </w:r>
      <w:r w:rsidRPr="00F2603E">
        <w:rPr>
          <w:bCs/>
          <w:i/>
          <w:color w:val="17365D"/>
        </w:rPr>
        <w:t>euro</w:t>
      </w:r>
      <w:r w:rsidRPr="00951799">
        <w:rPr>
          <w:bCs/>
          <w:color w:val="17365D"/>
        </w:rPr>
        <w:t xml:space="preserve"> vērtībā</w:t>
      </w:r>
      <w:r>
        <w:rPr>
          <w:bCs/>
          <w:color w:val="17365D"/>
        </w:rPr>
        <w:t>;</w:t>
      </w:r>
    </w:p>
    <w:p w14:paraId="53042685" w14:textId="77777777" w:rsidR="00224ABF" w:rsidRDefault="00224ABF" w:rsidP="00454F1D">
      <w:pPr>
        <w:pStyle w:val="Pamatteksts1"/>
        <w:ind w:firstLine="284"/>
        <w:rPr>
          <w:bCs/>
          <w:color w:val="17365D"/>
        </w:rPr>
      </w:pPr>
      <w:r>
        <w:rPr>
          <w:bCs/>
          <w:color w:val="17365D"/>
        </w:rPr>
        <w:t>Lielāko samazinājumu šajā postenī veido:</w:t>
      </w:r>
    </w:p>
    <w:p w14:paraId="6146AD62" w14:textId="1246E518" w:rsidR="00224ABF" w:rsidRPr="00951799" w:rsidRDefault="00224ABF" w:rsidP="00224ABF">
      <w:pPr>
        <w:pStyle w:val="Pamatteksts1"/>
        <w:numPr>
          <w:ilvl w:val="0"/>
          <w:numId w:val="19"/>
        </w:numPr>
        <w:rPr>
          <w:bCs/>
          <w:color w:val="17365D"/>
        </w:rPr>
      </w:pPr>
      <w:r w:rsidRPr="00951799">
        <w:rPr>
          <w:bCs/>
          <w:color w:val="17365D"/>
        </w:rPr>
        <w:t>Tieslietu ministrijai izdevumi</w:t>
      </w:r>
      <w:r>
        <w:rPr>
          <w:bCs/>
          <w:color w:val="17365D"/>
        </w:rPr>
        <w:t xml:space="preserve"> </w:t>
      </w:r>
      <w:r w:rsidRPr="00951799">
        <w:rPr>
          <w:bCs/>
          <w:color w:val="17365D"/>
        </w:rPr>
        <w:t>(22</w:t>
      </w:r>
      <w:r>
        <w:rPr>
          <w:bCs/>
          <w:color w:val="17365D"/>
        </w:rPr>
        <w:t> </w:t>
      </w:r>
      <w:r w:rsidRPr="00951799">
        <w:rPr>
          <w:bCs/>
          <w:color w:val="17365D"/>
        </w:rPr>
        <w:t xml:space="preserve">732 757) </w:t>
      </w:r>
      <w:r w:rsidRPr="00F2603E">
        <w:rPr>
          <w:bCs/>
          <w:i/>
          <w:color w:val="17365D"/>
        </w:rPr>
        <w:t>euro</w:t>
      </w:r>
      <w:r w:rsidRPr="00951799">
        <w:rPr>
          <w:bCs/>
          <w:color w:val="17365D"/>
        </w:rPr>
        <w:t xml:space="preserve"> vērtībā </w:t>
      </w:r>
      <w:r>
        <w:rPr>
          <w:bCs/>
          <w:color w:val="17365D"/>
        </w:rPr>
        <w:t>par pakalpojumiem;</w:t>
      </w:r>
    </w:p>
    <w:p w14:paraId="6F76661C" w14:textId="77777777" w:rsidR="00224ABF" w:rsidRPr="00395A62" w:rsidRDefault="00224ABF" w:rsidP="00224ABF">
      <w:pPr>
        <w:pStyle w:val="Pamatteksts1"/>
        <w:numPr>
          <w:ilvl w:val="0"/>
          <w:numId w:val="19"/>
        </w:numPr>
      </w:pPr>
      <w:r w:rsidRPr="00951799">
        <w:rPr>
          <w:bCs/>
          <w:color w:val="17365D"/>
        </w:rPr>
        <w:t>Satiksmes ministrijai (21</w:t>
      </w:r>
      <w:r>
        <w:rPr>
          <w:bCs/>
          <w:color w:val="17365D"/>
        </w:rPr>
        <w:t> </w:t>
      </w:r>
      <w:r w:rsidRPr="00951799">
        <w:rPr>
          <w:bCs/>
          <w:color w:val="17365D"/>
        </w:rPr>
        <w:t xml:space="preserve">861 099) </w:t>
      </w:r>
      <w:r w:rsidRPr="00F2603E">
        <w:rPr>
          <w:bCs/>
          <w:i/>
          <w:color w:val="17365D"/>
        </w:rPr>
        <w:t>euro</w:t>
      </w:r>
      <w:r w:rsidRPr="00951799">
        <w:rPr>
          <w:bCs/>
          <w:color w:val="17365D"/>
        </w:rPr>
        <w:t xml:space="preserve"> vērtībā </w:t>
      </w:r>
      <w:r w:rsidRPr="00395A62">
        <w:rPr>
          <w:bCs/>
          <w:color w:val="17365D"/>
        </w:rPr>
        <w:t>pārskata gadā samazinājās izdevumi pakalpojumiem par kapitālsabiedrībām deleģēto funkciju nodrošināšanu;</w:t>
      </w:r>
    </w:p>
    <w:p w14:paraId="2C383463" w14:textId="77777777" w:rsidR="00224ABF" w:rsidRPr="00951799" w:rsidRDefault="00224ABF" w:rsidP="00224ABF">
      <w:pPr>
        <w:pStyle w:val="Heading4"/>
      </w:pPr>
      <w:r w:rsidRPr="00E72168">
        <w:t>Piezīme Nr</w:t>
      </w:r>
      <w:r>
        <w:t>.</w:t>
      </w:r>
      <w:r w:rsidRPr="00951799">
        <w:t xml:space="preserve"> NP.A25. Krājumi, materiāli, energoresursi, preces, biroja preces un inventārs, periodika</w:t>
      </w:r>
    </w:p>
    <w:p w14:paraId="033E8951" w14:textId="77777777" w:rsidR="00224ABF" w:rsidRPr="00951799" w:rsidRDefault="00224ABF" w:rsidP="00454F1D">
      <w:pPr>
        <w:pStyle w:val="Pamatteksts1"/>
        <w:ind w:firstLine="284"/>
        <w:rPr>
          <w:bCs/>
          <w:color w:val="17365D"/>
        </w:rPr>
      </w:pPr>
      <w:r>
        <w:rPr>
          <w:bCs/>
          <w:color w:val="17365D"/>
        </w:rPr>
        <w:t xml:space="preserve">Šī posteņa </w:t>
      </w:r>
      <w:r w:rsidRPr="00951799">
        <w:rPr>
          <w:bCs/>
          <w:color w:val="17365D"/>
        </w:rPr>
        <w:t>lielāk</w:t>
      </w:r>
      <w:r>
        <w:rPr>
          <w:bCs/>
          <w:color w:val="17365D"/>
        </w:rPr>
        <w:t>ais izdevumu</w:t>
      </w:r>
      <w:r w:rsidRPr="00951799">
        <w:rPr>
          <w:bCs/>
          <w:color w:val="17365D"/>
        </w:rPr>
        <w:t xml:space="preserve"> samazinājums </w:t>
      </w:r>
      <w:r>
        <w:rPr>
          <w:bCs/>
          <w:color w:val="17365D"/>
        </w:rPr>
        <w:t xml:space="preserve">bija </w:t>
      </w:r>
      <w:r w:rsidRPr="00951799">
        <w:rPr>
          <w:bCs/>
          <w:color w:val="17365D"/>
        </w:rPr>
        <w:t xml:space="preserve">Ekonomikas ministrijai par iepriekšējā perioda avansa maksājumu AS </w:t>
      </w:r>
      <w:r>
        <w:rPr>
          <w:bCs/>
          <w:color w:val="17365D"/>
        </w:rPr>
        <w:t>“</w:t>
      </w:r>
      <w:r w:rsidRPr="00951799">
        <w:rPr>
          <w:bCs/>
          <w:color w:val="17365D"/>
        </w:rPr>
        <w:t>Latvenergo</w:t>
      </w:r>
      <w:r>
        <w:rPr>
          <w:bCs/>
          <w:color w:val="17365D"/>
        </w:rPr>
        <w:t>”</w:t>
      </w:r>
      <w:r w:rsidRPr="00951799">
        <w:rPr>
          <w:bCs/>
          <w:color w:val="17365D"/>
        </w:rPr>
        <w:t xml:space="preserve"> par dabasgāzes energoapgādes drošuma rezervi (428</w:t>
      </w:r>
      <w:r>
        <w:rPr>
          <w:bCs/>
          <w:color w:val="17365D"/>
        </w:rPr>
        <w:t> </w:t>
      </w:r>
      <w:r w:rsidRPr="00951799">
        <w:rPr>
          <w:bCs/>
          <w:color w:val="17365D"/>
        </w:rPr>
        <w:t xml:space="preserve">721 048) </w:t>
      </w:r>
      <w:r w:rsidRPr="00951799">
        <w:rPr>
          <w:bCs/>
          <w:i/>
          <w:color w:val="17365D"/>
        </w:rPr>
        <w:t>euro</w:t>
      </w:r>
      <w:r w:rsidRPr="00951799">
        <w:rPr>
          <w:bCs/>
          <w:color w:val="17365D"/>
        </w:rPr>
        <w:t xml:space="preserve"> vērtībā</w:t>
      </w:r>
      <w:r>
        <w:rPr>
          <w:bCs/>
          <w:color w:val="17365D"/>
        </w:rPr>
        <w:t>,</w:t>
      </w:r>
      <w:r w:rsidRPr="00951799">
        <w:rPr>
          <w:bCs/>
          <w:color w:val="17365D"/>
        </w:rPr>
        <w:t xml:space="preserve"> kurš bez atlīdzības nodots Klimata un enerģētikas ministrijai</w:t>
      </w:r>
      <w:r>
        <w:rPr>
          <w:bCs/>
          <w:color w:val="17365D"/>
        </w:rPr>
        <w:t>.</w:t>
      </w:r>
    </w:p>
    <w:p w14:paraId="1126A99E" w14:textId="77777777" w:rsidR="00224ABF" w:rsidRDefault="00224ABF" w:rsidP="00224ABF">
      <w:pPr>
        <w:pStyle w:val="Pamatteksts1"/>
        <w:ind w:left="720" w:firstLine="0"/>
        <w:rPr>
          <w:bCs/>
          <w:color w:val="17365D"/>
        </w:rPr>
      </w:pPr>
      <w:r>
        <w:rPr>
          <w:bCs/>
          <w:color w:val="17365D"/>
        </w:rPr>
        <w:t>Šī posteņa izdevumu palielinājumu veido:</w:t>
      </w:r>
    </w:p>
    <w:p w14:paraId="1345C6EE" w14:textId="77777777" w:rsidR="00224ABF" w:rsidRPr="00951799" w:rsidRDefault="00224ABF" w:rsidP="00224ABF">
      <w:pPr>
        <w:pStyle w:val="Pamatteksts1"/>
        <w:numPr>
          <w:ilvl w:val="0"/>
          <w:numId w:val="19"/>
        </w:numPr>
        <w:rPr>
          <w:bCs/>
          <w:color w:val="17365D"/>
        </w:rPr>
      </w:pPr>
      <w:r w:rsidRPr="00951799">
        <w:rPr>
          <w:bCs/>
          <w:color w:val="17365D"/>
        </w:rPr>
        <w:t>Aizsardzības ministrija</w:t>
      </w:r>
      <w:r>
        <w:rPr>
          <w:bCs/>
          <w:color w:val="17365D"/>
        </w:rPr>
        <w:t xml:space="preserve">s </w:t>
      </w:r>
      <w:r w:rsidRPr="00951799">
        <w:rPr>
          <w:bCs/>
          <w:color w:val="17365D"/>
        </w:rPr>
        <w:t>izdevumi</w:t>
      </w:r>
      <w:r>
        <w:rPr>
          <w:bCs/>
          <w:color w:val="17365D"/>
        </w:rPr>
        <w:t xml:space="preserve"> ar</w:t>
      </w:r>
      <w:r w:rsidRPr="00951799">
        <w:rPr>
          <w:bCs/>
          <w:color w:val="17365D"/>
        </w:rPr>
        <w:t xml:space="preserve"> specifiskiem materiāliem un inventāru, biroja mēbelēm un precēm, kā arī saimnieciskā inventāra iegādēm, par ēdināšanas izdevumiem un uzturdevas kompensācijām 210</w:t>
      </w:r>
      <w:r>
        <w:rPr>
          <w:bCs/>
          <w:color w:val="17365D"/>
        </w:rPr>
        <w:t> </w:t>
      </w:r>
      <w:r w:rsidRPr="00951799">
        <w:rPr>
          <w:bCs/>
          <w:color w:val="17365D"/>
        </w:rPr>
        <w:t>790</w:t>
      </w:r>
      <w:r>
        <w:rPr>
          <w:bCs/>
          <w:color w:val="17365D"/>
        </w:rPr>
        <w:t> </w:t>
      </w:r>
      <w:r w:rsidRPr="00951799">
        <w:rPr>
          <w:bCs/>
          <w:color w:val="17365D"/>
        </w:rPr>
        <w:t xml:space="preserve">839 </w:t>
      </w:r>
      <w:r w:rsidRPr="00951799">
        <w:rPr>
          <w:bCs/>
          <w:i/>
          <w:color w:val="17365D"/>
        </w:rPr>
        <w:t>euro</w:t>
      </w:r>
      <w:r w:rsidRPr="00951799">
        <w:rPr>
          <w:bCs/>
          <w:color w:val="17365D"/>
        </w:rPr>
        <w:t xml:space="preserve"> vērtībā;</w:t>
      </w:r>
      <w:r w:rsidRPr="00951799" w:rsidDel="00B56EE8">
        <w:rPr>
          <w:color w:val="17365D"/>
        </w:rPr>
        <w:t xml:space="preserve"> </w:t>
      </w:r>
    </w:p>
    <w:p w14:paraId="76ED493C" w14:textId="77777777" w:rsidR="00224ABF" w:rsidRPr="00951799" w:rsidRDefault="00224ABF" w:rsidP="00224ABF">
      <w:pPr>
        <w:pStyle w:val="Pamatteksts1"/>
        <w:numPr>
          <w:ilvl w:val="0"/>
          <w:numId w:val="19"/>
        </w:numPr>
        <w:rPr>
          <w:bCs/>
          <w:color w:val="17365D"/>
        </w:rPr>
      </w:pPr>
      <w:r w:rsidRPr="00951799">
        <w:rPr>
          <w:bCs/>
          <w:color w:val="17365D"/>
        </w:rPr>
        <w:t>Rīgas valstspilsēta</w:t>
      </w:r>
      <w:r>
        <w:rPr>
          <w:bCs/>
          <w:color w:val="17365D"/>
        </w:rPr>
        <w:t>s</w:t>
      </w:r>
      <w:r w:rsidRPr="00951799">
        <w:rPr>
          <w:bCs/>
          <w:color w:val="17365D"/>
        </w:rPr>
        <w:t xml:space="preserve"> izdevumi 7</w:t>
      </w:r>
      <w:r>
        <w:rPr>
          <w:bCs/>
          <w:color w:val="17365D"/>
        </w:rPr>
        <w:t> </w:t>
      </w:r>
      <w:r w:rsidRPr="00951799">
        <w:rPr>
          <w:bCs/>
          <w:color w:val="17365D"/>
        </w:rPr>
        <w:t>999</w:t>
      </w:r>
      <w:r>
        <w:rPr>
          <w:bCs/>
          <w:color w:val="17365D"/>
        </w:rPr>
        <w:t> </w:t>
      </w:r>
      <w:r w:rsidRPr="00951799">
        <w:rPr>
          <w:bCs/>
          <w:color w:val="17365D"/>
        </w:rPr>
        <w:t xml:space="preserve">219 </w:t>
      </w:r>
      <w:r w:rsidRPr="0019126D">
        <w:rPr>
          <w:bCs/>
          <w:i/>
          <w:color w:val="17365D"/>
        </w:rPr>
        <w:t>euro</w:t>
      </w:r>
      <w:r w:rsidRPr="00951799">
        <w:rPr>
          <w:bCs/>
          <w:color w:val="17365D"/>
        </w:rPr>
        <w:t xml:space="preserve"> vērtībā par:</w:t>
      </w:r>
    </w:p>
    <w:p w14:paraId="081F8C85" w14:textId="2356C646" w:rsidR="00224ABF" w:rsidRPr="00951799" w:rsidRDefault="00224ABF" w:rsidP="00224ABF">
      <w:pPr>
        <w:pStyle w:val="Pamatteksts1"/>
        <w:numPr>
          <w:ilvl w:val="1"/>
          <w:numId w:val="19"/>
        </w:numPr>
        <w:ind w:left="1134"/>
        <w:rPr>
          <w:bCs/>
          <w:color w:val="17365D"/>
        </w:rPr>
      </w:pPr>
      <w:r w:rsidRPr="00951799">
        <w:rPr>
          <w:bCs/>
          <w:color w:val="17365D"/>
        </w:rPr>
        <w:t>ēdināšanas izdevumiem izglītības iestādēs 5</w:t>
      </w:r>
      <w:r>
        <w:rPr>
          <w:bCs/>
          <w:color w:val="17365D"/>
        </w:rPr>
        <w:t> </w:t>
      </w:r>
      <w:r w:rsidRPr="00951799">
        <w:rPr>
          <w:bCs/>
          <w:color w:val="17365D"/>
        </w:rPr>
        <w:t>858</w:t>
      </w:r>
      <w:r>
        <w:rPr>
          <w:bCs/>
          <w:color w:val="17365D"/>
        </w:rPr>
        <w:t> </w:t>
      </w:r>
      <w:r w:rsidRPr="00951799">
        <w:rPr>
          <w:bCs/>
          <w:color w:val="17365D"/>
        </w:rPr>
        <w:t xml:space="preserve">441 </w:t>
      </w:r>
      <w:r w:rsidRPr="0019126D">
        <w:rPr>
          <w:bCs/>
          <w:i/>
          <w:color w:val="17365D"/>
        </w:rPr>
        <w:t>euro</w:t>
      </w:r>
      <w:r w:rsidRPr="00951799">
        <w:rPr>
          <w:bCs/>
          <w:color w:val="17365D"/>
        </w:rPr>
        <w:t xml:space="preserve"> vērtībā, pieaugot ēdināšanas pakalpojumu un pārtikas produktu cenām</w:t>
      </w:r>
      <w:r w:rsidR="000C6E5B">
        <w:rPr>
          <w:bCs/>
          <w:color w:val="17365D"/>
        </w:rPr>
        <w:t>;</w:t>
      </w:r>
    </w:p>
    <w:p w14:paraId="3D5E7866" w14:textId="351BA091" w:rsidR="00224ABF" w:rsidRPr="00951799" w:rsidRDefault="00224ABF" w:rsidP="00224ABF">
      <w:pPr>
        <w:pStyle w:val="Pamatteksts1"/>
        <w:numPr>
          <w:ilvl w:val="1"/>
          <w:numId w:val="19"/>
        </w:numPr>
        <w:ind w:left="1134"/>
        <w:rPr>
          <w:bCs/>
          <w:color w:val="17365D"/>
        </w:rPr>
      </w:pPr>
      <w:r w:rsidRPr="00951799">
        <w:rPr>
          <w:bCs/>
          <w:color w:val="17365D"/>
        </w:rPr>
        <w:t>izglītības iestāžu uzturēšanas materiāliem u</w:t>
      </w:r>
      <w:r>
        <w:rPr>
          <w:bCs/>
          <w:color w:val="17365D"/>
        </w:rPr>
        <w:t xml:space="preserve">n precēm 1 026 080 </w:t>
      </w:r>
      <w:r w:rsidRPr="0019126D">
        <w:rPr>
          <w:bCs/>
          <w:i/>
          <w:color w:val="17365D"/>
        </w:rPr>
        <w:t>euro</w:t>
      </w:r>
      <w:r w:rsidR="000C6E5B">
        <w:rPr>
          <w:bCs/>
          <w:color w:val="17365D"/>
        </w:rPr>
        <w:t xml:space="preserve"> vērtībā;</w:t>
      </w:r>
    </w:p>
    <w:p w14:paraId="6C3DAFBA" w14:textId="77777777" w:rsidR="00224ABF" w:rsidRPr="00951799" w:rsidRDefault="00224ABF" w:rsidP="00224ABF">
      <w:pPr>
        <w:pStyle w:val="Pamatteksts1"/>
        <w:numPr>
          <w:ilvl w:val="1"/>
          <w:numId w:val="19"/>
        </w:numPr>
        <w:ind w:left="1134"/>
        <w:rPr>
          <w:bCs/>
          <w:color w:val="17365D"/>
        </w:rPr>
      </w:pPr>
      <w:r w:rsidRPr="00951799">
        <w:rPr>
          <w:bCs/>
          <w:color w:val="17365D"/>
        </w:rPr>
        <w:t>mācību līdzekļiem un materiāliem 1</w:t>
      </w:r>
      <w:r>
        <w:rPr>
          <w:bCs/>
          <w:color w:val="17365D"/>
        </w:rPr>
        <w:t> </w:t>
      </w:r>
      <w:r w:rsidRPr="00951799">
        <w:rPr>
          <w:bCs/>
          <w:color w:val="17365D"/>
        </w:rPr>
        <w:t>114</w:t>
      </w:r>
      <w:r>
        <w:rPr>
          <w:bCs/>
          <w:color w:val="17365D"/>
        </w:rPr>
        <w:t> </w:t>
      </w:r>
      <w:r w:rsidRPr="00951799">
        <w:rPr>
          <w:bCs/>
          <w:color w:val="17365D"/>
        </w:rPr>
        <w:t xml:space="preserve">698 </w:t>
      </w:r>
      <w:r w:rsidRPr="00330698">
        <w:rPr>
          <w:bCs/>
          <w:i/>
          <w:color w:val="17365D"/>
        </w:rPr>
        <w:t>euro</w:t>
      </w:r>
      <w:r>
        <w:rPr>
          <w:bCs/>
          <w:color w:val="17365D"/>
        </w:rPr>
        <w:t xml:space="preserve"> </w:t>
      </w:r>
      <w:r w:rsidRPr="00951799">
        <w:rPr>
          <w:bCs/>
          <w:color w:val="17365D"/>
        </w:rPr>
        <w:t>vērtībā</w:t>
      </w:r>
      <w:r>
        <w:rPr>
          <w:bCs/>
          <w:color w:val="17365D"/>
        </w:rPr>
        <w:t>;</w:t>
      </w:r>
    </w:p>
    <w:p w14:paraId="158B6823" w14:textId="77777777" w:rsidR="00224ABF" w:rsidRPr="00951799" w:rsidRDefault="00224ABF" w:rsidP="00224ABF">
      <w:pPr>
        <w:pStyle w:val="Pamatteksts1"/>
        <w:numPr>
          <w:ilvl w:val="0"/>
          <w:numId w:val="19"/>
        </w:numPr>
        <w:rPr>
          <w:bCs/>
          <w:color w:val="17365D"/>
        </w:rPr>
      </w:pPr>
      <w:r w:rsidRPr="00951799">
        <w:rPr>
          <w:bCs/>
          <w:color w:val="17365D"/>
        </w:rPr>
        <w:t>Izglītības un zinātnes ministrija</w:t>
      </w:r>
      <w:r>
        <w:rPr>
          <w:bCs/>
          <w:color w:val="17365D"/>
        </w:rPr>
        <w:t>s</w:t>
      </w:r>
      <w:r w:rsidRPr="00951799">
        <w:rPr>
          <w:bCs/>
          <w:color w:val="17365D"/>
        </w:rPr>
        <w:t xml:space="preserve"> izdevum</w:t>
      </w:r>
      <w:r>
        <w:rPr>
          <w:bCs/>
          <w:color w:val="17365D"/>
        </w:rPr>
        <w:t>i</w:t>
      </w:r>
      <w:r w:rsidRPr="00951799">
        <w:rPr>
          <w:bCs/>
          <w:color w:val="17365D"/>
        </w:rPr>
        <w:t xml:space="preserve"> 10</w:t>
      </w:r>
      <w:r>
        <w:rPr>
          <w:bCs/>
          <w:color w:val="17365D"/>
        </w:rPr>
        <w:t> </w:t>
      </w:r>
      <w:r w:rsidRPr="00951799">
        <w:rPr>
          <w:bCs/>
          <w:color w:val="17365D"/>
        </w:rPr>
        <w:t>099</w:t>
      </w:r>
      <w:r>
        <w:rPr>
          <w:bCs/>
          <w:color w:val="17365D"/>
        </w:rPr>
        <w:t> </w:t>
      </w:r>
      <w:r w:rsidRPr="00951799">
        <w:rPr>
          <w:bCs/>
          <w:color w:val="17365D"/>
        </w:rPr>
        <w:t xml:space="preserve">528 </w:t>
      </w:r>
      <w:r w:rsidRPr="00951799">
        <w:rPr>
          <w:bCs/>
          <w:i/>
          <w:color w:val="17365D"/>
        </w:rPr>
        <w:t>euro</w:t>
      </w:r>
      <w:r w:rsidRPr="00951799">
        <w:rPr>
          <w:bCs/>
          <w:color w:val="17365D"/>
        </w:rPr>
        <w:t xml:space="preserve"> vērtībā </w:t>
      </w:r>
      <w:r>
        <w:rPr>
          <w:bCs/>
          <w:color w:val="17365D"/>
        </w:rPr>
        <w:t>pa</w:t>
      </w:r>
      <w:r w:rsidRPr="00951799">
        <w:rPr>
          <w:bCs/>
          <w:color w:val="17365D"/>
        </w:rPr>
        <w:t xml:space="preserve">r biroja tehnikas iegādi Latvijas Atveseļošanas un noturības mehānisma projektā </w:t>
      </w:r>
      <w:r>
        <w:rPr>
          <w:bCs/>
          <w:color w:val="17365D"/>
        </w:rPr>
        <w:t>“</w:t>
      </w:r>
      <w:r w:rsidRPr="00951799">
        <w:rPr>
          <w:bCs/>
          <w:color w:val="17365D"/>
        </w:rPr>
        <w:t>Digitālās plaisas mazināšana sociāli neaizsargātajām grupām un izglītības iestādēs</w:t>
      </w:r>
      <w:r>
        <w:rPr>
          <w:bCs/>
          <w:color w:val="17365D"/>
        </w:rPr>
        <w:t>”;</w:t>
      </w:r>
    </w:p>
    <w:p w14:paraId="2026BA0B" w14:textId="77777777" w:rsidR="00224ABF" w:rsidRPr="00951799" w:rsidRDefault="00224ABF" w:rsidP="00224ABF">
      <w:pPr>
        <w:pStyle w:val="Pamatteksts1"/>
        <w:numPr>
          <w:ilvl w:val="0"/>
          <w:numId w:val="19"/>
        </w:numPr>
        <w:rPr>
          <w:bCs/>
          <w:color w:val="17365D"/>
        </w:rPr>
      </w:pPr>
      <w:r w:rsidRPr="00951799">
        <w:rPr>
          <w:bCs/>
          <w:color w:val="17365D"/>
        </w:rPr>
        <w:t>Iekšlietu ministrija</w:t>
      </w:r>
      <w:r>
        <w:rPr>
          <w:bCs/>
          <w:color w:val="17365D"/>
        </w:rPr>
        <w:t>s</w:t>
      </w:r>
      <w:r w:rsidRPr="00951799">
        <w:rPr>
          <w:bCs/>
          <w:color w:val="17365D"/>
        </w:rPr>
        <w:t xml:space="preserve"> izdevum</w:t>
      </w:r>
      <w:r>
        <w:rPr>
          <w:bCs/>
          <w:color w:val="17365D"/>
        </w:rPr>
        <w:t>i</w:t>
      </w:r>
      <w:r w:rsidRPr="00951799">
        <w:rPr>
          <w:bCs/>
          <w:color w:val="17365D"/>
        </w:rPr>
        <w:t xml:space="preserve"> 5</w:t>
      </w:r>
      <w:r>
        <w:rPr>
          <w:bCs/>
          <w:color w:val="17365D"/>
        </w:rPr>
        <w:t> </w:t>
      </w:r>
      <w:r w:rsidRPr="00951799">
        <w:rPr>
          <w:bCs/>
          <w:color w:val="17365D"/>
        </w:rPr>
        <w:t>341</w:t>
      </w:r>
      <w:r>
        <w:rPr>
          <w:bCs/>
          <w:color w:val="17365D"/>
        </w:rPr>
        <w:t> </w:t>
      </w:r>
      <w:r w:rsidRPr="00951799">
        <w:rPr>
          <w:bCs/>
          <w:color w:val="17365D"/>
        </w:rPr>
        <w:t xml:space="preserve">135 </w:t>
      </w:r>
      <w:r w:rsidRPr="00951799">
        <w:rPr>
          <w:bCs/>
          <w:i/>
          <w:color w:val="17365D"/>
        </w:rPr>
        <w:t>euro</w:t>
      </w:r>
      <w:r w:rsidRPr="00951799">
        <w:rPr>
          <w:bCs/>
          <w:color w:val="17365D"/>
        </w:rPr>
        <w:t xml:space="preserve"> vērtībā par personu apliecinošo dokumentu sagatavju iegādi pasākuma </w:t>
      </w:r>
      <w:r>
        <w:rPr>
          <w:bCs/>
          <w:color w:val="17365D"/>
        </w:rPr>
        <w:t>“</w:t>
      </w:r>
      <w:r w:rsidRPr="00951799">
        <w:rPr>
          <w:bCs/>
          <w:color w:val="17365D"/>
        </w:rPr>
        <w:t>Eiropas Savienības prasībām atbilstošu pasu, elektronisko identifikācijas karšu un uzturēšanās atļauju izsniegšana</w:t>
      </w:r>
      <w:r>
        <w:rPr>
          <w:bCs/>
          <w:color w:val="17365D"/>
        </w:rPr>
        <w:t>” ietvaros.</w:t>
      </w:r>
    </w:p>
    <w:p w14:paraId="08BBFBBC" w14:textId="77777777" w:rsidR="00224ABF" w:rsidRPr="00951799" w:rsidRDefault="00224ABF" w:rsidP="00224ABF">
      <w:pPr>
        <w:pStyle w:val="Heading4"/>
      </w:pPr>
      <w:r w:rsidRPr="00E72168">
        <w:t>Piezīme Nr</w:t>
      </w:r>
      <w:r>
        <w:t>.</w:t>
      </w:r>
      <w:r w:rsidRPr="00951799">
        <w:t xml:space="preserve"> NP.A33. Citi izdevumi no pamatdarbības</w:t>
      </w:r>
    </w:p>
    <w:p w14:paraId="2EB51691" w14:textId="77777777" w:rsidR="00224ABF" w:rsidRDefault="00224ABF" w:rsidP="00224ABF">
      <w:pPr>
        <w:pStyle w:val="Pamatteksts1"/>
        <w:rPr>
          <w:bCs/>
          <w:color w:val="17365D"/>
        </w:rPr>
      </w:pPr>
      <w:r>
        <w:rPr>
          <w:bCs/>
          <w:color w:val="17365D"/>
        </w:rPr>
        <w:t>B</w:t>
      </w:r>
      <w:r w:rsidRPr="003E3C94">
        <w:rPr>
          <w:bCs/>
          <w:color w:val="17365D"/>
        </w:rPr>
        <w:t xml:space="preserve">ūtiskāko citu </w:t>
      </w:r>
      <w:r>
        <w:rPr>
          <w:bCs/>
          <w:color w:val="17365D"/>
        </w:rPr>
        <w:t>izdevumu</w:t>
      </w:r>
      <w:r w:rsidRPr="003E3C94">
        <w:rPr>
          <w:bCs/>
          <w:color w:val="17365D"/>
        </w:rPr>
        <w:t xml:space="preserve"> no pamatdarbības summu </w:t>
      </w:r>
      <w:r>
        <w:rPr>
          <w:bCs/>
          <w:color w:val="17365D"/>
        </w:rPr>
        <w:t>3</w:t>
      </w:r>
      <w:r w:rsidRPr="003E3C94">
        <w:rPr>
          <w:bCs/>
          <w:color w:val="17365D"/>
        </w:rPr>
        <w:t> </w:t>
      </w:r>
      <w:r>
        <w:rPr>
          <w:bCs/>
          <w:color w:val="17365D"/>
        </w:rPr>
        <w:t>340</w:t>
      </w:r>
      <w:r w:rsidRPr="003E3C94">
        <w:rPr>
          <w:bCs/>
          <w:color w:val="17365D"/>
        </w:rPr>
        <w:t> </w:t>
      </w:r>
      <w:r>
        <w:rPr>
          <w:bCs/>
          <w:color w:val="17365D"/>
        </w:rPr>
        <w:t>690</w:t>
      </w:r>
      <w:r w:rsidRPr="003E3C94">
        <w:rPr>
          <w:bCs/>
          <w:color w:val="17365D"/>
        </w:rPr>
        <w:t xml:space="preserve"> </w:t>
      </w:r>
      <w:r w:rsidRPr="003E3C94">
        <w:rPr>
          <w:bCs/>
          <w:i/>
          <w:color w:val="17365D"/>
        </w:rPr>
        <w:t>euro</w:t>
      </w:r>
      <w:r w:rsidRPr="003E3C94">
        <w:rPr>
          <w:bCs/>
          <w:color w:val="17365D"/>
        </w:rPr>
        <w:t xml:space="preserve"> </w:t>
      </w:r>
      <w:r>
        <w:rPr>
          <w:bCs/>
          <w:color w:val="17365D"/>
        </w:rPr>
        <w:t xml:space="preserve">vērtībā </w:t>
      </w:r>
      <w:r w:rsidRPr="003E3C94">
        <w:rPr>
          <w:bCs/>
          <w:color w:val="17365D"/>
        </w:rPr>
        <w:t xml:space="preserve">veido </w:t>
      </w:r>
      <w:r>
        <w:rPr>
          <w:bCs/>
          <w:color w:val="17365D"/>
        </w:rPr>
        <w:t>izdevumi i</w:t>
      </w:r>
      <w:r w:rsidRPr="008026A1">
        <w:rPr>
          <w:bCs/>
          <w:color w:val="17365D"/>
        </w:rPr>
        <w:t>eguldījuma īpašumu izveidošana</w:t>
      </w:r>
      <w:r>
        <w:rPr>
          <w:bCs/>
          <w:color w:val="17365D"/>
        </w:rPr>
        <w:t xml:space="preserve">i un nepabeigtajai </w:t>
      </w:r>
      <w:r w:rsidRPr="008026A1">
        <w:rPr>
          <w:bCs/>
          <w:color w:val="17365D"/>
        </w:rPr>
        <w:t>būvniecība</w:t>
      </w:r>
      <w:r>
        <w:rPr>
          <w:bCs/>
          <w:color w:val="17365D"/>
        </w:rPr>
        <w:t>i (3.3</w:t>
      </w:r>
      <w:r w:rsidRPr="003E3C94">
        <w:rPr>
          <w:bCs/>
          <w:color w:val="17365D"/>
        </w:rPr>
        <w:t>.tabul</w:t>
      </w:r>
      <w:r>
        <w:rPr>
          <w:bCs/>
          <w:color w:val="17365D"/>
        </w:rPr>
        <w:t>a</w:t>
      </w:r>
      <w:r w:rsidRPr="003E3C94">
        <w:rPr>
          <w:bCs/>
          <w:color w:val="17365D"/>
        </w:rPr>
        <w:t>)</w:t>
      </w:r>
      <w:r>
        <w:rPr>
          <w:bCs/>
          <w:color w:val="17365D"/>
        </w:rPr>
        <w:t>.</w:t>
      </w:r>
    </w:p>
    <w:p w14:paraId="742F8626" w14:textId="77777777" w:rsidR="00224ABF" w:rsidRPr="00905AEC" w:rsidRDefault="00224ABF" w:rsidP="00224ABF">
      <w:pPr>
        <w:pStyle w:val="Tabulasnosaukums"/>
        <w:spacing w:before="0"/>
        <w:rPr>
          <w:rFonts w:eastAsia="Arial Unicode MS"/>
          <w:color w:val="17365D"/>
          <w:szCs w:val="20"/>
        </w:rPr>
      </w:pPr>
      <w:r>
        <w:rPr>
          <w:rFonts w:eastAsia="Arial Unicode MS"/>
          <w:color w:val="17365D"/>
          <w:szCs w:val="20"/>
        </w:rPr>
        <w:t>3.3</w:t>
      </w:r>
      <w:r w:rsidRPr="00905AEC">
        <w:rPr>
          <w:rFonts w:eastAsia="Arial Unicode MS"/>
          <w:color w:val="17365D"/>
          <w:szCs w:val="20"/>
        </w:rPr>
        <w:t>. tabula. NP.A</w:t>
      </w:r>
      <w:r>
        <w:rPr>
          <w:rFonts w:eastAsia="Arial Unicode MS"/>
          <w:color w:val="17365D"/>
          <w:szCs w:val="20"/>
        </w:rPr>
        <w:t>33</w:t>
      </w:r>
      <w:r w:rsidRPr="00905AEC">
        <w:rPr>
          <w:rFonts w:eastAsia="Arial Unicode MS"/>
          <w:color w:val="17365D"/>
          <w:szCs w:val="20"/>
        </w:rPr>
        <w:t xml:space="preserve">. Citi </w:t>
      </w:r>
      <w:r>
        <w:rPr>
          <w:rFonts w:eastAsia="Arial Unicode MS"/>
          <w:color w:val="17365D"/>
          <w:szCs w:val="20"/>
        </w:rPr>
        <w:t>izdevumi</w:t>
      </w:r>
      <w:r w:rsidRPr="00905AEC">
        <w:rPr>
          <w:rFonts w:eastAsia="Arial Unicode MS"/>
          <w:color w:val="17365D"/>
          <w:szCs w:val="20"/>
        </w:rPr>
        <w:t xml:space="preserve"> no pamatdarbības (euro)</w:t>
      </w:r>
    </w:p>
    <w:tbl>
      <w:tblPr>
        <w:tblW w:w="5000" w:type="pct"/>
        <w:tblInd w:w="5" w:type="dxa"/>
        <w:tblBorders>
          <w:top w:val="single" w:sz="4" w:space="0" w:color="auto"/>
          <w:bottom w:val="single" w:sz="4" w:space="0" w:color="auto"/>
          <w:insideH w:val="single" w:sz="4" w:space="0" w:color="000000"/>
        </w:tblBorders>
        <w:tblLook w:val="04A0" w:firstRow="1" w:lastRow="0" w:firstColumn="1" w:lastColumn="0" w:noHBand="0" w:noVBand="1"/>
      </w:tblPr>
      <w:tblGrid>
        <w:gridCol w:w="6189"/>
        <w:gridCol w:w="1604"/>
        <w:gridCol w:w="1561"/>
      </w:tblGrid>
      <w:tr w:rsidR="00224ABF" w:rsidRPr="00905AEC" w14:paraId="3A39A278" w14:textId="77777777" w:rsidTr="00224ABF">
        <w:trPr>
          <w:trHeight w:val="515"/>
        </w:trPr>
        <w:tc>
          <w:tcPr>
            <w:tcW w:w="6031" w:type="dxa"/>
            <w:tcBorders>
              <w:top w:val="nil"/>
              <w:bottom w:val="single" w:sz="4" w:space="0" w:color="17365D"/>
            </w:tcBorders>
            <w:shd w:val="clear" w:color="auto" w:fill="B8CCE4" w:themeFill="accent1" w:themeFillTint="66"/>
            <w:vAlign w:val="center"/>
            <w:hideMark/>
          </w:tcPr>
          <w:p w14:paraId="5E3A58F6" w14:textId="77777777" w:rsidR="00224ABF" w:rsidRPr="00905AEC" w:rsidRDefault="00224ABF" w:rsidP="00224ABF">
            <w:pPr>
              <w:spacing w:after="0" w:line="240" w:lineRule="auto"/>
              <w:jc w:val="center"/>
              <w:rPr>
                <w:b/>
                <w:bCs/>
                <w:noProof/>
                <w:color w:val="17365D"/>
                <w:sz w:val="18"/>
                <w:szCs w:val="18"/>
                <w:lang w:eastAsia="lv-LV"/>
              </w:rPr>
            </w:pPr>
            <w:r w:rsidRPr="00905AEC">
              <w:rPr>
                <w:b/>
                <w:bCs/>
                <w:noProof/>
                <w:color w:val="17365D"/>
                <w:sz w:val="18"/>
                <w:szCs w:val="18"/>
                <w:lang w:eastAsia="lv-LV"/>
              </w:rPr>
              <w:t>Darījuma apraksts</w:t>
            </w:r>
          </w:p>
        </w:tc>
        <w:tc>
          <w:tcPr>
            <w:tcW w:w="1563" w:type="dxa"/>
            <w:tcBorders>
              <w:top w:val="nil"/>
              <w:bottom w:val="single" w:sz="4" w:space="0" w:color="17365D"/>
            </w:tcBorders>
            <w:shd w:val="clear" w:color="auto" w:fill="B8CCE4" w:themeFill="accent1" w:themeFillTint="66"/>
            <w:vAlign w:val="center"/>
            <w:hideMark/>
          </w:tcPr>
          <w:p w14:paraId="7F73CAA0" w14:textId="77777777" w:rsidR="00224ABF" w:rsidRPr="00905AEC" w:rsidRDefault="00224ABF" w:rsidP="00224ABF">
            <w:pPr>
              <w:spacing w:after="0" w:line="240" w:lineRule="auto"/>
              <w:jc w:val="center"/>
              <w:rPr>
                <w:b/>
                <w:bCs/>
                <w:noProof/>
                <w:color w:val="17365D"/>
                <w:sz w:val="18"/>
                <w:szCs w:val="18"/>
                <w:lang w:eastAsia="lv-LV"/>
              </w:rPr>
            </w:pPr>
            <w:r w:rsidRPr="00905AEC">
              <w:rPr>
                <w:b/>
                <w:bCs/>
                <w:noProof/>
                <w:color w:val="17365D"/>
                <w:sz w:val="18"/>
                <w:szCs w:val="18"/>
                <w:lang w:eastAsia="lv-LV"/>
              </w:rPr>
              <w:t>Pārskata periodā</w:t>
            </w:r>
          </w:p>
        </w:tc>
        <w:tc>
          <w:tcPr>
            <w:tcW w:w="1521" w:type="dxa"/>
            <w:tcBorders>
              <w:top w:val="nil"/>
              <w:bottom w:val="single" w:sz="4" w:space="0" w:color="17365D"/>
            </w:tcBorders>
            <w:shd w:val="clear" w:color="auto" w:fill="B8CCE4" w:themeFill="accent1" w:themeFillTint="66"/>
          </w:tcPr>
          <w:p w14:paraId="18316698" w14:textId="77777777" w:rsidR="00224ABF" w:rsidRPr="00905AEC" w:rsidRDefault="00224ABF" w:rsidP="00224ABF">
            <w:pPr>
              <w:spacing w:after="0" w:line="240" w:lineRule="auto"/>
              <w:jc w:val="center"/>
              <w:rPr>
                <w:b/>
                <w:bCs/>
                <w:noProof/>
                <w:color w:val="17365D"/>
                <w:sz w:val="18"/>
                <w:szCs w:val="18"/>
                <w:lang w:eastAsia="lv-LV"/>
              </w:rPr>
            </w:pPr>
            <w:r w:rsidRPr="00905AEC">
              <w:rPr>
                <w:b/>
                <w:bCs/>
                <w:noProof/>
                <w:color w:val="17365D"/>
                <w:sz w:val="18"/>
                <w:szCs w:val="18"/>
                <w:lang w:eastAsia="lv-LV"/>
              </w:rPr>
              <w:t>Iepriekšējā pārskata periodā</w:t>
            </w:r>
          </w:p>
        </w:tc>
      </w:tr>
      <w:tr w:rsidR="00224ABF" w:rsidRPr="00905AEC" w14:paraId="56ADECF4" w14:textId="77777777" w:rsidTr="000B176B">
        <w:trPr>
          <w:trHeight w:val="255"/>
        </w:trPr>
        <w:tc>
          <w:tcPr>
            <w:tcW w:w="6031" w:type="dxa"/>
            <w:tcBorders>
              <w:top w:val="single" w:sz="4" w:space="0" w:color="17365D"/>
              <w:bottom w:val="single" w:sz="4" w:space="0" w:color="17365D"/>
            </w:tcBorders>
            <w:shd w:val="clear" w:color="auto" w:fill="auto"/>
            <w:vAlign w:val="center"/>
            <w:hideMark/>
          </w:tcPr>
          <w:p w14:paraId="501AB9D9" w14:textId="77777777" w:rsidR="00224ABF" w:rsidRPr="00905AEC" w:rsidRDefault="00224ABF" w:rsidP="00224ABF">
            <w:pPr>
              <w:spacing w:after="0" w:line="240" w:lineRule="auto"/>
              <w:jc w:val="center"/>
              <w:rPr>
                <w:b/>
                <w:bCs/>
                <w:noProof/>
                <w:color w:val="17365D"/>
                <w:sz w:val="18"/>
                <w:szCs w:val="18"/>
                <w:lang w:eastAsia="lv-LV"/>
              </w:rPr>
            </w:pPr>
            <w:r w:rsidRPr="00905AEC">
              <w:rPr>
                <w:b/>
                <w:bCs/>
                <w:noProof/>
                <w:color w:val="17365D"/>
                <w:sz w:val="18"/>
                <w:szCs w:val="18"/>
                <w:lang w:eastAsia="lv-LV"/>
              </w:rPr>
              <w:t>A</w:t>
            </w:r>
          </w:p>
        </w:tc>
        <w:tc>
          <w:tcPr>
            <w:tcW w:w="1563" w:type="dxa"/>
            <w:tcBorders>
              <w:top w:val="single" w:sz="4" w:space="0" w:color="17365D"/>
              <w:bottom w:val="single" w:sz="4" w:space="0" w:color="17365D"/>
            </w:tcBorders>
            <w:shd w:val="clear" w:color="auto" w:fill="auto"/>
            <w:vAlign w:val="center"/>
            <w:hideMark/>
          </w:tcPr>
          <w:p w14:paraId="2C589505" w14:textId="77777777" w:rsidR="00224ABF" w:rsidRPr="00905AEC" w:rsidRDefault="00224ABF" w:rsidP="00224ABF">
            <w:pPr>
              <w:spacing w:after="0" w:line="240" w:lineRule="auto"/>
              <w:jc w:val="center"/>
              <w:rPr>
                <w:b/>
                <w:bCs/>
                <w:noProof/>
                <w:color w:val="17365D"/>
                <w:sz w:val="18"/>
                <w:szCs w:val="18"/>
                <w:lang w:eastAsia="lv-LV"/>
              </w:rPr>
            </w:pPr>
            <w:r w:rsidRPr="00905AEC">
              <w:rPr>
                <w:b/>
                <w:bCs/>
                <w:noProof/>
                <w:color w:val="17365D"/>
                <w:sz w:val="18"/>
                <w:szCs w:val="18"/>
                <w:lang w:eastAsia="lv-LV"/>
              </w:rPr>
              <w:t>1</w:t>
            </w:r>
          </w:p>
        </w:tc>
        <w:tc>
          <w:tcPr>
            <w:tcW w:w="1521" w:type="dxa"/>
            <w:tcBorders>
              <w:top w:val="single" w:sz="4" w:space="0" w:color="17365D"/>
              <w:bottom w:val="single" w:sz="4" w:space="0" w:color="17365D"/>
            </w:tcBorders>
            <w:vAlign w:val="center"/>
          </w:tcPr>
          <w:p w14:paraId="5D59BCD4" w14:textId="77777777" w:rsidR="00224ABF" w:rsidRPr="00905AEC" w:rsidRDefault="00224ABF" w:rsidP="00224ABF">
            <w:pPr>
              <w:spacing w:after="0" w:line="240" w:lineRule="auto"/>
              <w:jc w:val="center"/>
              <w:rPr>
                <w:b/>
                <w:bCs/>
                <w:noProof/>
                <w:color w:val="17365D"/>
                <w:sz w:val="18"/>
                <w:szCs w:val="18"/>
                <w:lang w:eastAsia="lv-LV"/>
              </w:rPr>
            </w:pPr>
            <w:r>
              <w:rPr>
                <w:b/>
                <w:bCs/>
                <w:noProof/>
                <w:color w:val="17365D"/>
                <w:sz w:val="18"/>
                <w:szCs w:val="18"/>
                <w:lang w:eastAsia="lv-LV"/>
              </w:rPr>
              <w:t>2</w:t>
            </w:r>
          </w:p>
        </w:tc>
      </w:tr>
      <w:tr w:rsidR="00224ABF" w:rsidRPr="00905AEC" w14:paraId="6846B6D2" w14:textId="77777777" w:rsidTr="004873C9">
        <w:trPr>
          <w:trHeight w:val="372"/>
        </w:trPr>
        <w:tc>
          <w:tcPr>
            <w:tcW w:w="6031" w:type="dxa"/>
            <w:tcBorders>
              <w:top w:val="single" w:sz="4" w:space="0" w:color="17365D"/>
              <w:bottom w:val="single" w:sz="4" w:space="0" w:color="17365D"/>
            </w:tcBorders>
            <w:shd w:val="clear" w:color="F2F2F2" w:fill="FFFFFF"/>
            <w:vAlign w:val="center"/>
          </w:tcPr>
          <w:p w14:paraId="6968219B" w14:textId="77777777" w:rsidR="00224ABF" w:rsidRPr="00905AEC" w:rsidRDefault="00224ABF" w:rsidP="00224ABF">
            <w:pPr>
              <w:spacing w:after="0" w:line="240" w:lineRule="auto"/>
              <w:rPr>
                <w:bCs/>
                <w:noProof/>
                <w:color w:val="17365D"/>
                <w:sz w:val="18"/>
                <w:szCs w:val="18"/>
                <w:lang w:eastAsia="lv-LV"/>
              </w:rPr>
            </w:pPr>
            <w:r w:rsidRPr="003B1F93">
              <w:rPr>
                <w:bCs/>
                <w:noProof/>
                <w:color w:val="17365D"/>
                <w:sz w:val="18"/>
                <w:szCs w:val="18"/>
                <w:lang w:eastAsia="lv-LV"/>
              </w:rPr>
              <w:t>Ieguldījuma īpašumu iegāde un avansa maksājumi par ieguldījumu īpašumiem</w:t>
            </w:r>
          </w:p>
        </w:tc>
        <w:tc>
          <w:tcPr>
            <w:tcW w:w="1563" w:type="dxa"/>
            <w:tcBorders>
              <w:top w:val="single" w:sz="4" w:space="0" w:color="17365D"/>
              <w:bottom w:val="single" w:sz="4" w:space="0" w:color="17365D"/>
            </w:tcBorders>
            <w:shd w:val="clear" w:color="F2F2F2" w:fill="FFFFFF"/>
            <w:vAlign w:val="center"/>
          </w:tcPr>
          <w:p w14:paraId="5ADE36C3" w14:textId="77777777" w:rsidR="00224ABF" w:rsidRPr="00905AEC" w:rsidRDefault="00224ABF" w:rsidP="00224ABF">
            <w:pPr>
              <w:spacing w:after="0" w:line="240" w:lineRule="auto"/>
              <w:ind w:right="119"/>
              <w:jc w:val="right"/>
              <w:rPr>
                <w:bCs/>
                <w:noProof/>
                <w:color w:val="17365D"/>
                <w:sz w:val="18"/>
                <w:szCs w:val="18"/>
                <w:lang w:eastAsia="lv-LV"/>
              </w:rPr>
            </w:pPr>
            <w:r>
              <w:rPr>
                <w:bCs/>
                <w:noProof/>
                <w:color w:val="17365D"/>
                <w:sz w:val="18"/>
                <w:szCs w:val="18"/>
                <w:lang w:eastAsia="lv-LV"/>
              </w:rPr>
              <w:t>138</w:t>
            </w:r>
            <w:r w:rsidRPr="00905AEC">
              <w:rPr>
                <w:bCs/>
                <w:noProof/>
                <w:color w:val="17365D"/>
                <w:sz w:val="18"/>
                <w:szCs w:val="18"/>
                <w:lang w:eastAsia="lv-LV"/>
              </w:rPr>
              <w:t> </w:t>
            </w:r>
            <w:r>
              <w:rPr>
                <w:bCs/>
                <w:noProof/>
                <w:color w:val="17365D"/>
                <w:sz w:val="18"/>
                <w:szCs w:val="18"/>
                <w:lang w:eastAsia="lv-LV"/>
              </w:rPr>
              <w:t>756</w:t>
            </w:r>
          </w:p>
        </w:tc>
        <w:tc>
          <w:tcPr>
            <w:tcW w:w="1521" w:type="dxa"/>
            <w:tcBorders>
              <w:top w:val="single" w:sz="4" w:space="0" w:color="17365D"/>
              <w:bottom w:val="single" w:sz="4" w:space="0" w:color="17365D"/>
            </w:tcBorders>
            <w:shd w:val="clear" w:color="F2F2F2" w:fill="FFFFFF"/>
            <w:vAlign w:val="center"/>
          </w:tcPr>
          <w:p w14:paraId="19E7AF8F" w14:textId="77777777" w:rsidR="00224ABF" w:rsidRPr="00905AEC" w:rsidRDefault="00224ABF" w:rsidP="00224ABF">
            <w:pPr>
              <w:spacing w:after="0" w:line="240" w:lineRule="auto"/>
              <w:ind w:right="119"/>
              <w:jc w:val="right"/>
              <w:rPr>
                <w:bCs/>
                <w:noProof/>
                <w:color w:val="17365D"/>
                <w:sz w:val="18"/>
                <w:szCs w:val="18"/>
                <w:lang w:eastAsia="lv-LV"/>
              </w:rPr>
            </w:pPr>
            <w:r>
              <w:rPr>
                <w:bCs/>
                <w:noProof/>
                <w:color w:val="17365D"/>
                <w:sz w:val="18"/>
                <w:szCs w:val="18"/>
                <w:lang w:eastAsia="lv-LV"/>
              </w:rPr>
              <w:t>34</w:t>
            </w:r>
            <w:r w:rsidRPr="00905AEC">
              <w:rPr>
                <w:bCs/>
                <w:noProof/>
                <w:color w:val="17365D"/>
                <w:sz w:val="18"/>
                <w:szCs w:val="18"/>
                <w:lang w:eastAsia="lv-LV"/>
              </w:rPr>
              <w:t xml:space="preserve"> </w:t>
            </w:r>
            <w:r>
              <w:rPr>
                <w:bCs/>
                <w:noProof/>
                <w:color w:val="17365D"/>
                <w:sz w:val="18"/>
                <w:szCs w:val="18"/>
                <w:lang w:eastAsia="lv-LV"/>
              </w:rPr>
              <w:t>026</w:t>
            </w:r>
          </w:p>
        </w:tc>
      </w:tr>
      <w:tr w:rsidR="00224ABF" w:rsidRPr="00905AEC" w14:paraId="04E34272" w14:textId="77777777" w:rsidTr="004873C9">
        <w:trPr>
          <w:trHeight w:val="405"/>
        </w:trPr>
        <w:tc>
          <w:tcPr>
            <w:tcW w:w="6031" w:type="dxa"/>
            <w:tcBorders>
              <w:top w:val="single" w:sz="4" w:space="0" w:color="17365D"/>
              <w:bottom w:val="single" w:sz="4" w:space="0" w:color="17365D"/>
            </w:tcBorders>
            <w:shd w:val="clear" w:color="F2F2F2" w:fill="FFFFFF"/>
            <w:vAlign w:val="center"/>
          </w:tcPr>
          <w:p w14:paraId="7BE08721" w14:textId="77777777" w:rsidR="00224ABF" w:rsidRPr="00905AEC" w:rsidRDefault="00224ABF" w:rsidP="00224ABF">
            <w:pPr>
              <w:spacing w:after="0" w:line="240" w:lineRule="auto"/>
              <w:rPr>
                <w:bCs/>
                <w:noProof/>
                <w:color w:val="17365D"/>
                <w:sz w:val="18"/>
                <w:szCs w:val="18"/>
                <w:lang w:eastAsia="lv-LV"/>
              </w:rPr>
            </w:pPr>
            <w:r w:rsidRPr="003B1F93">
              <w:rPr>
                <w:bCs/>
                <w:noProof/>
                <w:color w:val="17365D"/>
                <w:sz w:val="18"/>
                <w:szCs w:val="18"/>
                <w:lang w:eastAsia="lv-LV"/>
              </w:rPr>
              <w:t>Ieguldījuma īpašumu izveidošana un nepabeigtā būvniecība</w:t>
            </w:r>
          </w:p>
        </w:tc>
        <w:tc>
          <w:tcPr>
            <w:tcW w:w="1563" w:type="dxa"/>
            <w:tcBorders>
              <w:top w:val="single" w:sz="4" w:space="0" w:color="17365D"/>
              <w:bottom w:val="single" w:sz="4" w:space="0" w:color="17365D"/>
            </w:tcBorders>
            <w:shd w:val="clear" w:color="F2F2F2" w:fill="FFFFFF"/>
            <w:vAlign w:val="center"/>
          </w:tcPr>
          <w:p w14:paraId="6FACEBF4" w14:textId="77777777" w:rsidR="00224ABF" w:rsidRDefault="00224ABF" w:rsidP="00224ABF">
            <w:pPr>
              <w:spacing w:after="0" w:line="240" w:lineRule="auto"/>
              <w:ind w:right="119"/>
              <w:jc w:val="right"/>
              <w:rPr>
                <w:bCs/>
                <w:noProof/>
                <w:color w:val="17365D"/>
                <w:sz w:val="18"/>
                <w:szCs w:val="18"/>
                <w:lang w:eastAsia="lv-LV"/>
              </w:rPr>
            </w:pPr>
            <w:r>
              <w:rPr>
                <w:bCs/>
                <w:noProof/>
                <w:color w:val="17365D"/>
                <w:sz w:val="18"/>
                <w:szCs w:val="18"/>
                <w:lang w:eastAsia="lv-LV"/>
              </w:rPr>
              <w:t>3</w:t>
            </w:r>
            <w:r w:rsidRPr="00905AEC">
              <w:rPr>
                <w:bCs/>
                <w:noProof/>
                <w:color w:val="17365D"/>
                <w:sz w:val="18"/>
                <w:szCs w:val="18"/>
                <w:lang w:eastAsia="lv-LV"/>
              </w:rPr>
              <w:t xml:space="preserve"> </w:t>
            </w:r>
            <w:r>
              <w:rPr>
                <w:bCs/>
                <w:noProof/>
                <w:color w:val="17365D"/>
                <w:sz w:val="18"/>
                <w:szCs w:val="18"/>
                <w:lang w:eastAsia="lv-LV"/>
              </w:rPr>
              <w:t>201</w:t>
            </w:r>
            <w:r w:rsidRPr="00905AEC">
              <w:rPr>
                <w:bCs/>
                <w:noProof/>
                <w:color w:val="17365D"/>
                <w:sz w:val="18"/>
                <w:szCs w:val="18"/>
                <w:lang w:eastAsia="lv-LV"/>
              </w:rPr>
              <w:t> </w:t>
            </w:r>
            <w:r>
              <w:rPr>
                <w:bCs/>
                <w:noProof/>
                <w:color w:val="17365D"/>
                <w:sz w:val="18"/>
                <w:szCs w:val="18"/>
                <w:lang w:eastAsia="lv-LV"/>
              </w:rPr>
              <w:t>934</w:t>
            </w:r>
          </w:p>
        </w:tc>
        <w:tc>
          <w:tcPr>
            <w:tcW w:w="1521" w:type="dxa"/>
            <w:tcBorders>
              <w:top w:val="single" w:sz="4" w:space="0" w:color="17365D"/>
              <w:bottom w:val="single" w:sz="4" w:space="0" w:color="17365D"/>
            </w:tcBorders>
            <w:shd w:val="clear" w:color="F2F2F2" w:fill="FFFFFF"/>
            <w:vAlign w:val="center"/>
          </w:tcPr>
          <w:p w14:paraId="57E4F04B" w14:textId="77777777" w:rsidR="00224ABF" w:rsidRPr="00905AEC" w:rsidRDefault="00224ABF" w:rsidP="00224ABF">
            <w:pPr>
              <w:spacing w:after="0" w:line="240" w:lineRule="auto"/>
              <w:ind w:right="119"/>
              <w:jc w:val="right"/>
              <w:rPr>
                <w:bCs/>
                <w:noProof/>
                <w:color w:val="17365D"/>
                <w:sz w:val="18"/>
                <w:szCs w:val="18"/>
                <w:lang w:eastAsia="lv-LV"/>
              </w:rPr>
            </w:pPr>
            <w:r w:rsidRPr="00905AEC">
              <w:rPr>
                <w:bCs/>
                <w:noProof/>
                <w:color w:val="17365D"/>
                <w:sz w:val="18"/>
                <w:szCs w:val="18"/>
                <w:lang w:eastAsia="lv-LV"/>
              </w:rPr>
              <w:t xml:space="preserve"> </w:t>
            </w:r>
            <w:r>
              <w:rPr>
                <w:bCs/>
                <w:noProof/>
                <w:color w:val="17365D"/>
                <w:sz w:val="18"/>
                <w:szCs w:val="18"/>
                <w:lang w:eastAsia="lv-LV"/>
              </w:rPr>
              <w:t>6</w:t>
            </w:r>
            <w:r w:rsidRPr="00905AEC">
              <w:rPr>
                <w:bCs/>
                <w:noProof/>
                <w:color w:val="17365D"/>
                <w:sz w:val="18"/>
                <w:szCs w:val="18"/>
                <w:lang w:eastAsia="lv-LV"/>
              </w:rPr>
              <w:t xml:space="preserve"> </w:t>
            </w:r>
            <w:r>
              <w:rPr>
                <w:bCs/>
                <w:noProof/>
                <w:color w:val="17365D"/>
                <w:sz w:val="18"/>
                <w:szCs w:val="18"/>
                <w:lang w:eastAsia="lv-LV"/>
              </w:rPr>
              <w:t>144</w:t>
            </w:r>
            <w:r w:rsidRPr="00905AEC">
              <w:rPr>
                <w:bCs/>
                <w:noProof/>
                <w:color w:val="17365D"/>
                <w:sz w:val="18"/>
                <w:szCs w:val="18"/>
                <w:lang w:eastAsia="lv-LV"/>
              </w:rPr>
              <w:t> </w:t>
            </w:r>
            <w:r>
              <w:rPr>
                <w:bCs/>
                <w:noProof/>
                <w:color w:val="17365D"/>
                <w:sz w:val="18"/>
                <w:szCs w:val="18"/>
                <w:lang w:eastAsia="lv-LV"/>
              </w:rPr>
              <w:t>977</w:t>
            </w:r>
          </w:p>
        </w:tc>
      </w:tr>
      <w:tr w:rsidR="00224ABF" w:rsidRPr="00905AEC" w14:paraId="724708C7" w14:textId="77777777" w:rsidTr="004873C9">
        <w:trPr>
          <w:trHeight w:val="257"/>
        </w:trPr>
        <w:tc>
          <w:tcPr>
            <w:tcW w:w="6031" w:type="dxa"/>
            <w:tcBorders>
              <w:top w:val="single" w:sz="4" w:space="0" w:color="17365D"/>
              <w:bottom w:val="nil"/>
            </w:tcBorders>
            <w:shd w:val="clear" w:color="auto" w:fill="B8CCE4" w:themeFill="accent1" w:themeFillTint="66"/>
            <w:vAlign w:val="center"/>
          </w:tcPr>
          <w:p w14:paraId="1D78B0AF" w14:textId="77777777" w:rsidR="00224ABF" w:rsidRPr="00905AEC" w:rsidRDefault="00224ABF" w:rsidP="00224ABF">
            <w:pPr>
              <w:spacing w:after="0" w:line="240" w:lineRule="auto"/>
              <w:rPr>
                <w:bCs/>
                <w:noProof/>
                <w:color w:val="17365D"/>
                <w:sz w:val="18"/>
                <w:szCs w:val="18"/>
                <w:lang w:eastAsia="lv-LV"/>
              </w:rPr>
            </w:pPr>
            <w:r w:rsidRPr="00905AEC">
              <w:rPr>
                <w:b/>
                <w:bCs/>
                <w:noProof/>
                <w:color w:val="17365D"/>
                <w:sz w:val="18"/>
                <w:szCs w:val="18"/>
                <w:lang w:eastAsia="lv-LV"/>
              </w:rPr>
              <w:t>Kopā</w:t>
            </w:r>
          </w:p>
        </w:tc>
        <w:tc>
          <w:tcPr>
            <w:tcW w:w="1563" w:type="dxa"/>
            <w:tcBorders>
              <w:top w:val="single" w:sz="4" w:space="0" w:color="17365D"/>
              <w:bottom w:val="nil"/>
            </w:tcBorders>
            <w:shd w:val="clear" w:color="auto" w:fill="B8CCE4" w:themeFill="accent1" w:themeFillTint="66"/>
            <w:vAlign w:val="center"/>
          </w:tcPr>
          <w:p w14:paraId="3A1EF5ED" w14:textId="77777777" w:rsidR="00224ABF" w:rsidRPr="00905AEC" w:rsidRDefault="00224ABF" w:rsidP="00224ABF">
            <w:pPr>
              <w:spacing w:after="0" w:line="240" w:lineRule="auto"/>
              <w:ind w:right="119"/>
              <w:jc w:val="right"/>
              <w:rPr>
                <w:bCs/>
                <w:noProof/>
                <w:color w:val="17365D"/>
                <w:sz w:val="18"/>
                <w:szCs w:val="18"/>
                <w:lang w:eastAsia="lv-LV"/>
              </w:rPr>
            </w:pPr>
            <w:r>
              <w:rPr>
                <w:b/>
                <w:bCs/>
                <w:noProof/>
                <w:color w:val="17365D"/>
                <w:sz w:val="18"/>
                <w:szCs w:val="18"/>
                <w:lang w:eastAsia="lv-LV"/>
              </w:rPr>
              <w:t>3</w:t>
            </w:r>
            <w:r w:rsidRPr="00905AEC">
              <w:rPr>
                <w:b/>
                <w:bCs/>
                <w:noProof/>
                <w:color w:val="17365D"/>
                <w:sz w:val="18"/>
                <w:szCs w:val="18"/>
                <w:lang w:eastAsia="lv-LV"/>
              </w:rPr>
              <w:t xml:space="preserve"> </w:t>
            </w:r>
            <w:r>
              <w:rPr>
                <w:b/>
                <w:bCs/>
                <w:noProof/>
                <w:color w:val="17365D"/>
                <w:sz w:val="18"/>
                <w:szCs w:val="18"/>
                <w:lang w:eastAsia="lv-LV"/>
              </w:rPr>
              <w:t>340</w:t>
            </w:r>
            <w:r w:rsidRPr="00905AEC">
              <w:rPr>
                <w:b/>
                <w:bCs/>
                <w:noProof/>
                <w:color w:val="17365D"/>
                <w:sz w:val="18"/>
                <w:szCs w:val="18"/>
                <w:lang w:eastAsia="lv-LV"/>
              </w:rPr>
              <w:t> </w:t>
            </w:r>
            <w:r>
              <w:rPr>
                <w:b/>
                <w:bCs/>
                <w:noProof/>
                <w:color w:val="17365D"/>
                <w:sz w:val="18"/>
                <w:szCs w:val="18"/>
                <w:lang w:eastAsia="lv-LV"/>
              </w:rPr>
              <w:t>690</w:t>
            </w:r>
          </w:p>
        </w:tc>
        <w:tc>
          <w:tcPr>
            <w:tcW w:w="1521" w:type="dxa"/>
            <w:tcBorders>
              <w:top w:val="single" w:sz="4" w:space="0" w:color="17365D"/>
              <w:bottom w:val="nil"/>
            </w:tcBorders>
            <w:shd w:val="clear" w:color="auto" w:fill="B8CCE4" w:themeFill="accent1" w:themeFillTint="66"/>
            <w:vAlign w:val="center"/>
          </w:tcPr>
          <w:p w14:paraId="50CD6275" w14:textId="77777777" w:rsidR="00224ABF" w:rsidRPr="00905AEC" w:rsidRDefault="00224ABF" w:rsidP="00224ABF">
            <w:pPr>
              <w:spacing w:after="0" w:line="240" w:lineRule="auto"/>
              <w:ind w:right="119"/>
              <w:jc w:val="right"/>
              <w:rPr>
                <w:bCs/>
                <w:noProof/>
                <w:color w:val="17365D"/>
                <w:sz w:val="18"/>
                <w:szCs w:val="18"/>
                <w:lang w:eastAsia="lv-LV"/>
              </w:rPr>
            </w:pPr>
            <w:r>
              <w:rPr>
                <w:b/>
                <w:bCs/>
                <w:noProof/>
                <w:color w:val="17365D"/>
                <w:sz w:val="18"/>
                <w:szCs w:val="18"/>
                <w:lang w:eastAsia="lv-LV"/>
              </w:rPr>
              <w:t>6</w:t>
            </w:r>
            <w:r w:rsidRPr="00905AEC">
              <w:rPr>
                <w:b/>
                <w:bCs/>
                <w:noProof/>
                <w:color w:val="17365D"/>
                <w:sz w:val="18"/>
                <w:szCs w:val="18"/>
                <w:lang w:eastAsia="lv-LV"/>
              </w:rPr>
              <w:t xml:space="preserve"> </w:t>
            </w:r>
            <w:r>
              <w:rPr>
                <w:b/>
                <w:bCs/>
                <w:noProof/>
                <w:color w:val="17365D"/>
                <w:sz w:val="18"/>
                <w:szCs w:val="18"/>
                <w:lang w:eastAsia="lv-LV"/>
              </w:rPr>
              <w:t>179</w:t>
            </w:r>
            <w:r w:rsidRPr="00905AEC">
              <w:rPr>
                <w:b/>
                <w:bCs/>
                <w:noProof/>
                <w:color w:val="17365D"/>
                <w:sz w:val="18"/>
                <w:szCs w:val="18"/>
                <w:lang w:eastAsia="lv-LV"/>
              </w:rPr>
              <w:t> </w:t>
            </w:r>
            <w:r>
              <w:rPr>
                <w:b/>
                <w:bCs/>
                <w:noProof/>
                <w:color w:val="17365D"/>
                <w:sz w:val="18"/>
                <w:szCs w:val="18"/>
                <w:lang w:eastAsia="lv-LV"/>
              </w:rPr>
              <w:t>003</w:t>
            </w:r>
          </w:p>
        </w:tc>
      </w:tr>
    </w:tbl>
    <w:p w14:paraId="2A28B82D" w14:textId="580F5CF9" w:rsidR="00224ABF" w:rsidRDefault="00224ABF" w:rsidP="00224ABF">
      <w:pPr>
        <w:spacing w:before="120" w:after="120" w:line="240" w:lineRule="auto"/>
        <w:ind w:firstLine="567"/>
        <w:jc w:val="both"/>
        <w:rPr>
          <w:rFonts w:cs="Times New Roman"/>
          <w:szCs w:val="18"/>
        </w:rPr>
      </w:pPr>
    </w:p>
    <w:p w14:paraId="606E8F40" w14:textId="774F8E3D" w:rsidR="000C6E5B" w:rsidRDefault="000C6E5B" w:rsidP="00224ABF">
      <w:pPr>
        <w:spacing w:before="120" w:after="120" w:line="240" w:lineRule="auto"/>
        <w:ind w:firstLine="567"/>
        <w:jc w:val="both"/>
        <w:rPr>
          <w:rFonts w:cs="Times New Roman"/>
          <w:szCs w:val="18"/>
        </w:rPr>
      </w:pPr>
    </w:p>
    <w:p w14:paraId="4210B3FE" w14:textId="77777777" w:rsidR="000C6E5B" w:rsidRDefault="000C6E5B" w:rsidP="00224ABF">
      <w:pPr>
        <w:spacing w:before="120" w:after="120" w:line="240" w:lineRule="auto"/>
        <w:ind w:firstLine="567"/>
        <w:jc w:val="both"/>
        <w:rPr>
          <w:rFonts w:cs="Times New Roman"/>
          <w:szCs w:val="18"/>
        </w:rPr>
      </w:pPr>
    </w:p>
    <w:p w14:paraId="772E4FD1" w14:textId="77777777" w:rsidR="00224ABF" w:rsidRPr="00D81FB8" w:rsidRDefault="00224ABF" w:rsidP="004873C9">
      <w:pPr>
        <w:pStyle w:val="Heading3"/>
      </w:pPr>
      <w:r w:rsidRPr="00D81FB8">
        <w:lastRenderedPageBreak/>
        <w:t>Naudas līdzekļu plūsma no ieguldījumu darbības</w:t>
      </w:r>
    </w:p>
    <w:p w14:paraId="3F1B61F2" w14:textId="77777777" w:rsidR="00224ABF" w:rsidRPr="00905AEC" w:rsidRDefault="00224ABF" w:rsidP="00224ABF">
      <w:pPr>
        <w:pStyle w:val="Tabulasnosaukums"/>
        <w:spacing w:before="0"/>
        <w:rPr>
          <w:rFonts w:eastAsia="Arial Unicode MS"/>
          <w:color w:val="17365D"/>
          <w:szCs w:val="20"/>
        </w:rPr>
      </w:pPr>
      <w:r>
        <w:rPr>
          <w:rFonts w:eastAsia="Arial Unicode MS"/>
          <w:color w:val="17365D"/>
          <w:szCs w:val="20"/>
        </w:rPr>
        <w:t>3.4</w:t>
      </w:r>
      <w:r w:rsidRPr="00905AEC">
        <w:rPr>
          <w:rFonts w:eastAsia="Arial Unicode MS"/>
          <w:color w:val="17365D"/>
          <w:szCs w:val="20"/>
        </w:rPr>
        <w:t xml:space="preserve">. tabula. NP.B Ieguldījumu darbības </w:t>
      </w:r>
      <w:r w:rsidRPr="00905AEC">
        <w:rPr>
          <w:bCs/>
          <w:color w:val="17365D"/>
          <w:szCs w:val="20"/>
        </w:rPr>
        <w:t>ieņēmumi un izdevumi (</w:t>
      </w:r>
      <w:r w:rsidRPr="00905AEC">
        <w:rPr>
          <w:color w:val="17365D"/>
          <w:szCs w:val="20"/>
        </w:rPr>
        <w:t>euro)</w:t>
      </w:r>
    </w:p>
    <w:tbl>
      <w:tblPr>
        <w:tblW w:w="9356" w:type="dxa"/>
        <w:tblLayout w:type="fixed"/>
        <w:tblLook w:val="04A0" w:firstRow="1" w:lastRow="0" w:firstColumn="1" w:lastColumn="0" w:noHBand="0" w:noVBand="1"/>
      </w:tblPr>
      <w:tblGrid>
        <w:gridCol w:w="2742"/>
        <w:gridCol w:w="944"/>
        <w:gridCol w:w="1276"/>
        <w:gridCol w:w="1593"/>
        <w:gridCol w:w="1451"/>
        <w:gridCol w:w="1350"/>
      </w:tblGrid>
      <w:tr w:rsidR="00224ABF" w:rsidRPr="001F1056" w14:paraId="264D4B40" w14:textId="77777777" w:rsidTr="00224ABF">
        <w:trPr>
          <w:trHeight w:val="791"/>
          <w:tblHeader/>
        </w:trPr>
        <w:tc>
          <w:tcPr>
            <w:tcW w:w="2742" w:type="dxa"/>
            <w:tcBorders>
              <w:bottom w:val="single" w:sz="4" w:space="0" w:color="17365D"/>
            </w:tcBorders>
            <w:shd w:val="clear" w:color="auto" w:fill="B9CDE5"/>
            <w:vAlign w:val="center"/>
            <w:hideMark/>
          </w:tcPr>
          <w:p w14:paraId="188954B0" w14:textId="77777777" w:rsidR="00224ABF" w:rsidRPr="001F1056" w:rsidRDefault="00224ABF" w:rsidP="00224ABF">
            <w:pPr>
              <w:spacing w:after="0" w:line="240" w:lineRule="auto"/>
              <w:jc w:val="center"/>
              <w:rPr>
                <w:rFonts w:cs="Times New Roman"/>
                <w:b/>
                <w:color w:val="17365D"/>
                <w:sz w:val="18"/>
                <w:szCs w:val="18"/>
                <w:lang w:eastAsia="lv-LV"/>
              </w:rPr>
            </w:pPr>
            <w:r w:rsidRPr="001F1056">
              <w:rPr>
                <w:rFonts w:cs="Times New Roman"/>
                <w:b/>
                <w:color w:val="17365D"/>
                <w:sz w:val="18"/>
                <w:szCs w:val="18"/>
                <w:lang w:eastAsia="lv-LV"/>
              </w:rPr>
              <w:t>Rādītājs</w:t>
            </w:r>
          </w:p>
        </w:tc>
        <w:tc>
          <w:tcPr>
            <w:tcW w:w="944" w:type="dxa"/>
            <w:tcBorders>
              <w:bottom w:val="single" w:sz="4" w:space="0" w:color="17365D"/>
            </w:tcBorders>
            <w:shd w:val="clear" w:color="auto" w:fill="B9CDE5"/>
            <w:vAlign w:val="center"/>
          </w:tcPr>
          <w:p w14:paraId="67829A42" w14:textId="77777777" w:rsidR="00224ABF" w:rsidRPr="001F1056" w:rsidRDefault="00224ABF" w:rsidP="00224ABF">
            <w:pPr>
              <w:spacing w:after="0" w:line="240" w:lineRule="auto"/>
              <w:jc w:val="center"/>
              <w:rPr>
                <w:rFonts w:cs="Times New Roman"/>
                <w:b/>
                <w:color w:val="17365D"/>
                <w:sz w:val="18"/>
                <w:szCs w:val="18"/>
                <w:lang w:eastAsia="lv-LV"/>
              </w:rPr>
            </w:pPr>
            <w:r w:rsidRPr="001F1056">
              <w:rPr>
                <w:rFonts w:cs="Times New Roman"/>
                <w:b/>
                <w:color w:val="17365D"/>
                <w:sz w:val="18"/>
                <w:szCs w:val="18"/>
                <w:lang w:eastAsia="lv-LV"/>
              </w:rPr>
              <w:t>Piezīmes Nr.</w:t>
            </w:r>
          </w:p>
        </w:tc>
        <w:tc>
          <w:tcPr>
            <w:tcW w:w="1276" w:type="dxa"/>
            <w:tcBorders>
              <w:bottom w:val="single" w:sz="4" w:space="0" w:color="17365D"/>
            </w:tcBorders>
            <w:shd w:val="clear" w:color="auto" w:fill="B9CDE5"/>
            <w:vAlign w:val="center"/>
          </w:tcPr>
          <w:p w14:paraId="1864CA45" w14:textId="77777777" w:rsidR="00224ABF" w:rsidRPr="001F1056" w:rsidRDefault="00224ABF" w:rsidP="00224ABF">
            <w:pPr>
              <w:spacing w:after="0" w:line="240" w:lineRule="auto"/>
              <w:jc w:val="center"/>
              <w:rPr>
                <w:rFonts w:cs="Times New Roman"/>
                <w:b/>
                <w:color w:val="17365D"/>
                <w:sz w:val="18"/>
                <w:szCs w:val="18"/>
                <w:lang w:eastAsia="lv-LV"/>
              </w:rPr>
            </w:pPr>
            <w:r w:rsidRPr="001F1056">
              <w:rPr>
                <w:rFonts w:cs="Times New Roman"/>
                <w:b/>
                <w:color w:val="17365D"/>
                <w:sz w:val="18"/>
                <w:szCs w:val="18"/>
                <w:lang w:eastAsia="lv-LV"/>
              </w:rPr>
              <w:t>Pārskata periods</w:t>
            </w:r>
          </w:p>
        </w:tc>
        <w:tc>
          <w:tcPr>
            <w:tcW w:w="1593" w:type="dxa"/>
            <w:tcBorders>
              <w:bottom w:val="single" w:sz="4" w:space="0" w:color="17365D"/>
            </w:tcBorders>
            <w:shd w:val="clear" w:color="auto" w:fill="B9CDE5"/>
            <w:vAlign w:val="center"/>
          </w:tcPr>
          <w:p w14:paraId="6DB068F1" w14:textId="77777777" w:rsidR="00224ABF" w:rsidRPr="001F1056" w:rsidRDefault="00224ABF" w:rsidP="00224ABF">
            <w:pPr>
              <w:spacing w:after="0" w:line="240" w:lineRule="auto"/>
              <w:jc w:val="center"/>
              <w:rPr>
                <w:rFonts w:cs="Times New Roman"/>
                <w:b/>
                <w:color w:val="17365D"/>
                <w:sz w:val="18"/>
                <w:szCs w:val="18"/>
                <w:lang w:eastAsia="lv-LV"/>
              </w:rPr>
            </w:pPr>
            <w:r w:rsidRPr="001F1056">
              <w:rPr>
                <w:rFonts w:cs="Times New Roman"/>
                <w:b/>
                <w:color w:val="17365D"/>
                <w:sz w:val="18"/>
                <w:szCs w:val="18"/>
                <w:lang w:eastAsia="lv-LV"/>
              </w:rPr>
              <w:t>Iepriekšējais pārskata periods</w:t>
            </w:r>
          </w:p>
        </w:tc>
        <w:tc>
          <w:tcPr>
            <w:tcW w:w="1451" w:type="dxa"/>
            <w:tcBorders>
              <w:bottom w:val="single" w:sz="4" w:space="0" w:color="17365D"/>
            </w:tcBorders>
            <w:shd w:val="clear" w:color="auto" w:fill="B9CDE5"/>
            <w:vAlign w:val="center"/>
          </w:tcPr>
          <w:p w14:paraId="23B6E861" w14:textId="77777777" w:rsidR="00224ABF" w:rsidRPr="001F1056" w:rsidRDefault="00224ABF" w:rsidP="00224ABF">
            <w:pPr>
              <w:spacing w:after="0" w:line="240" w:lineRule="auto"/>
              <w:ind w:left="-107" w:right="-109"/>
              <w:jc w:val="center"/>
              <w:rPr>
                <w:rFonts w:cs="Times New Roman"/>
                <w:b/>
                <w:color w:val="17365D"/>
                <w:sz w:val="18"/>
                <w:szCs w:val="18"/>
                <w:lang w:eastAsia="lv-LV"/>
              </w:rPr>
            </w:pPr>
            <w:r w:rsidRPr="001F1056">
              <w:rPr>
                <w:rFonts w:cs="Times New Roman"/>
                <w:b/>
                <w:color w:val="17365D"/>
                <w:sz w:val="18"/>
                <w:szCs w:val="18"/>
                <w:lang w:eastAsia="lv-LV"/>
              </w:rPr>
              <w:t>Palielinājums (+), samazinājums (–) (1. – 2.)</w:t>
            </w:r>
          </w:p>
        </w:tc>
        <w:tc>
          <w:tcPr>
            <w:tcW w:w="1350" w:type="dxa"/>
            <w:tcBorders>
              <w:bottom w:val="single" w:sz="4" w:space="0" w:color="17365D"/>
            </w:tcBorders>
            <w:shd w:val="clear" w:color="auto" w:fill="B9CDE5"/>
            <w:vAlign w:val="center"/>
          </w:tcPr>
          <w:p w14:paraId="3AFD8A69" w14:textId="77777777" w:rsidR="00224ABF" w:rsidRDefault="00224ABF" w:rsidP="00224ABF">
            <w:pPr>
              <w:spacing w:after="0" w:line="240" w:lineRule="auto"/>
              <w:ind w:left="-107" w:right="-109"/>
              <w:jc w:val="center"/>
              <w:rPr>
                <w:rFonts w:cs="Times New Roman"/>
                <w:b/>
                <w:color w:val="17365D"/>
                <w:sz w:val="18"/>
                <w:szCs w:val="18"/>
                <w:lang w:eastAsia="lv-LV"/>
              </w:rPr>
            </w:pPr>
            <w:r>
              <w:rPr>
                <w:rFonts w:cs="Times New Roman"/>
                <w:b/>
                <w:color w:val="17365D"/>
                <w:sz w:val="18"/>
                <w:szCs w:val="18"/>
                <w:lang w:eastAsia="lv-LV"/>
              </w:rPr>
              <w:t xml:space="preserve">Procentuālās izmaiņas </w:t>
            </w:r>
          </w:p>
          <w:p w14:paraId="2BB3A853" w14:textId="77777777" w:rsidR="00224ABF" w:rsidRPr="001F1056" w:rsidRDefault="00224ABF" w:rsidP="00224ABF">
            <w:pPr>
              <w:spacing w:after="0" w:line="240" w:lineRule="auto"/>
              <w:ind w:left="-107" w:right="-109"/>
              <w:jc w:val="center"/>
              <w:rPr>
                <w:rFonts w:cs="Times New Roman"/>
                <w:b/>
                <w:color w:val="17365D"/>
                <w:sz w:val="18"/>
                <w:szCs w:val="18"/>
                <w:lang w:eastAsia="lv-LV"/>
              </w:rPr>
            </w:pPr>
            <w:r>
              <w:rPr>
                <w:rFonts w:cs="Times New Roman"/>
                <w:b/>
                <w:color w:val="17365D"/>
                <w:sz w:val="18"/>
                <w:szCs w:val="18"/>
                <w:lang w:eastAsia="lv-LV"/>
              </w:rPr>
              <w:t>(3</w:t>
            </w:r>
            <w:r w:rsidRPr="001F1056">
              <w:rPr>
                <w:rFonts w:cs="Times New Roman"/>
                <w:b/>
                <w:color w:val="17365D"/>
                <w:sz w:val="18"/>
                <w:szCs w:val="18"/>
                <w:lang w:eastAsia="lv-LV"/>
              </w:rPr>
              <w:t>. / 2. x 100)</w:t>
            </w:r>
          </w:p>
        </w:tc>
      </w:tr>
      <w:tr w:rsidR="00224ABF" w:rsidRPr="001F1056" w14:paraId="2AB35588" w14:textId="77777777" w:rsidTr="00224ABF">
        <w:trPr>
          <w:trHeight w:val="60"/>
        </w:trPr>
        <w:tc>
          <w:tcPr>
            <w:tcW w:w="2742" w:type="dxa"/>
            <w:tcBorders>
              <w:top w:val="single" w:sz="4" w:space="0" w:color="17365D"/>
              <w:bottom w:val="single" w:sz="4" w:space="0" w:color="17365D"/>
            </w:tcBorders>
            <w:shd w:val="clear" w:color="auto" w:fill="auto"/>
            <w:vAlign w:val="center"/>
          </w:tcPr>
          <w:p w14:paraId="7E4C9A95" w14:textId="77777777" w:rsidR="00224ABF" w:rsidRPr="001F1056" w:rsidRDefault="00224ABF" w:rsidP="00224ABF">
            <w:pPr>
              <w:spacing w:after="0" w:line="240" w:lineRule="auto"/>
              <w:jc w:val="center"/>
              <w:rPr>
                <w:rFonts w:cs="Times New Roman"/>
                <w:b/>
                <w:color w:val="17365D"/>
                <w:sz w:val="18"/>
                <w:szCs w:val="18"/>
              </w:rPr>
            </w:pPr>
            <w:r w:rsidRPr="001F1056">
              <w:rPr>
                <w:rFonts w:cs="Times New Roman"/>
                <w:b/>
                <w:color w:val="17365D"/>
                <w:sz w:val="18"/>
                <w:szCs w:val="18"/>
              </w:rPr>
              <w:t>A</w:t>
            </w:r>
          </w:p>
        </w:tc>
        <w:tc>
          <w:tcPr>
            <w:tcW w:w="944" w:type="dxa"/>
            <w:tcBorders>
              <w:top w:val="single" w:sz="4" w:space="0" w:color="17365D"/>
              <w:bottom w:val="single" w:sz="4" w:space="0" w:color="17365D"/>
            </w:tcBorders>
            <w:shd w:val="clear" w:color="auto" w:fill="auto"/>
            <w:vAlign w:val="center"/>
          </w:tcPr>
          <w:p w14:paraId="5BD33924" w14:textId="77777777" w:rsidR="00224ABF" w:rsidRPr="001F1056" w:rsidRDefault="00224ABF" w:rsidP="00224ABF">
            <w:pPr>
              <w:spacing w:after="0" w:line="240" w:lineRule="auto"/>
              <w:jc w:val="center"/>
              <w:rPr>
                <w:rFonts w:cs="Times New Roman"/>
                <w:b/>
                <w:color w:val="17365D"/>
                <w:sz w:val="18"/>
                <w:szCs w:val="18"/>
              </w:rPr>
            </w:pPr>
            <w:r w:rsidRPr="001F1056">
              <w:rPr>
                <w:rFonts w:cs="Times New Roman"/>
                <w:b/>
                <w:color w:val="17365D"/>
                <w:sz w:val="18"/>
                <w:szCs w:val="18"/>
              </w:rPr>
              <w:t>B</w:t>
            </w:r>
          </w:p>
        </w:tc>
        <w:tc>
          <w:tcPr>
            <w:tcW w:w="1276" w:type="dxa"/>
            <w:tcBorders>
              <w:top w:val="single" w:sz="4" w:space="0" w:color="17365D"/>
              <w:bottom w:val="single" w:sz="4" w:space="0" w:color="17365D"/>
            </w:tcBorders>
            <w:shd w:val="clear" w:color="auto" w:fill="auto"/>
            <w:vAlign w:val="center"/>
          </w:tcPr>
          <w:p w14:paraId="51441363" w14:textId="77777777" w:rsidR="00224ABF" w:rsidRPr="001F1056" w:rsidRDefault="00224ABF" w:rsidP="00224ABF">
            <w:pPr>
              <w:spacing w:after="0" w:line="240" w:lineRule="auto"/>
              <w:jc w:val="center"/>
              <w:rPr>
                <w:rFonts w:cs="Times New Roman"/>
                <w:b/>
                <w:color w:val="17365D"/>
                <w:sz w:val="18"/>
                <w:szCs w:val="18"/>
              </w:rPr>
            </w:pPr>
            <w:r w:rsidRPr="001F1056">
              <w:rPr>
                <w:rFonts w:cs="Times New Roman"/>
                <w:b/>
                <w:color w:val="17365D"/>
                <w:sz w:val="18"/>
                <w:szCs w:val="18"/>
              </w:rPr>
              <w:t>1</w:t>
            </w:r>
          </w:p>
        </w:tc>
        <w:tc>
          <w:tcPr>
            <w:tcW w:w="1593" w:type="dxa"/>
            <w:tcBorders>
              <w:top w:val="single" w:sz="4" w:space="0" w:color="17365D"/>
              <w:bottom w:val="single" w:sz="4" w:space="0" w:color="17365D"/>
            </w:tcBorders>
            <w:shd w:val="clear" w:color="auto" w:fill="auto"/>
            <w:vAlign w:val="center"/>
          </w:tcPr>
          <w:p w14:paraId="3BA899BA" w14:textId="77777777" w:rsidR="00224ABF" w:rsidRPr="001F1056" w:rsidRDefault="00224ABF" w:rsidP="00224ABF">
            <w:pPr>
              <w:spacing w:after="0" w:line="240" w:lineRule="auto"/>
              <w:jc w:val="center"/>
              <w:rPr>
                <w:rFonts w:cs="Times New Roman"/>
                <w:b/>
                <w:color w:val="17365D"/>
                <w:sz w:val="18"/>
                <w:szCs w:val="18"/>
              </w:rPr>
            </w:pPr>
            <w:r w:rsidRPr="001F1056">
              <w:rPr>
                <w:rFonts w:cs="Times New Roman"/>
                <w:b/>
                <w:color w:val="17365D"/>
                <w:sz w:val="18"/>
                <w:szCs w:val="18"/>
              </w:rPr>
              <w:t>2</w:t>
            </w:r>
          </w:p>
        </w:tc>
        <w:tc>
          <w:tcPr>
            <w:tcW w:w="1451" w:type="dxa"/>
            <w:tcBorders>
              <w:top w:val="single" w:sz="4" w:space="0" w:color="17365D"/>
              <w:bottom w:val="single" w:sz="4" w:space="0" w:color="17365D"/>
            </w:tcBorders>
            <w:shd w:val="clear" w:color="auto" w:fill="auto"/>
            <w:vAlign w:val="center"/>
          </w:tcPr>
          <w:p w14:paraId="4E1E4977" w14:textId="77777777" w:rsidR="00224ABF" w:rsidRPr="001F1056" w:rsidRDefault="00224ABF" w:rsidP="00224ABF">
            <w:pPr>
              <w:spacing w:after="0" w:line="240" w:lineRule="auto"/>
              <w:jc w:val="center"/>
              <w:rPr>
                <w:rFonts w:cs="Times New Roman"/>
                <w:b/>
                <w:color w:val="17365D"/>
                <w:sz w:val="18"/>
                <w:szCs w:val="18"/>
              </w:rPr>
            </w:pPr>
            <w:r w:rsidRPr="001F1056">
              <w:rPr>
                <w:rFonts w:cs="Times New Roman"/>
                <w:b/>
                <w:color w:val="17365D"/>
                <w:sz w:val="18"/>
                <w:szCs w:val="18"/>
              </w:rPr>
              <w:t>3</w:t>
            </w:r>
          </w:p>
        </w:tc>
        <w:tc>
          <w:tcPr>
            <w:tcW w:w="1350" w:type="dxa"/>
            <w:tcBorders>
              <w:top w:val="single" w:sz="4" w:space="0" w:color="17365D"/>
              <w:bottom w:val="single" w:sz="4" w:space="0" w:color="17365D"/>
            </w:tcBorders>
            <w:shd w:val="clear" w:color="auto" w:fill="auto"/>
            <w:vAlign w:val="center"/>
          </w:tcPr>
          <w:p w14:paraId="7AF52C59" w14:textId="77777777" w:rsidR="00224ABF" w:rsidRPr="001F1056" w:rsidRDefault="00224ABF" w:rsidP="00224ABF">
            <w:pPr>
              <w:spacing w:after="0" w:line="240" w:lineRule="auto"/>
              <w:jc w:val="center"/>
              <w:rPr>
                <w:rFonts w:cs="Times New Roman"/>
                <w:b/>
                <w:color w:val="17365D"/>
                <w:sz w:val="18"/>
                <w:szCs w:val="18"/>
              </w:rPr>
            </w:pPr>
            <w:r w:rsidRPr="001F1056">
              <w:rPr>
                <w:rFonts w:cs="Times New Roman"/>
                <w:b/>
                <w:color w:val="17365D"/>
                <w:sz w:val="18"/>
                <w:szCs w:val="18"/>
              </w:rPr>
              <w:t>4</w:t>
            </w:r>
          </w:p>
        </w:tc>
      </w:tr>
      <w:tr w:rsidR="00224ABF" w:rsidRPr="001F1056" w14:paraId="1C25FEBA" w14:textId="77777777" w:rsidTr="00C90D8D">
        <w:trPr>
          <w:trHeight w:val="319"/>
        </w:trPr>
        <w:tc>
          <w:tcPr>
            <w:tcW w:w="2742" w:type="dxa"/>
            <w:tcBorders>
              <w:top w:val="single" w:sz="4" w:space="0" w:color="17365D"/>
              <w:bottom w:val="single" w:sz="4" w:space="0" w:color="17365D"/>
            </w:tcBorders>
            <w:shd w:val="clear" w:color="auto" w:fill="auto"/>
            <w:vAlign w:val="center"/>
          </w:tcPr>
          <w:p w14:paraId="3CE51E58" w14:textId="77777777" w:rsidR="00224ABF" w:rsidRPr="003E3C94" w:rsidRDefault="00224ABF" w:rsidP="00224ABF">
            <w:pPr>
              <w:spacing w:after="0" w:line="240" w:lineRule="auto"/>
              <w:rPr>
                <w:rFonts w:cs="Times New Roman"/>
                <w:b/>
                <w:color w:val="17365D"/>
                <w:sz w:val="18"/>
                <w:szCs w:val="18"/>
              </w:rPr>
            </w:pPr>
            <w:r w:rsidRPr="003E3C94">
              <w:rPr>
                <w:rFonts w:cs="Times New Roman"/>
                <w:b/>
                <w:color w:val="17365D"/>
                <w:sz w:val="18"/>
                <w:szCs w:val="18"/>
              </w:rPr>
              <w:t xml:space="preserve">Ieņēmumi no ieguldījumu darbības </w:t>
            </w:r>
          </w:p>
        </w:tc>
        <w:tc>
          <w:tcPr>
            <w:tcW w:w="944" w:type="dxa"/>
            <w:tcBorders>
              <w:top w:val="single" w:sz="4" w:space="0" w:color="17365D"/>
              <w:bottom w:val="single" w:sz="4" w:space="0" w:color="17365D"/>
            </w:tcBorders>
            <w:shd w:val="clear" w:color="auto" w:fill="auto"/>
            <w:vAlign w:val="center"/>
          </w:tcPr>
          <w:p w14:paraId="3CC9EAF0" w14:textId="77777777" w:rsidR="00224ABF" w:rsidRPr="003E3C94" w:rsidRDefault="00224ABF" w:rsidP="00224ABF">
            <w:pPr>
              <w:spacing w:after="0" w:line="240" w:lineRule="auto"/>
              <w:jc w:val="center"/>
              <w:rPr>
                <w:rFonts w:cs="Times New Roman"/>
                <w:b/>
                <w:color w:val="17365D"/>
                <w:sz w:val="18"/>
                <w:szCs w:val="18"/>
              </w:rPr>
            </w:pPr>
          </w:p>
        </w:tc>
        <w:tc>
          <w:tcPr>
            <w:tcW w:w="1276" w:type="dxa"/>
            <w:tcBorders>
              <w:top w:val="single" w:sz="4" w:space="0" w:color="17365D"/>
              <w:bottom w:val="single" w:sz="4" w:space="0" w:color="17365D"/>
            </w:tcBorders>
            <w:shd w:val="clear" w:color="auto" w:fill="auto"/>
            <w:vAlign w:val="center"/>
          </w:tcPr>
          <w:p w14:paraId="2946D247" w14:textId="77777777" w:rsidR="00224ABF" w:rsidRPr="003E3C94" w:rsidRDefault="00224ABF" w:rsidP="00224ABF">
            <w:pPr>
              <w:spacing w:after="0" w:line="240" w:lineRule="auto"/>
              <w:jc w:val="right"/>
              <w:rPr>
                <w:rFonts w:cs="Times New Roman"/>
                <w:b/>
                <w:color w:val="17365D"/>
                <w:sz w:val="18"/>
                <w:szCs w:val="18"/>
                <w:lang w:eastAsia="lv-LV"/>
              </w:rPr>
            </w:pPr>
            <w:r>
              <w:rPr>
                <w:rFonts w:cs="Times New Roman"/>
                <w:b/>
                <w:color w:val="17365D"/>
                <w:sz w:val="18"/>
                <w:szCs w:val="18"/>
                <w:lang w:eastAsia="lv-LV"/>
              </w:rPr>
              <w:t>106</w:t>
            </w:r>
            <w:r w:rsidRPr="003E3C94">
              <w:rPr>
                <w:rFonts w:cs="Times New Roman"/>
                <w:b/>
                <w:color w:val="17365D"/>
                <w:sz w:val="18"/>
                <w:szCs w:val="18"/>
                <w:lang w:eastAsia="lv-LV"/>
              </w:rPr>
              <w:t xml:space="preserve"> </w:t>
            </w:r>
            <w:r>
              <w:rPr>
                <w:rFonts w:cs="Times New Roman"/>
                <w:b/>
                <w:color w:val="17365D"/>
                <w:sz w:val="18"/>
                <w:szCs w:val="18"/>
                <w:lang w:eastAsia="lv-LV"/>
              </w:rPr>
              <w:t>566</w:t>
            </w:r>
            <w:r w:rsidRPr="003E3C94">
              <w:rPr>
                <w:rFonts w:cs="Times New Roman"/>
                <w:b/>
                <w:color w:val="17365D"/>
                <w:sz w:val="18"/>
                <w:szCs w:val="18"/>
                <w:lang w:eastAsia="lv-LV"/>
              </w:rPr>
              <w:t> </w:t>
            </w:r>
            <w:r>
              <w:rPr>
                <w:rFonts w:cs="Times New Roman"/>
                <w:b/>
                <w:color w:val="17365D"/>
                <w:sz w:val="18"/>
                <w:szCs w:val="18"/>
                <w:lang w:eastAsia="lv-LV"/>
              </w:rPr>
              <w:t>795</w:t>
            </w:r>
          </w:p>
        </w:tc>
        <w:tc>
          <w:tcPr>
            <w:tcW w:w="1593" w:type="dxa"/>
            <w:tcBorders>
              <w:top w:val="single" w:sz="4" w:space="0" w:color="17365D"/>
              <w:bottom w:val="single" w:sz="4" w:space="0" w:color="17365D"/>
            </w:tcBorders>
            <w:shd w:val="clear" w:color="auto" w:fill="auto"/>
            <w:vAlign w:val="center"/>
          </w:tcPr>
          <w:p w14:paraId="1CFDC683" w14:textId="77777777" w:rsidR="00224ABF" w:rsidRPr="003E3C94" w:rsidRDefault="00224ABF" w:rsidP="00224ABF">
            <w:pPr>
              <w:spacing w:after="0" w:line="240" w:lineRule="auto"/>
              <w:jc w:val="right"/>
              <w:rPr>
                <w:rFonts w:cs="Times New Roman"/>
                <w:b/>
                <w:color w:val="17365D"/>
                <w:sz w:val="18"/>
                <w:szCs w:val="18"/>
                <w:lang w:eastAsia="lv-LV"/>
              </w:rPr>
            </w:pPr>
            <w:r>
              <w:rPr>
                <w:rFonts w:cs="Times New Roman"/>
                <w:b/>
                <w:color w:val="17365D"/>
                <w:sz w:val="18"/>
                <w:szCs w:val="18"/>
                <w:lang w:eastAsia="lv-LV"/>
              </w:rPr>
              <w:t>66</w:t>
            </w:r>
            <w:r w:rsidRPr="003E3C94">
              <w:rPr>
                <w:rFonts w:cs="Times New Roman"/>
                <w:b/>
                <w:color w:val="17365D"/>
                <w:sz w:val="18"/>
                <w:szCs w:val="18"/>
                <w:lang w:eastAsia="lv-LV"/>
              </w:rPr>
              <w:t xml:space="preserve"> </w:t>
            </w:r>
            <w:r>
              <w:rPr>
                <w:rFonts w:cs="Times New Roman"/>
                <w:b/>
                <w:color w:val="17365D"/>
                <w:sz w:val="18"/>
                <w:szCs w:val="18"/>
                <w:lang w:eastAsia="lv-LV"/>
              </w:rPr>
              <w:t>084</w:t>
            </w:r>
            <w:r w:rsidRPr="003E3C94">
              <w:rPr>
                <w:rFonts w:cs="Times New Roman"/>
                <w:b/>
                <w:color w:val="17365D"/>
                <w:sz w:val="18"/>
                <w:szCs w:val="18"/>
                <w:lang w:eastAsia="lv-LV"/>
              </w:rPr>
              <w:t> </w:t>
            </w:r>
            <w:r>
              <w:rPr>
                <w:rFonts w:cs="Times New Roman"/>
                <w:b/>
                <w:color w:val="17365D"/>
                <w:sz w:val="18"/>
                <w:szCs w:val="18"/>
                <w:lang w:eastAsia="lv-LV"/>
              </w:rPr>
              <w:t>816</w:t>
            </w:r>
          </w:p>
        </w:tc>
        <w:tc>
          <w:tcPr>
            <w:tcW w:w="1451" w:type="dxa"/>
            <w:tcBorders>
              <w:top w:val="single" w:sz="4" w:space="0" w:color="17365D"/>
              <w:bottom w:val="single" w:sz="4" w:space="0" w:color="17365D"/>
            </w:tcBorders>
            <w:shd w:val="clear" w:color="auto" w:fill="auto"/>
            <w:vAlign w:val="center"/>
          </w:tcPr>
          <w:p w14:paraId="4EB54576" w14:textId="77777777" w:rsidR="00224ABF" w:rsidRPr="003E3C94" w:rsidRDefault="00224ABF" w:rsidP="00224ABF">
            <w:pPr>
              <w:spacing w:after="0" w:line="240" w:lineRule="auto"/>
              <w:jc w:val="right"/>
              <w:rPr>
                <w:rFonts w:cs="Times New Roman"/>
                <w:b/>
                <w:color w:val="17365D"/>
                <w:sz w:val="18"/>
                <w:szCs w:val="18"/>
                <w:lang w:eastAsia="lv-LV"/>
              </w:rPr>
            </w:pPr>
            <w:r>
              <w:rPr>
                <w:rFonts w:cs="Times New Roman"/>
                <w:b/>
                <w:color w:val="17365D"/>
                <w:sz w:val="18"/>
                <w:szCs w:val="18"/>
                <w:lang w:eastAsia="lv-LV"/>
              </w:rPr>
              <w:t>-132</w:t>
            </w:r>
            <w:r w:rsidRPr="003E3C94">
              <w:rPr>
                <w:rFonts w:cs="Times New Roman"/>
                <w:b/>
                <w:color w:val="17365D"/>
                <w:sz w:val="18"/>
                <w:szCs w:val="18"/>
                <w:lang w:eastAsia="lv-LV"/>
              </w:rPr>
              <w:t xml:space="preserve"> </w:t>
            </w:r>
            <w:r>
              <w:rPr>
                <w:rFonts w:cs="Times New Roman"/>
                <w:b/>
                <w:color w:val="17365D"/>
                <w:sz w:val="18"/>
                <w:szCs w:val="18"/>
                <w:lang w:eastAsia="lv-LV"/>
              </w:rPr>
              <w:t>394</w:t>
            </w:r>
            <w:r w:rsidRPr="003E3C94">
              <w:rPr>
                <w:rFonts w:cs="Times New Roman"/>
                <w:b/>
                <w:color w:val="17365D"/>
                <w:sz w:val="18"/>
                <w:szCs w:val="18"/>
                <w:lang w:eastAsia="lv-LV"/>
              </w:rPr>
              <w:t> </w:t>
            </w:r>
            <w:r>
              <w:rPr>
                <w:rFonts w:cs="Times New Roman"/>
                <w:b/>
                <w:color w:val="17365D"/>
                <w:sz w:val="18"/>
                <w:szCs w:val="18"/>
                <w:lang w:eastAsia="lv-LV"/>
              </w:rPr>
              <w:t>622</w:t>
            </w:r>
          </w:p>
        </w:tc>
        <w:tc>
          <w:tcPr>
            <w:tcW w:w="1350" w:type="dxa"/>
            <w:tcBorders>
              <w:top w:val="single" w:sz="4" w:space="0" w:color="17365D"/>
              <w:bottom w:val="single" w:sz="4" w:space="0" w:color="17365D"/>
            </w:tcBorders>
            <w:shd w:val="clear" w:color="auto" w:fill="auto"/>
            <w:vAlign w:val="center"/>
          </w:tcPr>
          <w:p w14:paraId="1B36B0B6" w14:textId="77777777" w:rsidR="00224ABF" w:rsidRPr="003E3C94" w:rsidRDefault="00224ABF" w:rsidP="00224ABF">
            <w:pPr>
              <w:spacing w:after="0" w:line="240" w:lineRule="auto"/>
              <w:jc w:val="right"/>
              <w:rPr>
                <w:rFonts w:cs="Times New Roman"/>
                <w:b/>
                <w:color w:val="17365D"/>
                <w:sz w:val="18"/>
                <w:szCs w:val="18"/>
                <w:lang w:eastAsia="lv-LV"/>
              </w:rPr>
            </w:pPr>
            <w:r>
              <w:rPr>
                <w:rFonts w:cs="Times New Roman"/>
                <w:b/>
                <w:color w:val="17365D"/>
                <w:sz w:val="18"/>
                <w:szCs w:val="18"/>
                <w:lang w:eastAsia="lv-LV"/>
              </w:rPr>
              <w:t>9</w:t>
            </w:r>
            <w:r w:rsidRPr="003E3C94">
              <w:rPr>
                <w:rFonts w:cs="Times New Roman"/>
                <w:b/>
                <w:color w:val="17365D"/>
                <w:sz w:val="18"/>
                <w:szCs w:val="18"/>
                <w:lang w:eastAsia="lv-LV"/>
              </w:rPr>
              <w:t>.</w:t>
            </w:r>
            <w:r>
              <w:rPr>
                <w:rFonts w:cs="Times New Roman"/>
                <w:b/>
                <w:color w:val="17365D"/>
                <w:sz w:val="18"/>
                <w:szCs w:val="18"/>
                <w:lang w:eastAsia="lv-LV"/>
              </w:rPr>
              <w:t>76</w:t>
            </w:r>
          </w:p>
        </w:tc>
      </w:tr>
      <w:tr w:rsidR="00224ABF" w:rsidRPr="001F1056" w14:paraId="3607928F" w14:textId="77777777" w:rsidTr="00C90D8D">
        <w:trPr>
          <w:trHeight w:val="150"/>
        </w:trPr>
        <w:tc>
          <w:tcPr>
            <w:tcW w:w="2742" w:type="dxa"/>
            <w:tcBorders>
              <w:top w:val="single" w:sz="4" w:space="0" w:color="17365D"/>
              <w:bottom w:val="single" w:sz="4" w:space="0" w:color="17365D"/>
            </w:tcBorders>
            <w:shd w:val="clear" w:color="auto" w:fill="auto"/>
            <w:vAlign w:val="center"/>
          </w:tcPr>
          <w:p w14:paraId="78A9D96B" w14:textId="77777777" w:rsidR="00224ABF" w:rsidRPr="003E3C94" w:rsidRDefault="00224ABF" w:rsidP="00224ABF">
            <w:pPr>
              <w:pStyle w:val="Tabulasteksts"/>
              <w:rPr>
                <w:bCs/>
                <w:color w:val="17365D"/>
                <w:sz w:val="18"/>
                <w:szCs w:val="18"/>
                <w:lang w:eastAsia="lv-LV"/>
              </w:rPr>
            </w:pPr>
            <w:r w:rsidRPr="003E3C94">
              <w:rPr>
                <w:bCs/>
                <w:color w:val="17365D"/>
                <w:sz w:val="18"/>
                <w:szCs w:val="18"/>
                <w:lang w:eastAsia="lv-LV"/>
              </w:rPr>
              <w:t>Nemateriālo ieguldījumu pārdošana un atmaksātie avansa maksājumi par nemateriālajiem ieguldījumiem</w:t>
            </w:r>
          </w:p>
        </w:tc>
        <w:tc>
          <w:tcPr>
            <w:tcW w:w="944" w:type="dxa"/>
            <w:tcBorders>
              <w:top w:val="single" w:sz="4" w:space="0" w:color="17365D"/>
              <w:bottom w:val="single" w:sz="4" w:space="0" w:color="17365D"/>
            </w:tcBorders>
            <w:shd w:val="clear" w:color="auto" w:fill="auto"/>
            <w:vAlign w:val="center"/>
          </w:tcPr>
          <w:p w14:paraId="2706D263" w14:textId="77777777" w:rsidR="00224ABF" w:rsidRPr="003E3C94" w:rsidRDefault="00224ABF" w:rsidP="00224ABF">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4BC1E4D3"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1</w:t>
            </w:r>
            <w:r>
              <w:rPr>
                <w:bCs/>
                <w:color w:val="17365D"/>
                <w:sz w:val="18"/>
                <w:szCs w:val="18"/>
                <w:lang w:eastAsia="lv-LV"/>
              </w:rPr>
              <w:t>04</w:t>
            </w:r>
            <w:r w:rsidRPr="00E42C98">
              <w:rPr>
                <w:bCs/>
                <w:color w:val="17365D"/>
                <w:sz w:val="18"/>
                <w:szCs w:val="18"/>
                <w:lang w:eastAsia="lv-LV"/>
              </w:rPr>
              <w:t xml:space="preserve"> </w:t>
            </w:r>
            <w:r>
              <w:rPr>
                <w:bCs/>
                <w:color w:val="17365D"/>
                <w:sz w:val="18"/>
                <w:szCs w:val="18"/>
                <w:lang w:eastAsia="lv-LV"/>
              </w:rPr>
              <w:t>656</w:t>
            </w:r>
          </w:p>
        </w:tc>
        <w:tc>
          <w:tcPr>
            <w:tcW w:w="1593" w:type="dxa"/>
            <w:tcBorders>
              <w:top w:val="single" w:sz="4" w:space="0" w:color="17365D"/>
              <w:bottom w:val="single" w:sz="4" w:space="0" w:color="17365D"/>
            </w:tcBorders>
            <w:shd w:val="clear" w:color="auto" w:fill="auto"/>
            <w:vAlign w:val="center"/>
          </w:tcPr>
          <w:p w14:paraId="687449B8"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114 491</w:t>
            </w:r>
          </w:p>
        </w:tc>
        <w:tc>
          <w:tcPr>
            <w:tcW w:w="1451" w:type="dxa"/>
            <w:tcBorders>
              <w:top w:val="single" w:sz="4" w:space="0" w:color="17365D"/>
              <w:bottom w:val="single" w:sz="4" w:space="0" w:color="17365D"/>
            </w:tcBorders>
            <w:shd w:val="clear" w:color="auto" w:fill="auto"/>
            <w:vAlign w:val="center"/>
          </w:tcPr>
          <w:p w14:paraId="503CF43B"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-9</w:t>
            </w:r>
            <w:r w:rsidRPr="00E42C98">
              <w:rPr>
                <w:bCs/>
                <w:color w:val="17365D"/>
                <w:sz w:val="18"/>
                <w:szCs w:val="18"/>
                <w:lang w:eastAsia="lv-LV"/>
              </w:rPr>
              <w:t xml:space="preserve"> </w:t>
            </w:r>
            <w:r>
              <w:rPr>
                <w:bCs/>
                <w:color w:val="17365D"/>
                <w:sz w:val="18"/>
                <w:szCs w:val="18"/>
                <w:lang w:eastAsia="lv-LV"/>
              </w:rPr>
              <w:t>835</w:t>
            </w:r>
          </w:p>
        </w:tc>
        <w:tc>
          <w:tcPr>
            <w:tcW w:w="1350" w:type="dxa"/>
            <w:tcBorders>
              <w:top w:val="single" w:sz="4" w:space="0" w:color="17365D"/>
              <w:bottom w:val="single" w:sz="4" w:space="0" w:color="17365D"/>
            </w:tcBorders>
            <w:shd w:val="clear" w:color="auto" w:fill="auto"/>
            <w:vAlign w:val="center"/>
          </w:tcPr>
          <w:p w14:paraId="4D7253D9"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-8</w:t>
            </w:r>
            <w:r w:rsidRPr="00E42C98">
              <w:rPr>
                <w:bCs/>
                <w:color w:val="17365D"/>
                <w:sz w:val="18"/>
                <w:szCs w:val="18"/>
                <w:lang w:eastAsia="lv-LV"/>
              </w:rPr>
              <w:t>.</w:t>
            </w:r>
            <w:r>
              <w:rPr>
                <w:bCs/>
                <w:color w:val="17365D"/>
                <w:sz w:val="18"/>
                <w:szCs w:val="18"/>
                <w:lang w:eastAsia="lv-LV"/>
              </w:rPr>
              <w:t>59</w:t>
            </w:r>
          </w:p>
        </w:tc>
      </w:tr>
      <w:tr w:rsidR="00224ABF" w:rsidRPr="001F1056" w14:paraId="6B566749" w14:textId="77777777" w:rsidTr="00C90D8D">
        <w:trPr>
          <w:trHeight w:val="150"/>
        </w:trPr>
        <w:tc>
          <w:tcPr>
            <w:tcW w:w="2742" w:type="dxa"/>
            <w:tcBorders>
              <w:top w:val="single" w:sz="4" w:space="0" w:color="17365D"/>
              <w:bottom w:val="single" w:sz="4" w:space="0" w:color="17365D"/>
            </w:tcBorders>
            <w:shd w:val="clear" w:color="auto" w:fill="auto"/>
            <w:vAlign w:val="center"/>
          </w:tcPr>
          <w:p w14:paraId="5B8E52E9" w14:textId="77777777" w:rsidR="00224ABF" w:rsidRPr="003E3C94" w:rsidRDefault="00224ABF" w:rsidP="00224ABF">
            <w:pPr>
              <w:pStyle w:val="Tabulasteksts"/>
              <w:rPr>
                <w:bCs/>
                <w:color w:val="17365D"/>
                <w:sz w:val="18"/>
                <w:szCs w:val="18"/>
                <w:lang w:eastAsia="lv-LV"/>
              </w:rPr>
            </w:pPr>
            <w:r w:rsidRPr="003E3C94">
              <w:rPr>
                <w:bCs/>
                <w:color w:val="17365D"/>
                <w:sz w:val="18"/>
                <w:szCs w:val="18"/>
                <w:lang w:eastAsia="lv-LV"/>
              </w:rPr>
              <w:t>Pamatlīdzekļu pārdošana un atmaksātie avansa maksājumi par pamatlīdzekļiem</w:t>
            </w:r>
          </w:p>
        </w:tc>
        <w:tc>
          <w:tcPr>
            <w:tcW w:w="944" w:type="dxa"/>
            <w:tcBorders>
              <w:top w:val="single" w:sz="4" w:space="0" w:color="17365D"/>
              <w:bottom w:val="single" w:sz="4" w:space="0" w:color="17365D"/>
            </w:tcBorders>
            <w:shd w:val="clear" w:color="auto" w:fill="auto"/>
            <w:vAlign w:val="center"/>
          </w:tcPr>
          <w:p w14:paraId="7E0FA21C" w14:textId="77777777" w:rsidR="00224ABF" w:rsidRPr="003E3C94" w:rsidRDefault="00224ABF" w:rsidP="00224ABF">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38CB1AD6"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48 418</w:t>
            </w:r>
            <w:r w:rsidRPr="00E42C98">
              <w:rPr>
                <w:bCs/>
                <w:color w:val="17365D"/>
                <w:sz w:val="18"/>
                <w:szCs w:val="18"/>
                <w:lang w:eastAsia="lv-LV"/>
              </w:rPr>
              <w:t xml:space="preserve"> </w:t>
            </w:r>
            <w:r>
              <w:rPr>
                <w:bCs/>
                <w:color w:val="17365D"/>
                <w:sz w:val="18"/>
                <w:szCs w:val="18"/>
                <w:lang w:eastAsia="lv-LV"/>
              </w:rPr>
              <w:t>616</w:t>
            </w:r>
          </w:p>
        </w:tc>
        <w:tc>
          <w:tcPr>
            <w:tcW w:w="1593" w:type="dxa"/>
            <w:tcBorders>
              <w:top w:val="single" w:sz="4" w:space="0" w:color="17365D"/>
              <w:bottom w:val="single" w:sz="4" w:space="0" w:color="17365D"/>
            </w:tcBorders>
            <w:shd w:val="clear" w:color="auto" w:fill="auto"/>
            <w:vAlign w:val="center"/>
          </w:tcPr>
          <w:p w14:paraId="62D15796"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55</w:t>
            </w:r>
            <w:r w:rsidRPr="00E42C98">
              <w:rPr>
                <w:bCs/>
                <w:color w:val="17365D"/>
                <w:sz w:val="18"/>
                <w:szCs w:val="18"/>
                <w:lang w:eastAsia="lv-LV"/>
              </w:rPr>
              <w:t xml:space="preserve"> </w:t>
            </w:r>
            <w:r>
              <w:rPr>
                <w:bCs/>
                <w:color w:val="17365D"/>
                <w:sz w:val="18"/>
                <w:szCs w:val="18"/>
                <w:lang w:eastAsia="lv-LV"/>
              </w:rPr>
              <w:t>526</w:t>
            </w:r>
            <w:r w:rsidRPr="00E42C98">
              <w:rPr>
                <w:bCs/>
                <w:color w:val="17365D"/>
                <w:sz w:val="18"/>
                <w:szCs w:val="18"/>
                <w:lang w:eastAsia="lv-LV"/>
              </w:rPr>
              <w:t xml:space="preserve"> </w:t>
            </w:r>
            <w:r>
              <w:rPr>
                <w:bCs/>
                <w:color w:val="17365D"/>
                <w:sz w:val="18"/>
                <w:szCs w:val="18"/>
                <w:lang w:eastAsia="lv-LV"/>
              </w:rPr>
              <w:t>306</w:t>
            </w:r>
          </w:p>
        </w:tc>
        <w:tc>
          <w:tcPr>
            <w:tcW w:w="1451" w:type="dxa"/>
            <w:tcBorders>
              <w:top w:val="single" w:sz="4" w:space="0" w:color="17365D"/>
              <w:bottom w:val="single" w:sz="4" w:space="0" w:color="17365D"/>
            </w:tcBorders>
            <w:shd w:val="clear" w:color="auto" w:fill="auto"/>
            <w:vAlign w:val="center"/>
          </w:tcPr>
          <w:p w14:paraId="1419F926"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-7</w:t>
            </w:r>
            <w:r w:rsidRPr="00E42C98">
              <w:rPr>
                <w:bCs/>
                <w:color w:val="17365D"/>
                <w:sz w:val="18"/>
                <w:szCs w:val="18"/>
                <w:lang w:eastAsia="lv-LV"/>
              </w:rPr>
              <w:t xml:space="preserve"> </w:t>
            </w:r>
            <w:r>
              <w:rPr>
                <w:bCs/>
                <w:color w:val="17365D"/>
                <w:sz w:val="18"/>
                <w:szCs w:val="18"/>
                <w:lang w:eastAsia="lv-LV"/>
              </w:rPr>
              <w:t>107 690</w:t>
            </w:r>
          </w:p>
        </w:tc>
        <w:tc>
          <w:tcPr>
            <w:tcW w:w="1350" w:type="dxa"/>
            <w:tcBorders>
              <w:top w:val="single" w:sz="4" w:space="0" w:color="17365D"/>
              <w:bottom w:val="single" w:sz="4" w:space="0" w:color="17365D"/>
            </w:tcBorders>
            <w:shd w:val="clear" w:color="auto" w:fill="auto"/>
            <w:vAlign w:val="center"/>
          </w:tcPr>
          <w:p w14:paraId="4377F09C"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-12</w:t>
            </w:r>
            <w:r w:rsidRPr="00E42C98">
              <w:rPr>
                <w:bCs/>
                <w:color w:val="17365D"/>
                <w:sz w:val="18"/>
                <w:szCs w:val="18"/>
                <w:lang w:eastAsia="lv-LV"/>
              </w:rPr>
              <w:t>.</w:t>
            </w:r>
            <w:r>
              <w:rPr>
                <w:bCs/>
                <w:color w:val="17365D"/>
                <w:sz w:val="18"/>
                <w:szCs w:val="18"/>
                <w:lang w:eastAsia="lv-LV"/>
              </w:rPr>
              <w:t>68</w:t>
            </w:r>
          </w:p>
        </w:tc>
      </w:tr>
      <w:tr w:rsidR="00224ABF" w:rsidRPr="001F1056" w14:paraId="42CA65BC" w14:textId="77777777" w:rsidTr="00C90D8D">
        <w:trPr>
          <w:trHeight w:val="150"/>
        </w:trPr>
        <w:tc>
          <w:tcPr>
            <w:tcW w:w="2742" w:type="dxa"/>
            <w:tcBorders>
              <w:top w:val="single" w:sz="4" w:space="0" w:color="17365D"/>
              <w:bottom w:val="single" w:sz="4" w:space="0" w:color="17365D"/>
            </w:tcBorders>
            <w:shd w:val="clear" w:color="auto" w:fill="auto"/>
            <w:vAlign w:val="center"/>
          </w:tcPr>
          <w:p w14:paraId="6CC55AD2" w14:textId="77777777" w:rsidR="00224ABF" w:rsidRPr="003E3C94" w:rsidRDefault="00224ABF" w:rsidP="00224ABF">
            <w:pPr>
              <w:pStyle w:val="Tabulasteksts"/>
              <w:rPr>
                <w:bCs/>
                <w:color w:val="17365D"/>
                <w:sz w:val="18"/>
                <w:szCs w:val="18"/>
                <w:lang w:eastAsia="lv-LV"/>
              </w:rPr>
            </w:pPr>
            <w:r w:rsidRPr="003E3C94">
              <w:rPr>
                <w:bCs/>
                <w:color w:val="17365D"/>
                <w:sz w:val="18"/>
                <w:szCs w:val="18"/>
                <w:lang w:eastAsia="lv-LV"/>
              </w:rPr>
              <w:t>Līdzdalības kapitālsabiedrību kapitālā, akciju un vērtspapīru pārdošana</w:t>
            </w:r>
          </w:p>
        </w:tc>
        <w:tc>
          <w:tcPr>
            <w:tcW w:w="944" w:type="dxa"/>
            <w:tcBorders>
              <w:top w:val="single" w:sz="4" w:space="0" w:color="17365D"/>
              <w:bottom w:val="single" w:sz="4" w:space="0" w:color="17365D"/>
            </w:tcBorders>
            <w:shd w:val="clear" w:color="auto" w:fill="auto"/>
            <w:vAlign w:val="center"/>
          </w:tcPr>
          <w:p w14:paraId="6A3A1B81" w14:textId="77777777" w:rsidR="00224ABF" w:rsidRPr="003E3C94" w:rsidRDefault="00224ABF" w:rsidP="00224ABF">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523E0F62"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87</w:t>
            </w:r>
            <w:r w:rsidRPr="00E42C98">
              <w:rPr>
                <w:bCs/>
                <w:color w:val="17365D"/>
                <w:sz w:val="18"/>
                <w:szCs w:val="18"/>
                <w:lang w:eastAsia="lv-LV"/>
              </w:rPr>
              <w:t xml:space="preserve"> </w:t>
            </w:r>
            <w:r>
              <w:rPr>
                <w:bCs/>
                <w:color w:val="17365D"/>
                <w:sz w:val="18"/>
                <w:szCs w:val="18"/>
                <w:lang w:eastAsia="lv-LV"/>
              </w:rPr>
              <w:t>495</w:t>
            </w:r>
          </w:p>
        </w:tc>
        <w:tc>
          <w:tcPr>
            <w:tcW w:w="1593" w:type="dxa"/>
            <w:tcBorders>
              <w:top w:val="single" w:sz="4" w:space="0" w:color="17365D"/>
              <w:bottom w:val="single" w:sz="4" w:space="0" w:color="17365D"/>
            </w:tcBorders>
            <w:shd w:val="clear" w:color="auto" w:fill="auto"/>
            <w:vAlign w:val="center"/>
          </w:tcPr>
          <w:p w14:paraId="31E1158B"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378 516</w:t>
            </w:r>
          </w:p>
        </w:tc>
        <w:tc>
          <w:tcPr>
            <w:tcW w:w="1451" w:type="dxa"/>
            <w:tcBorders>
              <w:top w:val="single" w:sz="4" w:space="0" w:color="17365D"/>
              <w:bottom w:val="single" w:sz="4" w:space="0" w:color="17365D"/>
            </w:tcBorders>
            <w:shd w:val="clear" w:color="auto" w:fill="auto"/>
            <w:vAlign w:val="center"/>
          </w:tcPr>
          <w:p w14:paraId="23044167"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-291</w:t>
            </w:r>
            <w:r w:rsidRPr="00E42C98">
              <w:rPr>
                <w:bCs/>
                <w:color w:val="17365D"/>
                <w:sz w:val="18"/>
                <w:szCs w:val="18"/>
                <w:lang w:eastAsia="lv-LV"/>
              </w:rPr>
              <w:t xml:space="preserve"> </w:t>
            </w:r>
            <w:r>
              <w:rPr>
                <w:bCs/>
                <w:color w:val="17365D"/>
                <w:sz w:val="18"/>
                <w:szCs w:val="18"/>
                <w:lang w:eastAsia="lv-LV"/>
              </w:rPr>
              <w:t>021</w:t>
            </w:r>
          </w:p>
        </w:tc>
        <w:tc>
          <w:tcPr>
            <w:tcW w:w="1350" w:type="dxa"/>
            <w:tcBorders>
              <w:top w:val="single" w:sz="4" w:space="0" w:color="17365D"/>
              <w:bottom w:val="single" w:sz="4" w:space="0" w:color="17365D"/>
            </w:tcBorders>
            <w:shd w:val="clear" w:color="auto" w:fill="auto"/>
            <w:vAlign w:val="center"/>
          </w:tcPr>
          <w:p w14:paraId="754DBFF7"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-76</w:t>
            </w:r>
            <w:r w:rsidRPr="00E42C98">
              <w:rPr>
                <w:bCs/>
                <w:color w:val="17365D"/>
                <w:sz w:val="18"/>
                <w:szCs w:val="18"/>
                <w:lang w:eastAsia="lv-LV"/>
              </w:rPr>
              <w:t>.</w:t>
            </w:r>
            <w:r>
              <w:rPr>
                <w:bCs/>
                <w:color w:val="17365D"/>
                <w:sz w:val="18"/>
                <w:szCs w:val="18"/>
                <w:lang w:eastAsia="lv-LV"/>
              </w:rPr>
              <w:t>88</w:t>
            </w:r>
          </w:p>
        </w:tc>
      </w:tr>
      <w:tr w:rsidR="00224ABF" w:rsidRPr="001F1056" w14:paraId="52EB3157" w14:textId="77777777" w:rsidTr="00C90D8D">
        <w:trPr>
          <w:trHeight w:val="150"/>
        </w:trPr>
        <w:tc>
          <w:tcPr>
            <w:tcW w:w="2742" w:type="dxa"/>
            <w:tcBorders>
              <w:top w:val="single" w:sz="4" w:space="0" w:color="17365D"/>
              <w:bottom w:val="single" w:sz="4" w:space="0" w:color="17365D"/>
            </w:tcBorders>
            <w:shd w:val="clear" w:color="auto" w:fill="auto"/>
            <w:vAlign w:val="center"/>
          </w:tcPr>
          <w:p w14:paraId="69ADB2A3" w14:textId="77777777" w:rsidR="00224ABF" w:rsidRPr="003E3C94" w:rsidRDefault="00224ABF" w:rsidP="00224ABF">
            <w:pPr>
              <w:pStyle w:val="Tabulasteksts"/>
              <w:rPr>
                <w:bCs/>
                <w:color w:val="17365D"/>
                <w:sz w:val="18"/>
                <w:szCs w:val="18"/>
                <w:lang w:eastAsia="lv-LV"/>
              </w:rPr>
            </w:pPr>
            <w:r w:rsidRPr="003E3C94">
              <w:rPr>
                <w:bCs/>
                <w:color w:val="17365D"/>
                <w:sz w:val="18"/>
                <w:szCs w:val="18"/>
                <w:lang w:eastAsia="lv-LV"/>
              </w:rPr>
              <w:t xml:space="preserve">Procentu ieņēmumi </w:t>
            </w:r>
          </w:p>
        </w:tc>
        <w:tc>
          <w:tcPr>
            <w:tcW w:w="944" w:type="dxa"/>
            <w:tcBorders>
              <w:top w:val="single" w:sz="4" w:space="0" w:color="17365D"/>
              <w:bottom w:val="single" w:sz="4" w:space="0" w:color="17365D"/>
            </w:tcBorders>
            <w:shd w:val="clear" w:color="auto" w:fill="auto"/>
            <w:vAlign w:val="center"/>
          </w:tcPr>
          <w:p w14:paraId="47AB1325" w14:textId="77777777" w:rsidR="00224ABF" w:rsidRPr="003E3C94" w:rsidRDefault="00224ABF" w:rsidP="00224ABF">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090A5CEB"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332</w:t>
            </w:r>
            <w:r w:rsidRPr="00E42C98">
              <w:rPr>
                <w:bCs/>
                <w:color w:val="17365D"/>
                <w:sz w:val="18"/>
                <w:szCs w:val="18"/>
                <w:lang w:eastAsia="lv-LV"/>
              </w:rPr>
              <w:t xml:space="preserve"> </w:t>
            </w:r>
            <w:r>
              <w:rPr>
                <w:bCs/>
                <w:color w:val="17365D"/>
                <w:sz w:val="18"/>
                <w:szCs w:val="18"/>
                <w:lang w:eastAsia="lv-LV"/>
              </w:rPr>
              <w:t>276</w:t>
            </w:r>
          </w:p>
        </w:tc>
        <w:tc>
          <w:tcPr>
            <w:tcW w:w="1593" w:type="dxa"/>
            <w:tcBorders>
              <w:top w:val="single" w:sz="4" w:space="0" w:color="17365D"/>
              <w:bottom w:val="single" w:sz="4" w:space="0" w:color="17365D"/>
            </w:tcBorders>
            <w:shd w:val="clear" w:color="auto" w:fill="auto"/>
            <w:vAlign w:val="center"/>
          </w:tcPr>
          <w:p w14:paraId="6D9B5B1E"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160 413</w:t>
            </w:r>
          </w:p>
        </w:tc>
        <w:tc>
          <w:tcPr>
            <w:tcW w:w="1451" w:type="dxa"/>
            <w:tcBorders>
              <w:top w:val="single" w:sz="4" w:space="0" w:color="17365D"/>
              <w:bottom w:val="single" w:sz="4" w:space="0" w:color="17365D"/>
            </w:tcBorders>
            <w:shd w:val="clear" w:color="auto" w:fill="auto"/>
            <w:vAlign w:val="center"/>
          </w:tcPr>
          <w:p w14:paraId="7C036D21"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171</w:t>
            </w:r>
            <w:r w:rsidRPr="00E42C98">
              <w:rPr>
                <w:bCs/>
                <w:color w:val="17365D"/>
                <w:sz w:val="18"/>
                <w:szCs w:val="18"/>
                <w:lang w:eastAsia="lv-LV"/>
              </w:rPr>
              <w:t xml:space="preserve"> </w:t>
            </w:r>
            <w:r>
              <w:rPr>
                <w:bCs/>
                <w:color w:val="17365D"/>
                <w:sz w:val="18"/>
                <w:szCs w:val="18"/>
                <w:lang w:eastAsia="lv-LV"/>
              </w:rPr>
              <w:t>863</w:t>
            </w:r>
          </w:p>
        </w:tc>
        <w:tc>
          <w:tcPr>
            <w:tcW w:w="1350" w:type="dxa"/>
            <w:tcBorders>
              <w:top w:val="single" w:sz="4" w:space="0" w:color="17365D"/>
              <w:bottom w:val="single" w:sz="4" w:space="0" w:color="17365D"/>
            </w:tcBorders>
            <w:shd w:val="clear" w:color="auto" w:fill="auto"/>
            <w:vAlign w:val="center"/>
          </w:tcPr>
          <w:p w14:paraId="2A7E8619"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107</w:t>
            </w:r>
            <w:r w:rsidRPr="00E42C98">
              <w:rPr>
                <w:bCs/>
                <w:color w:val="17365D"/>
                <w:sz w:val="18"/>
                <w:szCs w:val="18"/>
                <w:lang w:eastAsia="lv-LV"/>
              </w:rPr>
              <w:t>.</w:t>
            </w:r>
            <w:r>
              <w:rPr>
                <w:bCs/>
                <w:color w:val="17365D"/>
                <w:sz w:val="18"/>
                <w:szCs w:val="18"/>
                <w:lang w:eastAsia="lv-LV"/>
              </w:rPr>
              <w:t>14</w:t>
            </w:r>
          </w:p>
        </w:tc>
      </w:tr>
      <w:tr w:rsidR="00224ABF" w:rsidRPr="001F1056" w14:paraId="128308A8" w14:textId="77777777" w:rsidTr="00C90D8D">
        <w:trPr>
          <w:trHeight w:val="150"/>
        </w:trPr>
        <w:tc>
          <w:tcPr>
            <w:tcW w:w="2742" w:type="dxa"/>
            <w:tcBorders>
              <w:top w:val="single" w:sz="4" w:space="0" w:color="17365D"/>
              <w:bottom w:val="single" w:sz="4" w:space="0" w:color="17365D"/>
            </w:tcBorders>
            <w:shd w:val="clear" w:color="auto" w:fill="auto"/>
            <w:vAlign w:val="center"/>
          </w:tcPr>
          <w:p w14:paraId="23D0C2A7" w14:textId="77777777" w:rsidR="00224ABF" w:rsidRPr="003E3C94" w:rsidRDefault="00224ABF" w:rsidP="00224ABF">
            <w:pPr>
              <w:pStyle w:val="Tabulasteksts"/>
              <w:rPr>
                <w:bCs/>
                <w:color w:val="17365D"/>
                <w:sz w:val="18"/>
                <w:szCs w:val="18"/>
                <w:lang w:eastAsia="lv-LV"/>
              </w:rPr>
            </w:pPr>
            <w:r w:rsidRPr="003E3C94">
              <w:rPr>
                <w:bCs/>
                <w:color w:val="17365D"/>
                <w:sz w:val="18"/>
                <w:szCs w:val="18"/>
                <w:lang w:eastAsia="lv-LV"/>
              </w:rPr>
              <w:t>Citi ieņēmumi no ieguldījumu darbības</w:t>
            </w:r>
          </w:p>
        </w:tc>
        <w:tc>
          <w:tcPr>
            <w:tcW w:w="944" w:type="dxa"/>
            <w:tcBorders>
              <w:top w:val="single" w:sz="4" w:space="0" w:color="17365D"/>
              <w:bottom w:val="single" w:sz="4" w:space="0" w:color="17365D"/>
            </w:tcBorders>
            <w:shd w:val="clear" w:color="auto" w:fill="auto"/>
            <w:vAlign w:val="center"/>
          </w:tcPr>
          <w:p w14:paraId="1AC857AA" w14:textId="77777777" w:rsidR="00224ABF" w:rsidRPr="003E3C94" w:rsidRDefault="00224ABF" w:rsidP="00224ABF">
            <w:pPr>
              <w:pStyle w:val="Tabulasteksts"/>
              <w:rPr>
                <w:bCs/>
                <w:color w:val="17365D"/>
                <w:sz w:val="18"/>
                <w:szCs w:val="18"/>
                <w:lang w:eastAsia="lv-LV"/>
              </w:rPr>
            </w:pPr>
            <w:r w:rsidRPr="00DD1D80">
              <w:rPr>
                <w:bCs/>
                <w:color w:val="17365D"/>
                <w:sz w:val="18"/>
                <w:szCs w:val="18"/>
                <w:lang w:eastAsia="lv-LV"/>
              </w:rPr>
              <w:t>NP.B15</w:t>
            </w:r>
          </w:p>
        </w:tc>
        <w:tc>
          <w:tcPr>
            <w:tcW w:w="1276" w:type="dxa"/>
            <w:tcBorders>
              <w:top w:val="single" w:sz="4" w:space="0" w:color="17365D"/>
              <w:bottom w:val="single" w:sz="4" w:space="0" w:color="17365D"/>
            </w:tcBorders>
            <w:shd w:val="clear" w:color="auto" w:fill="auto"/>
            <w:vAlign w:val="center"/>
          </w:tcPr>
          <w:p w14:paraId="12D7C3D1"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57</w:t>
            </w:r>
            <w:r w:rsidRPr="00E42C98">
              <w:rPr>
                <w:bCs/>
                <w:color w:val="17365D"/>
                <w:sz w:val="18"/>
                <w:szCs w:val="18"/>
                <w:lang w:eastAsia="lv-LV"/>
              </w:rPr>
              <w:t xml:space="preserve"> </w:t>
            </w:r>
            <w:r>
              <w:rPr>
                <w:bCs/>
                <w:color w:val="17365D"/>
                <w:sz w:val="18"/>
                <w:szCs w:val="18"/>
                <w:lang w:eastAsia="lv-LV"/>
              </w:rPr>
              <w:t>623</w:t>
            </w:r>
            <w:r w:rsidRPr="00E42C98">
              <w:rPr>
                <w:bCs/>
                <w:color w:val="17365D"/>
                <w:sz w:val="18"/>
                <w:szCs w:val="18"/>
                <w:lang w:eastAsia="lv-LV"/>
              </w:rPr>
              <w:t xml:space="preserve"> </w:t>
            </w:r>
            <w:r>
              <w:rPr>
                <w:bCs/>
                <w:color w:val="17365D"/>
                <w:sz w:val="18"/>
                <w:szCs w:val="18"/>
                <w:lang w:eastAsia="lv-LV"/>
              </w:rPr>
              <w:t>752</w:t>
            </w:r>
          </w:p>
        </w:tc>
        <w:tc>
          <w:tcPr>
            <w:tcW w:w="1593" w:type="dxa"/>
            <w:tcBorders>
              <w:top w:val="single" w:sz="4" w:space="0" w:color="17365D"/>
              <w:bottom w:val="single" w:sz="4" w:space="0" w:color="17365D"/>
            </w:tcBorders>
            <w:shd w:val="clear" w:color="auto" w:fill="auto"/>
            <w:vAlign w:val="center"/>
          </w:tcPr>
          <w:p w14:paraId="7A7FDF18"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9 905 090</w:t>
            </w:r>
          </w:p>
        </w:tc>
        <w:tc>
          <w:tcPr>
            <w:tcW w:w="1451" w:type="dxa"/>
            <w:tcBorders>
              <w:top w:val="single" w:sz="4" w:space="0" w:color="17365D"/>
              <w:bottom w:val="single" w:sz="4" w:space="0" w:color="17365D"/>
            </w:tcBorders>
            <w:shd w:val="clear" w:color="auto" w:fill="auto"/>
            <w:vAlign w:val="center"/>
          </w:tcPr>
          <w:p w14:paraId="169EA870"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47</w:t>
            </w:r>
            <w:r w:rsidRPr="00E42C98">
              <w:rPr>
                <w:bCs/>
                <w:color w:val="17365D"/>
                <w:sz w:val="18"/>
                <w:szCs w:val="18"/>
                <w:lang w:eastAsia="lv-LV"/>
              </w:rPr>
              <w:t xml:space="preserve"> </w:t>
            </w:r>
            <w:r>
              <w:rPr>
                <w:bCs/>
                <w:color w:val="17365D"/>
                <w:sz w:val="18"/>
                <w:szCs w:val="18"/>
                <w:lang w:eastAsia="lv-LV"/>
              </w:rPr>
              <w:t>718 662</w:t>
            </w:r>
          </w:p>
        </w:tc>
        <w:tc>
          <w:tcPr>
            <w:tcW w:w="1350" w:type="dxa"/>
            <w:tcBorders>
              <w:top w:val="single" w:sz="4" w:space="0" w:color="17365D"/>
              <w:bottom w:val="single" w:sz="4" w:space="0" w:color="17365D"/>
            </w:tcBorders>
            <w:shd w:val="clear" w:color="auto" w:fill="auto"/>
            <w:vAlign w:val="center"/>
          </w:tcPr>
          <w:p w14:paraId="5FB088F5"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481.76</w:t>
            </w:r>
          </w:p>
        </w:tc>
      </w:tr>
      <w:tr w:rsidR="00224ABF" w:rsidRPr="001F1056" w14:paraId="07F199AF" w14:textId="77777777" w:rsidTr="00C90D8D">
        <w:trPr>
          <w:trHeight w:val="150"/>
        </w:trPr>
        <w:tc>
          <w:tcPr>
            <w:tcW w:w="2742" w:type="dxa"/>
            <w:tcBorders>
              <w:top w:val="single" w:sz="4" w:space="0" w:color="17365D"/>
              <w:bottom w:val="single" w:sz="4" w:space="0" w:color="17365D"/>
            </w:tcBorders>
            <w:shd w:val="clear" w:color="auto" w:fill="auto"/>
            <w:vAlign w:val="center"/>
          </w:tcPr>
          <w:p w14:paraId="47EFCCDA" w14:textId="77777777" w:rsidR="00224ABF" w:rsidRPr="003E3C94" w:rsidRDefault="00224ABF" w:rsidP="00224ABF">
            <w:pPr>
              <w:spacing w:after="0" w:line="240" w:lineRule="auto"/>
              <w:rPr>
                <w:rFonts w:cs="Times New Roman"/>
                <w:color w:val="17365D"/>
                <w:sz w:val="18"/>
                <w:szCs w:val="18"/>
              </w:rPr>
            </w:pPr>
            <w:r w:rsidRPr="003E3C94">
              <w:rPr>
                <w:rFonts w:cs="Times New Roman"/>
                <w:b/>
                <w:color w:val="17365D"/>
                <w:sz w:val="18"/>
                <w:szCs w:val="18"/>
              </w:rPr>
              <w:t xml:space="preserve">Izdevumi no ieguldījumu darbības </w:t>
            </w:r>
          </w:p>
        </w:tc>
        <w:tc>
          <w:tcPr>
            <w:tcW w:w="944" w:type="dxa"/>
            <w:tcBorders>
              <w:top w:val="single" w:sz="4" w:space="0" w:color="17365D"/>
              <w:bottom w:val="single" w:sz="4" w:space="0" w:color="17365D"/>
            </w:tcBorders>
            <w:shd w:val="clear" w:color="auto" w:fill="auto"/>
            <w:vAlign w:val="center"/>
          </w:tcPr>
          <w:p w14:paraId="5592AD66" w14:textId="77777777" w:rsidR="00224ABF" w:rsidRPr="003E3C94" w:rsidRDefault="00224ABF" w:rsidP="00224ABF">
            <w:pPr>
              <w:spacing w:after="0" w:line="240" w:lineRule="auto"/>
              <w:ind w:left="-720" w:right="22"/>
              <w:jc w:val="center"/>
              <w:rPr>
                <w:rFonts w:cs="Times New Roman"/>
                <w:color w:val="17365D"/>
                <w:sz w:val="18"/>
                <w:szCs w:val="18"/>
              </w:rPr>
            </w:pPr>
          </w:p>
        </w:tc>
        <w:tc>
          <w:tcPr>
            <w:tcW w:w="1276" w:type="dxa"/>
            <w:tcBorders>
              <w:top w:val="single" w:sz="4" w:space="0" w:color="17365D"/>
              <w:bottom w:val="single" w:sz="4" w:space="0" w:color="17365D"/>
            </w:tcBorders>
            <w:shd w:val="clear" w:color="auto" w:fill="auto"/>
            <w:vAlign w:val="center"/>
          </w:tcPr>
          <w:p w14:paraId="7712F299" w14:textId="77777777" w:rsidR="00224ABF" w:rsidRPr="003E3C94" w:rsidRDefault="00224ABF" w:rsidP="00224ABF">
            <w:pPr>
              <w:spacing w:after="0" w:line="240" w:lineRule="auto"/>
              <w:jc w:val="right"/>
              <w:rPr>
                <w:rFonts w:cs="Times New Roman"/>
                <w:b/>
                <w:color w:val="17365D"/>
                <w:sz w:val="18"/>
                <w:szCs w:val="18"/>
                <w:lang w:eastAsia="lv-LV"/>
              </w:rPr>
            </w:pPr>
            <w:r w:rsidRPr="003E3C94">
              <w:rPr>
                <w:rFonts w:cs="Times New Roman"/>
                <w:b/>
                <w:color w:val="17365D"/>
                <w:sz w:val="18"/>
                <w:szCs w:val="18"/>
                <w:lang w:eastAsia="lv-LV"/>
              </w:rPr>
              <w:t xml:space="preserve">1 </w:t>
            </w:r>
            <w:r>
              <w:rPr>
                <w:rFonts w:cs="Times New Roman"/>
                <w:b/>
                <w:color w:val="17365D"/>
                <w:sz w:val="18"/>
                <w:szCs w:val="18"/>
                <w:lang w:eastAsia="lv-LV"/>
              </w:rPr>
              <w:t>595</w:t>
            </w:r>
            <w:r w:rsidRPr="003E3C94">
              <w:rPr>
                <w:rFonts w:cs="Times New Roman"/>
                <w:b/>
                <w:color w:val="17365D"/>
                <w:sz w:val="18"/>
                <w:szCs w:val="18"/>
                <w:lang w:eastAsia="lv-LV"/>
              </w:rPr>
              <w:t xml:space="preserve"> </w:t>
            </w:r>
            <w:r>
              <w:rPr>
                <w:rFonts w:cs="Times New Roman"/>
                <w:b/>
                <w:color w:val="17365D"/>
                <w:sz w:val="18"/>
                <w:szCs w:val="18"/>
                <w:lang w:eastAsia="lv-LV"/>
              </w:rPr>
              <w:t>109</w:t>
            </w:r>
            <w:r w:rsidRPr="003E3C94">
              <w:rPr>
                <w:rFonts w:cs="Times New Roman"/>
                <w:b/>
                <w:color w:val="17365D"/>
                <w:sz w:val="18"/>
                <w:szCs w:val="18"/>
                <w:lang w:eastAsia="lv-LV"/>
              </w:rPr>
              <w:t> </w:t>
            </w:r>
            <w:r>
              <w:rPr>
                <w:rFonts w:cs="Times New Roman"/>
                <w:b/>
                <w:color w:val="17365D"/>
                <w:sz w:val="18"/>
                <w:szCs w:val="18"/>
                <w:lang w:eastAsia="lv-LV"/>
              </w:rPr>
              <w:t>579</w:t>
            </w:r>
          </w:p>
        </w:tc>
        <w:tc>
          <w:tcPr>
            <w:tcW w:w="1593" w:type="dxa"/>
            <w:tcBorders>
              <w:top w:val="single" w:sz="4" w:space="0" w:color="17365D"/>
              <w:bottom w:val="single" w:sz="4" w:space="0" w:color="17365D"/>
            </w:tcBorders>
            <w:shd w:val="clear" w:color="auto" w:fill="auto"/>
            <w:vAlign w:val="center"/>
          </w:tcPr>
          <w:p w14:paraId="2CF1E1E7" w14:textId="77777777" w:rsidR="00224ABF" w:rsidRPr="003E3C94" w:rsidRDefault="00224ABF" w:rsidP="00224ABF">
            <w:pPr>
              <w:spacing w:after="0" w:line="240" w:lineRule="auto"/>
              <w:jc w:val="right"/>
              <w:rPr>
                <w:rFonts w:cs="Times New Roman"/>
                <w:b/>
                <w:color w:val="17365D"/>
                <w:sz w:val="18"/>
                <w:szCs w:val="18"/>
                <w:lang w:eastAsia="lv-LV"/>
              </w:rPr>
            </w:pPr>
            <w:r w:rsidRPr="003E3C94">
              <w:rPr>
                <w:rFonts w:cs="Times New Roman"/>
                <w:b/>
                <w:color w:val="17365D"/>
                <w:sz w:val="18"/>
                <w:szCs w:val="18"/>
                <w:lang w:eastAsia="lv-LV"/>
              </w:rPr>
              <w:t xml:space="preserve">1 </w:t>
            </w:r>
            <w:r>
              <w:rPr>
                <w:rFonts w:cs="Times New Roman"/>
                <w:b/>
                <w:color w:val="17365D"/>
                <w:sz w:val="18"/>
                <w:szCs w:val="18"/>
                <w:lang w:eastAsia="lv-LV"/>
              </w:rPr>
              <w:t>422</w:t>
            </w:r>
            <w:r w:rsidRPr="003E3C94">
              <w:rPr>
                <w:rFonts w:cs="Times New Roman"/>
                <w:b/>
                <w:color w:val="17365D"/>
                <w:sz w:val="18"/>
                <w:szCs w:val="18"/>
                <w:lang w:eastAsia="lv-LV"/>
              </w:rPr>
              <w:t xml:space="preserve"> </w:t>
            </w:r>
            <w:r>
              <w:rPr>
                <w:rFonts w:cs="Times New Roman"/>
                <w:b/>
                <w:color w:val="17365D"/>
                <w:sz w:val="18"/>
                <w:szCs w:val="18"/>
                <w:lang w:eastAsia="lv-LV"/>
              </w:rPr>
              <w:t>232</w:t>
            </w:r>
            <w:r w:rsidRPr="003E3C94">
              <w:rPr>
                <w:rFonts w:cs="Times New Roman"/>
                <w:b/>
                <w:color w:val="17365D"/>
                <w:sz w:val="18"/>
                <w:szCs w:val="18"/>
                <w:lang w:eastAsia="lv-LV"/>
              </w:rPr>
              <w:t> </w:t>
            </w:r>
            <w:r>
              <w:rPr>
                <w:rFonts w:cs="Times New Roman"/>
                <w:b/>
                <w:color w:val="17365D"/>
                <w:sz w:val="18"/>
                <w:szCs w:val="18"/>
                <w:lang w:eastAsia="lv-LV"/>
              </w:rPr>
              <w:t>978</w:t>
            </w:r>
          </w:p>
        </w:tc>
        <w:tc>
          <w:tcPr>
            <w:tcW w:w="1451" w:type="dxa"/>
            <w:tcBorders>
              <w:top w:val="single" w:sz="4" w:space="0" w:color="17365D"/>
              <w:bottom w:val="single" w:sz="4" w:space="0" w:color="17365D"/>
            </w:tcBorders>
            <w:shd w:val="clear" w:color="auto" w:fill="auto"/>
            <w:vAlign w:val="center"/>
          </w:tcPr>
          <w:p w14:paraId="56741A62" w14:textId="77777777" w:rsidR="00224ABF" w:rsidRPr="003E3C94" w:rsidRDefault="00224ABF" w:rsidP="00224ABF">
            <w:pPr>
              <w:spacing w:after="0" w:line="240" w:lineRule="auto"/>
              <w:jc w:val="right"/>
              <w:rPr>
                <w:rFonts w:cs="Times New Roman"/>
                <w:b/>
                <w:color w:val="17365D"/>
                <w:sz w:val="18"/>
                <w:szCs w:val="18"/>
                <w:lang w:eastAsia="lv-LV"/>
              </w:rPr>
            </w:pPr>
            <w:r>
              <w:rPr>
                <w:rFonts w:cs="Times New Roman"/>
                <w:b/>
                <w:color w:val="17365D"/>
                <w:sz w:val="18"/>
                <w:szCs w:val="18"/>
                <w:lang w:eastAsia="lv-LV"/>
              </w:rPr>
              <w:t>172</w:t>
            </w:r>
            <w:r w:rsidRPr="003E3C94">
              <w:rPr>
                <w:rFonts w:cs="Times New Roman"/>
                <w:b/>
                <w:color w:val="17365D"/>
                <w:sz w:val="18"/>
                <w:szCs w:val="18"/>
                <w:lang w:eastAsia="lv-LV"/>
              </w:rPr>
              <w:t xml:space="preserve"> 8</w:t>
            </w:r>
            <w:r>
              <w:rPr>
                <w:rFonts w:cs="Times New Roman"/>
                <w:b/>
                <w:color w:val="17365D"/>
                <w:sz w:val="18"/>
                <w:szCs w:val="18"/>
                <w:lang w:eastAsia="lv-LV"/>
              </w:rPr>
              <w:t>76</w:t>
            </w:r>
            <w:r w:rsidRPr="003E3C94">
              <w:rPr>
                <w:rFonts w:cs="Times New Roman"/>
                <w:b/>
                <w:color w:val="17365D"/>
                <w:sz w:val="18"/>
                <w:szCs w:val="18"/>
                <w:lang w:eastAsia="lv-LV"/>
              </w:rPr>
              <w:t> </w:t>
            </w:r>
            <w:r>
              <w:rPr>
                <w:rFonts w:cs="Times New Roman"/>
                <w:b/>
                <w:color w:val="17365D"/>
                <w:sz w:val="18"/>
                <w:szCs w:val="18"/>
                <w:lang w:eastAsia="lv-LV"/>
              </w:rPr>
              <w:t>601</w:t>
            </w:r>
          </w:p>
        </w:tc>
        <w:tc>
          <w:tcPr>
            <w:tcW w:w="1350" w:type="dxa"/>
            <w:tcBorders>
              <w:top w:val="single" w:sz="4" w:space="0" w:color="17365D"/>
              <w:bottom w:val="single" w:sz="4" w:space="0" w:color="17365D"/>
            </w:tcBorders>
            <w:shd w:val="clear" w:color="auto" w:fill="auto"/>
            <w:vAlign w:val="center"/>
          </w:tcPr>
          <w:p w14:paraId="3F24F5AC" w14:textId="77777777" w:rsidR="00224ABF" w:rsidRPr="003E3C94" w:rsidRDefault="00224ABF" w:rsidP="00224ABF">
            <w:pPr>
              <w:spacing w:after="0" w:line="240" w:lineRule="auto"/>
              <w:jc w:val="right"/>
              <w:rPr>
                <w:rFonts w:cs="Times New Roman"/>
                <w:b/>
                <w:color w:val="17365D"/>
                <w:sz w:val="18"/>
                <w:szCs w:val="18"/>
                <w:lang w:eastAsia="lv-LV"/>
              </w:rPr>
            </w:pPr>
            <w:r>
              <w:rPr>
                <w:rFonts w:cs="Times New Roman"/>
                <w:b/>
                <w:color w:val="17365D"/>
                <w:sz w:val="18"/>
                <w:szCs w:val="18"/>
                <w:lang w:eastAsia="lv-LV"/>
              </w:rPr>
              <w:t>12.16</w:t>
            </w:r>
          </w:p>
        </w:tc>
      </w:tr>
      <w:tr w:rsidR="00224ABF" w:rsidRPr="001F1056" w14:paraId="5C3D1C7D" w14:textId="77777777" w:rsidTr="00C90D8D">
        <w:trPr>
          <w:trHeight w:val="150"/>
        </w:trPr>
        <w:tc>
          <w:tcPr>
            <w:tcW w:w="2742" w:type="dxa"/>
            <w:tcBorders>
              <w:top w:val="single" w:sz="4" w:space="0" w:color="17365D"/>
              <w:bottom w:val="single" w:sz="4" w:space="0" w:color="17365D"/>
            </w:tcBorders>
            <w:shd w:val="clear" w:color="auto" w:fill="auto"/>
            <w:vAlign w:val="center"/>
          </w:tcPr>
          <w:p w14:paraId="5AA18C04" w14:textId="77777777" w:rsidR="00224ABF" w:rsidRPr="003E3C94" w:rsidRDefault="00224ABF" w:rsidP="00224ABF">
            <w:pPr>
              <w:pStyle w:val="Tabulasteksts"/>
              <w:rPr>
                <w:bCs/>
                <w:color w:val="17365D"/>
                <w:sz w:val="18"/>
                <w:szCs w:val="18"/>
                <w:lang w:eastAsia="lv-LV"/>
              </w:rPr>
            </w:pPr>
            <w:r w:rsidRPr="003E3C94">
              <w:rPr>
                <w:bCs/>
                <w:color w:val="17365D"/>
                <w:sz w:val="18"/>
                <w:szCs w:val="18"/>
                <w:lang w:eastAsia="lv-LV"/>
              </w:rPr>
              <w:t>Nemateriālo ieguldījumu iegāde un avansa maksājumi par nemateriālajiem ieguldījumiem</w:t>
            </w:r>
          </w:p>
        </w:tc>
        <w:tc>
          <w:tcPr>
            <w:tcW w:w="944" w:type="dxa"/>
            <w:tcBorders>
              <w:top w:val="single" w:sz="4" w:space="0" w:color="17365D"/>
              <w:bottom w:val="single" w:sz="4" w:space="0" w:color="17365D"/>
            </w:tcBorders>
            <w:shd w:val="clear" w:color="auto" w:fill="auto"/>
            <w:vAlign w:val="center"/>
          </w:tcPr>
          <w:p w14:paraId="02854D33" w14:textId="77777777" w:rsidR="00224ABF" w:rsidRPr="003E3C94" w:rsidRDefault="00224ABF" w:rsidP="00224ABF">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4EEF458A"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43</w:t>
            </w:r>
            <w:r w:rsidRPr="00E42C98">
              <w:rPr>
                <w:bCs/>
                <w:color w:val="17365D"/>
                <w:sz w:val="18"/>
                <w:szCs w:val="18"/>
                <w:lang w:eastAsia="lv-LV"/>
              </w:rPr>
              <w:t xml:space="preserve"> </w:t>
            </w:r>
            <w:r>
              <w:rPr>
                <w:bCs/>
                <w:color w:val="17365D"/>
                <w:sz w:val="18"/>
                <w:szCs w:val="18"/>
                <w:lang w:eastAsia="lv-LV"/>
              </w:rPr>
              <w:t>299</w:t>
            </w:r>
            <w:r w:rsidRPr="00E42C98">
              <w:rPr>
                <w:bCs/>
                <w:color w:val="17365D"/>
                <w:sz w:val="18"/>
                <w:szCs w:val="18"/>
                <w:lang w:eastAsia="lv-LV"/>
              </w:rPr>
              <w:t xml:space="preserve"> </w:t>
            </w:r>
            <w:r>
              <w:rPr>
                <w:bCs/>
                <w:color w:val="17365D"/>
                <w:sz w:val="18"/>
                <w:szCs w:val="18"/>
                <w:lang w:eastAsia="lv-LV"/>
              </w:rPr>
              <w:t>986</w:t>
            </w:r>
          </w:p>
        </w:tc>
        <w:tc>
          <w:tcPr>
            <w:tcW w:w="1593" w:type="dxa"/>
            <w:tcBorders>
              <w:top w:val="single" w:sz="4" w:space="0" w:color="17365D"/>
              <w:bottom w:val="single" w:sz="4" w:space="0" w:color="17365D"/>
            </w:tcBorders>
            <w:shd w:val="clear" w:color="auto" w:fill="auto"/>
            <w:vAlign w:val="center"/>
          </w:tcPr>
          <w:p w14:paraId="4C4B98D3"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32 064 739</w:t>
            </w:r>
          </w:p>
        </w:tc>
        <w:tc>
          <w:tcPr>
            <w:tcW w:w="1451" w:type="dxa"/>
            <w:tcBorders>
              <w:top w:val="single" w:sz="4" w:space="0" w:color="17365D"/>
              <w:bottom w:val="single" w:sz="4" w:space="0" w:color="17365D"/>
            </w:tcBorders>
            <w:shd w:val="clear" w:color="auto" w:fill="auto"/>
            <w:vAlign w:val="center"/>
          </w:tcPr>
          <w:p w14:paraId="0B32B165"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1</w:t>
            </w:r>
            <w:r>
              <w:rPr>
                <w:bCs/>
                <w:color w:val="17365D"/>
                <w:sz w:val="18"/>
                <w:szCs w:val="18"/>
                <w:lang w:eastAsia="lv-LV"/>
              </w:rPr>
              <w:t>1</w:t>
            </w:r>
            <w:r w:rsidRPr="00E42C98">
              <w:rPr>
                <w:bCs/>
                <w:color w:val="17365D"/>
                <w:sz w:val="18"/>
                <w:szCs w:val="18"/>
                <w:lang w:eastAsia="lv-LV"/>
              </w:rPr>
              <w:t xml:space="preserve"> </w:t>
            </w:r>
            <w:r>
              <w:rPr>
                <w:bCs/>
                <w:color w:val="17365D"/>
                <w:sz w:val="18"/>
                <w:szCs w:val="18"/>
                <w:lang w:eastAsia="lv-LV"/>
              </w:rPr>
              <w:t>235</w:t>
            </w:r>
            <w:r w:rsidRPr="00E42C98">
              <w:rPr>
                <w:bCs/>
                <w:color w:val="17365D"/>
                <w:sz w:val="18"/>
                <w:szCs w:val="18"/>
                <w:lang w:eastAsia="lv-LV"/>
              </w:rPr>
              <w:t xml:space="preserve"> </w:t>
            </w:r>
            <w:r>
              <w:rPr>
                <w:bCs/>
                <w:color w:val="17365D"/>
                <w:sz w:val="18"/>
                <w:szCs w:val="18"/>
                <w:lang w:eastAsia="lv-LV"/>
              </w:rPr>
              <w:t>247</w:t>
            </w:r>
          </w:p>
        </w:tc>
        <w:tc>
          <w:tcPr>
            <w:tcW w:w="1350" w:type="dxa"/>
            <w:tcBorders>
              <w:top w:val="single" w:sz="4" w:space="0" w:color="17365D"/>
              <w:bottom w:val="single" w:sz="4" w:space="0" w:color="17365D"/>
            </w:tcBorders>
            <w:shd w:val="clear" w:color="auto" w:fill="auto"/>
            <w:vAlign w:val="center"/>
          </w:tcPr>
          <w:p w14:paraId="32CC21E5"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35</w:t>
            </w:r>
            <w:r w:rsidRPr="00E42C98">
              <w:rPr>
                <w:bCs/>
                <w:color w:val="17365D"/>
                <w:sz w:val="18"/>
                <w:szCs w:val="18"/>
                <w:lang w:eastAsia="lv-LV"/>
              </w:rPr>
              <w:t>.</w:t>
            </w:r>
            <w:r>
              <w:rPr>
                <w:bCs/>
                <w:color w:val="17365D"/>
                <w:sz w:val="18"/>
                <w:szCs w:val="18"/>
                <w:lang w:eastAsia="lv-LV"/>
              </w:rPr>
              <w:t>04</w:t>
            </w:r>
          </w:p>
        </w:tc>
      </w:tr>
      <w:tr w:rsidR="00224ABF" w:rsidRPr="001F1056" w14:paraId="6EE0E7E7" w14:textId="77777777" w:rsidTr="00C90D8D">
        <w:trPr>
          <w:trHeight w:val="150"/>
        </w:trPr>
        <w:tc>
          <w:tcPr>
            <w:tcW w:w="2742" w:type="dxa"/>
            <w:tcBorders>
              <w:top w:val="single" w:sz="4" w:space="0" w:color="17365D"/>
              <w:bottom w:val="single" w:sz="4" w:space="0" w:color="17365D"/>
            </w:tcBorders>
            <w:shd w:val="clear" w:color="auto" w:fill="auto"/>
          </w:tcPr>
          <w:p w14:paraId="2F7AE07F" w14:textId="77777777" w:rsidR="00224ABF" w:rsidRPr="003E3C94" w:rsidRDefault="00224ABF" w:rsidP="00224ABF">
            <w:pPr>
              <w:pStyle w:val="Tabulasteksts"/>
              <w:rPr>
                <w:bCs/>
                <w:color w:val="17365D"/>
                <w:sz w:val="18"/>
                <w:szCs w:val="18"/>
                <w:lang w:eastAsia="lv-LV"/>
              </w:rPr>
            </w:pPr>
            <w:r w:rsidRPr="003E3C94">
              <w:rPr>
                <w:bCs/>
                <w:color w:val="17365D"/>
                <w:sz w:val="18"/>
                <w:szCs w:val="18"/>
                <w:lang w:eastAsia="lv-LV"/>
              </w:rPr>
              <w:t>Nemateriālo ieguldījumu izveidošana</w:t>
            </w:r>
          </w:p>
        </w:tc>
        <w:tc>
          <w:tcPr>
            <w:tcW w:w="944" w:type="dxa"/>
            <w:tcBorders>
              <w:top w:val="single" w:sz="4" w:space="0" w:color="17365D"/>
              <w:bottom w:val="single" w:sz="4" w:space="0" w:color="17365D"/>
            </w:tcBorders>
            <w:shd w:val="clear" w:color="auto" w:fill="auto"/>
            <w:vAlign w:val="center"/>
          </w:tcPr>
          <w:p w14:paraId="18032FFF" w14:textId="77777777" w:rsidR="00224ABF" w:rsidRPr="003E3C94" w:rsidRDefault="00224ABF" w:rsidP="00224ABF">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4D550488"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53</w:t>
            </w:r>
            <w:r w:rsidRPr="00E42C98">
              <w:rPr>
                <w:bCs/>
                <w:color w:val="17365D"/>
                <w:sz w:val="18"/>
                <w:szCs w:val="18"/>
                <w:lang w:eastAsia="lv-LV"/>
              </w:rPr>
              <w:t xml:space="preserve"> </w:t>
            </w:r>
            <w:r>
              <w:rPr>
                <w:bCs/>
                <w:color w:val="17365D"/>
                <w:sz w:val="18"/>
                <w:szCs w:val="18"/>
                <w:lang w:eastAsia="lv-LV"/>
              </w:rPr>
              <w:t>966</w:t>
            </w:r>
            <w:r w:rsidRPr="00E42C98">
              <w:rPr>
                <w:bCs/>
                <w:color w:val="17365D"/>
                <w:sz w:val="18"/>
                <w:szCs w:val="18"/>
                <w:lang w:eastAsia="lv-LV"/>
              </w:rPr>
              <w:t xml:space="preserve"> </w:t>
            </w:r>
            <w:r>
              <w:rPr>
                <w:bCs/>
                <w:color w:val="17365D"/>
                <w:sz w:val="18"/>
                <w:szCs w:val="18"/>
                <w:lang w:eastAsia="lv-LV"/>
              </w:rPr>
              <w:t>223</w:t>
            </w:r>
          </w:p>
        </w:tc>
        <w:tc>
          <w:tcPr>
            <w:tcW w:w="1593" w:type="dxa"/>
            <w:tcBorders>
              <w:top w:val="single" w:sz="4" w:space="0" w:color="17365D"/>
              <w:bottom w:val="single" w:sz="4" w:space="0" w:color="17365D"/>
            </w:tcBorders>
            <w:shd w:val="clear" w:color="auto" w:fill="auto"/>
            <w:vAlign w:val="center"/>
          </w:tcPr>
          <w:p w14:paraId="519BA667"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38 167 008</w:t>
            </w:r>
          </w:p>
        </w:tc>
        <w:tc>
          <w:tcPr>
            <w:tcW w:w="1451" w:type="dxa"/>
            <w:tcBorders>
              <w:top w:val="single" w:sz="4" w:space="0" w:color="17365D"/>
              <w:bottom w:val="single" w:sz="4" w:space="0" w:color="17365D"/>
            </w:tcBorders>
            <w:shd w:val="clear" w:color="auto" w:fill="auto"/>
            <w:vAlign w:val="center"/>
          </w:tcPr>
          <w:p w14:paraId="5B4BA4D1"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1</w:t>
            </w:r>
            <w:r w:rsidRPr="00E42C98">
              <w:rPr>
                <w:bCs/>
                <w:color w:val="17365D"/>
                <w:sz w:val="18"/>
                <w:szCs w:val="18"/>
                <w:lang w:eastAsia="lv-LV"/>
              </w:rPr>
              <w:t xml:space="preserve">3 </w:t>
            </w:r>
            <w:r>
              <w:rPr>
                <w:bCs/>
                <w:color w:val="17365D"/>
                <w:sz w:val="18"/>
                <w:szCs w:val="18"/>
                <w:lang w:eastAsia="lv-LV"/>
              </w:rPr>
              <w:t>799</w:t>
            </w:r>
            <w:r w:rsidRPr="00E42C98">
              <w:rPr>
                <w:bCs/>
                <w:color w:val="17365D"/>
                <w:sz w:val="18"/>
                <w:szCs w:val="18"/>
                <w:lang w:eastAsia="lv-LV"/>
              </w:rPr>
              <w:t xml:space="preserve"> </w:t>
            </w:r>
            <w:r>
              <w:rPr>
                <w:bCs/>
                <w:color w:val="17365D"/>
                <w:sz w:val="18"/>
                <w:szCs w:val="18"/>
                <w:lang w:eastAsia="lv-LV"/>
              </w:rPr>
              <w:t>215</w:t>
            </w:r>
          </w:p>
        </w:tc>
        <w:tc>
          <w:tcPr>
            <w:tcW w:w="1350" w:type="dxa"/>
            <w:tcBorders>
              <w:top w:val="single" w:sz="4" w:space="0" w:color="17365D"/>
              <w:bottom w:val="single" w:sz="4" w:space="0" w:color="17365D"/>
            </w:tcBorders>
            <w:shd w:val="clear" w:color="auto" w:fill="auto"/>
            <w:vAlign w:val="center"/>
          </w:tcPr>
          <w:p w14:paraId="7FFED93D"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41.39</w:t>
            </w:r>
          </w:p>
        </w:tc>
      </w:tr>
      <w:tr w:rsidR="00224ABF" w:rsidRPr="001F1056" w14:paraId="6A2ECDDE" w14:textId="77777777" w:rsidTr="00C90D8D">
        <w:trPr>
          <w:trHeight w:val="150"/>
        </w:trPr>
        <w:tc>
          <w:tcPr>
            <w:tcW w:w="2742" w:type="dxa"/>
            <w:tcBorders>
              <w:top w:val="single" w:sz="4" w:space="0" w:color="17365D"/>
              <w:bottom w:val="single" w:sz="4" w:space="0" w:color="17365D"/>
            </w:tcBorders>
            <w:shd w:val="clear" w:color="auto" w:fill="auto"/>
          </w:tcPr>
          <w:p w14:paraId="452D74BD" w14:textId="77777777" w:rsidR="00224ABF" w:rsidRPr="003E3C94" w:rsidRDefault="00224ABF" w:rsidP="00224ABF">
            <w:pPr>
              <w:pStyle w:val="Tabulasteksts"/>
              <w:rPr>
                <w:bCs/>
                <w:color w:val="17365D"/>
                <w:sz w:val="18"/>
                <w:szCs w:val="18"/>
                <w:lang w:eastAsia="lv-LV"/>
              </w:rPr>
            </w:pPr>
            <w:r w:rsidRPr="003E3C94">
              <w:rPr>
                <w:bCs/>
                <w:color w:val="17365D"/>
                <w:sz w:val="18"/>
                <w:szCs w:val="18"/>
                <w:lang w:eastAsia="lv-LV"/>
              </w:rPr>
              <w:t>Pamatlīdzekļu iegāde un avansa maksājumi par pamatlīdzekļiem</w:t>
            </w:r>
          </w:p>
        </w:tc>
        <w:tc>
          <w:tcPr>
            <w:tcW w:w="944" w:type="dxa"/>
            <w:tcBorders>
              <w:top w:val="single" w:sz="4" w:space="0" w:color="17365D"/>
              <w:bottom w:val="single" w:sz="4" w:space="0" w:color="17365D"/>
            </w:tcBorders>
            <w:shd w:val="clear" w:color="auto" w:fill="auto"/>
            <w:vAlign w:val="center"/>
          </w:tcPr>
          <w:p w14:paraId="7BE45F2F" w14:textId="77777777" w:rsidR="00224ABF" w:rsidRPr="003E3C94" w:rsidRDefault="00224ABF" w:rsidP="00224ABF">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032476D4"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6</w:t>
            </w:r>
            <w:r>
              <w:rPr>
                <w:bCs/>
                <w:color w:val="17365D"/>
                <w:sz w:val="18"/>
                <w:szCs w:val="18"/>
                <w:lang w:eastAsia="lv-LV"/>
              </w:rPr>
              <w:t>87 945 771</w:t>
            </w:r>
          </w:p>
        </w:tc>
        <w:tc>
          <w:tcPr>
            <w:tcW w:w="1593" w:type="dxa"/>
            <w:tcBorders>
              <w:top w:val="single" w:sz="4" w:space="0" w:color="17365D"/>
              <w:bottom w:val="single" w:sz="4" w:space="0" w:color="17365D"/>
            </w:tcBorders>
            <w:shd w:val="clear" w:color="auto" w:fill="auto"/>
            <w:vAlign w:val="center"/>
          </w:tcPr>
          <w:p w14:paraId="28EF5418"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614 264 700</w:t>
            </w:r>
          </w:p>
        </w:tc>
        <w:tc>
          <w:tcPr>
            <w:tcW w:w="1451" w:type="dxa"/>
            <w:tcBorders>
              <w:top w:val="single" w:sz="4" w:space="0" w:color="17365D"/>
              <w:bottom w:val="single" w:sz="4" w:space="0" w:color="17365D"/>
            </w:tcBorders>
            <w:shd w:val="clear" w:color="auto" w:fill="auto"/>
            <w:vAlign w:val="center"/>
          </w:tcPr>
          <w:p w14:paraId="0079F597"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73</w:t>
            </w:r>
            <w:r w:rsidRPr="00E42C98">
              <w:rPr>
                <w:bCs/>
                <w:color w:val="17365D"/>
                <w:sz w:val="18"/>
                <w:szCs w:val="18"/>
                <w:lang w:eastAsia="lv-LV"/>
              </w:rPr>
              <w:t xml:space="preserve"> </w:t>
            </w:r>
            <w:r>
              <w:rPr>
                <w:bCs/>
                <w:color w:val="17365D"/>
                <w:sz w:val="18"/>
                <w:szCs w:val="18"/>
                <w:lang w:eastAsia="lv-LV"/>
              </w:rPr>
              <w:t>681</w:t>
            </w:r>
            <w:r w:rsidRPr="00E42C98">
              <w:rPr>
                <w:bCs/>
                <w:color w:val="17365D"/>
                <w:sz w:val="18"/>
                <w:szCs w:val="18"/>
                <w:lang w:eastAsia="lv-LV"/>
              </w:rPr>
              <w:t xml:space="preserve"> </w:t>
            </w:r>
            <w:r>
              <w:rPr>
                <w:bCs/>
                <w:color w:val="17365D"/>
                <w:sz w:val="18"/>
                <w:szCs w:val="18"/>
                <w:lang w:eastAsia="lv-LV"/>
              </w:rPr>
              <w:t>071</w:t>
            </w:r>
          </w:p>
        </w:tc>
        <w:tc>
          <w:tcPr>
            <w:tcW w:w="1350" w:type="dxa"/>
            <w:tcBorders>
              <w:top w:val="single" w:sz="4" w:space="0" w:color="17365D"/>
              <w:bottom w:val="single" w:sz="4" w:space="0" w:color="17365D"/>
            </w:tcBorders>
            <w:shd w:val="clear" w:color="auto" w:fill="auto"/>
            <w:vAlign w:val="center"/>
          </w:tcPr>
          <w:p w14:paraId="61CF564E"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12</w:t>
            </w:r>
            <w:r w:rsidRPr="00E42C98">
              <w:rPr>
                <w:bCs/>
                <w:color w:val="17365D"/>
                <w:sz w:val="18"/>
                <w:szCs w:val="18"/>
                <w:lang w:eastAsia="lv-LV"/>
              </w:rPr>
              <w:t>.</w:t>
            </w:r>
            <w:r>
              <w:rPr>
                <w:bCs/>
                <w:color w:val="17365D"/>
                <w:sz w:val="18"/>
                <w:szCs w:val="18"/>
                <w:lang w:eastAsia="lv-LV"/>
              </w:rPr>
              <w:t>00</w:t>
            </w:r>
          </w:p>
        </w:tc>
      </w:tr>
      <w:tr w:rsidR="00224ABF" w:rsidRPr="001F1056" w14:paraId="231AAA09" w14:textId="77777777" w:rsidTr="00C90D8D">
        <w:trPr>
          <w:trHeight w:val="150"/>
        </w:trPr>
        <w:tc>
          <w:tcPr>
            <w:tcW w:w="2742" w:type="dxa"/>
            <w:tcBorders>
              <w:top w:val="single" w:sz="4" w:space="0" w:color="17365D"/>
              <w:bottom w:val="single" w:sz="4" w:space="0" w:color="17365D"/>
            </w:tcBorders>
            <w:shd w:val="clear" w:color="auto" w:fill="auto"/>
          </w:tcPr>
          <w:p w14:paraId="209CB9A8" w14:textId="77777777" w:rsidR="00224ABF" w:rsidRPr="003E3C94" w:rsidRDefault="00224ABF" w:rsidP="00224ABF">
            <w:pPr>
              <w:pStyle w:val="Tabulasteksts"/>
              <w:rPr>
                <w:bCs/>
                <w:color w:val="17365D"/>
                <w:sz w:val="18"/>
                <w:szCs w:val="18"/>
                <w:lang w:eastAsia="lv-LV"/>
              </w:rPr>
            </w:pPr>
            <w:r w:rsidRPr="003E3C94">
              <w:rPr>
                <w:bCs/>
                <w:color w:val="17365D"/>
                <w:sz w:val="18"/>
                <w:szCs w:val="18"/>
                <w:lang w:eastAsia="lv-LV"/>
              </w:rPr>
              <w:t>Pamatlīdzekļu izveidošana un nepabeigtā būvniecība</w:t>
            </w:r>
          </w:p>
        </w:tc>
        <w:tc>
          <w:tcPr>
            <w:tcW w:w="944" w:type="dxa"/>
            <w:tcBorders>
              <w:top w:val="single" w:sz="4" w:space="0" w:color="17365D"/>
              <w:bottom w:val="single" w:sz="4" w:space="0" w:color="17365D"/>
            </w:tcBorders>
            <w:shd w:val="clear" w:color="auto" w:fill="auto"/>
            <w:vAlign w:val="center"/>
          </w:tcPr>
          <w:p w14:paraId="378B2D1C" w14:textId="77777777" w:rsidR="00224ABF" w:rsidRPr="003E3C94" w:rsidRDefault="00224ABF" w:rsidP="00224ABF">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714E6528"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668</w:t>
            </w:r>
            <w:r w:rsidRPr="00E42C98">
              <w:rPr>
                <w:bCs/>
                <w:color w:val="17365D"/>
                <w:sz w:val="18"/>
                <w:szCs w:val="18"/>
                <w:lang w:eastAsia="lv-LV"/>
              </w:rPr>
              <w:t xml:space="preserve"> </w:t>
            </w:r>
            <w:r>
              <w:rPr>
                <w:bCs/>
                <w:color w:val="17365D"/>
                <w:sz w:val="18"/>
                <w:szCs w:val="18"/>
                <w:lang w:eastAsia="lv-LV"/>
              </w:rPr>
              <w:t>917 11</w:t>
            </w:r>
            <w:r w:rsidRPr="00E42C98">
              <w:rPr>
                <w:bCs/>
                <w:color w:val="17365D"/>
                <w:sz w:val="18"/>
                <w:szCs w:val="18"/>
                <w:lang w:eastAsia="lv-LV"/>
              </w:rPr>
              <w:t>6</w:t>
            </w:r>
          </w:p>
        </w:tc>
        <w:tc>
          <w:tcPr>
            <w:tcW w:w="1593" w:type="dxa"/>
            <w:tcBorders>
              <w:top w:val="single" w:sz="4" w:space="0" w:color="17365D"/>
              <w:bottom w:val="single" w:sz="4" w:space="0" w:color="17365D"/>
            </w:tcBorders>
            <w:shd w:val="clear" w:color="auto" w:fill="auto"/>
            <w:vAlign w:val="center"/>
          </w:tcPr>
          <w:p w14:paraId="678BB580"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589 532 846</w:t>
            </w:r>
          </w:p>
        </w:tc>
        <w:tc>
          <w:tcPr>
            <w:tcW w:w="1451" w:type="dxa"/>
            <w:tcBorders>
              <w:top w:val="single" w:sz="4" w:space="0" w:color="17365D"/>
              <w:bottom w:val="single" w:sz="4" w:space="0" w:color="17365D"/>
            </w:tcBorders>
            <w:shd w:val="clear" w:color="auto" w:fill="auto"/>
            <w:vAlign w:val="center"/>
          </w:tcPr>
          <w:p w14:paraId="75BEE702"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79</w:t>
            </w:r>
            <w:r w:rsidRPr="00E42C98">
              <w:rPr>
                <w:bCs/>
                <w:color w:val="17365D"/>
                <w:sz w:val="18"/>
                <w:szCs w:val="18"/>
                <w:lang w:eastAsia="lv-LV"/>
              </w:rPr>
              <w:t xml:space="preserve"> </w:t>
            </w:r>
            <w:r>
              <w:rPr>
                <w:bCs/>
                <w:color w:val="17365D"/>
                <w:sz w:val="18"/>
                <w:szCs w:val="18"/>
                <w:lang w:eastAsia="lv-LV"/>
              </w:rPr>
              <w:t>384</w:t>
            </w:r>
            <w:r w:rsidRPr="00E42C98">
              <w:rPr>
                <w:bCs/>
                <w:color w:val="17365D"/>
                <w:sz w:val="18"/>
                <w:szCs w:val="18"/>
                <w:lang w:eastAsia="lv-LV"/>
              </w:rPr>
              <w:t xml:space="preserve"> 2</w:t>
            </w:r>
            <w:r>
              <w:rPr>
                <w:bCs/>
                <w:color w:val="17365D"/>
                <w:sz w:val="18"/>
                <w:szCs w:val="18"/>
                <w:lang w:eastAsia="lv-LV"/>
              </w:rPr>
              <w:t>70</w:t>
            </w:r>
          </w:p>
        </w:tc>
        <w:tc>
          <w:tcPr>
            <w:tcW w:w="1350" w:type="dxa"/>
            <w:tcBorders>
              <w:top w:val="single" w:sz="4" w:space="0" w:color="17365D"/>
              <w:bottom w:val="single" w:sz="4" w:space="0" w:color="17365D"/>
            </w:tcBorders>
            <w:shd w:val="clear" w:color="auto" w:fill="auto"/>
            <w:vAlign w:val="center"/>
          </w:tcPr>
          <w:p w14:paraId="37B12D11"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13.47</w:t>
            </w:r>
          </w:p>
        </w:tc>
      </w:tr>
      <w:tr w:rsidR="00224ABF" w:rsidRPr="001F1056" w14:paraId="77355C27" w14:textId="77777777" w:rsidTr="00C90D8D">
        <w:trPr>
          <w:trHeight w:val="141"/>
        </w:trPr>
        <w:tc>
          <w:tcPr>
            <w:tcW w:w="2742" w:type="dxa"/>
            <w:tcBorders>
              <w:top w:val="single" w:sz="4" w:space="0" w:color="17365D"/>
              <w:bottom w:val="single" w:sz="4" w:space="0" w:color="17365D"/>
            </w:tcBorders>
            <w:shd w:val="clear" w:color="auto" w:fill="auto"/>
          </w:tcPr>
          <w:p w14:paraId="50F9F256" w14:textId="77777777" w:rsidR="00224ABF" w:rsidRPr="003E3C94" w:rsidRDefault="00224ABF" w:rsidP="00224ABF">
            <w:pPr>
              <w:pStyle w:val="Tabulasteksts"/>
              <w:rPr>
                <w:bCs/>
                <w:color w:val="17365D"/>
                <w:sz w:val="18"/>
                <w:szCs w:val="18"/>
                <w:lang w:eastAsia="lv-LV"/>
              </w:rPr>
            </w:pPr>
            <w:r w:rsidRPr="003E3C94">
              <w:rPr>
                <w:bCs/>
                <w:color w:val="17365D"/>
                <w:sz w:val="18"/>
                <w:szCs w:val="18"/>
                <w:lang w:eastAsia="lv-LV"/>
              </w:rPr>
              <w:t>Līdzdalības kapitālsabiedrību kapitālā, akciju un vērtspapīru iegāde</w:t>
            </w:r>
          </w:p>
        </w:tc>
        <w:tc>
          <w:tcPr>
            <w:tcW w:w="944" w:type="dxa"/>
            <w:tcBorders>
              <w:top w:val="single" w:sz="4" w:space="0" w:color="17365D"/>
              <w:bottom w:val="single" w:sz="4" w:space="0" w:color="17365D"/>
            </w:tcBorders>
            <w:shd w:val="clear" w:color="auto" w:fill="auto"/>
            <w:vAlign w:val="center"/>
          </w:tcPr>
          <w:p w14:paraId="1FD2A9A2" w14:textId="77777777" w:rsidR="00224ABF" w:rsidRPr="003E3C94" w:rsidRDefault="00224ABF" w:rsidP="00224ABF">
            <w:pPr>
              <w:pStyle w:val="Tabulasteksts"/>
              <w:rPr>
                <w:bCs/>
                <w:color w:val="17365D"/>
                <w:sz w:val="18"/>
                <w:szCs w:val="18"/>
                <w:lang w:eastAsia="lv-LV"/>
              </w:rPr>
            </w:pPr>
            <w:r w:rsidRPr="003E3C94">
              <w:rPr>
                <w:bCs/>
                <w:color w:val="17365D"/>
                <w:sz w:val="18"/>
                <w:szCs w:val="18"/>
                <w:lang w:eastAsia="lv-LV"/>
              </w:rPr>
              <w:t>NP.B25</w:t>
            </w:r>
          </w:p>
        </w:tc>
        <w:tc>
          <w:tcPr>
            <w:tcW w:w="1276" w:type="dxa"/>
            <w:tcBorders>
              <w:top w:val="single" w:sz="4" w:space="0" w:color="17365D"/>
              <w:bottom w:val="single" w:sz="4" w:space="0" w:color="17365D"/>
            </w:tcBorders>
            <w:shd w:val="clear" w:color="auto" w:fill="auto"/>
            <w:vAlign w:val="center"/>
          </w:tcPr>
          <w:p w14:paraId="6FC25DE7"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51</w:t>
            </w:r>
            <w:r w:rsidRPr="00E42C98">
              <w:rPr>
                <w:bCs/>
                <w:color w:val="17365D"/>
                <w:sz w:val="18"/>
                <w:szCs w:val="18"/>
                <w:lang w:eastAsia="lv-LV"/>
              </w:rPr>
              <w:t xml:space="preserve"> </w:t>
            </w:r>
            <w:r>
              <w:rPr>
                <w:bCs/>
                <w:color w:val="17365D"/>
                <w:sz w:val="18"/>
                <w:szCs w:val="18"/>
                <w:lang w:eastAsia="lv-LV"/>
              </w:rPr>
              <w:t>961</w:t>
            </w:r>
            <w:r w:rsidRPr="00E42C98">
              <w:rPr>
                <w:bCs/>
                <w:color w:val="17365D"/>
                <w:sz w:val="18"/>
                <w:szCs w:val="18"/>
                <w:lang w:eastAsia="lv-LV"/>
              </w:rPr>
              <w:t xml:space="preserve"> </w:t>
            </w:r>
            <w:r>
              <w:rPr>
                <w:bCs/>
                <w:color w:val="17365D"/>
                <w:sz w:val="18"/>
                <w:szCs w:val="18"/>
                <w:lang w:eastAsia="lv-LV"/>
              </w:rPr>
              <w:t>129</w:t>
            </w:r>
          </w:p>
        </w:tc>
        <w:tc>
          <w:tcPr>
            <w:tcW w:w="1593" w:type="dxa"/>
            <w:tcBorders>
              <w:top w:val="single" w:sz="4" w:space="0" w:color="17365D"/>
              <w:bottom w:val="single" w:sz="4" w:space="0" w:color="17365D"/>
            </w:tcBorders>
            <w:shd w:val="clear" w:color="auto" w:fill="auto"/>
            <w:vAlign w:val="center"/>
          </w:tcPr>
          <w:p w14:paraId="0E994DA6"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148 021 750</w:t>
            </w:r>
          </w:p>
        </w:tc>
        <w:tc>
          <w:tcPr>
            <w:tcW w:w="1451" w:type="dxa"/>
            <w:tcBorders>
              <w:top w:val="single" w:sz="4" w:space="0" w:color="17365D"/>
              <w:bottom w:val="single" w:sz="4" w:space="0" w:color="17365D"/>
            </w:tcBorders>
            <w:shd w:val="clear" w:color="auto" w:fill="auto"/>
            <w:vAlign w:val="center"/>
          </w:tcPr>
          <w:p w14:paraId="2A448DFB"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w:t>
            </w:r>
            <w:r>
              <w:rPr>
                <w:bCs/>
                <w:color w:val="17365D"/>
                <w:sz w:val="18"/>
                <w:szCs w:val="18"/>
                <w:lang w:eastAsia="lv-LV"/>
              </w:rPr>
              <w:t>96</w:t>
            </w:r>
            <w:r w:rsidRPr="00E42C98">
              <w:rPr>
                <w:bCs/>
                <w:color w:val="17365D"/>
                <w:sz w:val="18"/>
                <w:szCs w:val="18"/>
                <w:lang w:eastAsia="lv-LV"/>
              </w:rPr>
              <w:t xml:space="preserve"> </w:t>
            </w:r>
            <w:r>
              <w:rPr>
                <w:bCs/>
                <w:color w:val="17365D"/>
                <w:sz w:val="18"/>
                <w:szCs w:val="18"/>
                <w:lang w:eastAsia="lv-LV"/>
              </w:rPr>
              <w:t>060</w:t>
            </w:r>
            <w:r w:rsidRPr="00E42C98">
              <w:rPr>
                <w:bCs/>
                <w:color w:val="17365D"/>
                <w:sz w:val="18"/>
                <w:szCs w:val="18"/>
                <w:lang w:eastAsia="lv-LV"/>
              </w:rPr>
              <w:t xml:space="preserve"> </w:t>
            </w:r>
            <w:r>
              <w:rPr>
                <w:bCs/>
                <w:color w:val="17365D"/>
                <w:sz w:val="18"/>
                <w:szCs w:val="18"/>
                <w:lang w:eastAsia="lv-LV"/>
              </w:rPr>
              <w:t>621</w:t>
            </w:r>
          </w:p>
        </w:tc>
        <w:tc>
          <w:tcPr>
            <w:tcW w:w="1350" w:type="dxa"/>
            <w:tcBorders>
              <w:top w:val="single" w:sz="4" w:space="0" w:color="17365D"/>
              <w:bottom w:val="single" w:sz="4" w:space="0" w:color="17365D"/>
            </w:tcBorders>
            <w:shd w:val="clear" w:color="auto" w:fill="auto"/>
            <w:vAlign w:val="center"/>
          </w:tcPr>
          <w:p w14:paraId="2307A443"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-64</w:t>
            </w:r>
            <w:r w:rsidRPr="00E42C98">
              <w:rPr>
                <w:bCs/>
                <w:color w:val="17365D"/>
                <w:sz w:val="18"/>
                <w:szCs w:val="18"/>
                <w:lang w:eastAsia="lv-LV"/>
              </w:rPr>
              <w:t>.</w:t>
            </w:r>
            <w:r>
              <w:rPr>
                <w:bCs/>
                <w:color w:val="17365D"/>
                <w:sz w:val="18"/>
                <w:szCs w:val="18"/>
                <w:lang w:eastAsia="lv-LV"/>
              </w:rPr>
              <w:t>90</w:t>
            </w:r>
          </w:p>
        </w:tc>
      </w:tr>
      <w:tr w:rsidR="00224ABF" w:rsidRPr="001F1056" w14:paraId="6D8299F0" w14:textId="77777777" w:rsidTr="00C90D8D">
        <w:trPr>
          <w:trHeight w:val="141"/>
        </w:trPr>
        <w:tc>
          <w:tcPr>
            <w:tcW w:w="2742" w:type="dxa"/>
            <w:tcBorders>
              <w:top w:val="single" w:sz="4" w:space="0" w:color="17365D"/>
              <w:bottom w:val="single" w:sz="4" w:space="0" w:color="17365D"/>
            </w:tcBorders>
            <w:shd w:val="clear" w:color="auto" w:fill="auto"/>
          </w:tcPr>
          <w:p w14:paraId="551D3EC0" w14:textId="77777777" w:rsidR="00224ABF" w:rsidRPr="003E3C94" w:rsidRDefault="00224ABF" w:rsidP="00224ABF">
            <w:pPr>
              <w:pStyle w:val="Tabulasteksts"/>
              <w:rPr>
                <w:bCs/>
                <w:color w:val="17365D"/>
                <w:sz w:val="18"/>
                <w:szCs w:val="18"/>
                <w:lang w:eastAsia="lv-LV"/>
              </w:rPr>
            </w:pPr>
            <w:r w:rsidRPr="003E3C94">
              <w:rPr>
                <w:bCs/>
                <w:color w:val="17365D"/>
                <w:sz w:val="18"/>
                <w:szCs w:val="18"/>
                <w:lang w:eastAsia="lv-LV"/>
              </w:rPr>
              <w:t>Procentu izdevumi</w:t>
            </w:r>
          </w:p>
        </w:tc>
        <w:tc>
          <w:tcPr>
            <w:tcW w:w="944" w:type="dxa"/>
            <w:tcBorders>
              <w:top w:val="single" w:sz="4" w:space="0" w:color="17365D"/>
              <w:bottom w:val="single" w:sz="4" w:space="0" w:color="17365D"/>
            </w:tcBorders>
            <w:shd w:val="clear" w:color="auto" w:fill="auto"/>
            <w:vAlign w:val="center"/>
          </w:tcPr>
          <w:p w14:paraId="5DFD2BE2" w14:textId="77777777" w:rsidR="00224ABF" w:rsidRPr="003E3C94" w:rsidRDefault="00224ABF" w:rsidP="00224ABF">
            <w:pPr>
              <w:pStyle w:val="Tabulasteksts"/>
              <w:rPr>
                <w:bCs/>
                <w:color w:val="17365D"/>
                <w:sz w:val="18"/>
                <w:szCs w:val="18"/>
                <w:lang w:eastAsia="lv-LV"/>
              </w:rPr>
            </w:pPr>
          </w:p>
        </w:tc>
        <w:tc>
          <w:tcPr>
            <w:tcW w:w="1276" w:type="dxa"/>
            <w:tcBorders>
              <w:top w:val="single" w:sz="4" w:space="0" w:color="17365D"/>
              <w:bottom w:val="single" w:sz="4" w:space="0" w:color="17365D"/>
            </w:tcBorders>
            <w:shd w:val="clear" w:color="auto" w:fill="auto"/>
            <w:vAlign w:val="center"/>
          </w:tcPr>
          <w:p w14:paraId="548958AA"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1</w:t>
            </w:r>
            <w:r w:rsidRPr="00E42C98">
              <w:rPr>
                <w:bCs/>
                <w:color w:val="17365D"/>
                <w:sz w:val="18"/>
                <w:szCs w:val="18"/>
                <w:lang w:eastAsia="lv-LV"/>
              </w:rPr>
              <w:t xml:space="preserve"> </w:t>
            </w:r>
            <w:r>
              <w:rPr>
                <w:bCs/>
                <w:color w:val="17365D"/>
                <w:sz w:val="18"/>
                <w:szCs w:val="18"/>
                <w:lang w:eastAsia="lv-LV"/>
              </w:rPr>
              <w:t>014</w:t>
            </w:r>
            <w:r w:rsidRPr="00E42C98">
              <w:rPr>
                <w:bCs/>
                <w:color w:val="17365D"/>
                <w:sz w:val="18"/>
                <w:szCs w:val="18"/>
                <w:lang w:eastAsia="lv-LV"/>
              </w:rPr>
              <w:t xml:space="preserve"> </w:t>
            </w:r>
            <w:r>
              <w:rPr>
                <w:bCs/>
                <w:color w:val="17365D"/>
                <w:sz w:val="18"/>
                <w:szCs w:val="18"/>
                <w:lang w:eastAsia="lv-LV"/>
              </w:rPr>
              <w:t>222</w:t>
            </w:r>
          </w:p>
        </w:tc>
        <w:tc>
          <w:tcPr>
            <w:tcW w:w="1593" w:type="dxa"/>
            <w:tcBorders>
              <w:top w:val="single" w:sz="4" w:space="0" w:color="17365D"/>
              <w:bottom w:val="single" w:sz="4" w:space="0" w:color="17365D"/>
            </w:tcBorders>
            <w:shd w:val="clear" w:color="auto" w:fill="auto"/>
            <w:vAlign w:val="center"/>
          </w:tcPr>
          <w:p w14:paraId="341B4A40"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176 737</w:t>
            </w:r>
          </w:p>
        </w:tc>
        <w:tc>
          <w:tcPr>
            <w:tcW w:w="1451" w:type="dxa"/>
            <w:tcBorders>
              <w:top w:val="single" w:sz="4" w:space="0" w:color="17365D"/>
              <w:bottom w:val="single" w:sz="4" w:space="0" w:color="17365D"/>
            </w:tcBorders>
            <w:shd w:val="clear" w:color="auto" w:fill="auto"/>
            <w:vAlign w:val="center"/>
          </w:tcPr>
          <w:p w14:paraId="15FC4096"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837</w:t>
            </w:r>
            <w:r w:rsidRPr="00E42C98">
              <w:rPr>
                <w:bCs/>
                <w:color w:val="17365D"/>
                <w:sz w:val="18"/>
                <w:szCs w:val="18"/>
                <w:lang w:eastAsia="lv-LV"/>
              </w:rPr>
              <w:t xml:space="preserve"> </w:t>
            </w:r>
            <w:r>
              <w:rPr>
                <w:bCs/>
                <w:color w:val="17365D"/>
                <w:sz w:val="18"/>
                <w:szCs w:val="18"/>
                <w:lang w:eastAsia="lv-LV"/>
              </w:rPr>
              <w:t>485</w:t>
            </w:r>
          </w:p>
        </w:tc>
        <w:tc>
          <w:tcPr>
            <w:tcW w:w="1350" w:type="dxa"/>
            <w:tcBorders>
              <w:top w:val="single" w:sz="4" w:space="0" w:color="17365D"/>
              <w:bottom w:val="single" w:sz="4" w:space="0" w:color="17365D"/>
            </w:tcBorders>
            <w:shd w:val="clear" w:color="auto" w:fill="auto"/>
            <w:vAlign w:val="center"/>
          </w:tcPr>
          <w:p w14:paraId="09466AF9"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473</w:t>
            </w:r>
            <w:r w:rsidRPr="00E42C98">
              <w:rPr>
                <w:bCs/>
                <w:color w:val="17365D"/>
                <w:sz w:val="18"/>
                <w:szCs w:val="18"/>
                <w:lang w:eastAsia="lv-LV"/>
              </w:rPr>
              <w:t>.</w:t>
            </w:r>
            <w:r>
              <w:rPr>
                <w:bCs/>
                <w:color w:val="17365D"/>
                <w:sz w:val="18"/>
                <w:szCs w:val="18"/>
                <w:lang w:eastAsia="lv-LV"/>
              </w:rPr>
              <w:t>86</w:t>
            </w:r>
          </w:p>
        </w:tc>
      </w:tr>
      <w:tr w:rsidR="00224ABF" w:rsidRPr="001F1056" w14:paraId="5B7FFDBD" w14:textId="77777777" w:rsidTr="00C90D8D">
        <w:trPr>
          <w:trHeight w:val="319"/>
        </w:trPr>
        <w:tc>
          <w:tcPr>
            <w:tcW w:w="2742" w:type="dxa"/>
            <w:tcBorders>
              <w:top w:val="single" w:sz="4" w:space="0" w:color="17365D"/>
              <w:bottom w:val="single" w:sz="4" w:space="0" w:color="17365D"/>
            </w:tcBorders>
            <w:shd w:val="clear" w:color="auto" w:fill="auto"/>
          </w:tcPr>
          <w:p w14:paraId="465870F7" w14:textId="77777777" w:rsidR="00224ABF" w:rsidRPr="003E3C94" w:rsidRDefault="00224ABF" w:rsidP="00224ABF">
            <w:pPr>
              <w:pStyle w:val="Tabulasteksts"/>
              <w:rPr>
                <w:bCs/>
                <w:color w:val="17365D"/>
                <w:sz w:val="18"/>
                <w:szCs w:val="18"/>
                <w:lang w:eastAsia="lv-LV"/>
              </w:rPr>
            </w:pPr>
            <w:r w:rsidRPr="003E3C94">
              <w:rPr>
                <w:bCs/>
                <w:color w:val="17365D"/>
                <w:sz w:val="18"/>
                <w:szCs w:val="18"/>
                <w:lang w:eastAsia="lv-LV"/>
              </w:rPr>
              <w:t>Citi izdevumi no ieguldījumu darbības</w:t>
            </w:r>
          </w:p>
        </w:tc>
        <w:tc>
          <w:tcPr>
            <w:tcW w:w="944" w:type="dxa"/>
            <w:tcBorders>
              <w:top w:val="single" w:sz="4" w:space="0" w:color="17365D"/>
              <w:bottom w:val="single" w:sz="4" w:space="0" w:color="17365D"/>
            </w:tcBorders>
            <w:shd w:val="clear" w:color="auto" w:fill="auto"/>
            <w:vAlign w:val="center"/>
          </w:tcPr>
          <w:p w14:paraId="49F29968" w14:textId="77777777" w:rsidR="00224ABF" w:rsidRPr="003E3C94" w:rsidRDefault="00224ABF" w:rsidP="00224ABF">
            <w:pPr>
              <w:pStyle w:val="Tabulasteksts"/>
              <w:rPr>
                <w:bCs/>
                <w:color w:val="17365D"/>
                <w:sz w:val="18"/>
                <w:szCs w:val="18"/>
                <w:lang w:eastAsia="lv-LV"/>
              </w:rPr>
            </w:pPr>
            <w:r>
              <w:rPr>
                <w:bCs/>
                <w:color w:val="17365D"/>
                <w:sz w:val="18"/>
                <w:szCs w:val="18"/>
                <w:lang w:eastAsia="lv-LV"/>
              </w:rPr>
              <w:t>NP.B27</w:t>
            </w:r>
          </w:p>
        </w:tc>
        <w:tc>
          <w:tcPr>
            <w:tcW w:w="1276" w:type="dxa"/>
            <w:tcBorders>
              <w:top w:val="single" w:sz="4" w:space="0" w:color="17365D"/>
              <w:bottom w:val="single" w:sz="4" w:space="0" w:color="17365D"/>
            </w:tcBorders>
            <w:shd w:val="clear" w:color="auto" w:fill="auto"/>
            <w:vAlign w:val="center"/>
          </w:tcPr>
          <w:p w14:paraId="7AF41746"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88</w:t>
            </w:r>
            <w:r w:rsidRPr="00E42C98">
              <w:rPr>
                <w:bCs/>
                <w:color w:val="17365D"/>
                <w:sz w:val="18"/>
                <w:szCs w:val="18"/>
                <w:lang w:eastAsia="lv-LV"/>
              </w:rPr>
              <w:t xml:space="preserve"> </w:t>
            </w:r>
            <w:r>
              <w:rPr>
                <w:bCs/>
                <w:color w:val="17365D"/>
                <w:sz w:val="18"/>
                <w:szCs w:val="18"/>
                <w:lang w:eastAsia="lv-LV"/>
              </w:rPr>
              <w:t>005</w:t>
            </w:r>
            <w:r w:rsidRPr="00E42C98">
              <w:rPr>
                <w:bCs/>
                <w:color w:val="17365D"/>
                <w:sz w:val="18"/>
                <w:szCs w:val="18"/>
                <w:lang w:eastAsia="lv-LV"/>
              </w:rPr>
              <w:t xml:space="preserve"> </w:t>
            </w:r>
            <w:r>
              <w:rPr>
                <w:bCs/>
                <w:color w:val="17365D"/>
                <w:sz w:val="18"/>
                <w:szCs w:val="18"/>
                <w:lang w:eastAsia="lv-LV"/>
              </w:rPr>
              <w:t>132</w:t>
            </w:r>
          </w:p>
        </w:tc>
        <w:tc>
          <w:tcPr>
            <w:tcW w:w="1593" w:type="dxa"/>
            <w:tcBorders>
              <w:top w:val="single" w:sz="4" w:space="0" w:color="17365D"/>
              <w:bottom w:val="single" w:sz="4" w:space="0" w:color="17365D"/>
            </w:tcBorders>
            <w:shd w:val="clear" w:color="auto" w:fill="auto"/>
            <w:vAlign w:val="center"/>
          </w:tcPr>
          <w:p w14:paraId="012DD93C" w14:textId="77777777" w:rsidR="00224ABF" w:rsidRPr="003E3C94" w:rsidRDefault="00224ABF" w:rsidP="00224ABF">
            <w:pPr>
              <w:pStyle w:val="Tabulasteksts"/>
              <w:jc w:val="right"/>
              <w:rPr>
                <w:bCs/>
                <w:color w:val="17365D"/>
                <w:sz w:val="18"/>
                <w:szCs w:val="18"/>
                <w:lang w:eastAsia="lv-LV"/>
              </w:rPr>
            </w:pPr>
            <w:r w:rsidRPr="00E42C98">
              <w:rPr>
                <w:bCs/>
                <w:color w:val="17365D"/>
                <w:sz w:val="18"/>
                <w:szCs w:val="18"/>
                <w:lang w:eastAsia="lv-LV"/>
              </w:rPr>
              <w:t>5 198</w:t>
            </w:r>
          </w:p>
        </w:tc>
        <w:tc>
          <w:tcPr>
            <w:tcW w:w="1451" w:type="dxa"/>
            <w:tcBorders>
              <w:top w:val="single" w:sz="4" w:space="0" w:color="17365D"/>
              <w:bottom w:val="single" w:sz="4" w:space="0" w:color="17365D"/>
            </w:tcBorders>
            <w:shd w:val="clear" w:color="auto" w:fill="auto"/>
            <w:vAlign w:val="center"/>
          </w:tcPr>
          <w:p w14:paraId="56F38F90"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87</w:t>
            </w:r>
            <w:r w:rsidRPr="00E42C98">
              <w:rPr>
                <w:bCs/>
                <w:color w:val="17365D"/>
                <w:sz w:val="18"/>
                <w:szCs w:val="18"/>
                <w:lang w:eastAsia="lv-LV"/>
              </w:rPr>
              <w:t xml:space="preserve"> </w:t>
            </w:r>
            <w:r>
              <w:rPr>
                <w:bCs/>
                <w:color w:val="17365D"/>
                <w:sz w:val="18"/>
                <w:szCs w:val="18"/>
                <w:lang w:eastAsia="lv-LV"/>
              </w:rPr>
              <w:t>999</w:t>
            </w:r>
            <w:r w:rsidRPr="00E42C98">
              <w:rPr>
                <w:bCs/>
                <w:color w:val="17365D"/>
                <w:sz w:val="18"/>
                <w:szCs w:val="18"/>
                <w:lang w:eastAsia="lv-LV"/>
              </w:rPr>
              <w:t xml:space="preserve"> </w:t>
            </w:r>
            <w:r>
              <w:rPr>
                <w:bCs/>
                <w:color w:val="17365D"/>
                <w:sz w:val="18"/>
                <w:szCs w:val="18"/>
                <w:lang w:eastAsia="lv-LV"/>
              </w:rPr>
              <w:t>934</w:t>
            </w:r>
          </w:p>
        </w:tc>
        <w:tc>
          <w:tcPr>
            <w:tcW w:w="1350" w:type="dxa"/>
            <w:tcBorders>
              <w:top w:val="single" w:sz="4" w:space="0" w:color="17365D"/>
              <w:bottom w:val="single" w:sz="4" w:space="0" w:color="17365D"/>
            </w:tcBorders>
            <w:shd w:val="clear" w:color="auto" w:fill="auto"/>
            <w:vAlign w:val="center"/>
          </w:tcPr>
          <w:p w14:paraId="58D76D11" w14:textId="77777777" w:rsidR="00224ABF" w:rsidRPr="003E3C94" w:rsidRDefault="00224ABF" w:rsidP="00224ABF">
            <w:pPr>
              <w:pStyle w:val="Tabulasteksts"/>
              <w:jc w:val="right"/>
              <w:rPr>
                <w:bCs/>
                <w:color w:val="17365D"/>
                <w:sz w:val="18"/>
                <w:szCs w:val="18"/>
                <w:lang w:eastAsia="lv-LV"/>
              </w:rPr>
            </w:pPr>
            <w:r>
              <w:rPr>
                <w:bCs/>
                <w:color w:val="17365D"/>
                <w:sz w:val="18"/>
                <w:szCs w:val="18"/>
                <w:lang w:eastAsia="lv-LV"/>
              </w:rPr>
              <w:t>x</w:t>
            </w:r>
          </w:p>
        </w:tc>
      </w:tr>
      <w:tr w:rsidR="00224ABF" w:rsidRPr="001F1056" w14:paraId="0517D90C" w14:textId="77777777" w:rsidTr="00224ABF">
        <w:trPr>
          <w:trHeight w:val="224"/>
        </w:trPr>
        <w:tc>
          <w:tcPr>
            <w:tcW w:w="2742" w:type="dxa"/>
            <w:tcBorders>
              <w:top w:val="single" w:sz="4" w:space="0" w:color="17365D"/>
            </w:tcBorders>
            <w:shd w:val="clear" w:color="auto" w:fill="B9CDE5"/>
            <w:vAlign w:val="center"/>
          </w:tcPr>
          <w:p w14:paraId="58363053" w14:textId="77777777" w:rsidR="00224ABF" w:rsidRPr="001F1056" w:rsidRDefault="00224ABF" w:rsidP="00224ABF">
            <w:pPr>
              <w:spacing w:after="0" w:line="240" w:lineRule="auto"/>
              <w:rPr>
                <w:rFonts w:cs="Times New Roman"/>
                <w:color w:val="17365D"/>
                <w:sz w:val="18"/>
                <w:szCs w:val="18"/>
              </w:rPr>
            </w:pPr>
          </w:p>
        </w:tc>
        <w:tc>
          <w:tcPr>
            <w:tcW w:w="944" w:type="dxa"/>
            <w:tcBorders>
              <w:top w:val="single" w:sz="4" w:space="0" w:color="17365D"/>
            </w:tcBorders>
            <w:shd w:val="clear" w:color="auto" w:fill="B9CDE5"/>
            <w:vAlign w:val="center"/>
          </w:tcPr>
          <w:p w14:paraId="31E8B2E0" w14:textId="77777777" w:rsidR="00224ABF" w:rsidRPr="001F1056" w:rsidRDefault="00224ABF" w:rsidP="00224ABF">
            <w:pPr>
              <w:spacing w:after="0" w:line="240" w:lineRule="auto"/>
              <w:jc w:val="center"/>
              <w:rPr>
                <w:rFonts w:cs="Times New Roman"/>
                <w:color w:val="17365D"/>
                <w:sz w:val="18"/>
                <w:szCs w:val="18"/>
              </w:rPr>
            </w:pPr>
          </w:p>
        </w:tc>
        <w:tc>
          <w:tcPr>
            <w:tcW w:w="1276" w:type="dxa"/>
            <w:tcBorders>
              <w:top w:val="single" w:sz="4" w:space="0" w:color="17365D"/>
            </w:tcBorders>
            <w:shd w:val="clear" w:color="auto" w:fill="B9CDE5"/>
            <w:vAlign w:val="center"/>
          </w:tcPr>
          <w:p w14:paraId="4723033B" w14:textId="77777777" w:rsidR="00224ABF" w:rsidRPr="001F1056" w:rsidRDefault="00224ABF" w:rsidP="00224ABF">
            <w:pPr>
              <w:spacing w:after="0" w:line="240" w:lineRule="auto"/>
              <w:jc w:val="right"/>
              <w:rPr>
                <w:rFonts w:cs="Times New Roman"/>
                <w:color w:val="17365D"/>
                <w:sz w:val="18"/>
                <w:szCs w:val="18"/>
              </w:rPr>
            </w:pPr>
          </w:p>
        </w:tc>
        <w:tc>
          <w:tcPr>
            <w:tcW w:w="1593" w:type="dxa"/>
            <w:tcBorders>
              <w:top w:val="single" w:sz="4" w:space="0" w:color="17365D"/>
            </w:tcBorders>
            <w:shd w:val="clear" w:color="auto" w:fill="B9CDE5"/>
            <w:vAlign w:val="center"/>
          </w:tcPr>
          <w:p w14:paraId="253FCFB1" w14:textId="77777777" w:rsidR="00224ABF" w:rsidRPr="001F1056" w:rsidRDefault="00224ABF" w:rsidP="00224ABF">
            <w:pPr>
              <w:spacing w:after="0" w:line="240" w:lineRule="auto"/>
              <w:jc w:val="right"/>
              <w:rPr>
                <w:rFonts w:cs="Times New Roman"/>
                <w:color w:val="17365D"/>
                <w:sz w:val="18"/>
                <w:szCs w:val="18"/>
              </w:rPr>
            </w:pPr>
          </w:p>
        </w:tc>
        <w:tc>
          <w:tcPr>
            <w:tcW w:w="1451" w:type="dxa"/>
            <w:tcBorders>
              <w:top w:val="single" w:sz="4" w:space="0" w:color="17365D"/>
            </w:tcBorders>
            <w:shd w:val="clear" w:color="auto" w:fill="B9CDE5"/>
            <w:vAlign w:val="center"/>
          </w:tcPr>
          <w:p w14:paraId="1C0F8A4D" w14:textId="77777777" w:rsidR="00224ABF" w:rsidRPr="001F1056" w:rsidRDefault="00224ABF" w:rsidP="00224ABF">
            <w:pPr>
              <w:spacing w:after="0" w:line="240" w:lineRule="auto"/>
              <w:jc w:val="right"/>
              <w:rPr>
                <w:rFonts w:cs="Times New Roman"/>
                <w:color w:val="17365D"/>
                <w:sz w:val="18"/>
                <w:szCs w:val="18"/>
              </w:rPr>
            </w:pPr>
          </w:p>
        </w:tc>
        <w:tc>
          <w:tcPr>
            <w:tcW w:w="1350" w:type="dxa"/>
            <w:tcBorders>
              <w:top w:val="single" w:sz="4" w:space="0" w:color="17365D"/>
            </w:tcBorders>
            <w:shd w:val="clear" w:color="auto" w:fill="B9CDE5"/>
            <w:vAlign w:val="center"/>
          </w:tcPr>
          <w:p w14:paraId="1B396D03" w14:textId="77777777" w:rsidR="00224ABF" w:rsidRPr="001F1056" w:rsidRDefault="00224ABF" w:rsidP="00224ABF">
            <w:pPr>
              <w:spacing w:after="0" w:line="240" w:lineRule="auto"/>
              <w:jc w:val="right"/>
              <w:rPr>
                <w:rFonts w:cs="Times New Roman"/>
                <w:color w:val="17365D"/>
                <w:sz w:val="18"/>
                <w:szCs w:val="18"/>
              </w:rPr>
            </w:pPr>
          </w:p>
        </w:tc>
      </w:tr>
    </w:tbl>
    <w:p w14:paraId="7EEE4360" w14:textId="77777777" w:rsidR="00224ABF" w:rsidRPr="000161DF" w:rsidRDefault="00224ABF" w:rsidP="00224ABF">
      <w:pPr>
        <w:pStyle w:val="Pamatteksts1"/>
        <w:spacing w:before="240"/>
        <w:ind w:firstLine="0"/>
        <w:rPr>
          <w:color w:val="17365D"/>
        </w:rPr>
      </w:pPr>
      <w:r w:rsidRPr="000161DF">
        <w:rPr>
          <w:color w:val="17365D"/>
          <w:u w:val="single"/>
        </w:rPr>
        <w:t xml:space="preserve">Ieņēmumu no ieguldījumu darbības </w:t>
      </w:r>
      <w:r w:rsidRPr="000161DF">
        <w:rPr>
          <w:color w:val="17365D"/>
        </w:rPr>
        <w:t xml:space="preserve">konsolidētā naudas plūsma salīdzinot ar iepriekšējo gadu nav būtiski mainījusies. </w:t>
      </w:r>
    </w:p>
    <w:p w14:paraId="159BA58D" w14:textId="77777777" w:rsidR="00224ABF" w:rsidRPr="000F68D0" w:rsidRDefault="00224ABF" w:rsidP="00224ABF">
      <w:pPr>
        <w:pStyle w:val="Heading4"/>
      </w:pPr>
      <w:r w:rsidRPr="00E72168">
        <w:t>Piezīme Nr</w:t>
      </w:r>
      <w:r>
        <w:t>.</w:t>
      </w:r>
      <w:r w:rsidRPr="00951799">
        <w:t xml:space="preserve"> </w:t>
      </w:r>
      <w:r w:rsidRPr="003E3C94">
        <w:t>NP.</w:t>
      </w:r>
      <w:r>
        <w:t>B15</w:t>
      </w:r>
      <w:r w:rsidRPr="003E3C94">
        <w:t xml:space="preserve">. Citi ieņēmumi no </w:t>
      </w:r>
      <w:r>
        <w:t>ieguldījumu darbības</w:t>
      </w:r>
    </w:p>
    <w:p w14:paraId="0F2AC673" w14:textId="77777777" w:rsidR="00224ABF" w:rsidRDefault="00224ABF" w:rsidP="00224ABF">
      <w:pPr>
        <w:pStyle w:val="Pamatteksts1"/>
        <w:spacing w:after="0"/>
        <w:ind w:firstLine="0"/>
        <w:rPr>
          <w:bCs/>
          <w:color w:val="17365D"/>
        </w:rPr>
      </w:pPr>
      <w:r>
        <w:rPr>
          <w:bCs/>
          <w:color w:val="17365D"/>
        </w:rPr>
        <w:t>C</w:t>
      </w:r>
      <w:r w:rsidRPr="000161DF">
        <w:rPr>
          <w:bCs/>
          <w:color w:val="17365D"/>
        </w:rPr>
        <w:t>it</w:t>
      </w:r>
      <w:r>
        <w:rPr>
          <w:bCs/>
          <w:color w:val="17365D"/>
        </w:rPr>
        <w:t>u</w:t>
      </w:r>
      <w:r w:rsidRPr="000161DF">
        <w:rPr>
          <w:bCs/>
          <w:color w:val="17365D"/>
        </w:rPr>
        <w:t xml:space="preserve"> ieņēmum</w:t>
      </w:r>
      <w:r>
        <w:rPr>
          <w:bCs/>
          <w:color w:val="17365D"/>
        </w:rPr>
        <w:t>u veidi no ieguldījumu darbības norādīti 3.5</w:t>
      </w:r>
      <w:r w:rsidRPr="000161DF">
        <w:rPr>
          <w:bCs/>
          <w:color w:val="17365D"/>
        </w:rPr>
        <w:t>. tabulā.</w:t>
      </w:r>
    </w:p>
    <w:p w14:paraId="770BF467" w14:textId="77777777" w:rsidR="00224ABF" w:rsidRPr="00905AEC" w:rsidRDefault="00224ABF" w:rsidP="00224ABF">
      <w:pPr>
        <w:pStyle w:val="Pamatteksts1"/>
        <w:spacing w:after="0"/>
        <w:ind w:firstLine="0"/>
        <w:rPr>
          <w:bCs/>
          <w:color w:val="17365D"/>
        </w:rPr>
      </w:pPr>
      <w:r w:rsidRPr="000161DF">
        <w:rPr>
          <w:bCs/>
          <w:color w:val="17365D"/>
        </w:rPr>
        <w:t xml:space="preserve"> </w:t>
      </w:r>
    </w:p>
    <w:p w14:paraId="20AC1053" w14:textId="55D20175" w:rsidR="00224ABF" w:rsidRPr="00905AEC" w:rsidRDefault="00224ABF" w:rsidP="00224ABF">
      <w:pPr>
        <w:pStyle w:val="Tabulasnosaukums"/>
        <w:spacing w:before="0"/>
        <w:rPr>
          <w:rFonts w:eastAsia="Arial Unicode MS"/>
          <w:color w:val="17365D"/>
          <w:szCs w:val="20"/>
        </w:rPr>
      </w:pPr>
      <w:r>
        <w:rPr>
          <w:bCs/>
          <w:color w:val="17365D"/>
        </w:rPr>
        <w:t>3.5</w:t>
      </w:r>
      <w:r w:rsidRPr="00905AEC">
        <w:rPr>
          <w:rFonts w:eastAsia="Arial Unicode MS"/>
          <w:color w:val="17365D"/>
          <w:szCs w:val="20"/>
        </w:rPr>
        <w:t>. tabula. NP.B15 Citi ieņēmumi no ieguldījumu darbības</w:t>
      </w:r>
      <w:r w:rsidRPr="00905AEC">
        <w:rPr>
          <w:bCs/>
          <w:color w:val="17365D"/>
          <w:szCs w:val="20"/>
        </w:rPr>
        <w:t xml:space="preserve"> (</w:t>
      </w:r>
      <w:r w:rsidRPr="00905AEC">
        <w:rPr>
          <w:color w:val="17365D"/>
          <w:szCs w:val="20"/>
        </w:rPr>
        <w:t>euro)</w:t>
      </w:r>
    </w:p>
    <w:tbl>
      <w:tblPr>
        <w:tblW w:w="5000" w:type="pct"/>
        <w:tblBorders>
          <w:top w:val="single" w:sz="4" w:space="0" w:color="auto"/>
          <w:bottom w:val="single" w:sz="4" w:space="0" w:color="000000"/>
          <w:insideH w:val="single" w:sz="4" w:space="0" w:color="000000"/>
        </w:tblBorders>
        <w:tblLook w:val="04A0" w:firstRow="1" w:lastRow="0" w:firstColumn="1" w:lastColumn="0" w:noHBand="0" w:noVBand="1"/>
      </w:tblPr>
      <w:tblGrid>
        <w:gridCol w:w="5318"/>
        <w:gridCol w:w="2235"/>
        <w:gridCol w:w="1801"/>
      </w:tblGrid>
      <w:tr w:rsidR="00224ABF" w:rsidRPr="00905AEC" w14:paraId="13BC987A" w14:textId="77777777" w:rsidTr="00224ABF">
        <w:trPr>
          <w:trHeight w:val="314"/>
          <w:tblHeader/>
        </w:trPr>
        <w:tc>
          <w:tcPr>
            <w:tcW w:w="5182" w:type="dxa"/>
            <w:tcBorders>
              <w:top w:val="nil"/>
              <w:bottom w:val="single" w:sz="4" w:space="0" w:color="17365D"/>
            </w:tcBorders>
            <w:shd w:val="clear" w:color="auto" w:fill="B8CCE4" w:themeFill="accent1" w:themeFillTint="66"/>
            <w:vAlign w:val="center"/>
            <w:hideMark/>
          </w:tcPr>
          <w:p w14:paraId="03FB1234" w14:textId="77777777" w:rsidR="00224ABF" w:rsidRPr="00905AEC" w:rsidRDefault="00224ABF" w:rsidP="00224ABF">
            <w:pPr>
              <w:spacing w:after="0" w:line="240" w:lineRule="auto"/>
              <w:jc w:val="center"/>
              <w:rPr>
                <w:b/>
                <w:bCs/>
                <w:color w:val="17365D"/>
                <w:sz w:val="18"/>
                <w:szCs w:val="18"/>
                <w:lang w:eastAsia="lv-LV"/>
              </w:rPr>
            </w:pPr>
            <w:r w:rsidRPr="00905AEC">
              <w:rPr>
                <w:b/>
                <w:bCs/>
                <w:color w:val="17365D"/>
                <w:sz w:val="18"/>
                <w:szCs w:val="18"/>
                <w:lang w:eastAsia="lv-LV"/>
              </w:rPr>
              <w:t>Darījuma apraksts</w:t>
            </w:r>
          </w:p>
        </w:tc>
        <w:tc>
          <w:tcPr>
            <w:tcW w:w="2178" w:type="dxa"/>
            <w:tcBorders>
              <w:top w:val="nil"/>
              <w:bottom w:val="single" w:sz="4" w:space="0" w:color="17365D"/>
            </w:tcBorders>
            <w:shd w:val="clear" w:color="auto" w:fill="B8CCE4" w:themeFill="accent1" w:themeFillTint="66"/>
            <w:vAlign w:val="center"/>
            <w:hideMark/>
          </w:tcPr>
          <w:p w14:paraId="51F60465" w14:textId="77777777" w:rsidR="00224ABF" w:rsidRPr="00905AEC" w:rsidRDefault="00224ABF" w:rsidP="00224ABF">
            <w:pPr>
              <w:spacing w:after="0" w:line="240" w:lineRule="auto"/>
              <w:jc w:val="center"/>
              <w:rPr>
                <w:b/>
                <w:bCs/>
                <w:color w:val="17365D"/>
                <w:sz w:val="18"/>
                <w:szCs w:val="18"/>
                <w:lang w:eastAsia="lv-LV"/>
              </w:rPr>
            </w:pPr>
            <w:r w:rsidRPr="00905AEC">
              <w:rPr>
                <w:b/>
                <w:bCs/>
                <w:color w:val="17365D"/>
                <w:sz w:val="18"/>
                <w:szCs w:val="18"/>
                <w:lang w:eastAsia="lv-LV"/>
              </w:rPr>
              <w:t>Pārskata periodā</w:t>
            </w:r>
          </w:p>
        </w:tc>
        <w:tc>
          <w:tcPr>
            <w:tcW w:w="1755" w:type="dxa"/>
            <w:tcBorders>
              <w:top w:val="nil"/>
              <w:bottom w:val="single" w:sz="4" w:space="0" w:color="17365D"/>
            </w:tcBorders>
            <w:shd w:val="clear" w:color="auto" w:fill="B8CCE4" w:themeFill="accent1" w:themeFillTint="66"/>
          </w:tcPr>
          <w:p w14:paraId="661376AC" w14:textId="77777777" w:rsidR="00224ABF" w:rsidRPr="00905AEC" w:rsidRDefault="00224ABF" w:rsidP="00224ABF">
            <w:pPr>
              <w:spacing w:after="0" w:line="240" w:lineRule="auto"/>
              <w:jc w:val="center"/>
              <w:rPr>
                <w:b/>
                <w:bCs/>
                <w:color w:val="17365D"/>
                <w:sz w:val="18"/>
                <w:szCs w:val="18"/>
                <w:lang w:eastAsia="lv-LV"/>
              </w:rPr>
            </w:pPr>
            <w:r w:rsidRPr="00905AEC">
              <w:rPr>
                <w:b/>
                <w:bCs/>
                <w:color w:val="17365D"/>
                <w:sz w:val="18"/>
                <w:szCs w:val="18"/>
                <w:lang w:eastAsia="lv-LV"/>
              </w:rPr>
              <w:t>Iepriekšējā pārskata periodā</w:t>
            </w:r>
          </w:p>
        </w:tc>
      </w:tr>
      <w:tr w:rsidR="00224ABF" w:rsidRPr="00905AEC" w14:paraId="5930713D" w14:textId="77777777" w:rsidTr="000B176B">
        <w:trPr>
          <w:trHeight w:val="255"/>
          <w:tblHeader/>
        </w:trPr>
        <w:tc>
          <w:tcPr>
            <w:tcW w:w="5182" w:type="dxa"/>
            <w:tcBorders>
              <w:top w:val="single" w:sz="4" w:space="0" w:color="17365D"/>
              <w:bottom w:val="single" w:sz="4" w:space="0" w:color="17365D"/>
            </w:tcBorders>
            <w:shd w:val="clear" w:color="auto" w:fill="auto"/>
            <w:vAlign w:val="center"/>
            <w:hideMark/>
          </w:tcPr>
          <w:p w14:paraId="45323AB1" w14:textId="77777777" w:rsidR="00224ABF" w:rsidRPr="00905AEC" w:rsidRDefault="00224ABF" w:rsidP="00224ABF">
            <w:pPr>
              <w:spacing w:after="0" w:line="240" w:lineRule="auto"/>
              <w:jc w:val="center"/>
              <w:rPr>
                <w:b/>
                <w:bCs/>
                <w:color w:val="17365D"/>
                <w:sz w:val="18"/>
                <w:szCs w:val="18"/>
                <w:lang w:eastAsia="lv-LV"/>
              </w:rPr>
            </w:pPr>
            <w:r w:rsidRPr="00905AEC">
              <w:rPr>
                <w:b/>
                <w:bCs/>
                <w:color w:val="17365D"/>
                <w:sz w:val="18"/>
                <w:szCs w:val="18"/>
                <w:lang w:eastAsia="lv-LV"/>
              </w:rPr>
              <w:t>A</w:t>
            </w:r>
          </w:p>
        </w:tc>
        <w:tc>
          <w:tcPr>
            <w:tcW w:w="2178" w:type="dxa"/>
            <w:tcBorders>
              <w:top w:val="single" w:sz="4" w:space="0" w:color="17365D"/>
              <w:bottom w:val="single" w:sz="4" w:space="0" w:color="17365D"/>
            </w:tcBorders>
            <w:shd w:val="clear" w:color="auto" w:fill="auto"/>
            <w:vAlign w:val="center"/>
            <w:hideMark/>
          </w:tcPr>
          <w:p w14:paraId="33025EE2" w14:textId="77777777" w:rsidR="00224ABF" w:rsidRPr="00905AEC" w:rsidRDefault="00224ABF" w:rsidP="00224ABF">
            <w:pPr>
              <w:spacing w:after="0" w:line="240" w:lineRule="auto"/>
              <w:jc w:val="center"/>
              <w:rPr>
                <w:b/>
                <w:bCs/>
                <w:color w:val="17365D"/>
                <w:sz w:val="18"/>
                <w:szCs w:val="18"/>
                <w:lang w:eastAsia="lv-LV"/>
              </w:rPr>
            </w:pPr>
            <w:r w:rsidRPr="00905AEC">
              <w:rPr>
                <w:b/>
                <w:bCs/>
                <w:color w:val="17365D"/>
                <w:sz w:val="18"/>
                <w:szCs w:val="18"/>
                <w:lang w:eastAsia="lv-LV"/>
              </w:rPr>
              <w:t>1</w:t>
            </w:r>
          </w:p>
        </w:tc>
        <w:tc>
          <w:tcPr>
            <w:tcW w:w="1755" w:type="dxa"/>
            <w:tcBorders>
              <w:top w:val="single" w:sz="4" w:space="0" w:color="17365D"/>
              <w:bottom w:val="single" w:sz="4" w:space="0" w:color="17365D"/>
            </w:tcBorders>
            <w:vAlign w:val="center"/>
          </w:tcPr>
          <w:p w14:paraId="7CFEE1FC" w14:textId="77777777" w:rsidR="00224ABF" w:rsidRPr="00905AEC" w:rsidRDefault="00224ABF" w:rsidP="00224ABF">
            <w:pPr>
              <w:spacing w:after="0" w:line="240" w:lineRule="auto"/>
              <w:jc w:val="center"/>
              <w:rPr>
                <w:b/>
                <w:bCs/>
                <w:color w:val="17365D"/>
                <w:sz w:val="18"/>
                <w:szCs w:val="18"/>
                <w:lang w:eastAsia="lv-LV"/>
              </w:rPr>
            </w:pPr>
            <w:r>
              <w:rPr>
                <w:b/>
                <w:bCs/>
                <w:color w:val="17365D"/>
                <w:sz w:val="18"/>
                <w:szCs w:val="18"/>
                <w:lang w:eastAsia="lv-LV"/>
              </w:rPr>
              <w:t>2</w:t>
            </w:r>
          </w:p>
        </w:tc>
      </w:tr>
      <w:tr w:rsidR="00224ABF" w:rsidRPr="00905AEC" w14:paraId="10AC8612" w14:textId="77777777" w:rsidTr="004873C9">
        <w:trPr>
          <w:trHeight w:val="330"/>
        </w:trPr>
        <w:tc>
          <w:tcPr>
            <w:tcW w:w="5182" w:type="dxa"/>
            <w:tcBorders>
              <w:top w:val="single" w:sz="4" w:space="0" w:color="17365D"/>
              <w:bottom w:val="single" w:sz="4" w:space="0" w:color="17365D"/>
            </w:tcBorders>
            <w:shd w:val="clear" w:color="F2F2F2" w:fill="FFFFFF"/>
            <w:vAlign w:val="center"/>
            <w:hideMark/>
          </w:tcPr>
          <w:p w14:paraId="32751232" w14:textId="77777777" w:rsidR="00224ABF" w:rsidRPr="00905AEC" w:rsidRDefault="00224ABF" w:rsidP="00224ABF">
            <w:pPr>
              <w:spacing w:after="0" w:line="240" w:lineRule="auto"/>
              <w:rPr>
                <w:bCs/>
                <w:color w:val="17365D"/>
                <w:sz w:val="18"/>
                <w:szCs w:val="18"/>
                <w:lang w:eastAsia="lv-LV"/>
              </w:rPr>
            </w:pPr>
            <w:r w:rsidRPr="00905AEC">
              <w:rPr>
                <w:bCs/>
                <w:color w:val="17365D"/>
                <w:sz w:val="18"/>
                <w:szCs w:val="18"/>
                <w:lang w:eastAsia="lv-LV"/>
              </w:rPr>
              <w:t>Ieņēmumi no dividendēm</w:t>
            </w:r>
          </w:p>
        </w:tc>
        <w:tc>
          <w:tcPr>
            <w:tcW w:w="2178" w:type="dxa"/>
            <w:tcBorders>
              <w:top w:val="single" w:sz="4" w:space="0" w:color="17365D"/>
              <w:bottom w:val="single" w:sz="4" w:space="0" w:color="17365D"/>
            </w:tcBorders>
            <w:shd w:val="clear" w:color="F2F2F2" w:fill="FFFFFF"/>
            <w:vAlign w:val="center"/>
            <w:hideMark/>
          </w:tcPr>
          <w:p w14:paraId="5047C442" w14:textId="77777777" w:rsidR="00224ABF" w:rsidRPr="003E3C94" w:rsidRDefault="00224ABF" w:rsidP="00224ABF">
            <w:pPr>
              <w:spacing w:after="0" w:line="240" w:lineRule="auto"/>
              <w:jc w:val="right"/>
              <w:rPr>
                <w:bCs/>
                <w:color w:val="17365D"/>
                <w:sz w:val="18"/>
                <w:szCs w:val="18"/>
                <w:lang w:eastAsia="lv-LV"/>
              </w:rPr>
            </w:pPr>
            <w:r>
              <w:rPr>
                <w:bCs/>
                <w:color w:val="17365D"/>
                <w:sz w:val="18"/>
                <w:szCs w:val="18"/>
                <w:lang w:eastAsia="lv-LV"/>
              </w:rPr>
              <w:t>11 238</w:t>
            </w:r>
            <w:r w:rsidRPr="003E3C94">
              <w:rPr>
                <w:rFonts w:cs="Times New Roman"/>
                <w:color w:val="17365D"/>
                <w:sz w:val="18"/>
                <w:szCs w:val="18"/>
              </w:rPr>
              <w:t> </w:t>
            </w:r>
            <w:r>
              <w:rPr>
                <w:bCs/>
                <w:color w:val="17365D"/>
                <w:sz w:val="18"/>
                <w:szCs w:val="18"/>
                <w:lang w:eastAsia="lv-LV"/>
              </w:rPr>
              <w:t>368</w:t>
            </w:r>
          </w:p>
        </w:tc>
        <w:tc>
          <w:tcPr>
            <w:tcW w:w="1755" w:type="dxa"/>
            <w:tcBorders>
              <w:top w:val="single" w:sz="4" w:space="0" w:color="17365D"/>
              <w:bottom w:val="single" w:sz="4" w:space="0" w:color="17365D"/>
            </w:tcBorders>
            <w:shd w:val="clear" w:color="F2F2F2" w:fill="FFFFFF"/>
            <w:vAlign w:val="center"/>
          </w:tcPr>
          <w:p w14:paraId="6C40E560" w14:textId="77777777" w:rsidR="00224ABF" w:rsidRPr="003E3C94" w:rsidRDefault="00224ABF" w:rsidP="00224ABF">
            <w:pPr>
              <w:spacing w:after="0" w:line="240" w:lineRule="auto"/>
              <w:jc w:val="right"/>
              <w:rPr>
                <w:bCs/>
                <w:color w:val="17365D"/>
                <w:sz w:val="18"/>
                <w:szCs w:val="18"/>
                <w:lang w:eastAsia="lv-LV"/>
              </w:rPr>
            </w:pPr>
            <w:r w:rsidRPr="003E3C94">
              <w:rPr>
                <w:bCs/>
                <w:color w:val="17365D"/>
                <w:sz w:val="18"/>
                <w:szCs w:val="18"/>
                <w:lang w:eastAsia="lv-LV"/>
              </w:rPr>
              <w:t>9</w:t>
            </w:r>
            <w:r>
              <w:rPr>
                <w:bCs/>
                <w:color w:val="17365D"/>
                <w:sz w:val="18"/>
                <w:szCs w:val="18"/>
                <w:lang w:eastAsia="lv-LV"/>
              </w:rPr>
              <w:t> 614</w:t>
            </w:r>
            <w:r w:rsidRPr="003E3C94">
              <w:rPr>
                <w:rFonts w:cs="Times New Roman"/>
                <w:color w:val="17365D"/>
                <w:sz w:val="18"/>
                <w:szCs w:val="18"/>
              </w:rPr>
              <w:t> </w:t>
            </w:r>
            <w:r>
              <w:rPr>
                <w:bCs/>
                <w:color w:val="17365D"/>
                <w:sz w:val="18"/>
                <w:szCs w:val="18"/>
                <w:lang w:eastAsia="lv-LV"/>
              </w:rPr>
              <w:t>781</w:t>
            </w:r>
          </w:p>
        </w:tc>
      </w:tr>
      <w:tr w:rsidR="00224ABF" w:rsidRPr="00905AEC" w14:paraId="41CFED06" w14:textId="77777777" w:rsidTr="00224ABF">
        <w:trPr>
          <w:trHeight w:val="255"/>
        </w:trPr>
        <w:tc>
          <w:tcPr>
            <w:tcW w:w="5182" w:type="dxa"/>
            <w:tcBorders>
              <w:top w:val="single" w:sz="4" w:space="0" w:color="17365D"/>
              <w:bottom w:val="single" w:sz="4" w:space="0" w:color="17365D"/>
            </w:tcBorders>
            <w:shd w:val="clear" w:color="F2F2F2" w:fill="FFFFFF"/>
            <w:vAlign w:val="center"/>
          </w:tcPr>
          <w:p w14:paraId="45A00D1F" w14:textId="77777777" w:rsidR="00224ABF" w:rsidRPr="00905AEC" w:rsidRDefault="00224ABF" w:rsidP="00224ABF">
            <w:pPr>
              <w:spacing w:after="0" w:line="240" w:lineRule="auto"/>
              <w:rPr>
                <w:bCs/>
                <w:color w:val="17365D"/>
                <w:sz w:val="18"/>
                <w:szCs w:val="18"/>
                <w:lang w:eastAsia="lv-LV"/>
              </w:rPr>
            </w:pPr>
            <w:r w:rsidRPr="00AD2673">
              <w:rPr>
                <w:bCs/>
                <w:color w:val="17365D"/>
                <w:sz w:val="18"/>
                <w:szCs w:val="18"/>
                <w:lang w:eastAsia="lv-LV"/>
              </w:rPr>
              <w:t>Termiņnoguldījumu, kuru sākotnējais termiņš pārsniedz 90 dienas, izņemšana</w:t>
            </w:r>
          </w:p>
        </w:tc>
        <w:tc>
          <w:tcPr>
            <w:tcW w:w="2178" w:type="dxa"/>
            <w:tcBorders>
              <w:top w:val="single" w:sz="4" w:space="0" w:color="17365D"/>
              <w:bottom w:val="single" w:sz="4" w:space="0" w:color="17365D"/>
            </w:tcBorders>
            <w:shd w:val="clear" w:color="F2F2F2" w:fill="FFFFFF"/>
            <w:vAlign w:val="center"/>
          </w:tcPr>
          <w:p w14:paraId="28243B06" w14:textId="77777777" w:rsidR="00224ABF" w:rsidRDefault="00224ABF" w:rsidP="00224ABF">
            <w:pPr>
              <w:spacing w:after="0" w:line="240" w:lineRule="auto"/>
              <w:jc w:val="right"/>
              <w:rPr>
                <w:bCs/>
                <w:color w:val="17365D"/>
                <w:sz w:val="18"/>
                <w:szCs w:val="18"/>
                <w:lang w:eastAsia="lv-LV"/>
              </w:rPr>
            </w:pPr>
            <w:r>
              <w:rPr>
                <w:bCs/>
                <w:color w:val="17365D"/>
                <w:sz w:val="18"/>
                <w:szCs w:val="18"/>
                <w:lang w:eastAsia="lv-LV"/>
              </w:rPr>
              <w:t>46 005</w:t>
            </w:r>
            <w:r w:rsidRPr="003E3C94">
              <w:rPr>
                <w:rFonts w:cs="Times New Roman"/>
                <w:color w:val="17365D"/>
                <w:sz w:val="18"/>
                <w:szCs w:val="18"/>
              </w:rPr>
              <w:t> </w:t>
            </w:r>
            <w:r>
              <w:rPr>
                <w:bCs/>
                <w:color w:val="17365D"/>
                <w:sz w:val="18"/>
                <w:szCs w:val="18"/>
                <w:lang w:eastAsia="lv-LV"/>
              </w:rPr>
              <w:t>198</w:t>
            </w:r>
          </w:p>
        </w:tc>
        <w:tc>
          <w:tcPr>
            <w:tcW w:w="1755" w:type="dxa"/>
            <w:tcBorders>
              <w:top w:val="single" w:sz="4" w:space="0" w:color="17365D"/>
              <w:bottom w:val="single" w:sz="4" w:space="0" w:color="17365D"/>
            </w:tcBorders>
            <w:shd w:val="clear" w:color="F2F2F2" w:fill="FFFFFF"/>
            <w:vAlign w:val="center"/>
          </w:tcPr>
          <w:p w14:paraId="10F92A14" w14:textId="77777777" w:rsidR="00224ABF" w:rsidRPr="003E3C94" w:rsidRDefault="00224ABF" w:rsidP="00224ABF">
            <w:pPr>
              <w:spacing w:after="0" w:line="240" w:lineRule="auto"/>
              <w:jc w:val="right"/>
              <w:rPr>
                <w:bCs/>
                <w:color w:val="17365D"/>
                <w:sz w:val="18"/>
                <w:szCs w:val="18"/>
                <w:lang w:eastAsia="lv-LV"/>
              </w:rPr>
            </w:pPr>
            <w:r w:rsidRPr="00E42C98">
              <w:rPr>
                <w:bCs/>
                <w:color w:val="17365D"/>
                <w:sz w:val="18"/>
                <w:szCs w:val="18"/>
                <w:lang w:eastAsia="lv-LV"/>
              </w:rPr>
              <w:t xml:space="preserve">5 </w:t>
            </w:r>
            <w:r>
              <w:rPr>
                <w:bCs/>
                <w:color w:val="17365D"/>
                <w:sz w:val="18"/>
                <w:szCs w:val="18"/>
                <w:lang w:eastAsia="lv-LV"/>
              </w:rPr>
              <w:t>213</w:t>
            </w:r>
          </w:p>
        </w:tc>
      </w:tr>
      <w:tr w:rsidR="00224ABF" w:rsidRPr="00905AEC" w14:paraId="229CE8E3" w14:textId="77777777" w:rsidTr="00224ABF">
        <w:trPr>
          <w:trHeight w:val="255"/>
        </w:trPr>
        <w:tc>
          <w:tcPr>
            <w:tcW w:w="5182" w:type="dxa"/>
            <w:tcBorders>
              <w:top w:val="single" w:sz="4" w:space="0" w:color="17365D"/>
              <w:bottom w:val="single" w:sz="4" w:space="0" w:color="17365D"/>
            </w:tcBorders>
            <w:shd w:val="clear" w:color="F2F2F2" w:fill="FFFFFF"/>
            <w:vAlign w:val="center"/>
          </w:tcPr>
          <w:p w14:paraId="60C4DC04" w14:textId="77777777" w:rsidR="00224ABF" w:rsidRPr="00905AEC" w:rsidRDefault="00224ABF" w:rsidP="00224ABF">
            <w:pPr>
              <w:spacing w:after="0" w:line="240" w:lineRule="auto"/>
              <w:rPr>
                <w:bCs/>
                <w:color w:val="17365D"/>
                <w:sz w:val="18"/>
                <w:szCs w:val="18"/>
                <w:lang w:eastAsia="lv-LV"/>
              </w:rPr>
            </w:pPr>
            <w:r w:rsidRPr="00905AEC">
              <w:rPr>
                <w:bCs/>
                <w:color w:val="17365D"/>
                <w:sz w:val="18"/>
                <w:szCs w:val="18"/>
                <w:lang w:eastAsia="lv-LV"/>
              </w:rPr>
              <w:t xml:space="preserve">Citi ieņēmumi no ieguldījumu darbības </w:t>
            </w:r>
          </w:p>
        </w:tc>
        <w:tc>
          <w:tcPr>
            <w:tcW w:w="2178" w:type="dxa"/>
            <w:tcBorders>
              <w:top w:val="single" w:sz="4" w:space="0" w:color="17365D"/>
              <w:bottom w:val="single" w:sz="4" w:space="0" w:color="17365D"/>
            </w:tcBorders>
            <w:shd w:val="clear" w:color="F2F2F2" w:fill="FFFFFF"/>
            <w:vAlign w:val="center"/>
          </w:tcPr>
          <w:p w14:paraId="7B396150" w14:textId="77777777" w:rsidR="00224ABF" w:rsidRPr="003E3C94" w:rsidRDefault="00224ABF" w:rsidP="00224ABF">
            <w:pPr>
              <w:spacing w:after="0" w:line="240" w:lineRule="auto"/>
              <w:jc w:val="right"/>
              <w:rPr>
                <w:bCs/>
                <w:color w:val="17365D"/>
                <w:sz w:val="18"/>
                <w:szCs w:val="18"/>
                <w:lang w:eastAsia="lv-LV"/>
              </w:rPr>
            </w:pPr>
            <w:r>
              <w:rPr>
                <w:bCs/>
                <w:color w:val="17365D"/>
                <w:sz w:val="18"/>
                <w:szCs w:val="18"/>
                <w:lang w:eastAsia="lv-LV"/>
              </w:rPr>
              <w:t>290</w:t>
            </w:r>
            <w:r w:rsidRPr="003E3C94">
              <w:rPr>
                <w:rFonts w:cs="Times New Roman"/>
                <w:color w:val="17365D"/>
                <w:sz w:val="18"/>
                <w:szCs w:val="18"/>
              </w:rPr>
              <w:t> </w:t>
            </w:r>
            <w:r>
              <w:rPr>
                <w:bCs/>
                <w:color w:val="17365D"/>
                <w:sz w:val="18"/>
                <w:szCs w:val="18"/>
                <w:lang w:eastAsia="lv-LV"/>
              </w:rPr>
              <w:t>309</w:t>
            </w:r>
          </w:p>
        </w:tc>
        <w:tc>
          <w:tcPr>
            <w:tcW w:w="1755" w:type="dxa"/>
            <w:tcBorders>
              <w:top w:val="single" w:sz="4" w:space="0" w:color="17365D"/>
              <w:bottom w:val="single" w:sz="4" w:space="0" w:color="17365D"/>
            </w:tcBorders>
            <w:shd w:val="clear" w:color="F2F2F2" w:fill="FFFFFF"/>
            <w:vAlign w:val="center"/>
          </w:tcPr>
          <w:p w14:paraId="63572E6D" w14:textId="77777777" w:rsidR="00224ABF" w:rsidRPr="003E3C94" w:rsidRDefault="00224ABF" w:rsidP="00224ABF">
            <w:pPr>
              <w:spacing w:after="0" w:line="240" w:lineRule="auto"/>
              <w:jc w:val="right"/>
              <w:rPr>
                <w:bCs/>
                <w:color w:val="17365D"/>
                <w:sz w:val="18"/>
                <w:szCs w:val="18"/>
                <w:lang w:eastAsia="lv-LV"/>
              </w:rPr>
            </w:pPr>
            <w:r>
              <w:rPr>
                <w:bCs/>
                <w:color w:val="17365D"/>
                <w:sz w:val="18"/>
                <w:szCs w:val="18"/>
                <w:lang w:eastAsia="lv-LV"/>
              </w:rPr>
              <w:t>285</w:t>
            </w:r>
            <w:r w:rsidRPr="003E3C94">
              <w:rPr>
                <w:rFonts w:cs="Times New Roman"/>
                <w:color w:val="17365D"/>
                <w:sz w:val="18"/>
                <w:szCs w:val="18"/>
              </w:rPr>
              <w:t> </w:t>
            </w:r>
            <w:r>
              <w:rPr>
                <w:bCs/>
                <w:color w:val="17365D"/>
                <w:sz w:val="18"/>
                <w:szCs w:val="18"/>
                <w:lang w:eastAsia="lv-LV"/>
              </w:rPr>
              <w:t>096</w:t>
            </w:r>
          </w:p>
        </w:tc>
      </w:tr>
      <w:tr w:rsidR="00224ABF" w:rsidRPr="00905AEC" w14:paraId="19A541FC" w14:textId="77777777" w:rsidTr="00224ABF">
        <w:trPr>
          <w:trHeight w:val="255"/>
        </w:trPr>
        <w:tc>
          <w:tcPr>
            <w:tcW w:w="5182" w:type="dxa"/>
            <w:tcBorders>
              <w:top w:val="single" w:sz="4" w:space="0" w:color="17365D"/>
              <w:bottom w:val="nil"/>
            </w:tcBorders>
            <w:shd w:val="clear" w:color="auto" w:fill="B8CCE4" w:themeFill="accent1" w:themeFillTint="66"/>
            <w:vAlign w:val="center"/>
            <w:hideMark/>
          </w:tcPr>
          <w:p w14:paraId="789F0568" w14:textId="77777777" w:rsidR="00224ABF" w:rsidRPr="00905AEC" w:rsidRDefault="00224ABF" w:rsidP="00224ABF">
            <w:pPr>
              <w:spacing w:after="0" w:line="240" w:lineRule="auto"/>
              <w:rPr>
                <w:bCs/>
                <w:color w:val="17365D"/>
                <w:sz w:val="18"/>
                <w:szCs w:val="18"/>
                <w:lang w:eastAsia="lv-LV"/>
              </w:rPr>
            </w:pPr>
            <w:r w:rsidRPr="00905AEC">
              <w:rPr>
                <w:b/>
                <w:bCs/>
                <w:color w:val="17365D"/>
                <w:sz w:val="18"/>
                <w:szCs w:val="18"/>
                <w:lang w:eastAsia="lv-LV"/>
              </w:rPr>
              <w:t>Kopā</w:t>
            </w:r>
          </w:p>
        </w:tc>
        <w:tc>
          <w:tcPr>
            <w:tcW w:w="2178" w:type="dxa"/>
            <w:tcBorders>
              <w:top w:val="single" w:sz="4" w:space="0" w:color="17365D"/>
              <w:bottom w:val="nil"/>
            </w:tcBorders>
            <w:shd w:val="clear" w:color="auto" w:fill="B8CCE4" w:themeFill="accent1" w:themeFillTint="66"/>
            <w:vAlign w:val="center"/>
            <w:hideMark/>
          </w:tcPr>
          <w:p w14:paraId="079F68C9" w14:textId="77777777" w:rsidR="00224ABF" w:rsidRPr="003E3C94" w:rsidRDefault="00224ABF" w:rsidP="00224ABF">
            <w:pPr>
              <w:spacing w:after="0" w:line="240" w:lineRule="auto"/>
              <w:jc w:val="right"/>
              <w:rPr>
                <w:bCs/>
                <w:color w:val="17365D"/>
                <w:sz w:val="18"/>
                <w:szCs w:val="18"/>
                <w:lang w:eastAsia="lv-LV"/>
              </w:rPr>
            </w:pPr>
            <w:r>
              <w:rPr>
                <w:b/>
                <w:bCs/>
                <w:color w:val="17365D"/>
                <w:sz w:val="18"/>
                <w:szCs w:val="18"/>
                <w:lang w:eastAsia="lv-LV"/>
              </w:rPr>
              <w:t>57</w:t>
            </w:r>
            <w:r w:rsidRPr="00905AEC">
              <w:rPr>
                <w:b/>
                <w:bCs/>
                <w:color w:val="17365D"/>
                <w:sz w:val="18"/>
                <w:szCs w:val="18"/>
                <w:lang w:eastAsia="lv-LV"/>
              </w:rPr>
              <w:t xml:space="preserve"> </w:t>
            </w:r>
            <w:r>
              <w:rPr>
                <w:b/>
                <w:bCs/>
                <w:color w:val="17365D"/>
                <w:sz w:val="18"/>
                <w:szCs w:val="18"/>
                <w:lang w:eastAsia="lv-LV"/>
              </w:rPr>
              <w:t>623</w:t>
            </w:r>
            <w:r w:rsidRPr="00905AEC">
              <w:rPr>
                <w:b/>
                <w:bCs/>
                <w:color w:val="17365D"/>
                <w:sz w:val="18"/>
                <w:szCs w:val="18"/>
                <w:lang w:eastAsia="lv-LV"/>
              </w:rPr>
              <w:t xml:space="preserve"> </w:t>
            </w:r>
            <w:r>
              <w:rPr>
                <w:b/>
                <w:bCs/>
                <w:color w:val="17365D"/>
                <w:sz w:val="18"/>
                <w:szCs w:val="18"/>
                <w:lang w:eastAsia="lv-LV"/>
              </w:rPr>
              <w:t>752</w:t>
            </w:r>
          </w:p>
        </w:tc>
        <w:tc>
          <w:tcPr>
            <w:tcW w:w="1755" w:type="dxa"/>
            <w:tcBorders>
              <w:top w:val="single" w:sz="4" w:space="0" w:color="17365D"/>
              <w:bottom w:val="nil"/>
            </w:tcBorders>
            <w:shd w:val="clear" w:color="auto" w:fill="B8CCE4" w:themeFill="accent1" w:themeFillTint="66"/>
            <w:vAlign w:val="center"/>
          </w:tcPr>
          <w:p w14:paraId="0983A032" w14:textId="77777777" w:rsidR="00224ABF" w:rsidRPr="003E3C94" w:rsidRDefault="00224ABF" w:rsidP="00224ABF">
            <w:pPr>
              <w:spacing w:after="0" w:line="240" w:lineRule="auto"/>
              <w:jc w:val="right"/>
              <w:rPr>
                <w:bCs/>
                <w:color w:val="17365D"/>
                <w:sz w:val="18"/>
                <w:szCs w:val="18"/>
                <w:lang w:eastAsia="lv-LV"/>
              </w:rPr>
            </w:pPr>
            <w:r>
              <w:rPr>
                <w:b/>
                <w:bCs/>
                <w:color w:val="17365D"/>
                <w:sz w:val="18"/>
                <w:szCs w:val="18"/>
                <w:lang w:eastAsia="lv-LV"/>
              </w:rPr>
              <w:t>9</w:t>
            </w:r>
            <w:r w:rsidRPr="00905AEC">
              <w:rPr>
                <w:b/>
                <w:bCs/>
                <w:color w:val="17365D"/>
                <w:sz w:val="18"/>
                <w:szCs w:val="18"/>
                <w:lang w:eastAsia="lv-LV"/>
              </w:rPr>
              <w:t xml:space="preserve"> </w:t>
            </w:r>
            <w:r>
              <w:rPr>
                <w:b/>
                <w:bCs/>
                <w:color w:val="17365D"/>
                <w:sz w:val="18"/>
                <w:szCs w:val="18"/>
                <w:lang w:eastAsia="lv-LV"/>
              </w:rPr>
              <w:t>905</w:t>
            </w:r>
            <w:r w:rsidRPr="00905AEC">
              <w:rPr>
                <w:b/>
                <w:bCs/>
                <w:color w:val="17365D"/>
                <w:sz w:val="18"/>
                <w:szCs w:val="18"/>
                <w:lang w:eastAsia="lv-LV"/>
              </w:rPr>
              <w:t xml:space="preserve"> </w:t>
            </w:r>
            <w:r>
              <w:rPr>
                <w:b/>
                <w:bCs/>
                <w:color w:val="17365D"/>
                <w:sz w:val="18"/>
                <w:szCs w:val="18"/>
                <w:lang w:eastAsia="lv-LV"/>
              </w:rPr>
              <w:t>090</w:t>
            </w:r>
          </w:p>
        </w:tc>
      </w:tr>
    </w:tbl>
    <w:p w14:paraId="73E10D47" w14:textId="77777777" w:rsidR="00224ABF" w:rsidRDefault="00224ABF" w:rsidP="00224ABF">
      <w:pPr>
        <w:pStyle w:val="Pamatteksts1"/>
        <w:spacing w:before="120"/>
        <w:ind w:firstLine="0"/>
        <w:rPr>
          <w:color w:val="17365D"/>
        </w:rPr>
      </w:pPr>
    </w:p>
    <w:p w14:paraId="470E796D" w14:textId="77777777" w:rsidR="00224ABF" w:rsidRPr="00905AEC" w:rsidRDefault="00224ABF" w:rsidP="00224ABF">
      <w:pPr>
        <w:pStyle w:val="Heading4"/>
      </w:pPr>
      <w:r w:rsidRPr="00E72168">
        <w:lastRenderedPageBreak/>
        <w:t>Piezīme Nr</w:t>
      </w:r>
      <w:r>
        <w:t>.</w:t>
      </w:r>
      <w:r w:rsidRPr="00951799">
        <w:t xml:space="preserve"> </w:t>
      </w:r>
      <w:r w:rsidRPr="00905AEC">
        <w:t>NP.B25. Līdzdalības kapitālsabiedrību kapitālā, akciju un vērtspapīru iegāde</w:t>
      </w:r>
    </w:p>
    <w:p w14:paraId="11551D79" w14:textId="1D90D2CD" w:rsidR="00224ABF" w:rsidRPr="00641FFA" w:rsidRDefault="00EF19B1" w:rsidP="00EF19B1">
      <w:pPr>
        <w:pStyle w:val="BodyTextIndent"/>
        <w:spacing w:after="120" w:line="240" w:lineRule="auto"/>
        <w:ind w:left="0" w:firstLine="284"/>
        <w:jc w:val="both"/>
        <w:rPr>
          <w:bCs/>
          <w:color w:val="17365D"/>
        </w:rPr>
      </w:pPr>
      <w:r>
        <w:rPr>
          <w:bCs/>
          <w:color w:val="17365D"/>
        </w:rPr>
        <w:t>Šī posteņa samazinājums</w:t>
      </w:r>
      <w:r w:rsidR="00224ABF">
        <w:rPr>
          <w:bCs/>
          <w:color w:val="17365D"/>
        </w:rPr>
        <w:t xml:space="preserve"> veidojas, </w:t>
      </w:r>
      <w:r w:rsidR="00224ABF">
        <w:rPr>
          <w:color w:val="17365D"/>
        </w:rPr>
        <w:t xml:space="preserve">jo pārskata gadā veikti mazāki </w:t>
      </w:r>
      <w:r w:rsidR="00224ABF" w:rsidRPr="003E3C94">
        <w:rPr>
          <w:color w:val="17365D"/>
        </w:rPr>
        <w:t>i</w:t>
      </w:r>
      <w:r w:rsidR="00224ABF">
        <w:rPr>
          <w:color w:val="17365D"/>
        </w:rPr>
        <w:t>eguldījumi</w:t>
      </w:r>
      <w:r w:rsidR="00224ABF" w:rsidRPr="003E3C94">
        <w:rPr>
          <w:color w:val="17365D"/>
        </w:rPr>
        <w:t xml:space="preserve"> kapitālsabiedrību kapitālā</w:t>
      </w:r>
      <w:r w:rsidR="00224ABF">
        <w:rPr>
          <w:bCs/>
          <w:color w:val="17365D"/>
        </w:rPr>
        <w:t>:</w:t>
      </w:r>
    </w:p>
    <w:p w14:paraId="09585A64" w14:textId="77777777" w:rsidR="00224ABF" w:rsidRPr="00120404" w:rsidRDefault="00224ABF" w:rsidP="00224ABF">
      <w:pPr>
        <w:pStyle w:val="BodyTextIndent"/>
        <w:numPr>
          <w:ilvl w:val="0"/>
          <w:numId w:val="19"/>
        </w:numPr>
        <w:spacing w:after="120" w:line="240" w:lineRule="auto"/>
        <w:jc w:val="both"/>
        <w:rPr>
          <w:bCs/>
          <w:color w:val="17365D"/>
        </w:rPr>
      </w:pPr>
      <w:r w:rsidRPr="003E3C94">
        <w:rPr>
          <w:color w:val="17365D"/>
        </w:rPr>
        <w:t>Satiksmes ministrija</w:t>
      </w:r>
      <w:r>
        <w:rPr>
          <w:color w:val="17365D"/>
        </w:rPr>
        <w:t>i</w:t>
      </w:r>
      <w:r w:rsidRPr="003E3C94">
        <w:rPr>
          <w:color w:val="17365D"/>
        </w:rPr>
        <w:t xml:space="preserve"> (</w:t>
      </w:r>
      <w:r>
        <w:rPr>
          <w:color w:val="17365D"/>
        </w:rPr>
        <w:t>45 000</w:t>
      </w:r>
      <w:r w:rsidRPr="003E3C94">
        <w:rPr>
          <w:color w:val="17365D"/>
        </w:rPr>
        <w:t> </w:t>
      </w:r>
      <w:r>
        <w:rPr>
          <w:color w:val="17365D"/>
        </w:rPr>
        <w:t>000</w:t>
      </w:r>
      <w:r w:rsidRPr="003E3C94">
        <w:rPr>
          <w:color w:val="17365D"/>
        </w:rPr>
        <w:t xml:space="preserve">) </w:t>
      </w:r>
      <w:r w:rsidRPr="003E3C94">
        <w:rPr>
          <w:i/>
          <w:color w:val="17365D"/>
        </w:rPr>
        <w:t>euro</w:t>
      </w:r>
      <w:r w:rsidRPr="003E3C94">
        <w:rPr>
          <w:color w:val="17365D"/>
        </w:rPr>
        <w:t xml:space="preserve"> vērtībā;</w:t>
      </w:r>
    </w:p>
    <w:p w14:paraId="1D9060FB" w14:textId="77777777" w:rsidR="00224ABF" w:rsidRPr="00120404" w:rsidRDefault="00224ABF" w:rsidP="00224ABF">
      <w:pPr>
        <w:pStyle w:val="BodyTextIndent"/>
        <w:numPr>
          <w:ilvl w:val="0"/>
          <w:numId w:val="19"/>
        </w:numPr>
        <w:spacing w:after="120" w:line="240" w:lineRule="auto"/>
        <w:jc w:val="both"/>
        <w:rPr>
          <w:bCs/>
          <w:color w:val="17365D"/>
        </w:rPr>
      </w:pPr>
      <w:r w:rsidRPr="00120404">
        <w:rPr>
          <w:color w:val="17365D"/>
        </w:rPr>
        <w:t>Izglītības ministrijai (</w:t>
      </w:r>
      <w:r w:rsidRPr="00120404">
        <w:rPr>
          <w:bCs/>
          <w:color w:val="17365D"/>
        </w:rPr>
        <w:t xml:space="preserve">25 937 698) </w:t>
      </w:r>
      <w:r w:rsidRPr="00120404">
        <w:rPr>
          <w:bCs/>
          <w:i/>
          <w:color w:val="17365D"/>
        </w:rPr>
        <w:t>euro</w:t>
      </w:r>
      <w:r w:rsidRPr="00120404">
        <w:rPr>
          <w:bCs/>
          <w:color w:val="17365D"/>
        </w:rPr>
        <w:t xml:space="preserve"> vērtībā;</w:t>
      </w:r>
    </w:p>
    <w:p w14:paraId="46E54EEE" w14:textId="77777777" w:rsidR="00224ABF" w:rsidRPr="000D73F7" w:rsidRDefault="00224ABF" w:rsidP="00224ABF">
      <w:pPr>
        <w:pStyle w:val="Pamatteksts1"/>
        <w:numPr>
          <w:ilvl w:val="0"/>
          <w:numId w:val="19"/>
        </w:numPr>
        <w:rPr>
          <w:bCs/>
          <w:color w:val="17365D"/>
        </w:rPr>
      </w:pPr>
      <w:r w:rsidRPr="0067615C">
        <w:rPr>
          <w:color w:val="17365D"/>
        </w:rPr>
        <w:t xml:space="preserve">Veselības ministrijai </w:t>
      </w:r>
      <w:r>
        <w:rPr>
          <w:color w:val="17365D"/>
        </w:rPr>
        <w:t>(</w:t>
      </w:r>
      <w:r>
        <w:rPr>
          <w:bCs/>
          <w:color w:val="17365D"/>
        </w:rPr>
        <w:t>10 224 095)</w:t>
      </w:r>
      <w:r w:rsidRPr="00AD408A">
        <w:rPr>
          <w:bCs/>
          <w:color w:val="17365D"/>
        </w:rPr>
        <w:t xml:space="preserve"> </w:t>
      </w:r>
      <w:r w:rsidRPr="00AD408A">
        <w:rPr>
          <w:bCs/>
          <w:i/>
          <w:color w:val="17365D"/>
        </w:rPr>
        <w:t>euro</w:t>
      </w:r>
      <w:r w:rsidRPr="00AD408A">
        <w:rPr>
          <w:bCs/>
          <w:color w:val="17365D"/>
        </w:rPr>
        <w:t xml:space="preserve"> vēr</w:t>
      </w:r>
      <w:r>
        <w:rPr>
          <w:bCs/>
          <w:color w:val="17365D"/>
        </w:rPr>
        <w:t>tībā</w:t>
      </w:r>
      <w:r>
        <w:rPr>
          <w:color w:val="17365D"/>
        </w:rPr>
        <w:t xml:space="preserve">. </w:t>
      </w:r>
    </w:p>
    <w:p w14:paraId="6611E0D1" w14:textId="77777777" w:rsidR="00224ABF" w:rsidRDefault="00224ABF" w:rsidP="00EF19B1">
      <w:pPr>
        <w:pStyle w:val="BodyTextIndent"/>
        <w:spacing w:after="120" w:line="240" w:lineRule="auto"/>
        <w:ind w:left="0" w:firstLine="284"/>
        <w:jc w:val="both"/>
        <w:rPr>
          <w:bCs/>
          <w:color w:val="17365D"/>
        </w:rPr>
      </w:pPr>
      <w:r w:rsidRPr="000B3B7C">
        <w:rPr>
          <w:bCs/>
          <w:color w:val="17365D"/>
        </w:rPr>
        <w:t xml:space="preserve">Finanšu ministrijai </w:t>
      </w:r>
      <w:r>
        <w:rPr>
          <w:bCs/>
          <w:color w:val="17365D"/>
        </w:rPr>
        <w:t>pārskata gadā izdevumu samazinājums (14 835 181)</w:t>
      </w:r>
      <w:r w:rsidRPr="00AD408A">
        <w:rPr>
          <w:bCs/>
          <w:color w:val="17365D"/>
        </w:rPr>
        <w:t xml:space="preserve"> </w:t>
      </w:r>
      <w:r w:rsidRPr="00AD408A">
        <w:rPr>
          <w:bCs/>
          <w:i/>
          <w:color w:val="17365D"/>
        </w:rPr>
        <w:t>euro</w:t>
      </w:r>
      <w:r w:rsidRPr="00AD408A">
        <w:rPr>
          <w:bCs/>
          <w:color w:val="17365D"/>
        </w:rPr>
        <w:t xml:space="preserve"> vēr</w:t>
      </w:r>
      <w:r>
        <w:rPr>
          <w:bCs/>
          <w:color w:val="17365D"/>
        </w:rPr>
        <w:t>tībā</w:t>
      </w:r>
      <w:r w:rsidRPr="000D73F7">
        <w:rPr>
          <w:bCs/>
          <w:color w:val="17365D"/>
        </w:rPr>
        <w:t xml:space="preserve"> </w:t>
      </w:r>
      <w:r>
        <w:rPr>
          <w:bCs/>
          <w:color w:val="17365D"/>
        </w:rPr>
        <w:t xml:space="preserve">par </w:t>
      </w:r>
      <w:r w:rsidRPr="000D73F7">
        <w:rPr>
          <w:bCs/>
          <w:color w:val="17365D"/>
        </w:rPr>
        <w:t>Latvijas dalību Starptautiskā Valūtas fonda finansēšanas mehānismā “Finanšu darījumu plāns”</w:t>
      </w:r>
      <w:r>
        <w:rPr>
          <w:bCs/>
          <w:color w:val="17365D"/>
        </w:rPr>
        <w:t>, savukārt</w:t>
      </w:r>
      <w:r w:rsidRPr="000D73F7">
        <w:rPr>
          <w:bCs/>
          <w:color w:val="17365D"/>
        </w:rPr>
        <w:t xml:space="preserve"> izdevumu palielinājums </w:t>
      </w:r>
      <w:r>
        <w:rPr>
          <w:bCs/>
          <w:color w:val="17365D"/>
        </w:rPr>
        <w:t>10 095 149</w:t>
      </w:r>
      <w:r w:rsidRPr="00AD408A">
        <w:rPr>
          <w:bCs/>
          <w:color w:val="17365D"/>
        </w:rPr>
        <w:t xml:space="preserve"> </w:t>
      </w:r>
      <w:r w:rsidRPr="00AD408A">
        <w:rPr>
          <w:bCs/>
          <w:i/>
          <w:color w:val="17365D"/>
        </w:rPr>
        <w:t>euro</w:t>
      </w:r>
      <w:r w:rsidRPr="00AD408A">
        <w:rPr>
          <w:bCs/>
          <w:color w:val="17365D"/>
        </w:rPr>
        <w:t xml:space="preserve"> vēr</w:t>
      </w:r>
      <w:r>
        <w:rPr>
          <w:bCs/>
          <w:color w:val="17365D"/>
        </w:rPr>
        <w:t xml:space="preserve">ībā </w:t>
      </w:r>
      <w:r w:rsidRPr="000D73F7">
        <w:rPr>
          <w:bCs/>
          <w:color w:val="17365D"/>
        </w:rPr>
        <w:t xml:space="preserve">par </w:t>
      </w:r>
      <w:r>
        <w:rPr>
          <w:bCs/>
          <w:color w:val="17365D"/>
        </w:rPr>
        <w:t>ieguldījumu kapitālsabiedrību pamatkapitālā.</w:t>
      </w:r>
    </w:p>
    <w:p w14:paraId="0264C8D3" w14:textId="77777777" w:rsidR="00224ABF" w:rsidRDefault="00224ABF" w:rsidP="00224ABF">
      <w:pPr>
        <w:pStyle w:val="Heading4"/>
      </w:pPr>
      <w:r w:rsidRPr="00E72168">
        <w:t>Piezīme Nr</w:t>
      </w:r>
      <w:r>
        <w:t>.</w:t>
      </w:r>
      <w:r w:rsidRPr="00951799">
        <w:t xml:space="preserve"> </w:t>
      </w:r>
      <w:r w:rsidRPr="003E3C94">
        <w:t>NP.</w:t>
      </w:r>
      <w:r>
        <w:t>B27</w:t>
      </w:r>
      <w:r w:rsidRPr="003E3C94">
        <w:t>. Citi izdevumi no ieguldījumu darbības</w:t>
      </w:r>
    </w:p>
    <w:p w14:paraId="6F78E8BE" w14:textId="04A7EA55" w:rsidR="00224ABF" w:rsidRPr="009369C8" w:rsidRDefault="00224ABF" w:rsidP="00EF19B1">
      <w:pPr>
        <w:pStyle w:val="Pamatteksts1"/>
        <w:ind w:firstLine="284"/>
        <w:rPr>
          <w:color w:val="17365D"/>
        </w:rPr>
      </w:pPr>
      <w:r w:rsidRPr="00641FFA">
        <w:rPr>
          <w:color w:val="17365D"/>
        </w:rPr>
        <w:t xml:space="preserve">Citu izdevumu no ieguldījumu darbības </w:t>
      </w:r>
      <w:r w:rsidRPr="00641FFA">
        <w:rPr>
          <w:bCs/>
          <w:color w:val="17365D"/>
        </w:rPr>
        <w:t xml:space="preserve">palielinājumu </w:t>
      </w:r>
      <w:r w:rsidRPr="00641FFA">
        <w:rPr>
          <w:color w:val="17365D"/>
        </w:rPr>
        <w:t xml:space="preserve">87 999 934 </w:t>
      </w:r>
      <w:r w:rsidRPr="00641FFA">
        <w:rPr>
          <w:i/>
          <w:color w:val="17365D"/>
        </w:rPr>
        <w:t>euro</w:t>
      </w:r>
      <w:r w:rsidRPr="00641FFA">
        <w:rPr>
          <w:color w:val="17365D"/>
        </w:rPr>
        <w:t xml:space="preserve"> vērtībā</w:t>
      </w:r>
      <w:r w:rsidRPr="00641FFA">
        <w:rPr>
          <w:bCs/>
          <w:color w:val="17365D"/>
        </w:rPr>
        <w:t xml:space="preserve"> galvenokārt veido Izglītības un zinātnes ministrijas </w:t>
      </w:r>
      <w:r>
        <w:rPr>
          <w:bCs/>
          <w:color w:val="17365D"/>
        </w:rPr>
        <w:t>(Latvijas Universitāte</w:t>
      </w:r>
      <w:r w:rsidR="00EF19B1">
        <w:rPr>
          <w:bCs/>
          <w:color w:val="17365D"/>
        </w:rPr>
        <w:t>s</w:t>
      </w:r>
      <w:r>
        <w:rPr>
          <w:bCs/>
          <w:color w:val="17365D"/>
        </w:rPr>
        <w:t xml:space="preserve">) </w:t>
      </w:r>
      <w:r w:rsidRPr="00641FFA">
        <w:rPr>
          <w:bCs/>
          <w:color w:val="17365D"/>
        </w:rPr>
        <w:t xml:space="preserve">termiņnoguldījums kredītiestādē </w:t>
      </w:r>
      <w:r w:rsidR="004873C9">
        <w:rPr>
          <w:color w:val="17365D"/>
        </w:rPr>
        <w:t>60 000 000 </w:t>
      </w:r>
      <w:r w:rsidRPr="00641FFA">
        <w:rPr>
          <w:i/>
          <w:color w:val="17365D"/>
        </w:rPr>
        <w:t>euro</w:t>
      </w:r>
      <w:r w:rsidRPr="00641FFA">
        <w:rPr>
          <w:color w:val="17365D"/>
        </w:rPr>
        <w:t xml:space="preserve"> </w:t>
      </w:r>
      <w:r w:rsidRPr="00641FFA">
        <w:rPr>
          <w:bCs/>
          <w:color w:val="17365D"/>
        </w:rPr>
        <w:t>vērtībā un Veselības ministrijas</w:t>
      </w:r>
      <w:r>
        <w:rPr>
          <w:bCs/>
          <w:color w:val="17365D"/>
        </w:rPr>
        <w:t xml:space="preserve"> (Rīgas Stradiņa universitāte</w:t>
      </w:r>
      <w:r w:rsidR="00EF19B1">
        <w:rPr>
          <w:bCs/>
          <w:color w:val="17365D"/>
        </w:rPr>
        <w:t>s</w:t>
      </w:r>
      <w:r>
        <w:rPr>
          <w:bCs/>
          <w:color w:val="17365D"/>
        </w:rPr>
        <w:t xml:space="preserve">) </w:t>
      </w:r>
      <w:r w:rsidRPr="00641FFA">
        <w:rPr>
          <w:bCs/>
          <w:color w:val="17365D"/>
        </w:rPr>
        <w:t xml:space="preserve"> termiņnoguldījums kredītiestādē </w:t>
      </w:r>
      <w:r w:rsidRPr="00641FFA">
        <w:rPr>
          <w:color w:val="17365D"/>
        </w:rPr>
        <w:t xml:space="preserve">28 000 000 </w:t>
      </w:r>
      <w:r w:rsidRPr="00641FFA">
        <w:rPr>
          <w:i/>
          <w:color w:val="17365D"/>
        </w:rPr>
        <w:t>euro</w:t>
      </w:r>
      <w:r w:rsidRPr="00641FFA">
        <w:rPr>
          <w:color w:val="17365D"/>
        </w:rPr>
        <w:t xml:space="preserve"> </w:t>
      </w:r>
      <w:r w:rsidRPr="00641FFA">
        <w:rPr>
          <w:bCs/>
          <w:color w:val="17365D"/>
        </w:rPr>
        <w:t>vērtībā.</w:t>
      </w:r>
      <w:r>
        <w:rPr>
          <w:bCs/>
          <w:color w:val="17365D"/>
        </w:rPr>
        <w:t xml:space="preserve"> </w:t>
      </w:r>
    </w:p>
    <w:p w14:paraId="0C85B3AB" w14:textId="77777777" w:rsidR="00224ABF" w:rsidRPr="00905AEC" w:rsidRDefault="00224ABF" w:rsidP="00224ABF">
      <w:pPr>
        <w:pStyle w:val="Pamatteksts1"/>
        <w:spacing w:after="0"/>
        <w:ind w:firstLine="0"/>
        <w:rPr>
          <w:bCs/>
          <w:color w:val="17365D"/>
        </w:rPr>
      </w:pPr>
      <w:r w:rsidRPr="000161DF">
        <w:rPr>
          <w:bCs/>
          <w:color w:val="17365D"/>
        </w:rPr>
        <w:t xml:space="preserve">Informācija par citiem </w:t>
      </w:r>
      <w:r>
        <w:rPr>
          <w:bCs/>
          <w:color w:val="17365D"/>
        </w:rPr>
        <w:t>izdevumiem</w:t>
      </w:r>
      <w:r w:rsidRPr="000161DF">
        <w:rPr>
          <w:bCs/>
          <w:color w:val="17365D"/>
        </w:rPr>
        <w:t xml:space="preserve"> no</w:t>
      </w:r>
      <w:r>
        <w:rPr>
          <w:bCs/>
          <w:color w:val="17365D"/>
        </w:rPr>
        <w:t xml:space="preserve"> ieguldījumu darbības sniegta 3.6</w:t>
      </w:r>
      <w:r w:rsidRPr="000161DF">
        <w:rPr>
          <w:bCs/>
          <w:color w:val="17365D"/>
        </w:rPr>
        <w:t xml:space="preserve">. tabulā. </w:t>
      </w:r>
    </w:p>
    <w:p w14:paraId="004A6E3B" w14:textId="77777777" w:rsidR="00224ABF" w:rsidRPr="00905AEC" w:rsidRDefault="00224ABF" w:rsidP="00224ABF">
      <w:pPr>
        <w:pStyle w:val="Tabulasnosaukums"/>
        <w:spacing w:before="0"/>
        <w:jc w:val="left"/>
        <w:rPr>
          <w:rFonts w:eastAsia="Arial Unicode MS"/>
          <w:color w:val="17365D"/>
          <w:szCs w:val="20"/>
        </w:rPr>
      </w:pPr>
    </w:p>
    <w:p w14:paraId="42738F5F" w14:textId="614839AF" w:rsidR="00224ABF" w:rsidRPr="00905AEC" w:rsidRDefault="00224ABF" w:rsidP="00224ABF">
      <w:pPr>
        <w:pStyle w:val="Tabulasnosaukums"/>
        <w:spacing w:before="0"/>
        <w:ind w:left="720"/>
        <w:rPr>
          <w:rFonts w:eastAsia="Arial Unicode MS"/>
          <w:color w:val="17365D"/>
          <w:szCs w:val="20"/>
        </w:rPr>
      </w:pPr>
      <w:r>
        <w:rPr>
          <w:rFonts w:eastAsia="Arial Unicode MS"/>
          <w:color w:val="17365D"/>
          <w:szCs w:val="20"/>
        </w:rPr>
        <w:t>3.6</w:t>
      </w:r>
      <w:r w:rsidRPr="00905AEC">
        <w:rPr>
          <w:rFonts w:eastAsia="Arial Unicode MS"/>
          <w:color w:val="17365D"/>
          <w:szCs w:val="20"/>
        </w:rPr>
        <w:t>. tabula. NP.B</w:t>
      </w:r>
      <w:r w:rsidR="007420DA">
        <w:rPr>
          <w:rFonts w:eastAsia="Arial Unicode MS"/>
          <w:color w:val="17365D"/>
          <w:szCs w:val="20"/>
        </w:rPr>
        <w:t>27</w:t>
      </w:r>
      <w:r w:rsidRPr="00905AEC">
        <w:rPr>
          <w:rFonts w:eastAsia="Arial Unicode MS"/>
          <w:color w:val="17365D"/>
          <w:szCs w:val="20"/>
        </w:rPr>
        <w:t xml:space="preserve"> Citi </w:t>
      </w:r>
      <w:r>
        <w:rPr>
          <w:rFonts w:eastAsia="Arial Unicode MS"/>
          <w:color w:val="17365D"/>
          <w:szCs w:val="20"/>
        </w:rPr>
        <w:t>izdevumi</w:t>
      </w:r>
      <w:r w:rsidRPr="00905AEC">
        <w:rPr>
          <w:rFonts w:eastAsia="Arial Unicode MS"/>
          <w:color w:val="17365D"/>
          <w:szCs w:val="20"/>
        </w:rPr>
        <w:t xml:space="preserve"> no ieguldījumu darbības</w:t>
      </w:r>
      <w:r w:rsidRPr="00905AEC">
        <w:rPr>
          <w:bCs/>
          <w:color w:val="17365D"/>
          <w:szCs w:val="20"/>
        </w:rPr>
        <w:t xml:space="preserve"> (</w:t>
      </w:r>
      <w:r w:rsidRPr="00905AEC">
        <w:rPr>
          <w:color w:val="17365D"/>
          <w:szCs w:val="20"/>
        </w:rPr>
        <w:t>euro)</w:t>
      </w:r>
    </w:p>
    <w:tbl>
      <w:tblPr>
        <w:tblW w:w="5000" w:type="pct"/>
        <w:tblBorders>
          <w:top w:val="single" w:sz="4" w:space="0" w:color="auto"/>
          <w:bottom w:val="single" w:sz="4" w:space="0" w:color="000000"/>
          <w:insideH w:val="single" w:sz="4" w:space="0" w:color="000000"/>
        </w:tblBorders>
        <w:tblLook w:val="04A0" w:firstRow="1" w:lastRow="0" w:firstColumn="1" w:lastColumn="0" w:noHBand="0" w:noVBand="1"/>
      </w:tblPr>
      <w:tblGrid>
        <w:gridCol w:w="4249"/>
        <w:gridCol w:w="1633"/>
        <w:gridCol w:w="1880"/>
        <w:gridCol w:w="1592"/>
      </w:tblGrid>
      <w:tr w:rsidR="00475A10" w:rsidRPr="00905AEC" w14:paraId="0AA80097" w14:textId="77777777" w:rsidTr="00475A10">
        <w:trPr>
          <w:trHeight w:val="314"/>
          <w:tblHeader/>
        </w:trPr>
        <w:tc>
          <w:tcPr>
            <w:tcW w:w="5882" w:type="dxa"/>
            <w:gridSpan w:val="2"/>
            <w:tcBorders>
              <w:top w:val="nil"/>
              <w:bottom w:val="single" w:sz="4" w:space="0" w:color="17365D"/>
            </w:tcBorders>
            <w:shd w:val="clear" w:color="auto" w:fill="B8CCE4" w:themeFill="accent1" w:themeFillTint="66"/>
            <w:vAlign w:val="center"/>
            <w:hideMark/>
          </w:tcPr>
          <w:p w14:paraId="269DAC1A" w14:textId="3624955A" w:rsidR="00475A10" w:rsidRPr="00905AEC" w:rsidRDefault="00475A10" w:rsidP="00224ABF">
            <w:pPr>
              <w:spacing w:after="0" w:line="240" w:lineRule="auto"/>
              <w:jc w:val="center"/>
              <w:rPr>
                <w:b/>
                <w:bCs/>
                <w:color w:val="17365D"/>
                <w:sz w:val="18"/>
                <w:szCs w:val="18"/>
                <w:lang w:eastAsia="lv-LV"/>
              </w:rPr>
            </w:pPr>
            <w:r w:rsidRPr="00905AEC">
              <w:rPr>
                <w:b/>
                <w:bCs/>
                <w:color w:val="17365D"/>
                <w:sz w:val="18"/>
                <w:szCs w:val="18"/>
                <w:lang w:eastAsia="lv-LV"/>
              </w:rPr>
              <w:t>Darījuma apraksts</w:t>
            </w:r>
          </w:p>
        </w:tc>
        <w:tc>
          <w:tcPr>
            <w:tcW w:w="1880" w:type="dxa"/>
            <w:tcBorders>
              <w:top w:val="nil"/>
              <w:bottom w:val="single" w:sz="4" w:space="0" w:color="17365D"/>
            </w:tcBorders>
            <w:shd w:val="clear" w:color="auto" w:fill="B8CCE4" w:themeFill="accent1" w:themeFillTint="66"/>
            <w:vAlign w:val="center"/>
            <w:hideMark/>
          </w:tcPr>
          <w:p w14:paraId="09E02675" w14:textId="77777777" w:rsidR="00475A10" w:rsidRPr="00905AEC" w:rsidRDefault="00475A10" w:rsidP="00224ABF">
            <w:pPr>
              <w:spacing w:after="0" w:line="240" w:lineRule="auto"/>
              <w:jc w:val="center"/>
              <w:rPr>
                <w:b/>
                <w:bCs/>
                <w:color w:val="17365D"/>
                <w:sz w:val="18"/>
                <w:szCs w:val="18"/>
                <w:lang w:eastAsia="lv-LV"/>
              </w:rPr>
            </w:pPr>
            <w:r w:rsidRPr="00905AEC">
              <w:rPr>
                <w:b/>
                <w:bCs/>
                <w:color w:val="17365D"/>
                <w:sz w:val="18"/>
                <w:szCs w:val="18"/>
                <w:lang w:eastAsia="lv-LV"/>
              </w:rPr>
              <w:t>Pārskata periodā</w:t>
            </w:r>
          </w:p>
        </w:tc>
        <w:tc>
          <w:tcPr>
            <w:tcW w:w="1592" w:type="dxa"/>
            <w:tcBorders>
              <w:top w:val="nil"/>
              <w:bottom w:val="single" w:sz="4" w:space="0" w:color="17365D"/>
            </w:tcBorders>
            <w:shd w:val="clear" w:color="auto" w:fill="B8CCE4" w:themeFill="accent1" w:themeFillTint="66"/>
          </w:tcPr>
          <w:p w14:paraId="77301524" w14:textId="77777777" w:rsidR="00475A10" w:rsidRPr="00905AEC" w:rsidRDefault="00475A10" w:rsidP="00224ABF">
            <w:pPr>
              <w:spacing w:after="0" w:line="240" w:lineRule="auto"/>
              <w:jc w:val="center"/>
              <w:rPr>
                <w:b/>
                <w:bCs/>
                <w:color w:val="17365D"/>
                <w:sz w:val="18"/>
                <w:szCs w:val="18"/>
                <w:lang w:eastAsia="lv-LV"/>
              </w:rPr>
            </w:pPr>
            <w:r w:rsidRPr="00905AEC">
              <w:rPr>
                <w:b/>
                <w:bCs/>
                <w:color w:val="17365D"/>
                <w:sz w:val="18"/>
                <w:szCs w:val="18"/>
                <w:lang w:eastAsia="lv-LV"/>
              </w:rPr>
              <w:t>Iepriekšējā pārskata periodā</w:t>
            </w:r>
          </w:p>
        </w:tc>
      </w:tr>
      <w:tr w:rsidR="00475A10" w:rsidRPr="00905AEC" w14:paraId="34BBA024" w14:textId="77777777" w:rsidTr="00475A10">
        <w:trPr>
          <w:trHeight w:val="255"/>
          <w:tblHeader/>
        </w:trPr>
        <w:tc>
          <w:tcPr>
            <w:tcW w:w="5882" w:type="dxa"/>
            <w:gridSpan w:val="2"/>
            <w:tcBorders>
              <w:top w:val="single" w:sz="4" w:space="0" w:color="17365D"/>
              <w:bottom w:val="single" w:sz="4" w:space="0" w:color="17365D"/>
            </w:tcBorders>
            <w:shd w:val="clear" w:color="auto" w:fill="auto"/>
            <w:vAlign w:val="center"/>
            <w:hideMark/>
          </w:tcPr>
          <w:p w14:paraId="1B381397" w14:textId="2FB989B5" w:rsidR="00475A10" w:rsidRPr="00905AEC" w:rsidRDefault="00475A10" w:rsidP="00224ABF">
            <w:pPr>
              <w:spacing w:after="0" w:line="240" w:lineRule="auto"/>
              <w:jc w:val="center"/>
              <w:rPr>
                <w:b/>
                <w:bCs/>
                <w:color w:val="17365D"/>
                <w:sz w:val="18"/>
                <w:szCs w:val="18"/>
                <w:lang w:eastAsia="lv-LV"/>
              </w:rPr>
            </w:pPr>
            <w:r w:rsidRPr="00905AEC">
              <w:rPr>
                <w:b/>
                <w:bCs/>
                <w:color w:val="17365D"/>
                <w:sz w:val="18"/>
                <w:szCs w:val="18"/>
                <w:lang w:eastAsia="lv-LV"/>
              </w:rPr>
              <w:t>A</w:t>
            </w:r>
          </w:p>
        </w:tc>
        <w:tc>
          <w:tcPr>
            <w:tcW w:w="1880" w:type="dxa"/>
            <w:tcBorders>
              <w:top w:val="single" w:sz="4" w:space="0" w:color="17365D"/>
              <w:bottom w:val="single" w:sz="4" w:space="0" w:color="17365D"/>
            </w:tcBorders>
            <w:shd w:val="clear" w:color="auto" w:fill="auto"/>
            <w:vAlign w:val="center"/>
            <w:hideMark/>
          </w:tcPr>
          <w:p w14:paraId="5154357C" w14:textId="77777777" w:rsidR="00475A10" w:rsidRPr="00905AEC" w:rsidRDefault="00475A10" w:rsidP="00224ABF">
            <w:pPr>
              <w:spacing w:after="0" w:line="240" w:lineRule="auto"/>
              <w:jc w:val="center"/>
              <w:rPr>
                <w:b/>
                <w:bCs/>
                <w:color w:val="17365D"/>
                <w:sz w:val="18"/>
                <w:szCs w:val="18"/>
                <w:lang w:eastAsia="lv-LV"/>
              </w:rPr>
            </w:pPr>
            <w:r w:rsidRPr="00905AEC">
              <w:rPr>
                <w:b/>
                <w:bCs/>
                <w:color w:val="17365D"/>
                <w:sz w:val="18"/>
                <w:szCs w:val="18"/>
                <w:lang w:eastAsia="lv-LV"/>
              </w:rPr>
              <w:t>1</w:t>
            </w:r>
          </w:p>
        </w:tc>
        <w:tc>
          <w:tcPr>
            <w:tcW w:w="1592" w:type="dxa"/>
            <w:tcBorders>
              <w:top w:val="single" w:sz="4" w:space="0" w:color="17365D"/>
              <w:bottom w:val="single" w:sz="4" w:space="0" w:color="17365D"/>
            </w:tcBorders>
            <w:vAlign w:val="center"/>
          </w:tcPr>
          <w:p w14:paraId="2694C7A4" w14:textId="77777777" w:rsidR="00475A10" w:rsidRPr="00905AEC" w:rsidRDefault="00475A10" w:rsidP="00224ABF">
            <w:pPr>
              <w:spacing w:after="0" w:line="240" w:lineRule="auto"/>
              <w:jc w:val="center"/>
              <w:rPr>
                <w:b/>
                <w:bCs/>
                <w:color w:val="17365D"/>
                <w:sz w:val="18"/>
                <w:szCs w:val="18"/>
                <w:lang w:eastAsia="lv-LV"/>
              </w:rPr>
            </w:pPr>
            <w:r>
              <w:rPr>
                <w:b/>
                <w:bCs/>
                <w:color w:val="17365D"/>
                <w:sz w:val="18"/>
                <w:szCs w:val="18"/>
                <w:lang w:eastAsia="lv-LV"/>
              </w:rPr>
              <w:t>2</w:t>
            </w:r>
          </w:p>
        </w:tc>
      </w:tr>
      <w:tr w:rsidR="00475A10" w:rsidRPr="00905AEC" w14:paraId="6CE19660" w14:textId="77777777" w:rsidTr="00475A10">
        <w:trPr>
          <w:trHeight w:val="255"/>
        </w:trPr>
        <w:tc>
          <w:tcPr>
            <w:tcW w:w="5882" w:type="dxa"/>
            <w:gridSpan w:val="2"/>
            <w:tcBorders>
              <w:top w:val="single" w:sz="4" w:space="0" w:color="17365D"/>
              <w:bottom w:val="single" w:sz="4" w:space="0" w:color="17365D"/>
            </w:tcBorders>
            <w:shd w:val="clear" w:color="F2F2F2" w:fill="FFFFFF"/>
            <w:vAlign w:val="center"/>
          </w:tcPr>
          <w:p w14:paraId="7216534F" w14:textId="66358E49" w:rsidR="00475A10" w:rsidRDefault="00475A10" w:rsidP="00475A10">
            <w:pPr>
              <w:spacing w:after="0" w:line="240" w:lineRule="auto"/>
              <w:rPr>
                <w:bCs/>
                <w:color w:val="17365D"/>
                <w:sz w:val="18"/>
                <w:szCs w:val="18"/>
                <w:lang w:eastAsia="lv-LV"/>
              </w:rPr>
            </w:pPr>
            <w:r w:rsidRPr="00AD2673">
              <w:rPr>
                <w:bCs/>
                <w:color w:val="17365D"/>
                <w:sz w:val="18"/>
                <w:szCs w:val="18"/>
                <w:lang w:eastAsia="lv-LV"/>
              </w:rPr>
              <w:t xml:space="preserve">Termiņnoguldījumu, kuru sākotnējais termiņš pārsniedz 90 dienas, </w:t>
            </w:r>
            <w:r>
              <w:rPr>
                <w:bCs/>
                <w:color w:val="17365D"/>
                <w:sz w:val="18"/>
                <w:szCs w:val="18"/>
                <w:lang w:eastAsia="lv-LV"/>
              </w:rPr>
              <w:t>veikšana</w:t>
            </w:r>
          </w:p>
        </w:tc>
        <w:tc>
          <w:tcPr>
            <w:tcW w:w="1880" w:type="dxa"/>
            <w:tcBorders>
              <w:top w:val="single" w:sz="4" w:space="0" w:color="17365D"/>
              <w:bottom w:val="single" w:sz="4" w:space="0" w:color="17365D"/>
            </w:tcBorders>
            <w:shd w:val="clear" w:color="F2F2F2" w:fill="FFFFFF"/>
            <w:vAlign w:val="center"/>
          </w:tcPr>
          <w:p w14:paraId="5D86EBFE" w14:textId="77777777" w:rsidR="00475A10" w:rsidRDefault="00475A10" w:rsidP="00224ABF">
            <w:pPr>
              <w:spacing w:after="0" w:line="240" w:lineRule="auto"/>
              <w:jc w:val="right"/>
              <w:rPr>
                <w:bCs/>
                <w:color w:val="17365D"/>
                <w:sz w:val="18"/>
                <w:szCs w:val="18"/>
                <w:lang w:eastAsia="lv-LV"/>
              </w:rPr>
            </w:pPr>
            <w:r>
              <w:rPr>
                <w:bCs/>
                <w:color w:val="17365D"/>
                <w:sz w:val="18"/>
                <w:szCs w:val="18"/>
                <w:lang w:eastAsia="lv-LV"/>
              </w:rPr>
              <w:t>88 005</w:t>
            </w:r>
            <w:r w:rsidRPr="003E3C94">
              <w:rPr>
                <w:rFonts w:cs="Times New Roman"/>
                <w:color w:val="17365D"/>
                <w:sz w:val="18"/>
                <w:szCs w:val="18"/>
              </w:rPr>
              <w:t> </w:t>
            </w:r>
            <w:r>
              <w:rPr>
                <w:bCs/>
                <w:color w:val="17365D"/>
                <w:sz w:val="18"/>
                <w:szCs w:val="18"/>
                <w:lang w:eastAsia="lv-LV"/>
              </w:rPr>
              <w:t>132</w:t>
            </w:r>
          </w:p>
        </w:tc>
        <w:tc>
          <w:tcPr>
            <w:tcW w:w="1592" w:type="dxa"/>
            <w:tcBorders>
              <w:top w:val="single" w:sz="4" w:space="0" w:color="17365D"/>
              <w:bottom w:val="single" w:sz="4" w:space="0" w:color="17365D"/>
            </w:tcBorders>
            <w:shd w:val="clear" w:color="F2F2F2" w:fill="FFFFFF"/>
            <w:vAlign w:val="center"/>
          </w:tcPr>
          <w:p w14:paraId="1C185780" w14:textId="77777777" w:rsidR="00475A10" w:rsidRPr="003E3C94" w:rsidRDefault="00475A10" w:rsidP="00224ABF">
            <w:pPr>
              <w:spacing w:after="0" w:line="240" w:lineRule="auto"/>
              <w:jc w:val="right"/>
              <w:rPr>
                <w:bCs/>
                <w:color w:val="17365D"/>
                <w:sz w:val="18"/>
                <w:szCs w:val="18"/>
                <w:lang w:eastAsia="lv-LV"/>
              </w:rPr>
            </w:pPr>
            <w:r w:rsidRPr="00E42C98">
              <w:rPr>
                <w:bCs/>
                <w:color w:val="17365D"/>
                <w:sz w:val="18"/>
                <w:szCs w:val="18"/>
                <w:lang w:eastAsia="lv-LV"/>
              </w:rPr>
              <w:t xml:space="preserve">5 </w:t>
            </w:r>
            <w:r>
              <w:rPr>
                <w:bCs/>
                <w:color w:val="17365D"/>
                <w:sz w:val="18"/>
                <w:szCs w:val="18"/>
                <w:lang w:eastAsia="lv-LV"/>
              </w:rPr>
              <w:t>198</w:t>
            </w:r>
          </w:p>
        </w:tc>
      </w:tr>
      <w:tr w:rsidR="00224ABF" w:rsidRPr="00905AEC" w14:paraId="108729F0" w14:textId="77777777" w:rsidTr="00475A10">
        <w:trPr>
          <w:trHeight w:val="255"/>
        </w:trPr>
        <w:tc>
          <w:tcPr>
            <w:tcW w:w="4249" w:type="dxa"/>
            <w:tcBorders>
              <w:top w:val="single" w:sz="4" w:space="0" w:color="17365D"/>
              <w:bottom w:val="nil"/>
            </w:tcBorders>
            <w:shd w:val="clear" w:color="auto" w:fill="B8CCE4" w:themeFill="accent1" w:themeFillTint="66"/>
            <w:vAlign w:val="center"/>
            <w:hideMark/>
          </w:tcPr>
          <w:p w14:paraId="2552C8A7" w14:textId="77777777" w:rsidR="00224ABF" w:rsidRPr="00905AEC" w:rsidRDefault="00224ABF" w:rsidP="00224ABF">
            <w:pPr>
              <w:spacing w:after="0" w:line="240" w:lineRule="auto"/>
              <w:rPr>
                <w:bCs/>
                <w:color w:val="17365D"/>
                <w:sz w:val="18"/>
                <w:szCs w:val="18"/>
                <w:lang w:eastAsia="lv-LV"/>
              </w:rPr>
            </w:pPr>
            <w:r w:rsidRPr="00905AEC">
              <w:rPr>
                <w:b/>
                <w:bCs/>
                <w:color w:val="17365D"/>
                <w:sz w:val="18"/>
                <w:szCs w:val="18"/>
                <w:lang w:eastAsia="lv-LV"/>
              </w:rPr>
              <w:t>Kopā</w:t>
            </w:r>
          </w:p>
        </w:tc>
        <w:tc>
          <w:tcPr>
            <w:tcW w:w="1633" w:type="dxa"/>
            <w:tcBorders>
              <w:top w:val="single" w:sz="4" w:space="0" w:color="17365D"/>
              <w:bottom w:val="nil"/>
            </w:tcBorders>
            <w:shd w:val="clear" w:color="auto" w:fill="B8CCE4" w:themeFill="accent1" w:themeFillTint="66"/>
          </w:tcPr>
          <w:p w14:paraId="73E8782B" w14:textId="77777777" w:rsidR="00224ABF" w:rsidRDefault="00224ABF" w:rsidP="00224ABF">
            <w:pPr>
              <w:spacing w:after="0" w:line="240" w:lineRule="auto"/>
              <w:jc w:val="right"/>
              <w:rPr>
                <w:b/>
                <w:bCs/>
                <w:color w:val="17365D"/>
                <w:sz w:val="18"/>
                <w:szCs w:val="18"/>
                <w:lang w:eastAsia="lv-LV"/>
              </w:rPr>
            </w:pPr>
          </w:p>
        </w:tc>
        <w:tc>
          <w:tcPr>
            <w:tcW w:w="1880" w:type="dxa"/>
            <w:tcBorders>
              <w:top w:val="single" w:sz="4" w:space="0" w:color="17365D"/>
              <w:bottom w:val="nil"/>
            </w:tcBorders>
            <w:shd w:val="clear" w:color="auto" w:fill="B8CCE4" w:themeFill="accent1" w:themeFillTint="66"/>
            <w:vAlign w:val="center"/>
            <w:hideMark/>
          </w:tcPr>
          <w:p w14:paraId="38571118" w14:textId="77777777" w:rsidR="00224ABF" w:rsidRPr="003E3C94" w:rsidRDefault="00224ABF" w:rsidP="00224ABF">
            <w:pPr>
              <w:spacing w:after="0" w:line="240" w:lineRule="auto"/>
              <w:jc w:val="right"/>
              <w:rPr>
                <w:bCs/>
                <w:color w:val="17365D"/>
                <w:sz w:val="18"/>
                <w:szCs w:val="18"/>
                <w:lang w:eastAsia="lv-LV"/>
              </w:rPr>
            </w:pPr>
            <w:r>
              <w:rPr>
                <w:b/>
                <w:bCs/>
                <w:color w:val="17365D"/>
                <w:sz w:val="18"/>
                <w:szCs w:val="18"/>
                <w:lang w:eastAsia="lv-LV"/>
              </w:rPr>
              <w:t>88</w:t>
            </w:r>
            <w:r w:rsidRPr="00905AEC">
              <w:rPr>
                <w:b/>
                <w:bCs/>
                <w:color w:val="17365D"/>
                <w:sz w:val="18"/>
                <w:szCs w:val="18"/>
                <w:lang w:eastAsia="lv-LV"/>
              </w:rPr>
              <w:t xml:space="preserve"> </w:t>
            </w:r>
            <w:r>
              <w:rPr>
                <w:b/>
                <w:bCs/>
                <w:color w:val="17365D"/>
                <w:sz w:val="18"/>
                <w:szCs w:val="18"/>
                <w:lang w:eastAsia="lv-LV"/>
              </w:rPr>
              <w:t>005</w:t>
            </w:r>
            <w:r w:rsidRPr="00905AEC">
              <w:rPr>
                <w:b/>
                <w:bCs/>
                <w:color w:val="17365D"/>
                <w:sz w:val="18"/>
                <w:szCs w:val="18"/>
                <w:lang w:eastAsia="lv-LV"/>
              </w:rPr>
              <w:t xml:space="preserve"> </w:t>
            </w:r>
            <w:r>
              <w:rPr>
                <w:b/>
                <w:bCs/>
                <w:color w:val="17365D"/>
                <w:sz w:val="18"/>
                <w:szCs w:val="18"/>
                <w:lang w:eastAsia="lv-LV"/>
              </w:rPr>
              <w:t>132</w:t>
            </w:r>
          </w:p>
        </w:tc>
        <w:tc>
          <w:tcPr>
            <w:tcW w:w="1592" w:type="dxa"/>
            <w:tcBorders>
              <w:top w:val="single" w:sz="4" w:space="0" w:color="17365D"/>
              <w:bottom w:val="nil"/>
            </w:tcBorders>
            <w:shd w:val="clear" w:color="auto" w:fill="B8CCE4" w:themeFill="accent1" w:themeFillTint="66"/>
            <w:vAlign w:val="center"/>
          </w:tcPr>
          <w:p w14:paraId="7F3788C7" w14:textId="77777777" w:rsidR="00224ABF" w:rsidRPr="003E3C94" w:rsidRDefault="00224ABF" w:rsidP="00224ABF">
            <w:pPr>
              <w:spacing w:after="0" w:line="240" w:lineRule="auto"/>
              <w:jc w:val="right"/>
              <w:rPr>
                <w:bCs/>
                <w:color w:val="17365D"/>
                <w:sz w:val="18"/>
                <w:szCs w:val="18"/>
                <w:lang w:eastAsia="lv-LV"/>
              </w:rPr>
            </w:pPr>
            <w:r>
              <w:rPr>
                <w:b/>
                <w:bCs/>
                <w:color w:val="17365D"/>
                <w:sz w:val="18"/>
                <w:szCs w:val="18"/>
                <w:lang w:eastAsia="lv-LV"/>
              </w:rPr>
              <w:t>5</w:t>
            </w:r>
            <w:r w:rsidRPr="00905AEC">
              <w:rPr>
                <w:b/>
                <w:bCs/>
                <w:color w:val="17365D"/>
                <w:sz w:val="18"/>
                <w:szCs w:val="18"/>
                <w:lang w:eastAsia="lv-LV"/>
              </w:rPr>
              <w:t xml:space="preserve"> </w:t>
            </w:r>
            <w:r>
              <w:rPr>
                <w:b/>
                <w:bCs/>
                <w:color w:val="17365D"/>
                <w:sz w:val="18"/>
                <w:szCs w:val="18"/>
                <w:lang w:eastAsia="lv-LV"/>
              </w:rPr>
              <w:t>198</w:t>
            </w:r>
          </w:p>
        </w:tc>
      </w:tr>
    </w:tbl>
    <w:p w14:paraId="2C60A88A" w14:textId="77777777" w:rsidR="00224ABF" w:rsidRDefault="00224ABF" w:rsidP="00224ABF">
      <w:pPr>
        <w:pStyle w:val="BodyTextIndent"/>
        <w:spacing w:after="120" w:line="240" w:lineRule="auto"/>
        <w:jc w:val="both"/>
        <w:rPr>
          <w:bCs/>
          <w:color w:val="17365D"/>
        </w:rPr>
      </w:pPr>
    </w:p>
    <w:p w14:paraId="132E937F" w14:textId="77777777" w:rsidR="00224ABF" w:rsidRDefault="00224ABF" w:rsidP="004873C9">
      <w:pPr>
        <w:pStyle w:val="Heading3"/>
      </w:pPr>
      <w:r w:rsidRPr="00D81FB8">
        <w:t>Naudas līdzekļu plūsma no finansēšanas darbības</w:t>
      </w:r>
    </w:p>
    <w:p w14:paraId="4C62DD3D" w14:textId="77777777" w:rsidR="00224ABF" w:rsidRPr="00905AEC" w:rsidRDefault="00224ABF" w:rsidP="00224ABF">
      <w:pPr>
        <w:pStyle w:val="Tabulasnosaukums"/>
        <w:spacing w:before="0"/>
        <w:rPr>
          <w:rFonts w:eastAsia="Arial Unicode MS"/>
          <w:color w:val="17365D"/>
          <w:szCs w:val="20"/>
        </w:rPr>
      </w:pPr>
      <w:r>
        <w:rPr>
          <w:rFonts w:eastAsia="Arial Unicode MS"/>
          <w:color w:val="17365D"/>
          <w:szCs w:val="20"/>
        </w:rPr>
        <w:t>3.7</w:t>
      </w:r>
      <w:r w:rsidRPr="00905AEC">
        <w:rPr>
          <w:rFonts w:eastAsia="Arial Unicode MS"/>
          <w:color w:val="17365D"/>
          <w:szCs w:val="20"/>
        </w:rPr>
        <w:t xml:space="preserve">. tabula. NP.C Finansēšanas </w:t>
      </w:r>
      <w:r w:rsidRPr="00905AEC">
        <w:rPr>
          <w:bCs/>
          <w:color w:val="17365D"/>
          <w:szCs w:val="20"/>
        </w:rPr>
        <w:t>ieņēmumi un izdevumi (</w:t>
      </w:r>
      <w:r w:rsidRPr="00905AEC">
        <w:rPr>
          <w:color w:val="17365D"/>
          <w:szCs w:val="20"/>
        </w:rPr>
        <w:t>euro)</w:t>
      </w:r>
    </w:p>
    <w:tbl>
      <w:tblPr>
        <w:tblW w:w="9390" w:type="dxa"/>
        <w:tblLayout w:type="fixed"/>
        <w:tblLook w:val="04A0" w:firstRow="1" w:lastRow="0" w:firstColumn="1" w:lastColumn="0" w:noHBand="0" w:noVBand="1"/>
      </w:tblPr>
      <w:tblGrid>
        <w:gridCol w:w="2694"/>
        <w:gridCol w:w="992"/>
        <w:gridCol w:w="1418"/>
        <w:gridCol w:w="1276"/>
        <w:gridCol w:w="1701"/>
        <w:gridCol w:w="1309"/>
      </w:tblGrid>
      <w:tr w:rsidR="00224ABF" w:rsidRPr="001F1056" w14:paraId="1AB0CA13" w14:textId="77777777" w:rsidTr="00224ABF">
        <w:trPr>
          <w:trHeight w:val="791"/>
          <w:tblHeader/>
        </w:trPr>
        <w:tc>
          <w:tcPr>
            <w:tcW w:w="2694" w:type="dxa"/>
            <w:tcBorders>
              <w:bottom w:val="single" w:sz="4" w:space="0" w:color="17365D"/>
            </w:tcBorders>
            <w:shd w:val="clear" w:color="auto" w:fill="B9CDE5"/>
            <w:vAlign w:val="center"/>
            <w:hideMark/>
          </w:tcPr>
          <w:p w14:paraId="07CE4CFF" w14:textId="77777777" w:rsidR="00224ABF" w:rsidRPr="001F1056" w:rsidRDefault="00224ABF" w:rsidP="00224ABF">
            <w:pPr>
              <w:spacing w:after="0" w:line="240" w:lineRule="auto"/>
              <w:jc w:val="center"/>
              <w:rPr>
                <w:rFonts w:cs="Times New Roman"/>
                <w:b/>
                <w:color w:val="17365D"/>
                <w:sz w:val="18"/>
                <w:szCs w:val="18"/>
                <w:lang w:eastAsia="lv-LV"/>
              </w:rPr>
            </w:pPr>
            <w:r w:rsidRPr="001F1056">
              <w:rPr>
                <w:rFonts w:cs="Times New Roman"/>
                <w:b/>
                <w:color w:val="17365D"/>
                <w:sz w:val="18"/>
                <w:szCs w:val="18"/>
                <w:lang w:eastAsia="lv-LV"/>
              </w:rPr>
              <w:t>Rādītājs</w:t>
            </w:r>
          </w:p>
        </w:tc>
        <w:tc>
          <w:tcPr>
            <w:tcW w:w="992" w:type="dxa"/>
            <w:tcBorders>
              <w:bottom w:val="single" w:sz="4" w:space="0" w:color="17365D"/>
            </w:tcBorders>
            <w:shd w:val="clear" w:color="auto" w:fill="B9CDE5"/>
            <w:vAlign w:val="center"/>
          </w:tcPr>
          <w:p w14:paraId="106C9254" w14:textId="77777777" w:rsidR="00224ABF" w:rsidRPr="001F1056" w:rsidRDefault="00224ABF" w:rsidP="00224ABF">
            <w:pPr>
              <w:spacing w:after="0" w:line="240" w:lineRule="auto"/>
              <w:jc w:val="center"/>
              <w:rPr>
                <w:rFonts w:cs="Times New Roman"/>
                <w:b/>
                <w:color w:val="17365D"/>
                <w:sz w:val="18"/>
                <w:szCs w:val="18"/>
                <w:lang w:eastAsia="lv-LV"/>
              </w:rPr>
            </w:pPr>
            <w:r w:rsidRPr="001F1056">
              <w:rPr>
                <w:rFonts w:cs="Times New Roman"/>
                <w:b/>
                <w:color w:val="17365D"/>
                <w:sz w:val="18"/>
                <w:szCs w:val="18"/>
                <w:lang w:eastAsia="lv-LV"/>
              </w:rPr>
              <w:t>Piezīmes Nr.</w:t>
            </w:r>
          </w:p>
        </w:tc>
        <w:tc>
          <w:tcPr>
            <w:tcW w:w="1418" w:type="dxa"/>
            <w:tcBorders>
              <w:bottom w:val="single" w:sz="4" w:space="0" w:color="17365D"/>
            </w:tcBorders>
            <w:shd w:val="clear" w:color="auto" w:fill="B9CDE5"/>
            <w:vAlign w:val="center"/>
          </w:tcPr>
          <w:p w14:paraId="30366321" w14:textId="77777777" w:rsidR="00224ABF" w:rsidRPr="001F1056" w:rsidRDefault="00224ABF" w:rsidP="00224ABF">
            <w:pPr>
              <w:spacing w:after="0" w:line="240" w:lineRule="auto"/>
              <w:jc w:val="center"/>
              <w:rPr>
                <w:rFonts w:cs="Times New Roman"/>
                <w:b/>
                <w:color w:val="17365D"/>
                <w:sz w:val="18"/>
                <w:szCs w:val="18"/>
                <w:lang w:eastAsia="lv-LV"/>
              </w:rPr>
            </w:pPr>
            <w:r w:rsidRPr="001F1056">
              <w:rPr>
                <w:rFonts w:cs="Times New Roman"/>
                <w:b/>
                <w:color w:val="17365D"/>
                <w:sz w:val="18"/>
                <w:szCs w:val="18"/>
                <w:lang w:eastAsia="lv-LV"/>
              </w:rPr>
              <w:t>Pārskata periods</w:t>
            </w:r>
          </w:p>
        </w:tc>
        <w:tc>
          <w:tcPr>
            <w:tcW w:w="1276" w:type="dxa"/>
            <w:tcBorders>
              <w:bottom w:val="single" w:sz="4" w:space="0" w:color="17365D"/>
            </w:tcBorders>
            <w:shd w:val="clear" w:color="auto" w:fill="B9CDE5"/>
            <w:vAlign w:val="center"/>
          </w:tcPr>
          <w:p w14:paraId="3185AED3" w14:textId="77777777" w:rsidR="00224ABF" w:rsidRPr="001F1056" w:rsidRDefault="00224ABF" w:rsidP="00224ABF">
            <w:pPr>
              <w:spacing w:after="0" w:line="240" w:lineRule="auto"/>
              <w:jc w:val="center"/>
              <w:rPr>
                <w:rFonts w:cs="Times New Roman"/>
                <w:b/>
                <w:color w:val="17365D"/>
                <w:sz w:val="18"/>
                <w:szCs w:val="18"/>
                <w:lang w:eastAsia="lv-LV"/>
              </w:rPr>
            </w:pPr>
            <w:r w:rsidRPr="001F1056">
              <w:rPr>
                <w:rFonts w:cs="Times New Roman"/>
                <w:b/>
                <w:color w:val="17365D"/>
                <w:sz w:val="18"/>
                <w:szCs w:val="18"/>
                <w:lang w:eastAsia="lv-LV"/>
              </w:rPr>
              <w:t>Iepriekšējais pārskata periods</w:t>
            </w:r>
          </w:p>
        </w:tc>
        <w:tc>
          <w:tcPr>
            <w:tcW w:w="1701" w:type="dxa"/>
            <w:tcBorders>
              <w:bottom w:val="single" w:sz="4" w:space="0" w:color="17365D"/>
            </w:tcBorders>
            <w:shd w:val="clear" w:color="auto" w:fill="B9CDE5"/>
            <w:vAlign w:val="center"/>
          </w:tcPr>
          <w:p w14:paraId="70909337" w14:textId="77777777" w:rsidR="00224ABF" w:rsidRPr="001F1056" w:rsidRDefault="00224ABF" w:rsidP="00224ABF">
            <w:pPr>
              <w:spacing w:after="0" w:line="240" w:lineRule="auto"/>
              <w:ind w:left="-107" w:right="-109"/>
              <w:jc w:val="center"/>
              <w:rPr>
                <w:rFonts w:cs="Times New Roman"/>
                <w:b/>
                <w:color w:val="17365D"/>
                <w:sz w:val="18"/>
                <w:szCs w:val="18"/>
                <w:lang w:eastAsia="lv-LV"/>
              </w:rPr>
            </w:pPr>
            <w:r w:rsidRPr="001F1056">
              <w:rPr>
                <w:rFonts w:cs="Times New Roman"/>
                <w:b/>
                <w:color w:val="17365D"/>
                <w:sz w:val="18"/>
                <w:szCs w:val="18"/>
                <w:lang w:eastAsia="lv-LV"/>
              </w:rPr>
              <w:t>Palielinājums (+), samazinājums (–)    (1. – 2.)</w:t>
            </w:r>
          </w:p>
        </w:tc>
        <w:tc>
          <w:tcPr>
            <w:tcW w:w="1309" w:type="dxa"/>
            <w:tcBorders>
              <w:bottom w:val="single" w:sz="4" w:space="0" w:color="17365D"/>
            </w:tcBorders>
            <w:shd w:val="clear" w:color="auto" w:fill="B9CDE5"/>
            <w:vAlign w:val="center"/>
          </w:tcPr>
          <w:p w14:paraId="756C9884" w14:textId="77777777" w:rsidR="00224ABF" w:rsidRPr="001F1056" w:rsidRDefault="00224ABF" w:rsidP="00224ABF">
            <w:pPr>
              <w:spacing w:after="0" w:line="240" w:lineRule="auto"/>
              <w:ind w:left="-107" w:right="-109"/>
              <w:jc w:val="center"/>
              <w:rPr>
                <w:rFonts w:cs="Times New Roman"/>
                <w:b/>
                <w:color w:val="17365D"/>
                <w:sz w:val="18"/>
                <w:szCs w:val="18"/>
                <w:lang w:eastAsia="lv-LV"/>
              </w:rPr>
            </w:pPr>
            <w:r w:rsidRPr="001F1056">
              <w:rPr>
                <w:rFonts w:cs="Times New Roman"/>
                <w:b/>
                <w:color w:val="17365D"/>
                <w:sz w:val="18"/>
                <w:szCs w:val="18"/>
                <w:lang w:eastAsia="lv-LV"/>
              </w:rPr>
              <w:t xml:space="preserve">Procentuālās izmaiņas </w:t>
            </w:r>
          </w:p>
          <w:p w14:paraId="622403C0" w14:textId="77777777" w:rsidR="00224ABF" w:rsidRPr="001F1056" w:rsidRDefault="00224ABF" w:rsidP="00224ABF">
            <w:pPr>
              <w:spacing w:after="0" w:line="240" w:lineRule="auto"/>
              <w:ind w:left="-107" w:right="-109"/>
              <w:jc w:val="center"/>
              <w:rPr>
                <w:rFonts w:cs="Times New Roman"/>
                <w:b/>
                <w:color w:val="17365D"/>
                <w:sz w:val="18"/>
                <w:szCs w:val="18"/>
                <w:lang w:eastAsia="lv-LV"/>
              </w:rPr>
            </w:pPr>
            <w:r>
              <w:rPr>
                <w:rFonts w:cs="Times New Roman"/>
                <w:b/>
                <w:color w:val="17365D"/>
                <w:sz w:val="18"/>
                <w:szCs w:val="18"/>
                <w:lang w:eastAsia="lv-LV"/>
              </w:rPr>
              <w:t>(3</w:t>
            </w:r>
            <w:r w:rsidRPr="001F1056">
              <w:rPr>
                <w:rFonts w:cs="Times New Roman"/>
                <w:b/>
                <w:color w:val="17365D"/>
                <w:sz w:val="18"/>
                <w:szCs w:val="18"/>
                <w:lang w:eastAsia="lv-LV"/>
              </w:rPr>
              <w:t>. / 2. x 100)</w:t>
            </w:r>
          </w:p>
        </w:tc>
      </w:tr>
      <w:tr w:rsidR="00224ABF" w:rsidRPr="001F1056" w14:paraId="493360CD" w14:textId="77777777" w:rsidTr="00224ABF">
        <w:trPr>
          <w:trHeight w:val="60"/>
          <w:tblHeader/>
        </w:trPr>
        <w:tc>
          <w:tcPr>
            <w:tcW w:w="2694" w:type="dxa"/>
            <w:tcBorders>
              <w:top w:val="single" w:sz="4" w:space="0" w:color="17365D"/>
              <w:bottom w:val="single" w:sz="4" w:space="0" w:color="17365D"/>
            </w:tcBorders>
            <w:shd w:val="clear" w:color="auto" w:fill="auto"/>
            <w:vAlign w:val="center"/>
          </w:tcPr>
          <w:p w14:paraId="0B44EEE8" w14:textId="77777777" w:rsidR="00224ABF" w:rsidRPr="001F1056" w:rsidRDefault="00224ABF" w:rsidP="00224ABF">
            <w:pPr>
              <w:spacing w:after="0" w:line="240" w:lineRule="auto"/>
              <w:jc w:val="center"/>
              <w:rPr>
                <w:rFonts w:cs="Times New Roman"/>
                <w:b/>
                <w:color w:val="17365D"/>
                <w:sz w:val="18"/>
                <w:szCs w:val="18"/>
              </w:rPr>
            </w:pPr>
            <w:r w:rsidRPr="001F1056">
              <w:rPr>
                <w:rFonts w:cs="Times New Roman"/>
                <w:b/>
                <w:color w:val="17365D"/>
                <w:sz w:val="18"/>
                <w:szCs w:val="18"/>
              </w:rPr>
              <w:t>A</w:t>
            </w:r>
          </w:p>
        </w:tc>
        <w:tc>
          <w:tcPr>
            <w:tcW w:w="992" w:type="dxa"/>
            <w:tcBorders>
              <w:top w:val="single" w:sz="4" w:space="0" w:color="17365D"/>
              <w:bottom w:val="single" w:sz="4" w:space="0" w:color="17365D"/>
            </w:tcBorders>
            <w:shd w:val="clear" w:color="auto" w:fill="auto"/>
            <w:vAlign w:val="center"/>
          </w:tcPr>
          <w:p w14:paraId="6E8DF001" w14:textId="77777777" w:rsidR="00224ABF" w:rsidRPr="001F1056" w:rsidRDefault="00224ABF" w:rsidP="00224ABF">
            <w:pPr>
              <w:spacing w:after="0" w:line="240" w:lineRule="auto"/>
              <w:jc w:val="center"/>
              <w:rPr>
                <w:rFonts w:cs="Times New Roman"/>
                <w:b/>
                <w:color w:val="17365D"/>
                <w:sz w:val="18"/>
                <w:szCs w:val="18"/>
              </w:rPr>
            </w:pPr>
            <w:r w:rsidRPr="001F1056">
              <w:rPr>
                <w:rFonts w:cs="Times New Roman"/>
                <w:b/>
                <w:color w:val="17365D"/>
                <w:sz w:val="18"/>
                <w:szCs w:val="18"/>
              </w:rPr>
              <w:t>B</w:t>
            </w:r>
          </w:p>
        </w:tc>
        <w:tc>
          <w:tcPr>
            <w:tcW w:w="1418" w:type="dxa"/>
            <w:tcBorders>
              <w:top w:val="single" w:sz="4" w:space="0" w:color="17365D"/>
              <w:bottom w:val="single" w:sz="4" w:space="0" w:color="17365D"/>
            </w:tcBorders>
            <w:shd w:val="clear" w:color="auto" w:fill="auto"/>
            <w:vAlign w:val="center"/>
          </w:tcPr>
          <w:p w14:paraId="563D3945" w14:textId="77777777" w:rsidR="00224ABF" w:rsidRPr="001F1056" w:rsidRDefault="00224ABF" w:rsidP="00224ABF">
            <w:pPr>
              <w:spacing w:after="0" w:line="240" w:lineRule="auto"/>
              <w:jc w:val="center"/>
              <w:rPr>
                <w:rFonts w:cs="Times New Roman"/>
                <w:b/>
                <w:color w:val="17365D"/>
                <w:sz w:val="18"/>
                <w:szCs w:val="18"/>
              </w:rPr>
            </w:pPr>
            <w:r w:rsidRPr="001F1056">
              <w:rPr>
                <w:rFonts w:cs="Times New Roman"/>
                <w:b/>
                <w:color w:val="17365D"/>
                <w:sz w:val="18"/>
                <w:szCs w:val="18"/>
              </w:rPr>
              <w:t>1</w:t>
            </w:r>
          </w:p>
        </w:tc>
        <w:tc>
          <w:tcPr>
            <w:tcW w:w="1276" w:type="dxa"/>
            <w:tcBorders>
              <w:top w:val="single" w:sz="4" w:space="0" w:color="17365D"/>
              <w:bottom w:val="single" w:sz="4" w:space="0" w:color="17365D"/>
            </w:tcBorders>
            <w:shd w:val="clear" w:color="auto" w:fill="auto"/>
            <w:vAlign w:val="center"/>
          </w:tcPr>
          <w:p w14:paraId="05CADCEB" w14:textId="77777777" w:rsidR="00224ABF" w:rsidRPr="001F1056" w:rsidRDefault="00224ABF" w:rsidP="00224ABF">
            <w:pPr>
              <w:spacing w:after="0" w:line="240" w:lineRule="auto"/>
              <w:jc w:val="center"/>
              <w:rPr>
                <w:rFonts w:cs="Times New Roman"/>
                <w:b/>
                <w:color w:val="17365D"/>
                <w:sz w:val="18"/>
                <w:szCs w:val="18"/>
              </w:rPr>
            </w:pPr>
            <w:r w:rsidRPr="001F1056">
              <w:rPr>
                <w:rFonts w:cs="Times New Roman"/>
                <w:b/>
                <w:color w:val="17365D"/>
                <w:sz w:val="18"/>
                <w:szCs w:val="18"/>
              </w:rPr>
              <w:t>2</w:t>
            </w:r>
          </w:p>
        </w:tc>
        <w:tc>
          <w:tcPr>
            <w:tcW w:w="1701" w:type="dxa"/>
            <w:tcBorders>
              <w:top w:val="single" w:sz="4" w:space="0" w:color="17365D"/>
              <w:bottom w:val="single" w:sz="4" w:space="0" w:color="17365D"/>
            </w:tcBorders>
            <w:shd w:val="clear" w:color="auto" w:fill="auto"/>
            <w:vAlign w:val="center"/>
          </w:tcPr>
          <w:p w14:paraId="5289D679" w14:textId="77777777" w:rsidR="00224ABF" w:rsidRPr="001F1056" w:rsidRDefault="00224ABF" w:rsidP="00224ABF">
            <w:pPr>
              <w:spacing w:after="0" w:line="240" w:lineRule="auto"/>
              <w:jc w:val="center"/>
              <w:rPr>
                <w:rFonts w:cs="Times New Roman"/>
                <w:b/>
                <w:color w:val="17365D"/>
                <w:sz w:val="18"/>
                <w:szCs w:val="18"/>
              </w:rPr>
            </w:pPr>
            <w:r w:rsidRPr="001F1056">
              <w:rPr>
                <w:rFonts w:cs="Times New Roman"/>
                <w:b/>
                <w:color w:val="17365D"/>
                <w:sz w:val="18"/>
                <w:szCs w:val="18"/>
              </w:rPr>
              <w:t>3</w:t>
            </w:r>
          </w:p>
        </w:tc>
        <w:tc>
          <w:tcPr>
            <w:tcW w:w="1309" w:type="dxa"/>
            <w:tcBorders>
              <w:top w:val="single" w:sz="4" w:space="0" w:color="17365D"/>
              <w:bottom w:val="single" w:sz="4" w:space="0" w:color="17365D"/>
            </w:tcBorders>
            <w:shd w:val="clear" w:color="auto" w:fill="auto"/>
            <w:vAlign w:val="center"/>
          </w:tcPr>
          <w:p w14:paraId="0CF5B527" w14:textId="77777777" w:rsidR="00224ABF" w:rsidRPr="001F1056" w:rsidRDefault="00224ABF" w:rsidP="00224ABF">
            <w:pPr>
              <w:spacing w:after="0" w:line="240" w:lineRule="auto"/>
              <w:jc w:val="center"/>
              <w:rPr>
                <w:rFonts w:cs="Times New Roman"/>
                <w:b/>
                <w:color w:val="17365D"/>
                <w:sz w:val="18"/>
                <w:szCs w:val="18"/>
              </w:rPr>
            </w:pPr>
            <w:r w:rsidRPr="001F1056">
              <w:rPr>
                <w:rFonts w:cs="Times New Roman"/>
                <w:b/>
                <w:color w:val="17365D"/>
                <w:sz w:val="18"/>
                <w:szCs w:val="18"/>
              </w:rPr>
              <w:t>4</w:t>
            </w:r>
          </w:p>
        </w:tc>
      </w:tr>
      <w:tr w:rsidR="00224ABF" w:rsidRPr="001F1056" w14:paraId="52116675" w14:textId="77777777" w:rsidTr="00224ABF">
        <w:trPr>
          <w:trHeight w:val="319"/>
        </w:trPr>
        <w:tc>
          <w:tcPr>
            <w:tcW w:w="2694" w:type="dxa"/>
            <w:tcBorders>
              <w:top w:val="single" w:sz="4" w:space="0" w:color="17365D"/>
              <w:bottom w:val="single" w:sz="4" w:space="0" w:color="17365D"/>
            </w:tcBorders>
            <w:shd w:val="clear" w:color="auto" w:fill="auto"/>
            <w:vAlign w:val="center"/>
          </w:tcPr>
          <w:p w14:paraId="531564D3" w14:textId="77777777" w:rsidR="00224ABF" w:rsidRPr="001F1056" w:rsidRDefault="00224ABF" w:rsidP="00224ABF">
            <w:pPr>
              <w:spacing w:after="0" w:line="240" w:lineRule="auto"/>
              <w:rPr>
                <w:rFonts w:cs="Times New Roman"/>
                <w:b/>
                <w:color w:val="17365D"/>
                <w:sz w:val="18"/>
                <w:szCs w:val="18"/>
              </w:rPr>
            </w:pPr>
            <w:r w:rsidRPr="001F1056">
              <w:rPr>
                <w:rFonts w:cs="Times New Roman"/>
                <w:b/>
                <w:color w:val="17365D"/>
                <w:sz w:val="18"/>
                <w:szCs w:val="18"/>
              </w:rPr>
              <w:t xml:space="preserve">Ieņēmumi no finansēšanas darbības </w:t>
            </w:r>
          </w:p>
        </w:tc>
        <w:tc>
          <w:tcPr>
            <w:tcW w:w="992" w:type="dxa"/>
            <w:tcBorders>
              <w:top w:val="single" w:sz="4" w:space="0" w:color="17365D"/>
              <w:bottom w:val="single" w:sz="4" w:space="0" w:color="17365D"/>
            </w:tcBorders>
            <w:shd w:val="clear" w:color="auto" w:fill="auto"/>
            <w:vAlign w:val="center"/>
          </w:tcPr>
          <w:p w14:paraId="76C9D003" w14:textId="77777777" w:rsidR="00224ABF" w:rsidRPr="001F1056" w:rsidRDefault="00224ABF" w:rsidP="00224ABF">
            <w:pPr>
              <w:spacing w:after="0" w:line="240" w:lineRule="auto"/>
              <w:jc w:val="center"/>
              <w:rPr>
                <w:rFonts w:cs="Times New Roman"/>
                <w:b/>
                <w:color w:val="17365D"/>
                <w:sz w:val="18"/>
                <w:szCs w:val="18"/>
              </w:rPr>
            </w:pPr>
          </w:p>
        </w:tc>
        <w:tc>
          <w:tcPr>
            <w:tcW w:w="1418" w:type="dxa"/>
            <w:tcBorders>
              <w:top w:val="single" w:sz="4" w:space="0" w:color="17365D"/>
              <w:bottom w:val="single" w:sz="4" w:space="0" w:color="17365D"/>
            </w:tcBorders>
            <w:shd w:val="clear" w:color="auto" w:fill="auto"/>
            <w:vAlign w:val="center"/>
          </w:tcPr>
          <w:p w14:paraId="373DE95E" w14:textId="77777777" w:rsidR="00224ABF" w:rsidRPr="001F1056" w:rsidRDefault="00224ABF" w:rsidP="00224ABF">
            <w:pPr>
              <w:spacing w:after="0" w:line="240" w:lineRule="auto"/>
              <w:jc w:val="right"/>
              <w:rPr>
                <w:rFonts w:cs="Times New Roman"/>
                <w:b/>
                <w:color w:val="17365D"/>
                <w:sz w:val="18"/>
                <w:szCs w:val="18"/>
              </w:rPr>
            </w:pPr>
            <w:r>
              <w:rPr>
                <w:rFonts w:cs="Times New Roman"/>
                <w:b/>
                <w:color w:val="17365D"/>
                <w:sz w:val="18"/>
                <w:szCs w:val="18"/>
              </w:rPr>
              <w:t>3</w:t>
            </w:r>
            <w:r w:rsidRPr="001F1056">
              <w:rPr>
                <w:rFonts w:cs="Times New Roman"/>
                <w:b/>
                <w:color w:val="17365D"/>
                <w:sz w:val="18"/>
                <w:szCs w:val="18"/>
              </w:rPr>
              <w:t xml:space="preserve"> </w:t>
            </w:r>
            <w:r>
              <w:rPr>
                <w:rFonts w:cs="Times New Roman"/>
                <w:b/>
                <w:color w:val="17365D"/>
                <w:sz w:val="18"/>
                <w:szCs w:val="18"/>
              </w:rPr>
              <w:t>619</w:t>
            </w:r>
            <w:r w:rsidRPr="001F1056">
              <w:rPr>
                <w:rFonts w:cs="Times New Roman"/>
                <w:b/>
                <w:color w:val="17365D"/>
                <w:sz w:val="18"/>
                <w:szCs w:val="18"/>
              </w:rPr>
              <w:t xml:space="preserve"> </w:t>
            </w:r>
            <w:r>
              <w:rPr>
                <w:rFonts w:cs="Times New Roman"/>
                <w:b/>
                <w:color w:val="17365D"/>
                <w:sz w:val="18"/>
                <w:szCs w:val="18"/>
              </w:rPr>
              <w:t>042</w:t>
            </w:r>
            <w:r w:rsidRPr="001F1056">
              <w:rPr>
                <w:rFonts w:cs="Times New Roman"/>
                <w:b/>
                <w:color w:val="17365D"/>
                <w:sz w:val="18"/>
                <w:szCs w:val="18"/>
              </w:rPr>
              <w:t> </w:t>
            </w:r>
            <w:r>
              <w:rPr>
                <w:rFonts w:cs="Times New Roman"/>
                <w:b/>
                <w:color w:val="17365D"/>
                <w:sz w:val="18"/>
                <w:szCs w:val="18"/>
              </w:rPr>
              <w:t>224</w:t>
            </w:r>
          </w:p>
        </w:tc>
        <w:tc>
          <w:tcPr>
            <w:tcW w:w="1276" w:type="dxa"/>
            <w:tcBorders>
              <w:top w:val="single" w:sz="4" w:space="0" w:color="17365D"/>
              <w:bottom w:val="single" w:sz="4" w:space="0" w:color="17365D"/>
            </w:tcBorders>
            <w:shd w:val="clear" w:color="auto" w:fill="auto"/>
            <w:vAlign w:val="center"/>
          </w:tcPr>
          <w:p w14:paraId="5D2E92BD" w14:textId="77777777" w:rsidR="00224ABF" w:rsidRPr="001F1056" w:rsidRDefault="00224ABF" w:rsidP="00224ABF">
            <w:pPr>
              <w:spacing w:after="0" w:line="240" w:lineRule="auto"/>
              <w:jc w:val="right"/>
              <w:rPr>
                <w:rFonts w:cs="Times New Roman"/>
                <w:b/>
                <w:color w:val="17365D"/>
                <w:sz w:val="18"/>
                <w:szCs w:val="18"/>
              </w:rPr>
            </w:pPr>
            <w:r>
              <w:rPr>
                <w:rFonts w:cs="Times New Roman"/>
                <w:b/>
                <w:color w:val="17365D"/>
                <w:sz w:val="18"/>
                <w:szCs w:val="18"/>
              </w:rPr>
              <w:t>2</w:t>
            </w:r>
            <w:r w:rsidRPr="001F1056">
              <w:rPr>
                <w:rFonts w:cs="Times New Roman"/>
                <w:b/>
                <w:color w:val="17365D"/>
                <w:sz w:val="18"/>
                <w:szCs w:val="18"/>
              </w:rPr>
              <w:t xml:space="preserve"> </w:t>
            </w:r>
            <w:r>
              <w:rPr>
                <w:rFonts w:cs="Times New Roman"/>
                <w:b/>
                <w:color w:val="17365D"/>
                <w:sz w:val="18"/>
                <w:szCs w:val="18"/>
              </w:rPr>
              <w:t>225</w:t>
            </w:r>
            <w:r w:rsidRPr="001F1056">
              <w:rPr>
                <w:rFonts w:cs="Times New Roman"/>
                <w:b/>
                <w:color w:val="17365D"/>
                <w:sz w:val="18"/>
                <w:szCs w:val="18"/>
              </w:rPr>
              <w:t xml:space="preserve"> </w:t>
            </w:r>
            <w:r>
              <w:rPr>
                <w:rFonts w:cs="Times New Roman"/>
                <w:b/>
                <w:color w:val="17365D"/>
                <w:sz w:val="18"/>
                <w:szCs w:val="18"/>
              </w:rPr>
              <w:t>401</w:t>
            </w:r>
            <w:r w:rsidRPr="001F1056">
              <w:rPr>
                <w:rFonts w:cs="Times New Roman"/>
                <w:b/>
                <w:color w:val="17365D"/>
                <w:sz w:val="18"/>
                <w:szCs w:val="18"/>
              </w:rPr>
              <w:t> </w:t>
            </w:r>
            <w:r>
              <w:rPr>
                <w:rFonts w:cs="Times New Roman"/>
                <w:b/>
                <w:color w:val="17365D"/>
                <w:sz w:val="18"/>
                <w:szCs w:val="18"/>
              </w:rPr>
              <w:t>972</w:t>
            </w:r>
          </w:p>
        </w:tc>
        <w:tc>
          <w:tcPr>
            <w:tcW w:w="1701" w:type="dxa"/>
            <w:tcBorders>
              <w:top w:val="single" w:sz="4" w:space="0" w:color="17365D"/>
              <w:bottom w:val="single" w:sz="4" w:space="0" w:color="17365D"/>
            </w:tcBorders>
            <w:shd w:val="clear" w:color="auto" w:fill="auto"/>
            <w:vAlign w:val="center"/>
          </w:tcPr>
          <w:p w14:paraId="5EC04376" w14:textId="77777777" w:rsidR="00224ABF" w:rsidRPr="00BB11A8" w:rsidRDefault="00224ABF" w:rsidP="00224ABF">
            <w:pPr>
              <w:spacing w:after="0" w:line="240" w:lineRule="auto"/>
              <w:jc w:val="right"/>
              <w:rPr>
                <w:rFonts w:cs="Times New Roman"/>
                <w:b/>
                <w:color w:val="17365D"/>
                <w:sz w:val="18"/>
                <w:szCs w:val="18"/>
              </w:rPr>
            </w:pPr>
            <w:r w:rsidRPr="00BB11A8">
              <w:rPr>
                <w:rFonts w:cs="Times New Roman"/>
                <w:b/>
                <w:color w:val="17365D"/>
                <w:sz w:val="18"/>
                <w:szCs w:val="18"/>
              </w:rPr>
              <w:t>1 393 640 252</w:t>
            </w:r>
          </w:p>
        </w:tc>
        <w:tc>
          <w:tcPr>
            <w:tcW w:w="1309" w:type="dxa"/>
            <w:tcBorders>
              <w:top w:val="single" w:sz="4" w:space="0" w:color="17365D"/>
              <w:bottom w:val="single" w:sz="4" w:space="0" w:color="17365D"/>
            </w:tcBorders>
            <w:shd w:val="clear" w:color="auto" w:fill="auto"/>
            <w:vAlign w:val="center"/>
          </w:tcPr>
          <w:p w14:paraId="10E8E7CD" w14:textId="77777777" w:rsidR="00224ABF" w:rsidRPr="001F1056" w:rsidRDefault="00224ABF" w:rsidP="00224ABF">
            <w:pPr>
              <w:spacing w:after="0" w:line="240" w:lineRule="auto"/>
              <w:jc w:val="right"/>
              <w:rPr>
                <w:rFonts w:cs="Times New Roman"/>
                <w:b/>
                <w:color w:val="17365D"/>
                <w:sz w:val="18"/>
                <w:szCs w:val="18"/>
              </w:rPr>
            </w:pPr>
            <w:r>
              <w:rPr>
                <w:rFonts w:cs="Times New Roman"/>
                <w:b/>
                <w:color w:val="17365D"/>
                <w:sz w:val="18"/>
                <w:szCs w:val="18"/>
              </w:rPr>
              <w:t>62</w:t>
            </w:r>
            <w:r w:rsidRPr="001F1056">
              <w:rPr>
                <w:rFonts w:cs="Times New Roman"/>
                <w:b/>
                <w:color w:val="17365D"/>
                <w:sz w:val="18"/>
                <w:szCs w:val="18"/>
              </w:rPr>
              <w:t>.</w:t>
            </w:r>
            <w:r>
              <w:rPr>
                <w:rFonts w:cs="Times New Roman"/>
                <w:b/>
                <w:color w:val="17365D"/>
                <w:sz w:val="18"/>
                <w:szCs w:val="18"/>
              </w:rPr>
              <w:t>62</w:t>
            </w:r>
          </w:p>
        </w:tc>
      </w:tr>
      <w:tr w:rsidR="00224ABF" w:rsidRPr="001F1056" w14:paraId="7DFA0E84" w14:textId="77777777" w:rsidTr="004873C9">
        <w:trPr>
          <w:trHeight w:val="319"/>
        </w:trPr>
        <w:tc>
          <w:tcPr>
            <w:tcW w:w="2694" w:type="dxa"/>
            <w:tcBorders>
              <w:top w:val="single" w:sz="4" w:space="0" w:color="17365D"/>
              <w:bottom w:val="single" w:sz="4" w:space="0" w:color="17365D"/>
            </w:tcBorders>
            <w:shd w:val="clear" w:color="auto" w:fill="auto"/>
            <w:vAlign w:val="center"/>
          </w:tcPr>
          <w:p w14:paraId="00947F2F" w14:textId="77777777" w:rsidR="00224ABF" w:rsidRPr="001F1056" w:rsidRDefault="00224ABF" w:rsidP="00224ABF">
            <w:pPr>
              <w:spacing w:after="0" w:line="240" w:lineRule="auto"/>
              <w:rPr>
                <w:rFonts w:cs="Times New Roman"/>
                <w:color w:val="17365D"/>
                <w:sz w:val="18"/>
                <w:szCs w:val="18"/>
              </w:rPr>
            </w:pPr>
            <w:r w:rsidRPr="001F1056">
              <w:rPr>
                <w:rFonts w:cs="Times New Roman"/>
                <w:color w:val="17365D"/>
                <w:sz w:val="18"/>
                <w:szCs w:val="18"/>
              </w:rPr>
              <w:t>Aizņēmumi un emitētie parāda vērtspapīri</w:t>
            </w:r>
          </w:p>
        </w:tc>
        <w:tc>
          <w:tcPr>
            <w:tcW w:w="992" w:type="dxa"/>
            <w:tcBorders>
              <w:top w:val="single" w:sz="4" w:space="0" w:color="17365D"/>
              <w:bottom w:val="single" w:sz="4" w:space="0" w:color="17365D"/>
            </w:tcBorders>
            <w:shd w:val="clear" w:color="auto" w:fill="auto"/>
            <w:vAlign w:val="center"/>
          </w:tcPr>
          <w:p w14:paraId="5BDFD808" w14:textId="77777777" w:rsidR="00224ABF" w:rsidRPr="001F1056" w:rsidRDefault="00224ABF" w:rsidP="00224ABF">
            <w:pPr>
              <w:spacing w:after="0" w:line="240" w:lineRule="auto"/>
              <w:jc w:val="center"/>
              <w:rPr>
                <w:rFonts w:cs="Times New Roman"/>
                <w:color w:val="17365D"/>
                <w:sz w:val="18"/>
                <w:szCs w:val="18"/>
              </w:rPr>
            </w:pPr>
            <w:r w:rsidRPr="001F1056">
              <w:rPr>
                <w:rFonts w:cs="Times New Roman"/>
                <w:color w:val="17365D"/>
                <w:sz w:val="18"/>
                <w:szCs w:val="18"/>
              </w:rPr>
              <w:t>NP.C11</w:t>
            </w:r>
          </w:p>
        </w:tc>
        <w:tc>
          <w:tcPr>
            <w:tcW w:w="1418" w:type="dxa"/>
            <w:tcBorders>
              <w:top w:val="single" w:sz="4" w:space="0" w:color="17365D"/>
              <w:bottom w:val="single" w:sz="4" w:space="0" w:color="17365D"/>
            </w:tcBorders>
            <w:shd w:val="clear" w:color="auto" w:fill="auto"/>
            <w:vAlign w:val="center"/>
          </w:tcPr>
          <w:p w14:paraId="356FA052" w14:textId="77777777" w:rsidR="00224ABF" w:rsidRPr="001F1056" w:rsidRDefault="00224ABF" w:rsidP="00224ABF">
            <w:pPr>
              <w:spacing w:after="0" w:line="240" w:lineRule="auto"/>
              <w:jc w:val="right"/>
              <w:rPr>
                <w:rFonts w:cs="Times New Roman"/>
                <w:color w:val="17365D"/>
                <w:sz w:val="18"/>
                <w:szCs w:val="18"/>
              </w:rPr>
            </w:pPr>
            <w:r>
              <w:rPr>
                <w:rFonts w:cs="Times New Roman"/>
                <w:color w:val="17365D"/>
                <w:sz w:val="18"/>
                <w:szCs w:val="18"/>
              </w:rPr>
              <w:t>3</w:t>
            </w:r>
            <w:r w:rsidRPr="00064AC9">
              <w:rPr>
                <w:rFonts w:cs="Times New Roman"/>
                <w:color w:val="17365D"/>
                <w:sz w:val="18"/>
                <w:szCs w:val="18"/>
              </w:rPr>
              <w:t xml:space="preserve"> </w:t>
            </w:r>
            <w:r>
              <w:rPr>
                <w:rFonts w:cs="Times New Roman"/>
                <w:color w:val="17365D"/>
                <w:sz w:val="18"/>
                <w:szCs w:val="18"/>
              </w:rPr>
              <w:t>568</w:t>
            </w:r>
            <w:r w:rsidRPr="00064AC9">
              <w:rPr>
                <w:rFonts w:cs="Times New Roman"/>
                <w:color w:val="17365D"/>
                <w:sz w:val="18"/>
                <w:szCs w:val="18"/>
              </w:rPr>
              <w:t xml:space="preserve"> </w:t>
            </w:r>
            <w:r>
              <w:rPr>
                <w:rFonts w:cs="Times New Roman"/>
                <w:color w:val="17365D"/>
                <w:sz w:val="18"/>
                <w:szCs w:val="18"/>
              </w:rPr>
              <w:t>271</w:t>
            </w:r>
            <w:r w:rsidRPr="00064AC9">
              <w:rPr>
                <w:rFonts w:cs="Times New Roman"/>
                <w:color w:val="17365D"/>
                <w:sz w:val="18"/>
                <w:szCs w:val="18"/>
              </w:rPr>
              <w:t xml:space="preserve"> </w:t>
            </w:r>
            <w:r>
              <w:rPr>
                <w:rFonts w:cs="Times New Roman"/>
                <w:color w:val="17365D"/>
                <w:sz w:val="18"/>
                <w:szCs w:val="18"/>
              </w:rPr>
              <w:t>333</w:t>
            </w:r>
          </w:p>
        </w:tc>
        <w:tc>
          <w:tcPr>
            <w:tcW w:w="1276" w:type="dxa"/>
            <w:tcBorders>
              <w:top w:val="single" w:sz="4" w:space="0" w:color="17365D"/>
              <w:bottom w:val="single" w:sz="4" w:space="0" w:color="17365D"/>
            </w:tcBorders>
            <w:shd w:val="clear" w:color="auto" w:fill="auto"/>
            <w:vAlign w:val="center"/>
          </w:tcPr>
          <w:p w14:paraId="166640EF" w14:textId="77777777" w:rsidR="00224ABF" w:rsidRPr="001F1056" w:rsidRDefault="00224ABF" w:rsidP="00224ABF">
            <w:pPr>
              <w:spacing w:after="0" w:line="240" w:lineRule="auto"/>
              <w:jc w:val="right"/>
              <w:rPr>
                <w:rFonts w:cs="Times New Roman"/>
                <w:color w:val="17365D"/>
                <w:sz w:val="18"/>
                <w:szCs w:val="18"/>
              </w:rPr>
            </w:pPr>
            <w:r w:rsidRPr="00064AC9">
              <w:rPr>
                <w:rFonts w:cs="Times New Roman"/>
                <w:color w:val="17365D"/>
                <w:sz w:val="18"/>
                <w:szCs w:val="18"/>
              </w:rPr>
              <w:t>2 197 335 282</w:t>
            </w:r>
          </w:p>
        </w:tc>
        <w:tc>
          <w:tcPr>
            <w:tcW w:w="1701" w:type="dxa"/>
            <w:tcBorders>
              <w:top w:val="single" w:sz="4" w:space="0" w:color="17365D"/>
              <w:bottom w:val="single" w:sz="4" w:space="0" w:color="17365D"/>
            </w:tcBorders>
            <w:shd w:val="clear" w:color="auto" w:fill="auto"/>
            <w:vAlign w:val="center"/>
          </w:tcPr>
          <w:p w14:paraId="6BD5CDD0" w14:textId="77777777" w:rsidR="00224ABF" w:rsidRPr="001F1056" w:rsidRDefault="00224ABF" w:rsidP="00224ABF">
            <w:pPr>
              <w:spacing w:after="0" w:line="240" w:lineRule="auto"/>
              <w:jc w:val="right"/>
              <w:rPr>
                <w:rFonts w:cs="Times New Roman"/>
                <w:color w:val="17365D"/>
                <w:sz w:val="18"/>
                <w:szCs w:val="18"/>
              </w:rPr>
            </w:pPr>
            <w:r w:rsidRPr="00064AC9">
              <w:rPr>
                <w:rFonts w:cs="Times New Roman"/>
                <w:color w:val="17365D"/>
                <w:sz w:val="18"/>
                <w:szCs w:val="18"/>
              </w:rPr>
              <w:t xml:space="preserve">1 </w:t>
            </w:r>
            <w:r>
              <w:rPr>
                <w:rFonts w:cs="Times New Roman"/>
                <w:color w:val="17365D"/>
                <w:sz w:val="18"/>
                <w:szCs w:val="18"/>
              </w:rPr>
              <w:t>370</w:t>
            </w:r>
            <w:r w:rsidRPr="00064AC9">
              <w:rPr>
                <w:rFonts w:cs="Times New Roman"/>
                <w:color w:val="17365D"/>
                <w:sz w:val="18"/>
                <w:szCs w:val="18"/>
              </w:rPr>
              <w:t xml:space="preserve"> </w:t>
            </w:r>
            <w:r>
              <w:rPr>
                <w:rFonts w:cs="Times New Roman"/>
                <w:color w:val="17365D"/>
                <w:sz w:val="18"/>
                <w:szCs w:val="18"/>
              </w:rPr>
              <w:t>936</w:t>
            </w:r>
            <w:r w:rsidRPr="00064AC9">
              <w:rPr>
                <w:rFonts w:cs="Times New Roman"/>
                <w:color w:val="17365D"/>
                <w:sz w:val="18"/>
                <w:szCs w:val="18"/>
              </w:rPr>
              <w:t xml:space="preserve"> </w:t>
            </w:r>
            <w:r>
              <w:rPr>
                <w:rFonts w:cs="Times New Roman"/>
                <w:color w:val="17365D"/>
                <w:sz w:val="18"/>
                <w:szCs w:val="18"/>
              </w:rPr>
              <w:t>051</w:t>
            </w:r>
          </w:p>
        </w:tc>
        <w:tc>
          <w:tcPr>
            <w:tcW w:w="1309" w:type="dxa"/>
            <w:tcBorders>
              <w:top w:val="single" w:sz="4" w:space="0" w:color="17365D"/>
              <w:bottom w:val="single" w:sz="4" w:space="0" w:color="17365D"/>
            </w:tcBorders>
            <w:shd w:val="clear" w:color="auto" w:fill="auto"/>
            <w:vAlign w:val="center"/>
          </w:tcPr>
          <w:p w14:paraId="04459F39" w14:textId="77777777" w:rsidR="00224ABF" w:rsidRPr="001F1056" w:rsidRDefault="00224ABF" w:rsidP="00224ABF">
            <w:pPr>
              <w:spacing w:after="0" w:line="240" w:lineRule="auto"/>
              <w:jc w:val="right"/>
              <w:rPr>
                <w:rFonts w:cs="Times New Roman"/>
                <w:color w:val="17365D"/>
                <w:sz w:val="18"/>
                <w:szCs w:val="18"/>
              </w:rPr>
            </w:pPr>
            <w:r>
              <w:rPr>
                <w:rFonts w:cs="Times New Roman"/>
                <w:color w:val="17365D"/>
                <w:sz w:val="18"/>
                <w:szCs w:val="18"/>
              </w:rPr>
              <w:t>62</w:t>
            </w:r>
            <w:r w:rsidRPr="00064AC9">
              <w:rPr>
                <w:rFonts w:cs="Times New Roman"/>
                <w:color w:val="17365D"/>
                <w:sz w:val="18"/>
                <w:szCs w:val="18"/>
              </w:rPr>
              <w:t>.</w:t>
            </w:r>
            <w:r>
              <w:rPr>
                <w:rFonts w:cs="Times New Roman"/>
                <w:color w:val="17365D"/>
                <w:sz w:val="18"/>
                <w:szCs w:val="18"/>
              </w:rPr>
              <w:t>39</w:t>
            </w:r>
          </w:p>
        </w:tc>
      </w:tr>
      <w:tr w:rsidR="00224ABF" w:rsidRPr="001F1056" w14:paraId="2BD6DAF2" w14:textId="77777777" w:rsidTr="004873C9">
        <w:trPr>
          <w:trHeight w:val="278"/>
        </w:trPr>
        <w:tc>
          <w:tcPr>
            <w:tcW w:w="2694" w:type="dxa"/>
            <w:tcBorders>
              <w:top w:val="single" w:sz="4" w:space="0" w:color="17365D"/>
              <w:bottom w:val="single" w:sz="4" w:space="0" w:color="17365D"/>
            </w:tcBorders>
            <w:shd w:val="clear" w:color="auto" w:fill="auto"/>
            <w:vAlign w:val="center"/>
          </w:tcPr>
          <w:p w14:paraId="7D0BE2B9" w14:textId="77777777" w:rsidR="00224ABF" w:rsidRPr="001F1056" w:rsidRDefault="00224ABF" w:rsidP="00224ABF">
            <w:pPr>
              <w:spacing w:after="0" w:line="240" w:lineRule="auto"/>
              <w:rPr>
                <w:rFonts w:cs="Times New Roman"/>
                <w:color w:val="17365D"/>
                <w:sz w:val="18"/>
                <w:szCs w:val="18"/>
              </w:rPr>
            </w:pPr>
            <w:r w:rsidRPr="001F1056">
              <w:rPr>
                <w:rFonts w:cs="Times New Roman"/>
                <w:color w:val="17365D"/>
                <w:sz w:val="18"/>
                <w:szCs w:val="18"/>
              </w:rPr>
              <w:t>Procentu ieņēmumi</w:t>
            </w:r>
          </w:p>
        </w:tc>
        <w:tc>
          <w:tcPr>
            <w:tcW w:w="992" w:type="dxa"/>
            <w:tcBorders>
              <w:top w:val="single" w:sz="4" w:space="0" w:color="17365D"/>
              <w:bottom w:val="single" w:sz="4" w:space="0" w:color="17365D"/>
            </w:tcBorders>
            <w:shd w:val="clear" w:color="auto" w:fill="auto"/>
            <w:vAlign w:val="center"/>
          </w:tcPr>
          <w:p w14:paraId="4C05CE50" w14:textId="77777777" w:rsidR="00224ABF" w:rsidRPr="001F1056" w:rsidRDefault="00224ABF" w:rsidP="00224ABF">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15C8BDB0" w14:textId="77777777" w:rsidR="00224ABF" w:rsidRPr="001F1056" w:rsidRDefault="00224ABF" w:rsidP="00224ABF">
            <w:pPr>
              <w:spacing w:after="0" w:line="240" w:lineRule="auto"/>
              <w:jc w:val="right"/>
              <w:rPr>
                <w:rFonts w:cs="Times New Roman"/>
                <w:color w:val="17365D"/>
                <w:sz w:val="18"/>
                <w:szCs w:val="18"/>
              </w:rPr>
            </w:pPr>
            <w:r>
              <w:rPr>
                <w:rFonts w:cs="Times New Roman"/>
                <w:color w:val="17365D"/>
                <w:sz w:val="18"/>
                <w:szCs w:val="18"/>
              </w:rPr>
              <w:t>4</w:t>
            </w:r>
            <w:r w:rsidRPr="00064AC9">
              <w:rPr>
                <w:rFonts w:cs="Times New Roman"/>
                <w:color w:val="17365D"/>
                <w:sz w:val="18"/>
                <w:szCs w:val="18"/>
              </w:rPr>
              <w:t xml:space="preserve"> </w:t>
            </w:r>
            <w:r>
              <w:rPr>
                <w:rFonts w:cs="Times New Roman"/>
                <w:color w:val="17365D"/>
                <w:sz w:val="18"/>
                <w:szCs w:val="18"/>
              </w:rPr>
              <w:t>418</w:t>
            </w:r>
            <w:r w:rsidRPr="00064AC9">
              <w:rPr>
                <w:rFonts w:cs="Times New Roman"/>
                <w:color w:val="17365D"/>
                <w:sz w:val="18"/>
                <w:szCs w:val="18"/>
              </w:rPr>
              <w:t xml:space="preserve"> </w:t>
            </w:r>
            <w:r>
              <w:rPr>
                <w:rFonts w:cs="Times New Roman"/>
                <w:color w:val="17365D"/>
                <w:sz w:val="18"/>
                <w:szCs w:val="18"/>
              </w:rPr>
              <w:t>077</w:t>
            </w:r>
          </w:p>
        </w:tc>
        <w:tc>
          <w:tcPr>
            <w:tcW w:w="1276" w:type="dxa"/>
            <w:tcBorders>
              <w:top w:val="single" w:sz="4" w:space="0" w:color="17365D"/>
              <w:bottom w:val="single" w:sz="4" w:space="0" w:color="17365D"/>
            </w:tcBorders>
            <w:shd w:val="clear" w:color="auto" w:fill="auto"/>
            <w:vAlign w:val="center"/>
          </w:tcPr>
          <w:p w14:paraId="5121CE9F" w14:textId="77777777" w:rsidR="00224ABF" w:rsidRPr="001F1056" w:rsidRDefault="00224ABF" w:rsidP="00224ABF">
            <w:pPr>
              <w:spacing w:after="0" w:line="240" w:lineRule="auto"/>
              <w:jc w:val="right"/>
              <w:rPr>
                <w:rFonts w:cs="Times New Roman"/>
                <w:color w:val="17365D"/>
                <w:sz w:val="18"/>
                <w:szCs w:val="18"/>
              </w:rPr>
            </w:pPr>
            <w:r w:rsidRPr="00064AC9">
              <w:rPr>
                <w:rFonts w:cs="Times New Roman"/>
                <w:color w:val="17365D"/>
                <w:sz w:val="18"/>
                <w:szCs w:val="18"/>
              </w:rPr>
              <w:t>28 066 690</w:t>
            </w:r>
          </w:p>
        </w:tc>
        <w:tc>
          <w:tcPr>
            <w:tcW w:w="1701" w:type="dxa"/>
            <w:tcBorders>
              <w:top w:val="single" w:sz="4" w:space="0" w:color="17365D"/>
              <w:bottom w:val="single" w:sz="4" w:space="0" w:color="17365D"/>
            </w:tcBorders>
            <w:shd w:val="clear" w:color="auto" w:fill="auto"/>
            <w:vAlign w:val="center"/>
          </w:tcPr>
          <w:p w14:paraId="190080C2" w14:textId="77777777" w:rsidR="00224ABF" w:rsidRPr="001F1056" w:rsidRDefault="00224ABF" w:rsidP="00224ABF">
            <w:pPr>
              <w:spacing w:after="0" w:line="240" w:lineRule="auto"/>
              <w:jc w:val="right"/>
              <w:rPr>
                <w:rFonts w:cs="Times New Roman"/>
                <w:color w:val="17365D"/>
                <w:sz w:val="18"/>
                <w:szCs w:val="18"/>
              </w:rPr>
            </w:pPr>
            <w:r>
              <w:rPr>
                <w:rFonts w:cs="Times New Roman"/>
                <w:color w:val="17365D"/>
                <w:sz w:val="18"/>
                <w:szCs w:val="18"/>
              </w:rPr>
              <w:t>-23</w:t>
            </w:r>
            <w:r w:rsidRPr="00064AC9">
              <w:rPr>
                <w:rFonts w:cs="Times New Roman"/>
                <w:color w:val="17365D"/>
                <w:sz w:val="18"/>
                <w:szCs w:val="18"/>
              </w:rPr>
              <w:t xml:space="preserve"> </w:t>
            </w:r>
            <w:r>
              <w:rPr>
                <w:rFonts w:cs="Times New Roman"/>
                <w:color w:val="17365D"/>
                <w:sz w:val="18"/>
                <w:szCs w:val="18"/>
              </w:rPr>
              <w:t>648</w:t>
            </w:r>
            <w:r w:rsidRPr="00064AC9">
              <w:rPr>
                <w:rFonts w:cs="Times New Roman"/>
                <w:color w:val="17365D"/>
                <w:sz w:val="18"/>
                <w:szCs w:val="18"/>
              </w:rPr>
              <w:t xml:space="preserve"> </w:t>
            </w:r>
            <w:r>
              <w:rPr>
                <w:rFonts w:cs="Times New Roman"/>
                <w:color w:val="17365D"/>
                <w:sz w:val="18"/>
                <w:szCs w:val="18"/>
              </w:rPr>
              <w:t>613</w:t>
            </w:r>
          </w:p>
        </w:tc>
        <w:tc>
          <w:tcPr>
            <w:tcW w:w="1309" w:type="dxa"/>
            <w:tcBorders>
              <w:top w:val="single" w:sz="4" w:space="0" w:color="17365D"/>
              <w:bottom w:val="single" w:sz="4" w:space="0" w:color="17365D"/>
            </w:tcBorders>
            <w:shd w:val="clear" w:color="auto" w:fill="auto"/>
            <w:vAlign w:val="center"/>
          </w:tcPr>
          <w:p w14:paraId="43584188" w14:textId="77777777" w:rsidR="00224ABF" w:rsidRPr="001F1056" w:rsidRDefault="00224ABF" w:rsidP="00224ABF">
            <w:pPr>
              <w:spacing w:after="0" w:line="240" w:lineRule="auto"/>
              <w:jc w:val="right"/>
              <w:rPr>
                <w:rFonts w:cs="Times New Roman"/>
                <w:color w:val="17365D"/>
                <w:sz w:val="18"/>
                <w:szCs w:val="18"/>
              </w:rPr>
            </w:pPr>
            <w:r>
              <w:rPr>
                <w:rFonts w:cs="Times New Roman"/>
                <w:color w:val="17365D"/>
                <w:sz w:val="18"/>
                <w:szCs w:val="18"/>
              </w:rPr>
              <w:t>-84.26</w:t>
            </w:r>
          </w:p>
        </w:tc>
      </w:tr>
      <w:tr w:rsidR="00224ABF" w:rsidRPr="001F1056" w14:paraId="0DECD461" w14:textId="77777777" w:rsidTr="004873C9">
        <w:trPr>
          <w:trHeight w:val="319"/>
        </w:trPr>
        <w:tc>
          <w:tcPr>
            <w:tcW w:w="2694" w:type="dxa"/>
            <w:tcBorders>
              <w:top w:val="single" w:sz="4" w:space="0" w:color="17365D"/>
              <w:bottom w:val="single" w:sz="4" w:space="0" w:color="17365D"/>
            </w:tcBorders>
            <w:shd w:val="clear" w:color="auto" w:fill="auto"/>
            <w:vAlign w:val="center"/>
          </w:tcPr>
          <w:p w14:paraId="6C9A35E7" w14:textId="77777777" w:rsidR="00224ABF" w:rsidRPr="001F1056" w:rsidRDefault="00224ABF" w:rsidP="00224ABF">
            <w:pPr>
              <w:spacing w:after="0" w:line="240" w:lineRule="auto"/>
              <w:rPr>
                <w:rFonts w:cs="Times New Roman"/>
                <w:color w:val="17365D"/>
                <w:sz w:val="18"/>
                <w:szCs w:val="18"/>
              </w:rPr>
            </w:pPr>
            <w:r w:rsidRPr="001F1056">
              <w:rPr>
                <w:rFonts w:cs="Times New Roman"/>
                <w:color w:val="17365D"/>
                <w:sz w:val="18"/>
                <w:szCs w:val="18"/>
              </w:rPr>
              <w:t>Citi ieņēmumi no finansēšanas darbības</w:t>
            </w:r>
          </w:p>
        </w:tc>
        <w:tc>
          <w:tcPr>
            <w:tcW w:w="992" w:type="dxa"/>
            <w:tcBorders>
              <w:top w:val="single" w:sz="4" w:space="0" w:color="17365D"/>
              <w:bottom w:val="single" w:sz="4" w:space="0" w:color="17365D"/>
            </w:tcBorders>
            <w:shd w:val="clear" w:color="auto" w:fill="auto"/>
            <w:vAlign w:val="center"/>
          </w:tcPr>
          <w:p w14:paraId="7312BD66" w14:textId="77777777" w:rsidR="00224ABF" w:rsidRPr="001F1056" w:rsidRDefault="00224ABF" w:rsidP="00224ABF">
            <w:pPr>
              <w:spacing w:after="0" w:line="240" w:lineRule="auto"/>
              <w:jc w:val="center"/>
              <w:rPr>
                <w:rFonts w:cs="Times New Roman"/>
                <w:color w:val="17365D"/>
                <w:sz w:val="18"/>
                <w:szCs w:val="18"/>
              </w:rPr>
            </w:pPr>
            <w:r>
              <w:rPr>
                <w:rFonts w:cs="Times New Roman"/>
                <w:color w:val="17365D"/>
                <w:sz w:val="18"/>
                <w:szCs w:val="18"/>
              </w:rPr>
              <w:t>NP.C13</w:t>
            </w:r>
          </w:p>
        </w:tc>
        <w:tc>
          <w:tcPr>
            <w:tcW w:w="1418" w:type="dxa"/>
            <w:tcBorders>
              <w:top w:val="single" w:sz="4" w:space="0" w:color="17365D"/>
              <w:bottom w:val="single" w:sz="4" w:space="0" w:color="17365D"/>
            </w:tcBorders>
            <w:shd w:val="clear" w:color="auto" w:fill="auto"/>
            <w:vAlign w:val="center"/>
          </w:tcPr>
          <w:p w14:paraId="30F8F435" w14:textId="77777777" w:rsidR="00224ABF" w:rsidRPr="001F1056" w:rsidRDefault="00224ABF" w:rsidP="00224ABF">
            <w:pPr>
              <w:spacing w:after="0" w:line="240" w:lineRule="auto"/>
              <w:jc w:val="right"/>
              <w:rPr>
                <w:rFonts w:cs="Times New Roman"/>
                <w:color w:val="17365D"/>
                <w:sz w:val="18"/>
                <w:szCs w:val="18"/>
              </w:rPr>
            </w:pPr>
            <w:r>
              <w:rPr>
                <w:rFonts w:cs="Times New Roman"/>
                <w:color w:val="17365D"/>
                <w:sz w:val="18"/>
                <w:szCs w:val="18"/>
              </w:rPr>
              <w:t>46</w:t>
            </w:r>
            <w:r w:rsidRPr="00064AC9">
              <w:rPr>
                <w:rFonts w:cs="Times New Roman"/>
                <w:color w:val="17365D"/>
                <w:sz w:val="18"/>
                <w:szCs w:val="18"/>
              </w:rPr>
              <w:t xml:space="preserve"> </w:t>
            </w:r>
            <w:r>
              <w:rPr>
                <w:rFonts w:cs="Times New Roman"/>
                <w:color w:val="17365D"/>
                <w:sz w:val="18"/>
                <w:szCs w:val="18"/>
              </w:rPr>
              <w:t>352</w:t>
            </w:r>
            <w:r w:rsidRPr="00064AC9">
              <w:rPr>
                <w:rFonts w:cs="Times New Roman"/>
                <w:color w:val="17365D"/>
                <w:sz w:val="18"/>
                <w:szCs w:val="18"/>
              </w:rPr>
              <w:t xml:space="preserve"> </w:t>
            </w:r>
            <w:r>
              <w:rPr>
                <w:rFonts w:cs="Times New Roman"/>
                <w:color w:val="17365D"/>
                <w:sz w:val="18"/>
                <w:szCs w:val="18"/>
              </w:rPr>
              <w:t>814</w:t>
            </w:r>
          </w:p>
        </w:tc>
        <w:tc>
          <w:tcPr>
            <w:tcW w:w="1276" w:type="dxa"/>
            <w:tcBorders>
              <w:top w:val="single" w:sz="4" w:space="0" w:color="17365D"/>
              <w:bottom w:val="single" w:sz="4" w:space="0" w:color="17365D"/>
            </w:tcBorders>
            <w:shd w:val="clear" w:color="auto" w:fill="auto"/>
            <w:vAlign w:val="center"/>
          </w:tcPr>
          <w:p w14:paraId="59BD5C5C" w14:textId="77777777" w:rsidR="00224ABF" w:rsidRPr="001F1056" w:rsidRDefault="00224ABF" w:rsidP="00224ABF">
            <w:pPr>
              <w:spacing w:after="0" w:line="240" w:lineRule="auto"/>
              <w:jc w:val="right"/>
              <w:rPr>
                <w:rFonts w:cs="Times New Roman"/>
                <w:color w:val="17365D"/>
                <w:sz w:val="18"/>
                <w:szCs w:val="18"/>
              </w:rPr>
            </w:pPr>
            <w:r w:rsidRPr="00064AC9">
              <w:rPr>
                <w:rFonts w:cs="Times New Roman"/>
                <w:color w:val="17365D"/>
                <w:sz w:val="18"/>
                <w:szCs w:val="18"/>
              </w:rPr>
              <w:t>0</w:t>
            </w:r>
          </w:p>
        </w:tc>
        <w:tc>
          <w:tcPr>
            <w:tcW w:w="1701" w:type="dxa"/>
            <w:tcBorders>
              <w:top w:val="single" w:sz="4" w:space="0" w:color="17365D"/>
              <w:bottom w:val="single" w:sz="4" w:space="0" w:color="17365D"/>
            </w:tcBorders>
            <w:shd w:val="clear" w:color="auto" w:fill="auto"/>
            <w:vAlign w:val="center"/>
          </w:tcPr>
          <w:p w14:paraId="508D1DB9" w14:textId="77777777" w:rsidR="00224ABF" w:rsidRPr="001F1056" w:rsidRDefault="00224ABF" w:rsidP="00224ABF">
            <w:pPr>
              <w:spacing w:after="0" w:line="240" w:lineRule="auto"/>
              <w:jc w:val="right"/>
              <w:rPr>
                <w:rFonts w:cs="Times New Roman"/>
                <w:color w:val="17365D"/>
                <w:sz w:val="18"/>
                <w:szCs w:val="18"/>
              </w:rPr>
            </w:pPr>
            <w:r>
              <w:rPr>
                <w:rFonts w:cs="Times New Roman"/>
                <w:color w:val="17365D"/>
                <w:sz w:val="18"/>
                <w:szCs w:val="18"/>
              </w:rPr>
              <w:t>46</w:t>
            </w:r>
            <w:r w:rsidRPr="00064AC9">
              <w:rPr>
                <w:rFonts w:cs="Times New Roman"/>
                <w:color w:val="17365D"/>
                <w:sz w:val="18"/>
                <w:szCs w:val="18"/>
              </w:rPr>
              <w:t xml:space="preserve"> </w:t>
            </w:r>
            <w:r>
              <w:rPr>
                <w:rFonts w:cs="Times New Roman"/>
                <w:color w:val="17365D"/>
                <w:sz w:val="18"/>
                <w:szCs w:val="18"/>
              </w:rPr>
              <w:t>352</w:t>
            </w:r>
            <w:r w:rsidRPr="00064AC9">
              <w:rPr>
                <w:rFonts w:cs="Times New Roman"/>
                <w:color w:val="17365D"/>
                <w:sz w:val="18"/>
                <w:szCs w:val="18"/>
              </w:rPr>
              <w:t xml:space="preserve"> </w:t>
            </w:r>
            <w:r>
              <w:rPr>
                <w:rFonts w:cs="Times New Roman"/>
                <w:color w:val="17365D"/>
                <w:sz w:val="18"/>
                <w:szCs w:val="18"/>
              </w:rPr>
              <w:t>814</w:t>
            </w:r>
          </w:p>
        </w:tc>
        <w:tc>
          <w:tcPr>
            <w:tcW w:w="1309" w:type="dxa"/>
            <w:tcBorders>
              <w:top w:val="single" w:sz="4" w:space="0" w:color="17365D"/>
              <w:bottom w:val="single" w:sz="4" w:space="0" w:color="17365D"/>
            </w:tcBorders>
            <w:shd w:val="clear" w:color="auto" w:fill="auto"/>
            <w:vAlign w:val="center"/>
          </w:tcPr>
          <w:p w14:paraId="50BA160D" w14:textId="77777777" w:rsidR="00224ABF" w:rsidRPr="001F1056" w:rsidRDefault="00224ABF" w:rsidP="00224ABF">
            <w:pPr>
              <w:spacing w:after="0" w:line="240" w:lineRule="auto"/>
              <w:jc w:val="right"/>
              <w:rPr>
                <w:rFonts w:cs="Times New Roman"/>
                <w:color w:val="17365D"/>
                <w:sz w:val="18"/>
                <w:szCs w:val="18"/>
              </w:rPr>
            </w:pPr>
            <w:r>
              <w:rPr>
                <w:rFonts w:cs="Times New Roman"/>
                <w:color w:val="17365D"/>
                <w:sz w:val="18"/>
                <w:szCs w:val="18"/>
              </w:rPr>
              <w:t>x</w:t>
            </w:r>
          </w:p>
        </w:tc>
      </w:tr>
      <w:tr w:rsidR="00224ABF" w:rsidRPr="001F1056" w14:paraId="43777263" w14:textId="77777777" w:rsidTr="004873C9">
        <w:trPr>
          <w:trHeight w:val="319"/>
        </w:trPr>
        <w:tc>
          <w:tcPr>
            <w:tcW w:w="2694" w:type="dxa"/>
            <w:tcBorders>
              <w:top w:val="single" w:sz="4" w:space="0" w:color="17365D"/>
              <w:bottom w:val="single" w:sz="4" w:space="0" w:color="17365D"/>
            </w:tcBorders>
            <w:shd w:val="clear" w:color="auto" w:fill="auto"/>
            <w:vAlign w:val="center"/>
          </w:tcPr>
          <w:p w14:paraId="519C570B" w14:textId="77777777" w:rsidR="00224ABF" w:rsidRPr="001F1056" w:rsidRDefault="00224ABF" w:rsidP="00224ABF">
            <w:pPr>
              <w:spacing w:after="0" w:line="240" w:lineRule="auto"/>
              <w:rPr>
                <w:rFonts w:cs="Times New Roman"/>
                <w:color w:val="17365D"/>
                <w:sz w:val="18"/>
                <w:szCs w:val="18"/>
              </w:rPr>
            </w:pPr>
            <w:r w:rsidRPr="001F1056">
              <w:rPr>
                <w:rFonts w:cs="Times New Roman"/>
                <w:b/>
                <w:color w:val="17365D"/>
                <w:sz w:val="18"/>
                <w:szCs w:val="18"/>
              </w:rPr>
              <w:t>Izdevumi no finansēšanas darbības</w:t>
            </w:r>
          </w:p>
        </w:tc>
        <w:tc>
          <w:tcPr>
            <w:tcW w:w="992" w:type="dxa"/>
            <w:tcBorders>
              <w:top w:val="single" w:sz="4" w:space="0" w:color="17365D"/>
              <w:bottom w:val="single" w:sz="4" w:space="0" w:color="17365D"/>
            </w:tcBorders>
            <w:shd w:val="clear" w:color="auto" w:fill="auto"/>
            <w:vAlign w:val="center"/>
          </w:tcPr>
          <w:p w14:paraId="75C4179C" w14:textId="77777777" w:rsidR="00224ABF" w:rsidRPr="001F1056" w:rsidRDefault="00224ABF" w:rsidP="00224ABF">
            <w:pPr>
              <w:spacing w:after="0" w:line="240" w:lineRule="auto"/>
              <w:jc w:val="center"/>
              <w:rPr>
                <w:rFonts w:cs="Times New Roman"/>
                <w:color w:val="17365D"/>
                <w:sz w:val="18"/>
                <w:szCs w:val="18"/>
              </w:rPr>
            </w:pPr>
          </w:p>
        </w:tc>
        <w:tc>
          <w:tcPr>
            <w:tcW w:w="1418" w:type="dxa"/>
            <w:tcBorders>
              <w:top w:val="single" w:sz="4" w:space="0" w:color="17365D"/>
              <w:bottom w:val="single" w:sz="4" w:space="0" w:color="17365D"/>
            </w:tcBorders>
            <w:shd w:val="clear" w:color="auto" w:fill="auto"/>
            <w:vAlign w:val="center"/>
          </w:tcPr>
          <w:p w14:paraId="7ECABAF9" w14:textId="77777777" w:rsidR="00224ABF" w:rsidRPr="001F1056" w:rsidRDefault="00224ABF" w:rsidP="00224ABF">
            <w:pPr>
              <w:spacing w:after="0" w:line="240" w:lineRule="auto"/>
              <w:jc w:val="right"/>
              <w:rPr>
                <w:rFonts w:cs="Times New Roman"/>
                <w:b/>
                <w:color w:val="17365D"/>
                <w:sz w:val="18"/>
                <w:szCs w:val="18"/>
              </w:rPr>
            </w:pPr>
            <w:r>
              <w:rPr>
                <w:rFonts w:cs="Times New Roman"/>
                <w:b/>
                <w:color w:val="17365D"/>
                <w:sz w:val="18"/>
                <w:szCs w:val="18"/>
              </w:rPr>
              <w:t>2</w:t>
            </w:r>
            <w:r w:rsidRPr="001F1056">
              <w:rPr>
                <w:rFonts w:cs="Times New Roman"/>
                <w:b/>
                <w:color w:val="17365D"/>
                <w:sz w:val="18"/>
                <w:szCs w:val="18"/>
              </w:rPr>
              <w:t xml:space="preserve"> </w:t>
            </w:r>
            <w:r>
              <w:rPr>
                <w:rFonts w:cs="Times New Roman"/>
                <w:b/>
                <w:color w:val="17365D"/>
                <w:sz w:val="18"/>
                <w:szCs w:val="18"/>
              </w:rPr>
              <w:t>325</w:t>
            </w:r>
            <w:r w:rsidRPr="001F1056">
              <w:rPr>
                <w:rFonts w:cs="Times New Roman"/>
                <w:b/>
                <w:color w:val="17365D"/>
                <w:sz w:val="18"/>
                <w:szCs w:val="18"/>
              </w:rPr>
              <w:t xml:space="preserve"> </w:t>
            </w:r>
            <w:r>
              <w:rPr>
                <w:rFonts w:cs="Times New Roman"/>
                <w:b/>
                <w:color w:val="17365D"/>
                <w:sz w:val="18"/>
                <w:szCs w:val="18"/>
              </w:rPr>
              <w:t>059</w:t>
            </w:r>
            <w:r w:rsidRPr="001F1056">
              <w:rPr>
                <w:rFonts w:cs="Times New Roman"/>
                <w:b/>
                <w:color w:val="17365D"/>
                <w:sz w:val="18"/>
                <w:szCs w:val="18"/>
              </w:rPr>
              <w:t> </w:t>
            </w:r>
            <w:r>
              <w:rPr>
                <w:rFonts w:cs="Times New Roman"/>
                <w:b/>
                <w:color w:val="17365D"/>
                <w:sz w:val="18"/>
                <w:szCs w:val="18"/>
              </w:rPr>
              <w:t>204</w:t>
            </w:r>
          </w:p>
        </w:tc>
        <w:tc>
          <w:tcPr>
            <w:tcW w:w="1276" w:type="dxa"/>
            <w:tcBorders>
              <w:top w:val="single" w:sz="4" w:space="0" w:color="17365D"/>
              <w:bottom w:val="single" w:sz="4" w:space="0" w:color="17365D"/>
            </w:tcBorders>
            <w:shd w:val="clear" w:color="auto" w:fill="auto"/>
            <w:vAlign w:val="center"/>
          </w:tcPr>
          <w:p w14:paraId="4273D3AD" w14:textId="77777777" w:rsidR="00224ABF" w:rsidRPr="001F1056" w:rsidRDefault="00224ABF" w:rsidP="00224ABF">
            <w:pPr>
              <w:spacing w:after="0" w:line="240" w:lineRule="auto"/>
              <w:jc w:val="right"/>
              <w:rPr>
                <w:rFonts w:cs="Times New Roman"/>
                <w:b/>
                <w:color w:val="17365D"/>
                <w:sz w:val="18"/>
                <w:szCs w:val="18"/>
              </w:rPr>
            </w:pPr>
            <w:r>
              <w:rPr>
                <w:rFonts w:cs="Times New Roman"/>
                <w:b/>
                <w:color w:val="17365D"/>
                <w:sz w:val="18"/>
                <w:szCs w:val="18"/>
              </w:rPr>
              <w:t>940</w:t>
            </w:r>
            <w:r w:rsidRPr="001F1056">
              <w:rPr>
                <w:rFonts w:cs="Times New Roman"/>
                <w:b/>
                <w:color w:val="17365D"/>
                <w:sz w:val="18"/>
                <w:szCs w:val="18"/>
              </w:rPr>
              <w:t> </w:t>
            </w:r>
            <w:r>
              <w:rPr>
                <w:rFonts w:cs="Times New Roman"/>
                <w:b/>
                <w:color w:val="17365D"/>
                <w:sz w:val="18"/>
                <w:szCs w:val="18"/>
              </w:rPr>
              <w:t>782</w:t>
            </w:r>
            <w:r w:rsidRPr="001F1056">
              <w:rPr>
                <w:rFonts w:cs="Times New Roman"/>
                <w:b/>
                <w:color w:val="17365D"/>
                <w:sz w:val="18"/>
                <w:szCs w:val="18"/>
              </w:rPr>
              <w:t> </w:t>
            </w:r>
            <w:r>
              <w:rPr>
                <w:rFonts w:cs="Times New Roman"/>
                <w:b/>
                <w:color w:val="17365D"/>
                <w:sz w:val="18"/>
                <w:szCs w:val="18"/>
              </w:rPr>
              <w:t>321</w:t>
            </w:r>
          </w:p>
        </w:tc>
        <w:tc>
          <w:tcPr>
            <w:tcW w:w="1701" w:type="dxa"/>
            <w:tcBorders>
              <w:top w:val="single" w:sz="4" w:space="0" w:color="17365D"/>
              <w:bottom w:val="single" w:sz="4" w:space="0" w:color="17365D"/>
            </w:tcBorders>
            <w:shd w:val="clear" w:color="auto" w:fill="auto"/>
            <w:vAlign w:val="center"/>
          </w:tcPr>
          <w:p w14:paraId="708C5901" w14:textId="77777777" w:rsidR="00224ABF" w:rsidRPr="001F1056" w:rsidRDefault="00224ABF" w:rsidP="00224ABF">
            <w:pPr>
              <w:spacing w:after="0" w:line="240" w:lineRule="auto"/>
              <w:jc w:val="right"/>
              <w:rPr>
                <w:rFonts w:cs="Times New Roman"/>
                <w:b/>
                <w:color w:val="17365D"/>
                <w:sz w:val="18"/>
                <w:szCs w:val="18"/>
              </w:rPr>
            </w:pPr>
            <w:r w:rsidRPr="00920A95">
              <w:rPr>
                <w:rFonts w:cs="Times New Roman"/>
                <w:b/>
                <w:color w:val="17365D"/>
                <w:sz w:val="18"/>
                <w:szCs w:val="18"/>
              </w:rPr>
              <w:t>1 3</w:t>
            </w:r>
            <w:r>
              <w:rPr>
                <w:rFonts w:cs="Times New Roman"/>
                <w:b/>
                <w:color w:val="17365D"/>
                <w:sz w:val="18"/>
                <w:szCs w:val="18"/>
              </w:rPr>
              <w:t>84</w:t>
            </w:r>
            <w:r w:rsidRPr="00920A95">
              <w:rPr>
                <w:rFonts w:cs="Times New Roman"/>
                <w:b/>
                <w:color w:val="17365D"/>
                <w:sz w:val="18"/>
                <w:szCs w:val="18"/>
              </w:rPr>
              <w:t xml:space="preserve"> </w:t>
            </w:r>
            <w:r>
              <w:rPr>
                <w:rFonts w:cs="Times New Roman"/>
                <w:b/>
                <w:color w:val="17365D"/>
                <w:sz w:val="18"/>
                <w:szCs w:val="18"/>
              </w:rPr>
              <w:t>276</w:t>
            </w:r>
            <w:r w:rsidRPr="00920A95">
              <w:rPr>
                <w:rFonts w:cs="Times New Roman"/>
                <w:b/>
                <w:color w:val="17365D"/>
                <w:sz w:val="18"/>
                <w:szCs w:val="18"/>
              </w:rPr>
              <w:t xml:space="preserve"> </w:t>
            </w:r>
            <w:r>
              <w:rPr>
                <w:rFonts w:cs="Times New Roman"/>
                <w:b/>
                <w:color w:val="17365D"/>
                <w:sz w:val="18"/>
                <w:szCs w:val="18"/>
              </w:rPr>
              <w:t>883</w:t>
            </w:r>
          </w:p>
        </w:tc>
        <w:tc>
          <w:tcPr>
            <w:tcW w:w="1309" w:type="dxa"/>
            <w:tcBorders>
              <w:top w:val="single" w:sz="4" w:space="0" w:color="17365D"/>
              <w:bottom w:val="single" w:sz="4" w:space="0" w:color="17365D"/>
            </w:tcBorders>
            <w:shd w:val="clear" w:color="auto" w:fill="auto"/>
            <w:vAlign w:val="center"/>
          </w:tcPr>
          <w:p w14:paraId="533F6E4D" w14:textId="77777777" w:rsidR="00224ABF" w:rsidRPr="001F1056" w:rsidRDefault="00224ABF" w:rsidP="00224ABF">
            <w:pPr>
              <w:spacing w:after="0" w:line="240" w:lineRule="auto"/>
              <w:jc w:val="right"/>
              <w:rPr>
                <w:rFonts w:cs="Times New Roman"/>
                <w:b/>
                <w:color w:val="17365D"/>
                <w:sz w:val="18"/>
                <w:szCs w:val="18"/>
              </w:rPr>
            </w:pPr>
            <w:r>
              <w:rPr>
                <w:rFonts w:cs="Times New Roman"/>
                <w:b/>
                <w:color w:val="17365D"/>
                <w:sz w:val="18"/>
                <w:szCs w:val="18"/>
              </w:rPr>
              <w:t>147.14</w:t>
            </w:r>
          </w:p>
        </w:tc>
      </w:tr>
      <w:tr w:rsidR="00224ABF" w:rsidRPr="001F1056" w14:paraId="1B874A40" w14:textId="77777777" w:rsidTr="004873C9">
        <w:trPr>
          <w:trHeight w:val="319"/>
        </w:trPr>
        <w:tc>
          <w:tcPr>
            <w:tcW w:w="2694" w:type="dxa"/>
            <w:tcBorders>
              <w:top w:val="single" w:sz="4" w:space="0" w:color="17365D"/>
              <w:bottom w:val="single" w:sz="4" w:space="0" w:color="17365D"/>
            </w:tcBorders>
            <w:shd w:val="clear" w:color="auto" w:fill="auto"/>
            <w:vAlign w:val="center"/>
          </w:tcPr>
          <w:p w14:paraId="586C27D0" w14:textId="77777777" w:rsidR="00224ABF" w:rsidRPr="001F1056" w:rsidRDefault="00224ABF" w:rsidP="00224ABF">
            <w:pPr>
              <w:spacing w:after="0" w:line="240" w:lineRule="auto"/>
              <w:rPr>
                <w:rFonts w:cs="Times New Roman"/>
                <w:color w:val="17365D"/>
                <w:sz w:val="18"/>
                <w:szCs w:val="18"/>
              </w:rPr>
            </w:pPr>
            <w:r w:rsidRPr="001F1056">
              <w:rPr>
                <w:rFonts w:cs="Times New Roman"/>
                <w:color w:val="17365D"/>
                <w:sz w:val="18"/>
                <w:szCs w:val="18"/>
              </w:rPr>
              <w:t>Aizņēmumi un emitētie parāda vērtspapīri</w:t>
            </w:r>
          </w:p>
        </w:tc>
        <w:tc>
          <w:tcPr>
            <w:tcW w:w="992" w:type="dxa"/>
            <w:tcBorders>
              <w:top w:val="single" w:sz="4" w:space="0" w:color="17365D"/>
              <w:bottom w:val="single" w:sz="4" w:space="0" w:color="17365D"/>
            </w:tcBorders>
            <w:shd w:val="clear" w:color="auto" w:fill="auto"/>
            <w:vAlign w:val="center"/>
          </w:tcPr>
          <w:p w14:paraId="48404D53" w14:textId="77777777" w:rsidR="00224ABF" w:rsidRPr="001F1056" w:rsidRDefault="00224ABF" w:rsidP="00224ABF">
            <w:pPr>
              <w:spacing w:after="0" w:line="240" w:lineRule="auto"/>
              <w:jc w:val="center"/>
              <w:rPr>
                <w:rFonts w:cs="Times New Roman"/>
                <w:color w:val="17365D"/>
                <w:sz w:val="18"/>
                <w:szCs w:val="18"/>
              </w:rPr>
            </w:pPr>
            <w:r w:rsidRPr="001F1056">
              <w:rPr>
                <w:rFonts w:cs="Times New Roman"/>
                <w:color w:val="17365D"/>
                <w:sz w:val="18"/>
                <w:szCs w:val="18"/>
              </w:rPr>
              <w:t>NP.C21</w:t>
            </w:r>
          </w:p>
        </w:tc>
        <w:tc>
          <w:tcPr>
            <w:tcW w:w="1418" w:type="dxa"/>
            <w:tcBorders>
              <w:top w:val="single" w:sz="4" w:space="0" w:color="17365D"/>
              <w:bottom w:val="single" w:sz="4" w:space="0" w:color="17365D"/>
            </w:tcBorders>
            <w:shd w:val="clear" w:color="auto" w:fill="auto"/>
            <w:vAlign w:val="center"/>
          </w:tcPr>
          <w:p w14:paraId="65E33F2B" w14:textId="77777777" w:rsidR="00224ABF" w:rsidRPr="001F1056" w:rsidRDefault="00224ABF" w:rsidP="00224ABF">
            <w:pPr>
              <w:spacing w:after="0" w:line="240" w:lineRule="auto"/>
              <w:jc w:val="right"/>
              <w:rPr>
                <w:rFonts w:cs="Times New Roman"/>
                <w:color w:val="17365D"/>
                <w:sz w:val="18"/>
                <w:szCs w:val="18"/>
              </w:rPr>
            </w:pPr>
            <w:r>
              <w:rPr>
                <w:rFonts w:cs="Times New Roman"/>
                <w:color w:val="17365D"/>
                <w:sz w:val="18"/>
                <w:szCs w:val="18"/>
              </w:rPr>
              <w:t>2</w:t>
            </w:r>
            <w:r w:rsidRPr="00064AC9">
              <w:rPr>
                <w:rFonts w:cs="Times New Roman"/>
                <w:color w:val="17365D"/>
                <w:sz w:val="18"/>
                <w:szCs w:val="18"/>
              </w:rPr>
              <w:t xml:space="preserve"> </w:t>
            </w:r>
            <w:r>
              <w:rPr>
                <w:rFonts w:cs="Times New Roman"/>
                <w:color w:val="17365D"/>
                <w:sz w:val="18"/>
                <w:szCs w:val="18"/>
              </w:rPr>
              <w:t>096</w:t>
            </w:r>
            <w:r w:rsidRPr="00064AC9">
              <w:rPr>
                <w:rFonts w:cs="Times New Roman"/>
                <w:color w:val="17365D"/>
                <w:sz w:val="18"/>
                <w:szCs w:val="18"/>
              </w:rPr>
              <w:t xml:space="preserve"> </w:t>
            </w:r>
            <w:r>
              <w:rPr>
                <w:rFonts w:cs="Times New Roman"/>
                <w:color w:val="17365D"/>
                <w:sz w:val="18"/>
                <w:szCs w:val="18"/>
              </w:rPr>
              <w:t>767</w:t>
            </w:r>
            <w:r w:rsidRPr="00064AC9">
              <w:rPr>
                <w:rFonts w:cs="Times New Roman"/>
                <w:color w:val="17365D"/>
                <w:sz w:val="18"/>
                <w:szCs w:val="18"/>
              </w:rPr>
              <w:t xml:space="preserve"> </w:t>
            </w:r>
            <w:r>
              <w:rPr>
                <w:rFonts w:cs="Times New Roman"/>
                <w:color w:val="17365D"/>
                <w:sz w:val="18"/>
                <w:szCs w:val="18"/>
              </w:rPr>
              <w:t>977</w:t>
            </w:r>
          </w:p>
        </w:tc>
        <w:tc>
          <w:tcPr>
            <w:tcW w:w="1276" w:type="dxa"/>
            <w:tcBorders>
              <w:top w:val="single" w:sz="4" w:space="0" w:color="17365D"/>
              <w:bottom w:val="single" w:sz="4" w:space="0" w:color="17365D"/>
            </w:tcBorders>
            <w:shd w:val="clear" w:color="auto" w:fill="auto"/>
            <w:vAlign w:val="center"/>
          </w:tcPr>
          <w:p w14:paraId="59FB428A" w14:textId="77777777" w:rsidR="00224ABF" w:rsidRPr="001F1056" w:rsidRDefault="00224ABF" w:rsidP="00224ABF">
            <w:pPr>
              <w:spacing w:after="0" w:line="240" w:lineRule="auto"/>
              <w:jc w:val="right"/>
              <w:rPr>
                <w:rFonts w:cs="Times New Roman"/>
                <w:color w:val="17365D"/>
                <w:sz w:val="18"/>
                <w:szCs w:val="18"/>
              </w:rPr>
            </w:pPr>
            <w:r w:rsidRPr="00064AC9">
              <w:rPr>
                <w:rFonts w:cs="Times New Roman"/>
                <w:color w:val="17365D"/>
                <w:sz w:val="18"/>
                <w:szCs w:val="18"/>
              </w:rPr>
              <w:t>752 013 512</w:t>
            </w:r>
          </w:p>
        </w:tc>
        <w:tc>
          <w:tcPr>
            <w:tcW w:w="1701" w:type="dxa"/>
            <w:tcBorders>
              <w:top w:val="single" w:sz="4" w:space="0" w:color="17365D"/>
              <w:bottom w:val="single" w:sz="4" w:space="0" w:color="17365D"/>
            </w:tcBorders>
            <w:shd w:val="clear" w:color="auto" w:fill="auto"/>
            <w:vAlign w:val="center"/>
          </w:tcPr>
          <w:p w14:paraId="173493E2" w14:textId="77777777" w:rsidR="00224ABF" w:rsidRPr="001F1056" w:rsidRDefault="00224ABF" w:rsidP="00224ABF">
            <w:pPr>
              <w:spacing w:after="0" w:line="240" w:lineRule="auto"/>
              <w:jc w:val="right"/>
              <w:rPr>
                <w:rFonts w:cs="Times New Roman"/>
                <w:color w:val="17365D"/>
                <w:sz w:val="18"/>
                <w:szCs w:val="18"/>
              </w:rPr>
            </w:pPr>
            <w:r w:rsidRPr="00064AC9">
              <w:rPr>
                <w:rFonts w:cs="Times New Roman"/>
                <w:color w:val="17365D"/>
                <w:sz w:val="18"/>
                <w:szCs w:val="18"/>
              </w:rPr>
              <w:t xml:space="preserve">1 </w:t>
            </w:r>
            <w:r>
              <w:rPr>
                <w:rFonts w:cs="Times New Roman"/>
                <w:color w:val="17365D"/>
                <w:sz w:val="18"/>
                <w:szCs w:val="18"/>
              </w:rPr>
              <w:t>344</w:t>
            </w:r>
            <w:r w:rsidRPr="00064AC9">
              <w:rPr>
                <w:rFonts w:cs="Times New Roman"/>
                <w:color w:val="17365D"/>
                <w:sz w:val="18"/>
                <w:szCs w:val="18"/>
              </w:rPr>
              <w:t xml:space="preserve"> </w:t>
            </w:r>
            <w:r>
              <w:rPr>
                <w:rFonts w:cs="Times New Roman"/>
                <w:color w:val="17365D"/>
                <w:sz w:val="18"/>
                <w:szCs w:val="18"/>
              </w:rPr>
              <w:t>754</w:t>
            </w:r>
            <w:r w:rsidRPr="00064AC9">
              <w:rPr>
                <w:rFonts w:cs="Times New Roman"/>
                <w:color w:val="17365D"/>
                <w:sz w:val="18"/>
                <w:szCs w:val="18"/>
              </w:rPr>
              <w:t xml:space="preserve"> </w:t>
            </w:r>
            <w:r>
              <w:rPr>
                <w:rFonts w:cs="Times New Roman"/>
                <w:color w:val="17365D"/>
                <w:sz w:val="18"/>
                <w:szCs w:val="18"/>
              </w:rPr>
              <w:t>465</w:t>
            </w:r>
          </w:p>
        </w:tc>
        <w:tc>
          <w:tcPr>
            <w:tcW w:w="1309" w:type="dxa"/>
            <w:tcBorders>
              <w:top w:val="single" w:sz="4" w:space="0" w:color="17365D"/>
              <w:bottom w:val="single" w:sz="4" w:space="0" w:color="17365D"/>
            </w:tcBorders>
            <w:shd w:val="clear" w:color="auto" w:fill="auto"/>
            <w:vAlign w:val="center"/>
          </w:tcPr>
          <w:p w14:paraId="571A0038" w14:textId="77777777" w:rsidR="00224ABF" w:rsidRPr="001F1056" w:rsidRDefault="00224ABF" w:rsidP="00224ABF">
            <w:pPr>
              <w:spacing w:after="0" w:line="240" w:lineRule="auto"/>
              <w:jc w:val="right"/>
              <w:rPr>
                <w:rFonts w:cs="Times New Roman"/>
                <w:color w:val="17365D"/>
                <w:sz w:val="18"/>
                <w:szCs w:val="18"/>
              </w:rPr>
            </w:pPr>
            <w:r>
              <w:rPr>
                <w:rFonts w:cs="Times New Roman"/>
                <w:color w:val="17365D"/>
                <w:sz w:val="18"/>
                <w:szCs w:val="18"/>
              </w:rPr>
              <w:t>178</w:t>
            </w:r>
            <w:r w:rsidRPr="00064AC9">
              <w:rPr>
                <w:rFonts w:cs="Times New Roman"/>
                <w:color w:val="17365D"/>
                <w:sz w:val="18"/>
                <w:szCs w:val="18"/>
              </w:rPr>
              <w:t>.</w:t>
            </w:r>
            <w:r>
              <w:rPr>
                <w:rFonts w:cs="Times New Roman"/>
                <w:color w:val="17365D"/>
                <w:sz w:val="18"/>
                <w:szCs w:val="18"/>
              </w:rPr>
              <w:t>82</w:t>
            </w:r>
          </w:p>
        </w:tc>
      </w:tr>
      <w:tr w:rsidR="00224ABF" w:rsidRPr="001F1056" w14:paraId="2EE0D916" w14:textId="77777777" w:rsidTr="004873C9">
        <w:trPr>
          <w:trHeight w:val="319"/>
        </w:trPr>
        <w:tc>
          <w:tcPr>
            <w:tcW w:w="2694" w:type="dxa"/>
            <w:tcBorders>
              <w:top w:val="single" w:sz="4" w:space="0" w:color="17365D"/>
              <w:bottom w:val="single" w:sz="4" w:space="0" w:color="17365D"/>
            </w:tcBorders>
            <w:shd w:val="clear" w:color="auto" w:fill="auto"/>
            <w:vAlign w:val="center"/>
          </w:tcPr>
          <w:p w14:paraId="30382DED" w14:textId="77777777" w:rsidR="00224ABF" w:rsidRPr="001F1056" w:rsidRDefault="00224ABF" w:rsidP="00224ABF">
            <w:pPr>
              <w:spacing w:after="0" w:line="240" w:lineRule="auto"/>
              <w:rPr>
                <w:rFonts w:cs="Times New Roman"/>
                <w:color w:val="17365D"/>
                <w:sz w:val="18"/>
                <w:szCs w:val="18"/>
              </w:rPr>
            </w:pPr>
            <w:r w:rsidRPr="001F1056">
              <w:rPr>
                <w:rFonts w:cs="Times New Roman"/>
                <w:color w:val="17365D"/>
                <w:sz w:val="18"/>
                <w:szCs w:val="18"/>
              </w:rPr>
              <w:t>Procentu izdevumi</w:t>
            </w:r>
          </w:p>
        </w:tc>
        <w:tc>
          <w:tcPr>
            <w:tcW w:w="992" w:type="dxa"/>
            <w:tcBorders>
              <w:top w:val="single" w:sz="4" w:space="0" w:color="17365D"/>
              <w:bottom w:val="single" w:sz="4" w:space="0" w:color="17365D"/>
            </w:tcBorders>
            <w:shd w:val="clear" w:color="auto" w:fill="auto"/>
            <w:vAlign w:val="center"/>
          </w:tcPr>
          <w:p w14:paraId="7646AB2C" w14:textId="77777777" w:rsidR="00224ABF" w:rsidRPr="001F1056" w:rsidRDefault="00224ABF" w:rsidP="00224ABF">
            <w:pPr>
              <w:spacing w:after="0" w:line="240" w:lineRule="auto"/>
              <w:jc w:val="center"/>
              <w:rPr>
                <w:rFonts w:cs="Times New Roman"/>
                <w:color w:val="17365D"/>
                <w:sz w:val="18"/>
                <w:szCs w:val="18"/>
              </w:rPr>
            </w:pPr>
            <w:r>
              <w:rPr>
                <w:rFonts w:cs="Times New Roman"/>
                <w:color w:val="17365D"/>
                <w:sz w:val="18"/>
                <w:szCs w:val="18"/>
              </w:rPr>
              <w:t>NP.C22</w:t>
            </w:r>
          </w:p>
        </w:tc>
        <w:tc>
          <w:tcPr>
            <w:tcW w:w="1418" w:type="dxa"/>
            <w:tcBorders>
              <w:top w:val="single" w:sz="4" w:space="0" w:color="17365D"/>
              <w:bottom w:val="single" w:sz="4" w:space="0" w:color="17365D"/>
            </w:tcBorders>
            <w:shd w:val="clear" w:color="auto" w:fill="auto"/>
            <w:vAlign w:val="center"/>
          </w:tcPr>
          <w:p w14:paraId="10219B2B" w14:textId="77777777" w:rsidR="00224ABF" w:rsidRPr="001F1056" w:rsidRDefault="00224ABF" w:rsidP="00224ABF">
            <w:pPr>
              <w:spacing w:after="0" w:line="240" w:lineRule="auto"/>
              <w:jc w:val="right"/>
              <w:rPr>
                <w:rFonts w:cs="Times New Roman"/>
                <w:color w:val="17365D"/>
                <w:sz w:val="18"/>
                <w:szCs w:val="18"/>
              </w:rPr>
            </w:pPr>
            <w:r>
              <w:rPr>
                <w:rFonts w:cs="Times New Roman"/>
                <w:color w:val="17365D"/>
                <w:sz w:val="18"/>
                <w:szCs w:val="18"/>
              </w:rPr>
              <w:t>228</w:t>
            </w:r>
            <w:r w:rsidRPr="00064AC9">
              <w:rPr>
                <w:rFonts w:cs="Times New Roman"/>
                <w:color w:val="17365D"/>
                <w:sz w:val="18"/>
                <w:szCs w:val="18"/>
              </w:rPr>
              <w:t xml:space="preserve"> </w:t>
            </w:r>
            <w:r>
              <w:rPr>
                <w:rFonts w:cs="Times New Roman"/>
                <w:color w:val="17365D"/>
                <w:sz w:val="18"/>
                <w:szCs w:val="18"/>
              </w:rPr>
              <w:t>291</w:t>
            </w:r>
            <w:r w:rsidRPr="00064AC9">
              <w:rPr>
                <w:rFonts w:cs="Times New Roman"/>
                <w:color w:val="17365D"/>
                <w:sz w:val="18"/>
                <w:szCs w:val="18"/>
              </w:rPr>
              <w:t xml:space="preserve"> </w:t>
            </w:r>
            <w:r>
              <w:rPr>
                <w:rFonts w:cs="Times New Roman"/>
                <w:color w:val="17365D"/>
                <w:sz w:val="18"/>
                <w:szCs w:val="18"/>
              </w:rPr>
              <w:t>227</w:t>
            </w:r>
          </w:p>
        </w:tc>
        <w:tc>
          <w:tcPr>
            <w:tcW w:w="1276" w:type="dxa"/>
            <w:tcBorders>
              <w:top w:val="single" w:sz="4" w:space="0" w:color="17365D"/>
              <w:bottom w:val="single" w:sz="4" w:space="0" w:color="17365D"/>
            </w:tcBorders>
            <w:shd w:val="clear" w:color="auto" w:fill="auto"/>
            <w:vAlign w:val="center"/>
          </w:tcPr>
          <w:p w14:paraId="744A6E8D" w14:textId="77777777" w:rsidR="00224ABF" w:rsidRPr="001F1056" w:rsidRDefault="00224ABF" w:rsidP="00224ABF">
            <w:pPr>
              <w:spacing w:after="0" w:line="240" w:lineRule="auto"/>
              <w:jc w:val="right"/>
              <w:rPr>
                <w:rFonts w:cs="Times New Roman"/>
                <w:color w:val="17365D"/>
                <w:sz w:val="18"/>
                <w:szCs w:val="18"/>
              </w:rPr>
            </w:pPr>
            <w:r w:rsidRPr="00064AC9">
              <w:rPr>
                <w:rFonts w:cs="Times New Roman"/>
                <w:color w:val="17365D"/>
                <w:sz w:val="18"/>
                <w:szCs w:val="18"/>
              </w:rPr>
              <w:t>188 768 809</w:t>
            </w:r>
          </w:p>
        </w:tc>
        <w:tc>
          <w:tcPr>
            <w:tcW w:w="1701" w:type="dxa"/>
            <w:tcBorders>
              <w:top w:val="single" w:sz="4" w:space="0" w:color="17365D"/>
              <w:bottom w:val="single" w:sz="4" w:space="0" w:color="17365D"/>
            </w:tcBorders>
            <w:shd w:val="clear" w:color="auto" w:fill="auto"/>
            <w:vAlign w:val="center"/>
          </w:tcPr>
          <w:p w14:paraId="667FFE52" w14:textId="77777777" w:rsidR="00224ABF" w:rsidRPr="001F1056" w:rsidRDefault="00224ABF" w:rsidP="00224ABF">
            <w:pPr>
              <w:spacing w:after="0" w:line="240" w:lineRule="auto"/>
              <w:jc w:val="right"/>
              <w:rPr>
                <w:rFonts w:cs="Times New Roman"/>
                <w:color w:val="17365D"/>
                <w:sz w:val="18"/>
                <w:szCs w:val="18"/>
              </w:rPr>
            </w:pPr>
            <w:r>
              <w:rPr>
                <w:rFonts w:cs="Times New Roman"/>
                <w:color w:val="17365D"/>
                <w:sz w:val="18"/>
                <w:szCs w:val="18"/>
              </w:rPr>
              <w:t>39</w:t>
            </w:r>
            <w:r w:rsidRPr="00064AC9">
              <w:rPr>
                <w:rFonts w:cs="Times New Roman"/>
                <w:color w:val="17365D"/>
                <w:sz w:val="18"/>
                <w:szCs w:val="18"/>
              </w:rPr>
              <w:t xml:space="preserve"> </w:t>
            </w:r>
            <w:r>
              <w:rPr>
                <w:rFonts w:cs="Times New Roman"/>
                <w:color w:val="17365D"/>
                <w:sz w:val="18"/>
                <w:szCs w:val="18"/>
              </w:rPr>
              <w:t>552</w:t>
            </w:r>
            <w:r w:rsidRPr="00064AC9">
              <w:rPr>
                <w:rFonts w:cs="Times New Roman"/>
                <w:color w:val="17365D"/>
                <w:sz w:val="18"/>
                <w:szCs w:val="18"/>
              </w:rPr>
              <w:t xml:space="preserve"> 4</w:t>
            </w:r>
            <w:r>
              <w:rPr>
                <w:rFonts w:cs="Times New Roman"/>
                <w:color w:val="17365D"/>
                <w:sz w:val="18"/>
                <w:szCs w:val="18"/>
              </w:rPr>
              <w:t>18</w:t>
            </w:r>
          </w:p>
        </w:tc>
        <w:tc>
          <w:tcPr>
            <w:tcW w:w="1309" w:type="dxa"/>
            <w:tcBorders>
              <w:top w:val="single" w:sz="4" w:space="0" w:color="17365D"/>
              <w:bottom w:val="single" w:sz="4" w:space="0" w:color="17365D"/>
            </w:tcBorders>
            <w:shd w:val="clear" w:color="auto" w:fill="auto"/>
            <w:vAlign w:val="center"/>
          </w:tcPr>
          <w:p w14:paraId="574C8D98" w14:textId="77777777" w:rsidR="00224ABF" w:rsidRPr="001F1056" w:rsidRDefault="00224ABF" w:rsidP="00224ABF">
            <w:pPr>
              <w:spacing w:after="0" w:line="240" w:lineRule="auto"/>
              <w:jc w:val="right"/>
              <w:rPr>
                <w:rFonts w:cs="Times New Roman"/>
                <w:color w:val="17365D"/>
                <w:sz w:val="18"/>
                <w:szCs w:val="18"/>
              </w:rPr>
            </w:pPr>
            <w:r>
              <w:rPr>
                <w:rFonts w:cs="Times New Roman"/>
                <w:color w:val="17365D"/>
                <w:sz w:val="18"/>
                <w:szCs w:val="18"/>
              </w:rPr>
              <w:t>20</w:t>
            </w:r>
            <w:r w:rsidRPr="00064AC9">
              <w:rPr>
                <w:rFonts w:cs="Times New Roman"/>
                <w:color w:val="17365D"/>
                <w:sz w:val="18"/>
                <w:szCs w:val="18"/>
              </w:rPr>
              <w:t>.</w:t>
            </w:r>
            <w:r>
              <w:rPr>
                <w:rFonts w:cs="Times New Roman"/>
                <w:color w:val="17365D"/>
                <w:sz w:val="18"/>
                <w:szCs w:val="18"/>
              </w:rPr>
              <w:t>94</w:t>
            </w:r>
          </w:p>
        </w:tc>
      </w:tr>
      <w:tr w:rsidR="00224ABF" w:rsidRPr="001F1056" w14:paraId="6645CB08" w14:textId="77777777" w:rsidTr="00224ABF">
        <w:trPr>
          <w:trHeight w:val="227"/>
        </w:trPr>
        <w:tc>
          <w:tcPr>
            <w:tcW w:w="2694" w:type="dxa"/>
            <w:tcBorders>
              <w:top w:val="single" w:sz="4" w:space="0" w:color="17365D"/>
            </w:tcBorders>
            <w:shd w:val="clear" w:color="auto" w:fill="B9CDE5"/>
            <w:vAlign w:val="center"/>
          </w:tcPr>
          <w:p w14:paraId="02F4E4CE" w14:textId="77777777" w:rsidR="00224ABF" w:rsidRPr="001F1056" w:rsidRDefault="00224ABF" w:rsidP="00224ABF">
            <w:pPr>
              <w:spacing w:after="0" w:line="240" w:lineRule="auto"/>
              <w:rPr>
                <w:rFonts w:cs="Times New Roman"/>
                <w:color w:val="17365D"/>
                <w:sz w:val="18"/>
                <w:szCs w:val="18"/>
              </w:rPr>
            </w:pPr>
          </w:p>
        </w:tc>
        <w:tc>
          <w:tcPr>
            <w:tcW w:w="992" w:type="dxa"/>
            <w:tcBorders>
              <w:top w:val="single" w:sz="4" w:space="0" w:color="17365D"/>
            </w:tcBorders>
            <w:shd w:val="clear" w:color="auto" w:fill="B9CDE5"/>
            <w:vAlign w:val="center"/>
          </w:tcPr>
          <w:p w14:paraId="07FA7514" w14:textId="77777777" w:rsidR="00224ABF" w:rsidRPr="001F1056" w:rsidRDefault="00224ABF" w:rsidP="00224ABF">
            <w:pPr>
              <w:spacing w:after="0" w:line="240" w:lineRule="auto"/>
              <w:jc w:val="center"/>
              <w:rPr>
                <w:rFonts w:cs="Times New Roman"/>
                <w:color w:val="17365D"/>
                <w:sz w:val="18"/>
                <w:szCs w:val="18"/>
              </w:rPr>
            </w:pPr>
          </w:p>
        </w:tc>
        <w:tc>
          <w:tcPr>
            <w:tcW w:w="1418" w:type="dxa"/>
            <w:tcBorders>
              <w:top w:val="single" w:sz="4" w:space="0" w:color="17365D"/>
            </w:tcBorders>
            <w:shd w:val="clear" w:color="auto" w:fill="B9CDE5"/>
            <w:vAlign w:val="center"/>
          </w:tcPr>
          <w:p w14:paraId="2E6A2343" w14:textId="77777777" w:rsidR="00224ABF" w:rsidRPr="001F1056" w:rsidRDefault="00224ABF" w:rsidP="00224ABF">
            <w:pPr>
              <w:spacing w:after="0" w:line="240" w:lineRule="auto"/>
              <w:jc w:val="right"/>
              <w:rPr>
                <w:rFonts w:cs="Times New Roman"/>
                <w:color w:val="17365D"/>
                <w:sz w:val="18"/>
                <w:szCs w:val="18"/>
              </w:rPr>
            </w:pPr>
          </w:p>
        </w:tc>
        <w:tc>
          <w:tcPr>
            <w:tcW w:w="1276" w:type="dxa"/>
            <w:tcBorders>
              <w:top w:val="single" w:sz="4" w:space="0" w:color="17365D"/>
            </w:tcBorders>
            <w:shd w:val="clear" w:color="auto" w:fill="B9CDE5"/>
            <w:vAlign w:val="center"/>
          </w:tcPr>
          <w:p w14:paraId="38D78524" w14:textId="77777777" w:rsidR="00224ABF" w:rsidRPr="001F1056" w:rsidRDefault="00224ABF" w:rsidP="00224ABF">
            <w:pPr>
              <w:spacing w:after="0" w:line="240" w:lineRule="auto"/>
              <w:jc w:val="right"/>
              <w:rPr>
                <w:rFonts w:cs="Times New Roman"/>
                <w:color w:val="17365D"/>
                <w:sz w:val="18"/>
                <w:szCs w:val="18"/>
              </w:rPr>
            </w:pPr>
          </w:p>
        </w:tc>
        <w:tc>
          <w:tcPr>
            <w:tcW w:w="1701" w:type="dxa"/>
            <w:tcBorders>
              <w:top w:val="single" w:sz="4" w:space="0" w:color="17365D"/>
            </w:tcBorders>
            <w:shd w:val="clear" w:color="auto" w:fill="B9CDE5"/>
            <w:vAlign w:val="center"/>
          </w:tcPr>
          <w:p w14:paraId="3F1B8F6E" w14:textId="77777777" w:rsidR="00224ABF" w:rsidRPr="001F1056" w:rsidRDefault="00224ABF" w:rsidP="00224ABF">
            <w:pPr>
              <w:spacing w:after="0" w:line="240" w:lineRule="auto"/>
              <w:jc w:val="right"/>
              <w:rPr>
                <w:rFonts w:cs="Times New Roman"/>
                <w:color w:val="17365D"/>
                <w:sz w:val="18"/>
                <w:szCs w:val="18"/>
              </w:rPr>
            </w:pPr>
          </w:p>
        </w:tc>
        <w:tc>
          <w:tcPr>
            <w:tcW w:w="1309" w:type="dxa"/>
            <w:tcBorders>
              <w:top w:val="single" w:sz="4" w:space="0" w:color="17365D"/>
            </w:tcBorders>
            <w:shd w:val="clear" w:color="auto" w:fill="B9CDE5"/>
            <w:vAlign w:val="center"/>
          </w:tcPr>
          <w:p w14:paraId="1F5A4CEC" w14:textId="77777777" w:rsidR="00224ABF" w:rsidRPr="001F1056" w:rsidRDefault="00224ABF" w:rsidP="00224ABF">
            <w:pPr>
              <w:spacing w:after="0" w:line="240" w:lineRule="auto"/>
              <w:jc w:val="right"/>
              <w:rPr>
                <w:rFonts w:cs="Times New Roman"/>
                <w:color w:val="17365D"/>
                <w:sz w:val="18"/>
                <w:szCs w:val="18"/>
              </w:rPr>
            </w:pPr>
          </w:p>
        </w:tc>
      </w:tr>
    </w:tbl>
    <w:p w14:paraId="0DA2AB06" w14:textId="0B7BF911" w:rsidR="00EF19B1" w:rsidRDefault="00EF19B1" w:rsidP="00EF19B1">
      <w:pPr>
        <w:pStyle w:val="Pamatteksts2"/>
      </w:pPr>
    </w:p>
    <w:p w14:paraId="2E0EBC72" w14:textId="77777777" w:rsidR="00EF19B1" w:rsidRDefault="00EF19B1" w:rsidP="00EF19B1">
      <w:pPr>
        <w:pStyle w:val="Pamatteksts2"/>
      </w:pPr>
    </w:p>
    <w:p w14:paraId="4E2D0AC1" w14:textId="2E51A7E4" w:rsidR="00224ABF" w:rsidRDefault="00224ABF" w:rsidP="00224ABF">
      <w:pPr>
        <w:pStyle w:val="Heading4"/>
        <w:rPr>
          <w:rFonts w:cstheme="minorBidi"/>
        </w:rPr>
      </w:pPr>
      <w:r w:rsidRPr="00E72168">
        <w:lastRenderedPageBreak/>
        <w:t>Piezīme Nr</w:t>
      </w:r>
      <w:r>
        <w:t>.</w:t>
      </w:r>
      <w:r w:rsidRPr="00951799">
        <w:t xml:space="preserve"> </w:t>
      </w:r>
      <w:r w:rsidRPr="00905AEC">
        <w:t>NP.C11.</w:t>
      </w:r>
      <w:r>
        <w:t xml:space="preserve"> </w:t>
      </w:r>
      <w:r w:rsidRPr="00905AEC">
        <w:t>Aizņēmumi un emitētie parāda vērtspapīri</w:t>
      </w:r>
    </w:p>
    <w:p w14:paraId="31027E5B" w14:textId="77777777" w:rsidR="00224ABF" w:rsidRDefault="00224ABF" w:rsidP="00EF19B1">
      <w:pPr>
        <w:pStyle w:val="Pamatteksts1"/>
        <w:ind w:firstLine="284"/>
        <w:rPr>
          <w:rFonts w:eastAsiaTheme="minorHAnsi" w:cstheme="minorBidi"/>
          <w:noProof w:val="0"/>
          <w:color w:val="17365D"/>
          <w:szCs w:val="22"/>
          <w:lang w:eastAsia="en-US"/>
        </w:rPr>
      </w:pPr>
      <w:r>
        <w:rPr>
          <w:rFonts w:eastAsiaTheme="minorHAnsi" w:cstheme="minorBidi"/>
          <w:noProof w:val="0"/>
          <w:color w:val="17365D"/>
          <w:szCs w:val="22"/>
          <w:lang w:eastAsia="en-US"/>
        </w:rPr>
        <w:t>V</w:t>
      </w:r>
      <w:r w:rsidRPr="00590556">
        <w:rPr>
          <w:rFonts w:eastAsiaTheme="minorHAnsi" w:cstheme="minorBidi"/>
          <w:noProof w:val="0"/>
          <w:color w:val="17365D"/>
          <w:szCs w:val="22"/>
          <w:lang w:eastAsia="en-US"/>
        </w:rPr>
        <w:t>alsts budžeta finanšu uzskaitē</w:t>
      </w:r>
      <w:r w:rsidRPr="000161DF">
        <w:rPr>
          <w:rFonts w:eastAsiaTheme="minorHAnsi" w:cstheme="minorBidi"/>
          <w:noProof w:val="0"/>
          <w:color w:val="17365D"/>
          <w:szCs w:val="22"/>
          <w:lang w:eastAsia="en-US"/>
        </w:rPr>
        <w:t xml:space="preserve"> aizņēmumu un emitēto parāda vērtspapīru naudas plūsmas ieņēmumu </w:t>
      </w:r>
      <w:r>
        <w:rPr>
          <w:rFonts w:eastAsiaTheme="minorHAnsi" w:cstheme="minorBidi"/>
          <w:noProof w:val="0"/>
          <w:color w:val="17365D"/>
          <w:szCs w:val="22"/>
          <w:lang w:eastAsia="en-US"/>
        </w:rPr>
        <w:t>būtisku palielinājumu</w:t>
      </w:r>
      <w:r w:rsidRPr="000161DF">
        <w:rPr>
          <w:rFonts w:eastAsiaTheme="minorHAnsi" w:cstheme="minorBidi"/>
          <w:noProof w:val="0"/>
          <w:color w:val="17365D"/>
          <w:szCs w:val="22"/>
          <w:lang w:eastAsia="en-US"/>
        </w:rPr>
        <w:t xml:space="preserve"> galvenokārt veido</w:t>
      </w:r>
      <w:r>
        <w:rPr>
          <w:rFonts w:eastAsiaTheme="minorHAnsi" w:cstheme="minorBidi"/>
          <w:noProof w:val="0"/>
          <w:color w:val="17365D"/>
          <w:szCs w:val="22"/>
          <w:lang w:eastAsia="en-US"/>
        </w:rPr>
        <w:t>:</w:t>
      </w:r>
    </w:p>
    <w:p w14:paraId="47B646A5" w14:textId="77777777" w:rsidR="00224ABF" w:rsidRDefault="00224ABF" w:rsidP="00146A16">
      <w:pPr>
        <w:pStyle w:val="Pamatteksts1"/>
        <w:numPr>
          <w:ilvl w:val="0"/>
          <w:numId w:val="49"/>
        </w:numPr>
        <w:rPr>
          <w:rFonts w:eastAsiaTheme="minorHAnsi" w:cstheme="minorBidi"/>
          <w:noProof w:val="0"/>
          <w:color w:val="17365D"/>
          <w:szCs w:val="22"/>
          <w:lang w:eastAsia="en-US"/>
        </w:rPr>
      </w:pPr>
      <w:r w:rsidRPr="000161DF">
        <w:rPr>
          <w:rFonts w:eastAsiaTheme="minorHAnsi" w:cstheme="minorBidi"/>
          <w:noProof w:val="0"/>
          <w:color w:val="17365D"/>
          <w:szCs w:val="22"/>
          <w:lang w:eastAsia="en-US"/>
        </w:rPr>
        <w:t>v</w:t>
      </w:r>
      <w:r>
        <w:rPr>
          <w:rFonts w:eastAsiaTheme="minorHAnsi" w:cstheme="minorBidi"/>
          <w:noProof w:val="0"/>
          <w:color w:val="17365D"/>
          <w:szCs w:val="22"/>
          <w:lang w:eastAsia="en-US"/>
        </w:rPr>
        <w:t>alsts parāda vērtspapīru emisijas</w:t>
      </w:r>
      <w:r w:rsidRPr="000161DF">
        <w:rPr>
          <w:rFonts w:eastAsiaTheme="minorHAnsi" w:cstheme="minorBidi"/>
          <w:noProof w:val="0"/>
          <w:color w:val="17365D"/>
          <w:szCs w:val="22"/>
          <w:lang w:eastAsia="en-US"/>
        </w:rPr>
        <w:t xml:space="preserve"> </w:t>
      </w:r>
      <w:r>
        <w:rPr>
          <w:rFonts w:eastAsiaTheme="minorHAnsi" w:cstheme="minorBidi"/>
          <w:noProof w:val="0"/>
          <w:color w:val="17365D"/>
          <w:szCs w:val="22"/>
          <w:lang w:eastAsia="en-US"/>
        </w:rPr>
        <w:t>1 095 567 137</w:t>
      </w:r>
      <w:r w:rsidRPr="000161DF">
        <w:rPr>
          <w:rFonts w:eastAsiaTheme="minorHAnsi" w:cstheme="minorBidi"/>
          <w:noProof w:val="0"/>
          <w:color w:val="17365D"/>
          <w:szCs w:val="22"/>
          <w:lang w:eastAsia="en-US"/>
        </w:rPr>
        <w:t xml:space="preserve"> </w:t>
      </w:r>
      <w:r w:rsidRPr="0019126D">
        <w:rPr>
          <w:rFonts w:eastAsiaTheme="minorHAnsi" w:cstheme="minorBidi"/>
          <w:i/>
          <w:noProof w:val="0"/>
          <w:color w:val="17365D"/>
          <w:szCs w:val="22"/>
          <w:lang w:eastAsia="en-US"/>
        </w:rPr>
        <w:t>euro</w:t>
      </w:r>
      <w:r w:rsidRPr="000161DF">
        <w:rPr>
          <w:rFonts w:eastAsiaTheme="minorHAnsi" w:cstheme="minorBidi"/>
          <w:noProof w:val="0"/>
          <w:color w:val="17365D"/>
          <w:szCs w:val="22"/>
          <w:lang w:eastAsia="en-US"/>
        </w:rPr>
        <w:t xml:space="preserve"> vērtībā</w:t>
      </w:r>
      <w:r>
        <w:rPr>
          <w:rFonts w:eastAsiaTheme="minorHAnsi" w:cstheme="minorBidi"/>
          <w:noProof w:val="0"/>
          <w:color w:val="17365D"/>
          <w:szCs w:val="22"/>
          <w:lang w:eastAsia="en-US"/>
        </w:rPr>
        <w:t>,</w:t>
      </w:r>
    </w:p>
    <w:p w14:paraId="36C0FCC3" w14:textId="77777777" w:rsidR="00224ABF" w:rsidRDefault="00224ABF" w:rsidP="00146A16">
      <w:pPr>
        <w:pStyle w:val="Pamatteksts1"/>
        <w:numPr>
          <w:ilvl w:val="0"/>
          <w:numId w:val="49"/>
        </w:numPr>
        <w:rPr>
          <w:rFonts w:eastAsiaTheme="minorHAnsi" w:cstheme="minorBidi"/>
          <w:noProof w:val="0"/>
          <w:color w:val="17365D"/>
          <w:szCs w:val="22"/>
          <w:lang w:eastAsia="en-US"/>
        </w:rPr>
      </w:pPr>
      <w:r>
        <w:rPr>
          <w:rFonts w:eastAsiaTheme="minorHAnsi" w:cstheme="minorBidi"/>
          <w:noProof w:val="0"/>
          <w:color w:val="17365D"/>
          <w:szCs w:val="22"/>
          <w:lang w:eastAsia="en-US"/>
        </w:rPr>
        <w:t xml:space="preserve">valsts krājobligāciju emisijas 243 728 096 </w:t>
      </w:r>
      <w:r w:rsidRPr="005C57A4">
        <w:rPr>
          <w:rFonts w:eastAsiaTheme="minorHAnsi" w:cstheme="minorBidi"/>
          <w:i/>
          <w:noProof w:val="0"/>
          <w:color w:val="17365D"/>
          <w:szCs w:val="22"/>
          <w:lang w:eastAsia="en-US"/>
        </w:rPr>
        <w:t>euro</w:t>
      </w:r>
      <w:r>
        <w:rPr>
          <w:rFonts w:eastAsiaTheme="minorHAnsi" w:cstheme="minorBidi"/>
          <w:noProof w:val="0"/>
          <w:color w:val="17365D"/>
          <w:szCs w:val="22"/>
          <w:lang w:eastAsia="en-US"/>
        </w:rPr>
        <w:t xml:space="preserve"> vērtībā,</w:t>
      </w:r>
    </w:p>
    <w:p w14:paraId="3179E43B" w14:textId="60E1EEA6" w:rsidR="00224ABF" w:rsidRPr="00EF19B1" w:rsidRDefault="00224ABF" w:rsidP="00C36594">
      <w:pPr>
        <w:pStyle w:val="Pamatteksts1"/>
        <w:numPr>
          <w:ilvl w:val="0"/>
          <w:numId w:val="49"/>
        </w:numPr>
        <w:rPr>
          <w:rFonts w:eastAsiaTheme="minorHAnsi" w:cstheme="minorBidi"/>
          <w:noProof w:val="0"/>
          <w:color w:val="17365D"/>
          <w:szCs w:val="22"/>
          <w:lang w:eastAsia="en-US"/>
        </w:rPr>
      </w:pPr>
      <w:r w:rsidRPr="00EF19B1">
        <w:rPr>
          <w:rFonts w:eastAsiaTheme="minorHAnsi" w:cstheme="minorBidi"/>
          <w:noProof w:val="0"/>
          <w:color w:val="17365D"/>
          <w:szCs w:val="22"/>
          <w:lang w:eastAsia="en-US"/>
        </w:rPr>
        <w:t xml:space="preserve">ilgtermiņa aizņēmumi 33 342 350 </w:t>
      </w:r>
      <w:r w:rsidRPr="00EF19B1">
        <w:rPr>
          <w:rFonts w:eastAsiaTheme="minorHAnsi" w:cstheme="minorBidi"/>
          <w:i/>
          <w:noProof w:val="0"/>
          <w:color w:val="17365D"/>
          <w:szCs w:val="22"/>
          <w:lang w:eastAsia="en-US"/>
        </w:rPr>
        <w:t>euro</w:t>
      </w:r>
      <w:r w:rsidRPr="00EF19B1">
        <w:rPr>
          <w:rFonts w:eastAsiaTheme="minorHAnsi" w:cstheme="minorBidi"/>
          <w:noProof w:val="0"/>
          <w:color w:val="17365D"/>
          <w:szCs w:val="22"/>
          <w:lang w:eastAsia="en-US"/>
        </w:rPr>
        <w:t xml:space="preserve"> vērtībā.</w:t>
      </w:r>
      <w:r w:rsidRPr="00EF19B1">
        <w:rPr>
          <w:rFonts w:eastAsiaTheme="minorHAnsi" w:cstheme="minorBidi"/>
          <w:noProof w:val="0"/>
          <w:color w:val="17365D"/>
          <w:szCs w:val="22"/>
          <w:lang w:eastAsia="en-US"/>
        </w:rPr>
        <w:tab/>
      </w:r>
    </w:p>
    <w:p w14:paraId="2C3586EC" w14:textId="77777777" w:rsidR="00224ABF" w:rsidRPr="000F68D0" w:rsidRDefault="00224ABF" w:rsidP="00224ABF">
      <w:pPr>
        <w:pStyle w:val="Heading4"/>
      </w:pPr>
      <w:r w:rsidRPr="005C57A4">
        <w:t xml:space="preserve">Piezīme Nr. </w:t>
      </w:r>
      <w:r w:rsidRPr="003E3C94">
        <w:t>NP.</w:t>
      </w:r>
      <w:r>
        <w:t>C13</w:t>
      </w:r>
      <w:r w:rsidRPr="003E3C94">
        <w:t xml:space="preserve">. Citi </w:t>
      </w:r>
      <w:r>
        <w:t>ieņēmumi</w:t>
      </w:r>
      <w:r w:rsidRPr="003E3C94">
        <w:t xml:space="preserve"> no </w:t>
      </w:r>
      <w:r>
        <w:t>finansēšanas darbības</w:t>
      </w:r>
    </w:p>
    <w:p w14:paraId="1C85DD42" w14:textId="4A13432C" w:rsidR="00224ABF" w:rsidRPr="00905AEC" w:rsidRDefault="00224ABF" w:rsidP="00224ABF">
      <w:pPr>
        <w:pStyle w:val="Pamatteksts1"/>
        <w:spacing w:after="0"/>
        <w:ind w:firstLine="0"/>
        <w:rPr>
          <w:bCs/>
          <w:color w:val="17365D"/>
        </w:rPr>
      </w:pPr>
      <w:r>
        <w:rPr>
          <w:bCs/>
          <w:color w:val="17365D"/>
        </w:rPr>
        <w:t>C</w:t>
      </w:r>
      <w:r w:rsidRPr="000161DF">
        <w:rPr>
          <w:bCs/>
          <w:color w:val="17365D"/>
        </w:rPr>
        <w:t>it</w:t>
      </w:r>
      <w:r>
        <w:rPr>
          <w:bCs/>
          <w:color w:val="17365D"/>
        </w:rPr>
        <w:t>u</w:t>
      </w:r>
      <w:r w:rsidRPr="000161DF">
        <w:rPr>
          <w:bCs/>
          <w:color w:val="17365D"/>
        </w:rPr>
        <w:t xml:space="preserve"> </w:t>
      </w:r>
      <w:r>
        <w:rPr>
          <w:color w:val="17365D"/>
        </w:rPr>
        <w:t>ieņēmum</w:t>
      </w:r>
      <w:r w:rsidR="00EF19B1">
        <w:rPr>
          <w:color w:val="17365D"/>
        </w:rPr>
        <w:t>u</w:t>
      </w:r>
      <w:r>
        <w:rPr>
          <w:color w:val="17365D"/>
        </w:rPr>
        <w:t xml:space="preserve"> veidi</w:t>
      </w:r>
      <w:r w:rsidRPr="003E3C94">
        <w:rPr>
          <w:color w:val="17365D"/>
        </w:rPr>
        <w:t xml:space="preserve"> no </w:t>
      </w:r>
      <w:r>
        <w:rPr>
          <w:color w:val="17365D"/>
        </w:rPr>
        <w:t>finansēšanas darbības</w:t>
      </w:r>
      <w:r>
        <w:rPr>
          <w:bCs/>
          <w:color w:val="17365D"/>
        </w:rPr>
        <w:t xml:space="preserve"> norādīti 3.8</w:t>
      </w:r>
      <w:r w:rsidRPr="000161DF">
        <w:rPr>
          <w:bCs/>
          <w:color w:val="17365D"/>
        </w:rPr>
        <w:t xml:space="preserve">. tabulā. </w:t>
      </w:r>
    </w:p>
    <w:p w14:paraId="5685F86E" w14:textId="77777777" w:rsidR="00224ABF" w:rsidRPr="00905AEC" w:rsidRDefault="00224ABF" w:rsidP="00224ABF">
      <w:pPr>
        <w:pStyle w:val="Tabulasnosaukums"/>
        <w:spacing w:before="0"/>
        <w:jc w:val="left"/>
        <w:rPr>
          <w:rFonts w:eastAsia="Arial Unicode MS"/>
          <w:color w:val="17365D"/>
          <w:szCs w:val="20"/>
        </w:rPr>
      </w:pPr>
    </w:p>
    <w:p w14:paraId="6C986A6D" w14:textId="77777777" w:rsidR="00224ABF" w:rsidRPr="00905AEC" w:rsidRDefault="00224ABF" w:rsidP="00224ABF">
      <w:pPr>
        <w:pStyle w:val="Tabulasnosaukums"/>
        <w:spacing w:before="0"/>
        <w:ind w:left="2880"/>
        <w:rPr>
          <w:rFonts w:eastAsia="Arial Unicode MS"/>
          <w:color w:val="17365D"/>
          <w:szCs w:val="20"/>
        </w:rPr>
      </w:pPr>
      <w:r>
        <w:rPr>
          <w:rFonts w:eastAsia="Arial Unicode MS"/>
          <w:color w:val="17365D"/>
          <w:szCs w:val="20"/>
        </w:rPr>
        <w:t>3.8</w:t>
      </w:r>
      <w:r w:rsidRPr="00905AEC">
        <w:rPr>
          <w:rFonts w:eastAsia="Arial Unicode MS"/>
          <w:color w:val="17365D"/>
          <w:szCs w:val="20"/>
        </w:rPr>
        <w:t>. tabula. NP.</w:t>
      </w:r>
      <w:r>
        <w:rPr>
          <w:rFonts w:eastAsia="Arial Unicode MS"/>
          <w:color w:val="17365D"/>
          <w:szCs w:val="20"/>
        </w:rPr>
        <w:t>C13</w:t>
      </w:r>
      <w:r w:rsidRPr="00905AEC">
        <w:rPr>
          <w:rFonts w:eastAsia="Arial Unicode MS"/>
          <w:color w:val="17365D"/>
          <w:szCs w:val="20"/>
        </w:rPr>
        <w:t xml:space="preserve"> Citi </w:t>
      </w:r>
      <w:r>
        <w:rPr>
          <w:rFonts w:eastAsia="Arial Unicode MS"/>
          <w:color w:val="17365D"/>
          <w:szCs w:val="20"/>
        </w:rPr>
        <w:t>ieņēmumi no finansēšanas darbības</w:t>
      </w:r>
      <w:r w:rsidRPr="00905AEC">
        <w:rPr>
          <w:bCs/>
          <w:color w:val="17365D"/>
          <w:szCs w:val="20"/>
        </w:rPr>
        <w:t xml:space="preserve"> (</w:t>
      </w:r>
      <w:r w:rsidRPr="00905AEC">
        <w:rPr>
          <w:color w:val="17365D"/>
          <w:szCs w:val="20"/>
        </w:rPr>
        <w:t>euro)</w:t>
      </w:r>
    </w:p>
    <w:tbl>
      <w:tblPr>
        <w:tblW w:w="5000" w:type="pct"/>
        <w:tblBorders>
          <w:top w:val="single" w:sz="4" w:space="0" w:color="auto"/>
          <w:bottom w:val="single" w:sz="4" w:space="0" w:color="000000"/>
          <w:insideH w:val="single" w:sz="4" w:space="0" w:color="000000"/>
        </w:tblBorders>
        <w:tblLook w:val="04A0" w:firstRow="1" w:lastRow="0" w:firstColumn="1" w:lastColumn="0" w:noHBand="0" w:noVBand="1"/>
      </w:tblPr>
      <w:tblGrid>
        <w:gridCol w:w="4249"/>
        <w:gridCol w:w="1633"/>
        <w:gridCol w:w="1880"/>
        <w:gridCol w:w="1592"/>
      </w:tblGrid>
      <w:tr w:rsidR="00224ABF" w:rsidRPr="00905AEC" w14:paraId="4EC4B534" w14:textId="77777777" w:rsidTr="00224ABF">
        <w:trPr>
          <w:trHeight w:val="314"/>
          <w:tblHeader/>
        </w:trPr>
        <w:tc>
          <w:tcPr>
            <w:tcW w:w="4141" w:type="dxa"/>
            <w:tcBorders>
              <w:top w:val="nil"/>
              <w:bottom w:val="single" w:sz="4" w:space="0" w:color="17365D"/>
            </w:tcBorders>
            <w:shd w:val="clear" w:color="auto" w:fill="B8CCE4" w:themeFill="accent1" w:themeFillTint="66"/>
            <w:vAlign w:val="center"/>
            <w:hideMark/>
          </w:tcPr>
          <w:p w14:paraId="2E37C8F7" w14:textId="77777777" w:rsidR="00224ABF" w:rsidRPr="00905AEC" w:rsidRDefault="00224ABF" w:rsidP="00224ABF">
            <w:pPr>
              <w:spacing w:after="0" w:line="240" w:lineRule="auto"/>
              <w:jc w:val="center"/>
              <w:rPr>
                <w:b/>
                <w:bCs/>
                <w:color w:val="17365D"/>
                <w:sz w:val="18"/>
                <w:szCs w:val="18"/>
                <w:lang w:eastAsia="lv-LV"/>
              </w:rPr>
            </w:pPr>
            <w:r w:rsidRPr="00905AEC">
              <w:rPr>
                <w:b/>
                <w:bCs/>
                <w:color w:val="17365D"/>
                <w:sz w:val="18"/>
                <w:szCs w:val="18"/>
                <w:lang w:eastAsia="lv-LV"/>
              </w:rPr>
              <w:t>Darījuma apraksts</w:t>
            </w:r>
          </w:p>
        </w:tc>
        <w:tc>
          <w:tcPr>
            <w:tcW w:w="1591" w:type="dxa"/>
            <w:tcBorders>
              <w:top w:val="nil"/>
              <w:bottom w:val="single" w:sz="4" w:space="0" w:color="17365D"/>
            </w:tcBorders>
            <w:shd w:val="clear" w:color="auto" w:fill="B8CCE4" w:themeFill="accent1" w:themeFillTint="66"/>
          </w:tcPr>
          <w:p w14:paraId="2D257ED4" w14:textId="77777777" w:rsidR="00224ABF" w:rsidRPr="00905AEC" w:rsidRDefault="00224ABF" w:rsidP="00224ABF">
            <w:pPr>
              <w:spacing w:after="0" w:line="240" w:lineRule="auto"/>
              <w:jc w:val="center"/>
              <w:rPr>
                <w:b/>
                <w:bCs/>
                <w:color w:val="17365D"/>
                <w:sz w:val="18"/>
                <w:szCs w:val="18"/>
                <w:lang w:eastAsia="lv-LV"/>
              </w:rPr>
            </w:pPr>
          </w:p>
        </w:tc>
        <w:tc>
          <w:tcPr>
            <w:tcW w:w="1832" w:type="dxa"/>
            <w:tcBorders>
              <w:top w:val="nil"/>
              <w:bottom w:val="single" w:sz="4" w:space="0" w:color="17365D"/>
            </w:tcBorders>
            <w:shd w:val="clear" w:color="auto" w:fill="B8CCE4" w:themeFill="accent1" w:themeFillTint="66"/>
            <w:vAlign w:val="center"/>
            <w:hideMark/>
          </w:tcPr>
          <w:p w14:paraId="127F4F5A" w14:textId="77777777" w:rsidR="00224ABF" w:rsidRPr="00905AEC" w:rsidRDefault="00224ABF" w:rsidP="00224ABF">
            <w:pPr>
              <w:spacing w:after="0" w:line="240" w:lineRule="auto"/>
              <w:jc w:val="center"/>
              <w:rPr>
                <w:b/>
                <w:bCs/>
                <w:color w:val="17365D"/>
                <w:sz w:val="18"/>
                <w:szCs w:val="18"/>
                <w:lang w:eastAsia="lv-LV"/>
              </w:rPr>
            </w:pPr>
            <w:r w:rsidRPr="00905AEC">
              <w:rPr>
                <w:b/>
                <w:bCs/>
                <w:color w:val="17365D"/>
                <w:sz w:val="18"/>
                <w:szCs w:val="18"/>
                <w:lang w:eastAsia="lv-LV"/>
              </w:rPr>
              <w:t>Pārskata periodā</w:t>
            </w:r>
          </w:p>
        </w:tc>
        <w:tc>
          <w:tcPr>
            <w:tcW w:w="1551" w:type="dxa"/>
            <w:tcBorders>
              <w:top w:val="nil"/>
              <w:bottom w:val="single" w:sz="4" w:space="0" w:color="17365D"/>
            </w:tcBorders>
            <w:shd w:val="clear" w:color="auto" w:fill="B8CCE4" w:themeFill="accent1" w:themeFillTint="66"/>
          </w:tcPr>
          <w:p w14:paraId="3913FC59" w14:textId="77777777" w:rsidR="00224ABF" w:rsidRPr="00905AEC" w:rsidRDefault="00224ABF" w:rsidP="00224ABF">
            <w:pPr>
              <w:spacing w:after="0" w:line="240" w:lineRule="auto"/>
              <w:jc w:val="center"/>
              <w:rPr>
                <w:b/>
                <w:bCs/>
                <w:color w:val="17365D"/>
                <w:sz w:val="18"/>
                <w:szCs w:val="18"/>
                <w:lang w:eastAsia="lv-LV"/>
              </w:rPr>
            </w:pPr>
            <w:r w:rsidRPr="00905AEC">
              <w:rPr>
                <w:b/>
                <w:bCs/>
                <w:color w:val="17365D"/>
                <w:sz w:val="18"/>
                <w:szCs w:val="18"/>
                <w:lang w:eastAsia="lv-LV"/>
              </w:rPr>
              <w:t>Iepriekšējā pārskata periodā</w:t>
            </w:r>
          </w:p>
        </w:tc>
      </w:tr>
      <w:tr w:rsidR="00224ABF" w:rsidRPr="00905AEC" w14:paraId="08702B72" w14:textId="77777777" w:rsidTr="000B176B">
        <w:trPr>
          <w:trHeight w:val="255"/>
          <w:tblHeader/>
        </w:trPr>
        <w:tc>
          <w:tcPr>
            <w:tcW w:w="4141" w:type="dxa"/>
            <w:tcBorders>
              <w:top w:val="single" w:sz="4" w:space="0" w:color="17365D"/>
              <w:bottom w:val="single" w:sz="4" w:space="0" w:color="17365D"/>
            </w:tcBorders>
            <w:shd w:val="clear" w:color="auto" w:fill="auto"/>
            <w:vAlign w:val="center"/>
            <w:hideMark/>
          </w:tcPr>
          <w:p w14:paraId="6B6861AE" w14:textId="77777777" w:rsidR="00224ABF" w:rsidRPr="00905AEC" w:rsidRDefault="00224ABF" w:rsidP="00224ABF">
            <w:pPr>
              <w:spacing w:after="0" w:line="240" w:lineRule="auto"/>
              <w:jc w:val="center"/>
              <w:rPr>
                <w:b/>
                <w:bCs/>
                <w:color w:val="17365D"/>
                <w:sz w:val="18"/>
                <w:szCs w:val="18"/>
                <w:lang w:eastAsia="lv-LV"/>
              </w:rPr>
            </w:pPr>
            <w:r w:rsidRPr="00905AEC">
              <w:rPr>
                <w:b/>
                <w:bCs/>
                <w:color w:val="17365D"/>
                <w:sz w:val="18"/>
                <w:szCs w:val="18"/>
                <w:lang w:eastAsia="lv-LV"/>
              </w:rPr>
              <w:t>A</w:t>
            </w:r>
          </w:p>
        </w:tc>
        <w:tc>
          <w:tcPr>
            <w:tcW w:w="1591" w:type="dxa"/>
            <w:tcBorders>
              <w:top w:val="single" w:sz="4" w:space="0" w:color="17365D"/>
              <w:bottom w:val="single" w:sz="4" w:space="0" w:color="17365D"/>
            </w:tcBorders>
            <w:vAlign w:val="center"/>
          </w:tcPr>
          <w:p w14:paraId="1E784F97" w14:textId="77777777" w:rsidR="00224ABF" w:rsidRPr="00905AEC" w:rsidRDefault="00224ABF" w:rsidP="00224ABF">
            <w:pPr>
              <w:spacing w:after="0" w:line="240" w:lineRule="auto"/>
              <w:jc w:val="center"/>
              <w:rPr>
                <w:b/>
                <w:bCs/>
                <w:color w:val="17365D"/>
                <w:sz w:val="18"/>
                <w:szCs w:val="18"/>
                <w:lang w:eastAsia="lv-LV"/>
              </w:rPr>
            </w:pPr>
          </w:p>
        </w:tc>
        <w:tc>
          <w:tcPr>
            <w:tcW w:w="1832" w:type="dxa"/>
            <w:tcBorders>
              <w:top w:val="single" w:sz="4" w:space="0" w:color="17365D"/>
              <w:bottom w:val="single" w:sz="4" w:space="0" w:color="17365D"/>
            </w:tcBorders>
            <w:shd w:val="clear" w:color="auto" w:fill="auto"/>
            <w:vAlign w:val="center"/>
            <w:hideMark/>
          </w:tcPr>
          <w:p w14:paraId="0892259B" w14:textId="77777777" w:rsidR="00224ABF" w:rsidRPr="00905AEC" w:rsidRDefault="00224ABF" w:rsidP="00224ABF">
            <w:pPr>
              <w:spacing w:after="0" w:line="240" w:lineRule="auto"/>
              <w:jc w:val="center"/>
              <w:rPr>
                <w:b/>
                <w:bCs/>
                <w:color w:val="17365D"/>
                <w:sz w:val="18"/>
                <w:szCs w:val="18"/>
                <w:lang w:eastAsia="lv-LV"/>
              </w:rPr>
            </w:pPr>
            <w:r w:rsidRPr="00905AEC">
              <w:rPr>
                <w:b/>
                <w:bCs/>
                <w:color w:val="17365D"/>
                <w:sz w:val="18"/>
                <w:szCs w:val="18"/>
                <w:lang w:eastAsia="lv-LV"/>
              </w:rPr>
              <w:t>1</w:t>
            </w:r>
          </w:p>
        </w:tc>
        <w:tc>
          <w:tcPr>
            <w:tcW w:w="1551" w:type="dxa"/>
            <w:tcBorders>
              <w:top w:val="single" w:sz="4" w:space="0" w:color="17365D"/>
              <w:bottom w:val="single" w:sz="4" w:space="0" w:color="17365D"/>
            </w:tcBorders>
            <w:vAlign w:val="center"/>
          </w:tcPr>
          <w:p w14:paraId="69B9654D" w14:textId="77777777" w:rsidR="00224ABF" w:rsidRPr="00905AEC" w:rsidRDefault="00224ABF" w:rsidP="00224ABF">
            <w:pPr>
              <w:spacing w:after="0" w:line="240" w:lineRule="auto"/>
              <w:jc w:val="center"/>
              <w:rPr>
                <w:b/>
                <w:bCs/>
                <w:color w:val="17365D"/>
                <w:sz w:val="18"/>
                <w:szCs w:val="18"/>
                <w:lang w:eastAsia="lv-LV"/>
              </w:rPr>
            </w:pPr>
            <w:r>
              <w:rPr>
                <w:b/>
                <w:bCs/>
                <w:color w:val="17365D"/>
                <w:sz w:val="18"/>
                <w:szCs w:val="18"/>
                <w:lang w:eastAsia="lv-LV"/>
              </w:rPr>
              <w:t>2</w:t>
            </w:r>
          </w:p>
        </w:tc>
      </w:tr>
      <w:tr w:rsidR="00224ABF" w:rsidRPr="00905AEC" w14:paraId="5A6AE750" w14:textId="77777777" w:rsidTr="00224ABF">
        <w:trPr>
          <w:trHeight w:val="255"/>
        </w:trPr>
        <w:tc>
          <w:tcPr>
            <w:tcW w:w="4141" w:type="dxa"/>
            <w:tcBorders>
              <w:top w:val="single" w:sz="4" w:space="0" w:color="17365D"/>
              <w:bottom w:val="single" w:sz="4" w:space="0" w:color="17365D"/>
            </w:tcBorders>
            <w:shd w:val="clear" w:color="F2F2F2" w:fill="FFFFFF"/>
            <w:vAlign w:val="center"/>
          </w:tcPr>
          <w:p w14:paraId="523F5A2D" w14:textId="77777777" w:rsidR="00224ABF" w:rsidRPr="00905AEC" w:rsidRDefault="00224ABF" w:rsidP="00224ABF">
            <w:pPr>
              <w:spacing w:after="0" w:line="240" w:lineRule="auto"/>
              <w:rPr>
                <w:bCs/>
                <w:color w:val="17365D"/>
                <w:sz w:val="18"/>
                <w:szCs w:val="18"/>
                <w:lang w:eastAsia="lv-LV"/>
              </w:rPr>
            </w:pPr>
            <w:r w:rsidRPr="00590556">
              <w:rPr>
                <w:bCs/>
                <w:color w:val="17365D"/>
                <w:sz w:val="18"/>
                <w:szCs w:val="18"/>
                <w:lang w:eastAsia="lv-LV"/>
              </w:rPr>
              <w:t>Valsts budžeta finanšu uzskait</w:t>
            </w:r>
            <w:r>
              <w:rPr>
                <w:bCs/>
                <w:color w:val="17365D"/>
                <w:sz w:val="18"/>
                <w:szCs w:val="18"/>
                <w:lang w:eastAsia="lv-LV"/>
              </w:rPr>
              <w:t>es</w:t>
            </w:r>
            <w:r w:rsidRPr="000F68D0">
              <w:rPr>
                <w:bCs/>
                <w:color w:val="17365D"/>
                <w:sz w:val="18"/>
                <w:szCs w:val="18"/>
                <w:lang w:eastAsia="lv-LV"/>
              </w:rPr>
              <w:t xml:space="preserve"> ieņēmum</w:t>
            </w:r>
            <w:r>
              <w:rPr>
                <w:bCs/>
                <w:color w:val="17365D"/>
                <w:sz w:val="18"/>
                <w:szCs w:val="18"/>
                <w:lang w:eastAsia="lv-LV"/>
              </w:rPr>
              <w:t>i</w:t>
            </w:r>
            <w:r w:rsidRPr="000F68D0">
              <w:rPr>
                <w:bCs/>
                <w:color w:val="17365D"/>
                <w:sz w:val="18"/>
                <w:szCs w:val="18"/>
                <w:lang w:eastAsia="lv-LV"/>
              </w:rPr>
              <w:t xml:space="preserve"> no atvasināto finanšu instrumentu rezultāta</w:t>
            </w:r>
          </w:p>
        </w:tc>
        <w:tc>
          <w:tcPr>
            <w:tcW w:w="1591" w:type="dxa"/>
            <w:tcBorders>
              <w:top w:val="single" w:sz="4" w:space="0" w:color="17365D"/>
              <w:bottom w:val="single" w:sz="4" w:space="0" w:color="17365D"/>
            </w:tcBorders>
            <w:shd w:val="clear" w:color="F2F2F2" w:fill="FFFFFF"/>
          </w:tcPr>
          <w:p w14:paraId="63735F2A" w14:textId="77777777" w:rsidR="00224ABF" w:rsidRDefault="00224ABF" w:rsidP="00224ABF">
            <w:pPr>
              <w:spacing w:after="0" w:line="240" w:lineRule="auto"/>
              <w:jc w:val="right"/>
              <w:rPr>
                <w:bCs/>
                <w:color w:val="17365D"/>
                <w:sz w:val="18"/>
                <w:szCs w:val="18"/>
                <w:lang w:eastAsia="lv-LV"/>
              </w:rPr>
            </w:pPr>
          </w:p>
        </w:tc>
        <w:tc>
          <w:tcPr>
            <w:tcW w:w="1832" w:type="dxa"/>
            <w:tcBorders>
              <w:top w:val="single" w:sz="4" w:space="0" w:color="17365D"/>
              <w:bottom w:val="single" w:sz="4" w:space="0" w:color="17365D"/>
            </w:tcBorders>
            <w:shd w:val="clear" w:color="F2F2F2" w:fill="FFFFFF"/>
            <w:vAlign w:val="center"/>
          </w:tcPr>
          <w:p w14:paraId="5C16C0E6" w14:textId="77777777" w:rsidR="00224ABF" w:rsidRDefault="00224ABF" w:rsidP="00224ABF">
            <w:pPr>
              <w:spacing w:after="0" w:line="240" w:lineRule="auto"/>
              <w:ind w:right="223"/>
              <w:jc w:val="right"/>
              <w:rPr>
                <w:bCs/>
                <w:color w:val="17365D"/>
                <w:sz w:val="18"/>
                <w:szCs w:val="18"/>
                <w:lang w:eastAsia="lv-LV"/>
              </w:rPr>
            </w:pPr>
            <w:r>
              <w:rPr>
                <w:bCs/>
                <w:color w:val="17365D"/>
                <w:sz w:val="18"/>
                <w:szCs w:val="18"/>
                <w:lang w:eastAsia="lv-LV"/>
              </w:rPr>
              <w:t>1 352</w:t>
            </w:r>
            <w:r w:rsidRPr="003E3C94">
              <w:rPr>
                <w:rFonts w:cs="Times New Roman"/>
                <w:color w:val="17365D"/>
                <w:sz w:val="18"/>
                <w:szCs w:val="18"/>
              </w:rPr>
              <w:t> </w:t>
            </w:r>
            <w:r>
              <w:rPr>
                <w:bCs/>
                <w:color w:val="17365D"/>
                <w:sz w:val="18"/>
                <w:szCs w:val="18"/>
                <w:lang w:eastAsia="lv-LV"/>
              </w:rPr>
              <w:t>814</w:t>
            </w:r>
          </w:p>
        </w:tc>
        <w:tc>
          <w:tcPr>
            <w:tcW w:w="1551" w:type="dxa"/>
            <w:tcBorders>
              <w:top w:val="single" w:sz="4" w:space="0" w:color="17365D"/>
              <w:bottom w:val="single" w:sz="4" w:space="0" w:color="17365D"/>
            </w:tcBorders>
            <w:shd w:val="clear" w:color="F2F2F2" w:fill="FFFFFF"/>
            <w:vAlign w:val="center"/>
          </w:tcPr>
          <w:p w14:paraId="6FF30DF2" w14:textId="77777777" w:rsidR="00224ABF" w:rsidRPr="003E3C94" w:rsidRDefault="00224ABF" w:rsidP="00224ABF">
            <w:pPr>
              <w:spacing w:after="0" w:line="240" w:lineRule="auto"/>
              <w:jc w:val="right"/>
              <w:rPr>
                <w:bCs/>
                <w:color w:val="17365D"/>
                <w:sz w:val="18"/>
                <w:szCs w:val="18"/>
                <w:lang w:eastAsia="lv-LV"/>
              </w:rPr>
            </w:pPr>
            <w:r>
              <w:rPr>
                <w:bCs/>
                <w:color w:val="17365D"/>
                <w:sz w:val="18"/>
                <w:szCs w:val="18"/>
                <w:lang w:eastAsia="lv-LV"/>
              </w:rPr>
              <w:t>0</w:t>
            </w:r>
          </w:p>
        </w:tc>
      </w:tr>
      <w:tr w:rsidR="00224ABF" w:rsidRPr="00905AEC" w14:paraId="00704402" w14:textId="77777777" w:rsidTr="00224ABF">
        <w:trPr>
          <w:trHeight w:val="255"/>
        </w:trPr>
        <w:tc>
          <w:tcPr>
            <w:tcW w:w="4141" w:type="dxa"/>
            <w:tcBorders>
              <w:top w:val="single" w:sz="4" w:space="0" w:color="17365D"/>
              <w:bottom w:val="single" w:sz="4" w:space="0" w:color="17365D"/>
            </w:tcBorders>
            <w:shd w:val="clear" w:color="F2F2F2" w:fill="FFFFFF"/>
            <w:vAlign w:val="center"/>
          </w:tcPr>
          <w:p w14:paraId="5238BF34" w14:textId="77777777" w:rsidR="00224ABF" w:rsidRPr="00AD2673" w:rsidRDefault="00224ABF" w:rsidP="00224ABF">
            <w:pPr>
              <w:spacing w:after="0" w:line="240" w:lineRule="auto"/>
              <w:rPr>
                <w:bCs/>
                <w:color w:val="17365D"/>
                <w:sz w:val="18"/>
                <w:szCs w:val="18"/>
                <w:lang w:eastAsia="lv-LV"/>
              </w:rPr>
            </w:pPr>
            <w:r w:rsidRPr="00590556">
              <w:rPr>
                <w:bCs/>
                <w:color w:val="17365D"/>
                <w:sz w:val="18"/>
                <w:szCs w:val="18"/>
                <w:lang w:eastAsia="lv-LV"/>
              </w:rPr>
              <w:t>Valsts budžeta finanšu uzskait</w:t>
            </w:r>
            <w:r>
              <w:rPr>
                <w:bCs/>
                <w:color w:val="17365D"/>
                <w:sz w:val="18"/>
                <w:szCs w:val="18"/>
                <w:lang w:eastAsia="lv-LV"/>
              </w:rPr>
              <w:t>es</w:t>
            </w:r>
            <w:r w:rsidRPr="000F68D0">
              <w:rPr>
                <w:bCs/>
                <w:color w:val="17365D"/>
                <w:sz w:val="18"/>
                <w:szCs w:val="18"/>
                <w:lang w:eastAsia="lv-LV"/>
              </w:rPr>
              <w:t xml:space="preserve"> ieņēmum</w:t>
            </w:r>
            <w:r>
              <w:rPr>
                <w:bCs/>
                <w:color w:val="17365D"/>
                <w:sz w:val="18"/>
                <w:szCs w:val="18"/>
                <w:lang w:eastAsia="lv-LV"/>
              </w:rPr>
              <w:t>i</w:t>
            </w:r>
            <w:r w:rsidRPr="000F68D0">
              <w:rPr>
                <w:bCs/>
                <w:color w:val="17365D"/>
                <w:sz w:val="18"/>
                <w:szCs w:val="18"/>
                <w:lang w:eastAsia="lv-LV"/>
              </w:rPr>
              <w:t xml:space="preserve"> no  nefinanšu institūcijām</w:t>
            </w:r>
          </w:p>
        </w:tc>
        <w:tc>
          <w:tcPr>
            <w:tcW w:w="1591" w:type="dxa"/>
            <w:tcBorders>
              <w:top w:val="single" w:sz="4" w:space="0" w:color="17365D"/>
              <w:bottom w:val="single" w:sz="4" w:space="0" w:color="17365D"/>
            </w:tcBorders>
            <w:shd w:val="clear" w:color="F2F2F2" w:fill="FFFFFF"/>
          </w:tcPr>
          <w:p w14:paraId="660C113E" w14:textId="77777777" w:rsidR="00224ABF" w:rsidRDefault="00224ABF" w:rsidP="00224ABF">
            <w:pPr>
              <w:spacing w:after="0" w:line="240" w:lineRule="auto"/>
              <w:jc w:val="right"/>
              <w:rPr>
                <w:bCs/>
                <w:color w:val="17365D"/>
                <w:sz w:val="18"/>
                <w:szCs w:val="18"/>
                <w:lang w:eastAsia="lv-LV"/>
              </w:rPr>
            </w:pPr>
          </w:p>
        </w:tc>
        <w:tc>
          <w:tcPr>
            <w:tcW w:w="1832" w:type="dxa"/>
            <w:tcBorders>
              <w:top w:val="single" w:sz="4" w:space="0" w:color="17365D"/>
              <w:bottom w:val="single" w:sz="4" w:space="0" w:color="17365D"/>
            </w:tcBorders>
            <w:shd w:val="clear" w:color="F2F2F2" w:fill="FFFFFF"/>
            <w:vAlign w:val="center"/>
          </w:tcPr>
          <w:p w14:paraId="77FE722E" w14:textId="77777777" w:rsidR="00224ABF" w:rsidRDefault="00224ABF" w:rsidP="00224ABF">
            <w:pPr>
              <w:spacing w:after="0" w:line="240" w:lineRule="auto"/>
              <w:ind w:right="223"/>
              <w:jc w:val="right"/>
              <w:rPr>
                <w:bCs/>
                <w:color w:val="17365D"/>
                <w:sz w:val="18"/>
                <w:szCs w:val="18"/>
                <w:lang w:eastAsia="lv-LV"/>
              </w:rPr>
            </w:pPr>
            <w:r>
              <w:rPr>
                <w:bCs/>
                <w:color w:val="17365D"/>
                <w:sz w:val="18"/>
                <w:szCs w:val="18"/>
                <w:lang w:eastAsia="lv-LV"/>
              </w:rPr>
              <w:t>45 000</w:t>
            </w:r>
            <w:r w:rsidRPr="003E3C94">
              <w:rPr>
                <w:rFonts w:cs="Times New Roman"/>
                <w:color w:val="17365D"/>
                <w:sz w:val="18"/>
                <w:szCs w:val="18"/>
              </w:rPr>
              <w:t> </w:t>
            </w:r>
            <w:r>
              <w:rPr>
                <w:bCs/>
                <w:color w:val="17365D"/>
                <w:sz w:val="18"/>
                <w:szCs w:val="18"/>
                <w:lang w:eastAsia="lv-LV"/>
              </w:rPr>
              <w:t>000</w:t>
            </w:r>
          </w:p>
        </w:tc>
        <w:tc>
          <w:tcPr>
            <w:tcW w:w="1551" w:type="dxa"/>
            <w:tcBorders>
              <w:top w:val="single" w:sz="4" w:space="0" w:color="17365D"/>
              <w:bottom w:val="single" w:sz="4" w:space="0" w:color="17365D"/>
            </w:tcBorders>
            <w:shd w:val="clear" w:color="F2F2F2" w:fill="FFFFFF"/>
            <w:vAlign w:val="center"/>
          </w:tcPr>
          <w:p w14:paraId="776F35CF" w14:textId="77777777" w:rsidR="00224ABF" w:rsidRPr="00E42C98" w:rsidRDefault="00224ABF" w:rsidP="00224ABF">
            <w:pPr>
              <w:spacing w:after="0" w:line="240" w:lineRule="auto"/>
              <w:jc w:val="right"/>
              <w:rPr>
                <w:bCs/>
                <w:color w:val="17365D"/>
                <w:sz w:val="18"/>
                <w:szCs w:val="18"/>
                <w:lang w:eastAsia="lv-LV"/>
              </w:rPr>
            </w:pPr>
            <w:r>
              <w:rPr>
                <w:bCs/>
                <w:color w:val="17365D"/>
                <w:sz w:val="18"/>
                <w:szCs w:val="18"/>
                <w:lang w:eastAsia="lv-LV"/>
              </w:rPr>
              <w:t>0</w:t>
            </w:r>
          </w:p>
        </w:tc>
      </w:tr>
      <w:tr w:rsidR="00224ABF" w:rsidRPr="00905AEC" w14:paraId="0A36F40A" w14:textId="77777777" w:rsidTr="00224ABF">
        <w:trPr>
          <w:trHeight w:val="255"/>
        </w:trPr>
        <w:tc>
          <w:tcPr>
            <w:tcW w:w="4141" w:type="dxa"/>
            <w:tcBorders>
              <w:top w:val="single" w:sz="4" w:space="0" w:color="17365D"/>
              <w:bottom w:val="nil"/>
            </w:tcBorders>
            <w:shd w:val="clear" w:color="auto" w:fill="B8CCE4" w:themeFill="accent1" w:themeFillTint="66"/>
            <w:vAlign w:val="center"/>
            <w:hideMark/>
          </w:tcPr>
          <w:p w14:paraId="6DEDB34D" w14:textId="77777777" w:rsidR="00224ABF" w:rsidRPr="00905AEC" w:rsidRDefault="00224ABF" w:rsidP="00224ABF">
            <w:pPr>
              <w:spacing w:after="0" w:line="240" w:lineRule="auto"/>
              <w:rPr>
                <w:bCs/>
                <w:color w:val="17365D"/>
                <w:sz w:val="18"/>
                <w:szCs w:val="18"/>
                <w:lang w:eastAsia="lv-LV"/>
              </w:rPr>
            </w:pPr>
            <w:r w:rsidRPr="00905AEC">
              <w:rPr>
                <w:b/>
                <w:bCs/>
                <w:color w:val="17365D"/>
                <w:sz w:val="18"/>
                <w:szCs w:val="18"/>
                <w:lang w:eastAsia="lv-LV"/>
              </w:rPr>
              <w:t>Kopā</w:t>
            </w:r>
          </w:p>
        </w:tc>
        <w:tc>
          <w:tcPr>
            <w:tcW w:w="1591" w:type="dxa"/>
            <w:tcBorders>
              <w:top w:val="single" w:sz="4" w:space="0" w:color="17365D"/>
              <w:bottom w:val="nil"/>
            </w:tcBorders>
            <w:shd w:val="clear" w:color="auto" w:fill="B8CCE4" w:themeFill="accent1" w:themeFillTint="66"/>
          </w:tcPr>
          <w:p w14:paraId="5304821D" w14:textId="77777777" w:rsidR="00224ABF" w:rsidRDefault="00224ABF" w:rsidP="00224ABF">
            <w:pPr>
              <w:spacing w:after="0" w:line="240" w:lineRule="auto"/>
              <w:jc w:val="right"/>
              <w:rPr>
                <w:b/>
                <w:bCs/>
                <w:color w:val="17365D"/>
                <w:sz w:val="18"/>
                <w:szCs w:val="18"/>
                <w:lang w:eastAsia="lv-LV"/>
              </w:rPr>
            </w:pPr>
          </w:p>
        </w:tc>
        <w:tc>
          <w:tcPr>
            <w:tcW w:w="1832" w:type="dxa"/>
            <w:tcBorders>
              <w:top w:val="single" w:sz="4" w:space="0" w:color="17365D"/>
              <w:bottom w:val="nil"/>
            </w:tcBorders>
            <w:shd w:val="clear" w:color="auto" w:fill="B8CCE4" w:themeFill="accent1" w:themeFillTint="66"/>
            <w:vAlign w:val="center"/>
            <w:hideMark/>
          </w:tcPr>
          <w:p w14:paraId="6F00828D" w14:textId="77777777" w:rsidR="00224ABF" w:rsidRPr="003E3C94" w:rsidRDefault="00224ABF" w:rsidP="00224ABF">
            <w:pPr>
              <w:spacing w:after="0" w:line="240" w:lineRule="auto"/>
              <w:ind w:right="223"/>
              <w:jc w:val="right"/>
              <w:rPr>
                <w:bCs/>
                <w:color w:val="17365D"/>
                <w:sz w:val="18"/>
                <w:szCs w:val="18"/>
                <w:lang w:eastAsia="lv-LV"/>
              </w:rPr>
            </w:pPr>
            <w:r>
              <w:rPr>
                <w:b/>
                <w:bCs/>
                <w:color w:val="17365D"/>
                <w:sz w:val="18"/>
                <w:szCs w:val="18"/>
                <w:lang w:eastAsia="lv-LV"/>
              </w:rPr>
              <w:t>46</w:t>
            </w:r>
            <w:r w:rsidRPr="00905AEC">
              <w:rPr>
                <w:b/>
                <w:bCs/>
                <w:color w:val="17365D"/>
                <w:sz w:val="18"/>
                <w:szCs w:val="18"/>
                <w:lang w:eastAsia="lv-LV"/>
              </w:rPr>
              <w:t xml:space="preserve"> </w:t>
            </w:r>
            <w:r>
              <w:rPr>
                <w:b/>
                <w:bCs/>
                <w:color w:val="17365D"/>
                <w:sz w:val="18"/>
                <w:szCs w:val="18"/>
                <w:lang w:eastAsia="lv-LV"/>
              </w:rPr>
              <w:t>352</w:t>
            </w:r>
            <w:r w:rsidRPr="00905AEC">
              <w:rPr>
                <w:b/>
                <w:bCs/>
                <w:color w:val="17365D"/>
                <w:sz w:val="18"/>
                <w:szCs w:val="18"/>
                <w:lang w:eastAsia="lv-LV"/>
              </w:rPr>
              <w:t xml:space="preserve"> </w:t>
            </w:r>
            <w:r>
              <w:rPr>
                <w:b/>
                <w:bCs/>
                <w:color w:val="17365D"/>
                <w:sz w:val="18"/>
                <w:szCs w:val="18"/>
                <w:lang w:eastAsia="lv-LV"/>
              </w:rPr>
              <w:t>814</w:t>
            </w:r>
          </w:p>
        </w:tc>
        <w:tc>
          <w:tcPr>
            <w:tcW w:w="1551" w:type="dxa"/>
            <w:tcBorders>
              <w:top w:val="single" w:sz="4" w:space="0" w:color="17365D"/>
              <w:bottom w:val="nil"/>
            </w:tcBorders>
            <w:shd w:val="clear" w:color="auto" w:fill="B8CCE4" w:themeFill="accent1" w:themeFillTint="66"/>
            <w:vAlign w:val="center"/>
          </w:tcPr>
          <w:p w14:paraId="019D4A45" w14:textId="77777777" w:rsidR="00224ABF" w:rsidRPr="003E3C94" w:rsidRDefault="00224ABF" w:rsidP="00224ABF">
            <w:pPr>
              <w:spacing w:after="0" w:line="240" w:lineRule="auto"/>
              <w:jc w:val="right"/>
              <w:rPr>
                <w:bCs/>
                <w:color w:val="17365D"/>
                <w:sz w:val="18"/>
                <w:szCs w:val="18"/>
                <w:lang w:eastAsia="lv-LV"/>
              </w:rPr>
            </w:pPr>
            <w:r>
              <w:rPr>
                <w:b/>
                <w:bCs/>
                <w:color w:val="17365D"/>
                <w:sz w:val="18"/>
                <w:szCs w:val="18"/>
                <w:lang w:eastAsia="lv-LV"/>
              </w:rPr>
              <w:t>0</w:t>
            </w:r>
          </w:p>
        </w:tc>
      </w:tr>
    </w:tbl>
    <w:p w14:paraId="382602DA" w14:textId="77777777" w:rsidR="00224ABF" w:rsidRPr="003E3C94" w:rsidRDefault="00224ABF" w:rsidP="00224ABF">
      <w:pPr>
        <w:pStyle w:val="Heading4"/>
      </w:pPr>
      <w:r w:rsidRPr="005C57A4">
        <w:t xml:space="preserve">Piezīme Nr. </w:t>
      </w:r>
      <w:r w:rsidRPr="00905AEC">
        <w:t xml:space="preserve">NP.C21. </w:t>
      </w:r>
      <w:r w:rsidRPr="003E3C94">
        <w:t>Aizņēmumi un emitētie parāda vērtspapīri</w:t>
      </w:r>
    </w:p>
    <w:p w14:paraId="2548481A" w14:textId="77777777" w:rsidR="00224ABF" w:rsidRPr="002B515D" w:rsidRDefault="00224ABF" w:rsidP="00224ABF">
      <w:pPr>
        <w:pStyle w:val="Pamatteksts1"/>
        <w:spacing w:before="120"/>
        <w:ind w:left="284" w:firstLine="0"/>
        <w:rPr>
          <w:color w:val="17365D"/>
        </w:rPr>
      </w:pPr>
      <w:r>
        <w:rPr>
          <w:color w:val="17365D"/>
        </w:rPr>
        <w:t>Šī posteņa būtiskas izmaiņas veido:</w:t>
      </w:r>
    </w:p>
    <w:p w14:paraId="6102DE4B" w14:textId="473B4FF3" w:rsidR="00224ABF" w:rsidRPr="00F012EA" w:rsidRDefault="00224ABF" w:rsidP="00146A16">
      <w:pPr>
        <w:pStyle w:val="Pamatteksts1"/>
        <w:numPr>
          <w:ilvl w:val="0"/>
          <w:numId w:val="46"/>
        </w:numPr>
        <w:spacing w:before="120"/>
        <w:rPr>
          <w:color w:val="17365D"/>
        </w:rPr>
      </w:pPr>
      <w:r>
        <w:rPr>
          <w:rFonts w:eastAsiaTheme="minorHAnsi" w:cstheme="minorBidi"/>
          <w:noProof w:val="0"/>
          <w:color w:val="17365D"/>
          <w:szCs w:val="22"/>
          <w:lang w:eastAsia="en-US"/>
        </w:rPr>
        <w:t>v</w:t>
      </w:r>
      <w:r w:rsidRPr="00590556">
        <w:rPr>
          <w:rFonts w:eastAsiaTheme="minorHAnsi" w:cstheme="minorBidi"/>
          <w:noProof w:val="0"/>
          <w:color w:val="17365D"/>
          <w:szCs w:val="22"/>
          <w:lang w:eastAsia="en-US"/>
        </w:rPr>
        <w:t>alsts budžeta finanšu uzskait</w:t>
      </w:r>
      <w:r>
        <w:rPr>
          <w:rFonts w:eastAsiaTheme="minorHAnsi" w:cstheme="minorBidi"/>
          <w:noProof w:val="0"/>
          <w:color w:val="17365D"/>
          <w:szCs w:val="22"/>
          <w:lang w:eastAsia="en-US"/>
        </w:rPr>
        <w:t>ē</w:t>
      </w:r>
      <w:r w:rsidRPr="000161DF">
        <w:rPr>
          <w:rFonts w:eastAsiaTheme="minorHAnsi" w:cstheme="minorBidi"/>
          <w:noProof w:val="0"/>
          <w:color w:val="17365D"/>
          <w:szCs w:val="22"/>
          <w:lang w:eastAsia="en-US"/>
        </w:rPr>
        <w:t xml:space="preserve"> izejošās naudas plūsmas </w:t>
      </w:r>
      <w:r>
        <w:rPr>
          <w:rFonts w:eastAsiaTheme="minorHAnsi" w:cstheme="minorBidi"/>
          <w:noProof w:val="0"/>
          <w:color w:val="17365D"/>
          <w:szCs w:val="22"/>
          <w:lang w:eastAsia="en-US"/>
        </w:rPr>
        <w:t>palielinājums</w:t>
      </w:r>
      <w:r w:rsidRPr="000161DF">
        <w:rPr>
          <w:rFonts w:eastAsiaTheme="minorHAnsi" w:cstheme="minorBidi"/>
          <w:noProof w:val="0"/>
          <w:color w:val="17365D"/>
          <w:szCs w:val="22"/>
          <w:lang w:eastAsia="en-US"/>
        </w:rPr>
        <w:t xml:space="preserve"> no vidējā un ilgtermiņa parāda vērtspapīru dzēšanas</w:t>
      </w:r>
      <w:r>
        <w:rPr>
          <w:rFonts w:eastAsiaTheme="minorHAnsi" w:cstheme="minorBidi"/>
          <w:noProof w:val="0"/>
          <w:color w:val="17365D"/>
          <w:szCs w:val="22"/>
          <w:lang w:eastAsia="en-US"/>
        </w:rPr>
        <w:t xml:space="preserve"> 891</w:t>
      </w:r>
      <w:r w:rsidR="00EF19B1">
        <w:rPr>
          <w:rFonts w:eastAsiaTheme="minorHAnsi" w:cstheme="minorBidi"/>
          <w:noProof w:val="0"/>
          <w:color w:val="17365D"/>
          <w:szCs w:val="22"/>
          <w:lang w:eastAsia="en-US"/>
        </w:rPr>
        <w:t> </w:t>
      </w:r>
      <w:r>
        <w:rPr>
          <w:rFonts w:eastAsiaTheme="minorHAnsi" w:cstheme="minorBidi"/>
          <w:noProof w:val="0"/>
          <w:color w:val="17365D"/>
          <w:szCs w:val="22"/>
          <w:lang w:eastAsia="en-US"/>
        </w:rPr>
        <w:t>452</w:t>
      </w:r>
      <w:r w:rsidR="00EF19B1">
        <w:rPr>
          <w:rFonts w:eastAsiaTheme="minorHAnsi" w:cstheme="minorBidi"/>
          <w:noProof w:val="0"/>
          <w:color w:val="17365D"/>
          <w:szCs w:val="22"/>
          <w:lang w:eastAsia="en-US"/>
        </w:rPr>
        <w:t> </w:t>
      </w:r>
      <w:r>
        <w:rPr>
          <w:rFonts w:eastAsiaTheme="minorHAnsi" w:cstheme="minorBidi"/>
          <w:noProof w:val="0"/>
          <w:color w:val="17365D"/>
          <w:szCs w:val="22"/>
          <w:lang w:eastAsia="en-US"/>
        </w:rPr>
        <w:t>457</w:t>
      </w:r>
      <w:r w:rsidRPr="000161DF">
        <w:rPr>
          <w:rFonts w:eastAsiaTheme="minorHAnsi" w:cstheme="minorBidi"/>
          <w:noProof w:val="0"/>
          <w:color w:val="17365D"/>
          <w:szCs w:val="22"/>
          <w:lang w:eastAsia="en-US"/>
        </w:rPr>
        <w:t xml:space="preserve"> </w:t>
      </w:r>
      <w:r w:rsidRPr="00EF19B1">
        <w:rPr>
          <w:rFonts w:eastAsiaTheme="minorHAnsi" w:cstheme="minorBidi"/>
          <w:i/>
          <w:noProof w:val="0"/>
          <w:color w:val="17365D"/>
          <w:szCs w:val="22"/>
          <w:lang w:eastAsia="en-US"/>
        </w:rPr>
        <w:t>euro</w:t>
      </w:r>
      <w:r w:rsidRPr="000161DF">
        <w:rPr>
          <w:rFonts w:eastAsiaTheme="minorHAnsi" w:cstheme="minorBidi"/>
          <w:noProof w:val="0"/>
          <w:color w:val="17365D"/>
          <w:szCs w:val="22"/>
          <w:lang w:eastAsia="en-US"/>
        </w:rPr>
        <w:t xml:space="preserve"> vērtībā</w:t>
      </w:r>
      <w:r>
        <w:rPr>
          <w:rFonts w:eastAsiaTheme="minorHAnsi" w:cstheme="minorBidi"/>
          <w:noProof w:val="0"/>
          <w:color w:val="17365D"/>
          <w:szCs w:val="22"/>
          <w:lang w:eastAsia="en-US"/>
        </w:rPr>
        <w:t xml:space="preserve"> un no aizņēmuma atmaksām 423</w:t>
      </w:r>
      <w:r w:rsidRPr="000161DF">
        <w:rPr>
          <w:rFonts w:eastAsiaTheme="minorHAnsi" w:cstheme="minorBidi"/>
          <w:noProof w:val="0"/>
          <w:color w:val="17365D"/>
          <w:szCs w:val="22"/>
          <w:lang w:eastAsia="en-US"/>
        </w:rPr>
        <w:t xml:space="preserve"> </w:t>
      </w:r>
      <w:r>
        <w:rPr>
          <w:rFonts w:eastAsiaTheme="minorHAnsi" w:cstheme="minorBidi"/>
          <w:noProof w:val="0"/>
          <w:color w:val="17365D"/>
          <w:szCs w:val="22"/>
          <w:lang w:eastAsia="en-US"/>
        </w:rPr>
        <w:t>268</w:t>
      </w:r>
      <w:r w:rsidRPr="000161DF">
        <w:rPr>
          <w:rFonts w:eastAsiaTheme="minorHAnsi" w:cstheme="minorBidi"/>
          <w:noProof w:val="0"/>
          <w:color w:val="17365D"/>
          <w:szCs w:val="22"/>
          <w:lang w:eastAsia="en-US"/>
        </w:rPr>
        <w:t xml:space="preserve"> </w:t>
      </w:r>
      <w:r>
        <w:rPr>
          <w:rFonts w:eastAsiaTheme="minorHAnsi" w:cstheme="minorBidi"/>
          <w:noProof w:val="0"/>
          <w:color w:val="17365D"/>
          <w:szCs w:val="22"/>
          <w:lang w:eastAsia="en-US"/>
        </w:rPr>
        <w:t>000</w:t>
      </w:r>
      <w:r w:rsidRPr="000161DF">
        <w:rPr>
          <w:rFonts w:eastAsiaTheme="minorHAnsi" w:cstheme="minorBidi"/>
          <w:noProof w:val="0"/>
          <w:color w:val="17365D"/>
          <w:szCs w:val="22"/>
          <w:lang w:eastAsia="en-US"/>
        </w:rPr>
        <w:t xml:space="preserve"> </w:t>
      </w:r>
      <w:r w:rsidRPr="0019126D">
        <w:rPr>
          <w:rFonts w:eastAsiaTheme="minorHAnsi" w:cstheme="minorBidi"/>
          <w:i/>
          <w:noProof w:val="0"/>
          <w:color w:val="17365D"/>
          <w:szCs w:val="22"/>
          <w:lang w:eastAsia="en-US"/>
        </w:rPr>
        <w:t>euro</w:t>
      </w:r>
      <w:r w:rsidRPr="000161DF">
        <w:rPr>
          <w:rFonts w:eastAsiaTheme="minorHAnsi" w:cstheme="minorBidi"/>
          <w:noProof w:val="0"/>
          <w:color w:val="17365D"/>
          <w:szCs w:val="22"/>
          <w:lang w:eastAsia="en-US"/>
        </w:rPr>
        <w:t xml:space="preserve"> vērtībā</w:t>
      </w:r>
      <w:r>
        <w:rPr>
          <w:rFonts w:eastAsiaTheme="minorHAnsi" w:cstheme="minorBidi"/>
          <w:noProof w:val="0"/>
          <w:color w:val="17365D"/>
          <w:szCs w:val="22"/>
          <w:lang w:eastAsia="en-US"/>
        </w:rPr>
        <w:t>;</w:t>
      </w:r>
    </w:p>
    <w:p w14:paraId="4616BCB6" w14:textId="77777777" w:rsidR="00224ABF" w:rsidRDefault="00224ABF" w:rsidP="00146A16">
      <w:pPr>
        <w:pStyle w:val="Pamatteksts1"/>
        <w:numPr>
          <w:ilvl w:val="0"/>
          <w:numId w:val="46"/>
        </w:numPr>
        <w:spacing w:before="120"/>
        <w:rPr>
          <w:color w:val="17365D"/>
        </w:rPr>
      </w:pPr>
      <w:r w:rsidRPr="00F012EA">
        <w:rPr>
          <w:color w:val="17365D"/>
        </w:rPr>
        <w:t>Rīgas valstspilsēta</w:t>
      </w:r>
      <w:r>
        <w:rPr>
          <w:color w:val="17365D"/>
        </w:rPr>
        <w:t>s maksājumi par</w:t>
      </w:r>
      <w:r w:rsidRPr="00F012EA">
        <w:rPr>
          <w:color w:val="17365D"/>
        </w:rPr>
        <w:t xml:space="preserve"> Dienvidu tilta saistībām </w:t>
      </w:r>
      <w:r>
        <w:rPr>
          <w:color w:val="17365D"/>
        </w:rPr>
        <w:t xml:space="preserve">2 274 853 </w:t>
      </w:r>
      <w:r w:rsidRPr="00330698">
        <w:rPr>
          <w:i/>
          <w:color w:val="17365D"/>
        </w:rPr>
        <w:t>euro</w:t>
      </w:r>
      <w:r>
        <w:rPr>
          <w:color w:val="17365D"/>
        </w:rPr>
        <w:t xml:space="preserve"> vērtībā.</w:t>
      </w:r>
    </w:p>
    <w:p w14:paraId="7152674F" w14:textId="5294695D" w:rsidR="00224ABF" w:rsidRPr="004276A6" w:rsidRDefault="00224ABF" w:rsidP="00224ABF">
      <w:pPr>
        <w:pStyle w:val="Pamatteksts1"/>
        <w:ind w:firstLine="284"/>
        <w:rPr>
          <w:color w:val="17365D"/>
        </w:rPr>
      </w:pPr>
      <w:r w:rsidRPr="004276A6">
        <w:rPr>
          <w:color w:val="17365D"/>
        </w:rPr>
        <w:t xml:space="preserve">Informācija par valsts </w:t>
      </w:r>
      <w:r w:rsidR="00EF19B1">
        <w:rPr>
          <w:color w:val="17365D"/>
        </w:rPr>
        <w:t xml:space="preserve">budžeta </w:t>
      </w:r>
      <w:r w:rsidRPr="004276A6">
        <w:rPr>
          <w:color w:val="17365D"/>
        </w:rPr>
        <w:t xml:space="preserve">iestāžu naudas plūsmas ieņēmumiem un izdevumiem atklāta </w:t>
      </w:r>
      <w:r>
        <w:rPr>
          <w:color w:val="17365D"/>
        </w:rPr>
        <w:t>kons</w:t>
      </w:r>
      <w:r w:rsidR="00EF19B1">
        <w:rPr>
          <w:color w:val="17365D"/>
        </w:rPr>
        <w:t>o</w:t>
      </w:r>
      <w:r>
        <w:rPr>
          <w:color w:val="17365D"/>
        </w:rPr>
        <w:t xml:space="preserve">lidētā </w:t>
      </w:r>
      <w:r w:rsidRPr="004276A6">
        <w:rPr>
          <w:color w:val="17365D"/>
        </w:rPr>
        <w:t xml:space="preserve">saimnieciskā gada pārskata </w:t>
      </w:r>
      <w:r>
        <w:rPr>
          <w:color w:val="17365D"/>
        </w:rPr>
        <w:t>6</w:t>
      </w:r>
      <w:r w:rsidRPr="004276A6">
        <w:rPr>
          <w:color w:val="17365D"/>
        </w:rPr>
        <w:t xml:space="preserve">. </w:t>
      </w:r>
      <w:r>
        <w:rPr>
          <w:color w:val="17365D"/>
        </w:rPr>
        <w:t>– 11</w:t>
      </w:r>
      <w:r w:rsidRPr="004276A6">
        <w:rPr>
          <w:color w:val="17365D"/>
        </w:rPr>
        <w:t>. </w:t>
      </w:r>
      <w:r>
        <w:rPr>
          <w:color w:val="17365D"/>
        </w:rPr>
        <w:t>tabulā</w:t>
      </w:r>
      <w:r w:rsidRPr="004276A6">
        <w:rPr>
          <w:color w:val="17365D"/>
        </w:rPr>
        <w:t xml:space="preserve">. </w:t>
      </w:r>
    </w:p>
    <w:p w14:paraId="01522FB3" w14:textId="0BCFDF63" w:rsidR="00224ABF" w:rsidRDefault="00224ABF" w:rsidP="00224ABF">
      <w:pPr>
        <w:pStyle w:val="Pamatteksts1"/>
        <w:ind w:firstLine="284"/>
        <w:rPr>
          <w:color w:val="17365D"/>
        </w:rPr>
      </w:pPr>
      <w:r w:rsidRPr="003E3C94">
        <w:rPr>
          <w:color w:val="17365D"/>
        </w:rPr>
        <w:t>Informācija par pašvaldību</w:t>
      </w:r>
      <w:r w:rsidR="00EF19B1">
        <w:rPr>
          <w:color w:val="17365D"/>
        </w:rPr>
        <w:t xml:space="preserve"> budžeta iestāžu</w:t>
      </w:r>
      <w:r w:rsidRPr="003E3C94">
        <w:rPr>
          <w:color w:val="17365D"/>
        </w:rPr>
        <w:t xml:space="preserve"> naudas plūsmas ieņēmumiem un izdevumiem atklāta </w:t>
      </w:r>
      <w:r>
        <w:rPr>
          <w:color w:val="17365D"/>
        </w:rPr>
        <w:t xml:space="preserve">konoslidētā </w:t>
      </w:r>
      <w:r w:rsidRPr="003E3C94">
        <w:rPr>
          <w:color w:val="17365D"/>
        </w:rPr>
        <w:t xml:space="preserve">saimnieciskā gada pārskata </w:t>
      </w:r>
      <w:r>
        <w:rPr>
          <w:color w:val="17365D"/>
        </w:rPr>
        <w:t>20</w:t>
      </w:r>
      <w:r w:rsidRPr="003E3C94">
        <w:rPr>
          <w:color w:val="17365D"/>
        </w:rPr>
        <w:t>.</w:t>
      </w:r>
      <w:r>
        <w:rPr>
          <w:color w:val="17365D"/>
        </w:rPr>
        <w:t xml:space="preserve"> – 22</w:t>
      </w:r>
      <w:r w:rsidRPr="003E3C94">
        <w:rPr>
          <w:color w:val="17365D"/>
        </w:rPr>
        <w:t>. </w:t>
      </w:r>
      <w:r>
        <w:rPr>
          <w:color w:val="17365D"/>
        </w:rPr>
        <w:t>tabulā</w:t>
      </w:r>
      <w:r w:rsidRPr="003E3C94">
        <w:rPr>
          <w:color w:val="17365D"/>
        </w:rPr>
        <w:t>.</w:t>
      </w:r>
    </w:p>
    <w:p w14:paraId="1B9452D1" w14:textId="77777777" w:rsidR="00224ABF" w:rsidRDefault="00224ABF" w:rsidP="009A2DE5">
      <w:pPr>
        <w:pStyle w:val="Heading3"/>
      </w:pPr>
      <w:r w:rsidRPr="005E0CFB">
        <w:t>Naudas līdzekļu plūsma no piesaistītajiem līdzekļiem</w:t>
      </w:r>
    </w:p>
    <w:p w14:paraId="5C6B6AD5" w14:textId="77777777" w:rsidR="00224ABF" w:rsidRPr="00905AEC" w:rsidRDefault="00224ABF" w:rsidP="00224ABF">
      <w:pPr>
        <w:pStyle w:val="Tabulasnosaukums"/>
        <w:spacing w:before="120"/>
        <w:rPr>
          <w:color w:val="17365D"/>
          <w:szCs w:val="20"/>
        </w:rPr>
      </w:pPr>
      <w:r>
        <w:rPr>
          <w:rFonts w:eastAsia="Arial Unicode MS"/>
          <w:color w:val="17365D"/>
          <w:szCs w:val="20"/>
        </w:rPr>
        <w:t>3.9</w:t>
      </w:r>
      <w:r w:rsidRPr="00905AEC">
        <w:rPr>
          <w:rFonts w:eastAsia="Arial Unicode MS"/>
          <w:color w:val="17365D"/>
          <w:szCs w:val="20"/>
        </w:rPr>
        <w:t>. tabula. NP.DBD Piesaistītie naudas līdzekļi</w:t>
      </w:r>
      <w:r w:rsidRPr="00905AEC">
        <w:rPr>
          <w:bCs/>
          <w:color w:val="17365D"/>
          <w:szCs w:val="20"/>
        </w:rPr>
        <w:t xml:space="preserve"> (</w:t>
      </w:r>
      <w:r w:rsidRPr="00905AEC">
        <w:rPr>
          <w:color w:val="17365D"/>
          <w:szCs w:val="20"/>
        </w:rPr>
        <w:t>euro)</w:t>
      </w:r>
    </w:p>
    <w:tbl>
      <w:tblPr>
        <w:tblW w:w="9389" w:type="dxa"/>
        <w:tblLayout w:type="fixed"/>
        <w:tblLook w:val="04A0" w:firstRow="1" w:lastRow="0" w:firstColumn="1" w:lastColumn="0" w:noHBand="0" w:noVBand="1"/>
      </w:tblPr>
      <w:tblGrid>
        <w:gridCol w:w="2835"/>
        <w:gridCol w:w="992"/>
        <w:gridCol w:w="1413"/>
        <w:gridCol w:w="1418"/>
        <w:gridCol w:w="1559"/>
        <w:gridCol w:w="1172"/>
      </w:tblGrid>
      <w:tr w:rsidR="00224ABF" w:rsidRPr="00905AEC" w14:paraId="65487BC6" w14:textId="77777777" w:rsidTr="00224ABF">
        <w:trPr>
          <w:trHeight w:val="767"/>
          <w:tblHeader/>
        </w:trPr>
        <w:tc>
          <w:tcPr>
            <w:tcW w:w="2835" w:type="dxa"/>
            <w:tcBorders>
              <w:bottom w:val="single" w:sz="4" w:space="0" w:color="17365D"/>
            </w:tcBorders>
            <w:shd w:val="clear" w:color="auto" w:fill="B9CDE5"/>
            <w:vAlign w:val="center"/>
            <w:hideMark/>
          </w:tcPr>
          <w:p w14:paraId="1FEE62DE" w14:textId="77777777" w:rsidR="00224ABF" w:rsidRPr="00905AEC" w:rsidRDefault="00224ABF" w:rsidP="00224ABF">
            <w:pPr>
              <w:spacing w:after="0" w:line="240" w:lineRule="auto"/>
              <w:jc w:val="center"/>
              <w:rPr>
                <w:b/>
                <w:color w:val="17365D"/>
                <w:sz w:val="18"/>
                <w:szCs w:val="18"/>
                <w:lang w:eastAsia="lv-LV"/>
              </w:rPr>
            </w:pPr>
            <w:r w:rsidRPr="00905AEC">
              <w:rPr>
                <w:b/>
                <w:color w:val="17365D"/>
                <w:sz w:val="18"/>
                <w:szCs w:val="18"/>
                <w:lang w:eastAsia="lv-LV"/>
              </w:rPr>
              <w:t>Rādītājs</w:t>
            </w:r>
          </w:p>
        </w:tc>
        <w:tc>
          <w:tcPr>
            <w:tcW w:w="992" w:type="dxa"/>
            <w:tcBorders>
              <w:bottom w:val="single" w:sz="4" w:space="0" w:color="17365D"/>
            </w:tcBorders>
            <w:shd w:val="clear" w:color="auto" w:fill="B9CDE5"/>
            <w:vAlign w:val="center"/>
          </w:tcPr>
          <w:p w14:paraId="1753B14C" w14:textId="77777777" w:rsidR="00224ABF" w:rsidRPr="00905AEC" w:rsidRDefault="00224ABF" w:rsidP="00224ABF">
            <w:pPr>
              <w:spacing w:after="0" w:line="240" w:lineRule="auto"/>
              <w:jc w:val="center"/>
              <w:rPr>
                <w:b/>
                <w:color w:val="17365D"/>
                <w:sz w:val="18"/>
                <w:szCs w:val="18"/>
                <w:lang w:eastAsia="lv-LV"/>
              </w:rPr>
            </w:pPr>
            <w:r w:rsidRPr="00905AEC">
              <w:rPr>
                <w:b/>
                <w:color w:val="17365D"/>
                <w:sz w:val="18"/>
                <w:szCs w:val="18"/>
                <w:lang w:eastAsia="lv-LV"/>
              </w:rPr>
              <w:t>Piezīmes Nr.</w:t>
            </w:r>
          </w:p>
        </w:tc>
        <w:tc>
          <w:tcPr>
            <w:tcW w:w="1413" w:type="dxa"/>
            <w:tcBorders>
              <w:bottom w:val="single" w:sz="4" w:space="0" w:color="17365D"/>
            </w:tcBorders>
            <w:shd w:val="clear" w:color="auto" w:fill="B9CDE5"/>
            <w:vAlign w:val="center"/>
          </w:tcPr>
          <w:p w14:paraId="00C57180" w14:textId="77777777" w:rsidR="00224ABF" w:rsidRPr="00905AEC" w:rsidRDefault="00224ABF" w:rsidP="00224ABF">
            <w:pPr>
              <w:spacing w:after="0" w:line="240" w:lineRule="auto"/>
              <w:jc w:val="center"/>
              <w:rPr>
                <w:b/>
                <w:color w:val="17365D"/>
                <w:sz w:val="18"/>
                <w:szCs w:val="18"/>
                <w:lang w:eastAsia="lv-LV"/>
              </w:rPr>
            </w:pPr>
            <w:r w:rsidRPr="00905AEC">
              <w:rPr>
                <w:b/>
                <w:color w:val="17365D"/>
                <w:sz w:val="18"/>
                <w:szCs w:val="18"/>
                <w:lang w:eastAsia="lv-LV"/>
              </w:rPr>
              <w:t>Pārskata periods</w:t>
            </w:r>
          </w:p>
        </w:tc>
        <w:tc>
          <w:tcPr>
            <w:tcW w:w="1418" w:type="dxa"/>
            <w:tcBorders>
              <w:bottom w:val="single" w:sz="4" w:space="0" w:color="17365D"/>
            </w:tcBorders>
            <w:shd w:val="clear" w:color="auto" w:fill="B9CDE5"/>
            <w:vAlign w:val="center"/>
          </w:tcPr>
          <w:p w14:paraId="319FFA84" w14:textId="77777777" w:rsidR="00224ABF" w:rsidRPr="00905AEC" w:rsidRDefault="00224ABF" w:rsidP="00224ABF">
            <w:pPr>
              <w:spacing w:after="0" w:line="240" w:lineRule="auto"/>
              <w:jc w:val="center"/>
              <w:rPr>
                <w:b/>
                <w:color w:val="17365D"/>
                <w:sz w:val="18"/>
                <w:szCs w:val="18"/>
                <w:lang w:eastAsia="lv-LV"/>
              </w:rPr>
            </w:pPr>
            <w:r w:rsidRPr="00905AEC">
              <w:rPr>
                <w:b/>
                <w:color w:val="17365D"/>
                <w:sz w:val="18"/>
                <w:szCs w:val="18"/>
                <w:lang w:eastAsia="lv-LV"/>
              </w:rPr>
              <w:t>Iepriekšējais pārskata periods</w:t>
            </w:r>
          </w:p>
        </w:tc>
        <w:tc>
          <w:tcPr>
            <w:tcW w:w="1559" w:type="dxa"/>
            <w:tcBorders>
              <w:bottom w:val="single" w:sz="4" w:space="0" w:color="17365D"/>
            </w:tcBorders>
            <w:shd w:val="clear" w:color="auto" w:fill="B9CDE5"/>
            <w:vAlign w:val="center"/>
          </w:tcPr>
          <w:p w14:paraId="615A6A93" w14:textId="77777777" w:rsidR="00224ABF" w:rsidRPr="00905AEC" w:rsidRDefault="00224ABF" w:rsidP="00224ABF">
            <w:pPr>
              <w:spacing w:after="0" w:line="240" w:lineRule="auto"/>
              <w:ind w:left="-107" w:right="-109"/>
              <w:jc w:val="center"/>
              <w:rPr>
                <w:b/>
                <w:color w:val="17365D"/>
                <w:sz w:val="18"/>
                <w:szCs w:val="18"/>
                <w:lang w:eastAsia="lv-LV"/>
              </w:rPr>
            </w:pPr>
            <w:r w:rsidRPr="00905AEC">
              <w:rPr>
                <w:b/>
                <w:color w:val="17365D"/>
                <w:sz w:val="18"/>
                <w:szCs w:val="18"/>
                <w:lang w:eastAsia="lv-LV"/>
              </w:rPr>
              <w:t>Palielinājums (+), samazinājums (–) (1. – 2.)</w:t>
            </w:r>
          </w:p>
        </w:tc>
        <w:tc>
          <w:tcPr>
            <w:tcW w:w="1172" w:type="dxa"/>
            <w:tcBorders>
              <w:bottom w:val="single" w:sz="4" w:space="0" w:color="17365D"/>
            </w:tcBorders>
            <w:shd w:val="clear" w:color="auto" w:fill="B9CDE5"/>
            <w:vAlign w:val="center"/>
          </w:tcPr>
          <w:p w14:paraId="64B77FD3" w14:textId="77777777" w:rsidR="00224ABF" w:rsidRPr="00905AEC" w:rsidRDefault="00224ABF" w:rsidP="00224ABF">
            <w:pPr>
              <w:spacing w:after="0" w:line="240" w:lineRule="auto"/>
              <w:ind w:left="-107" w:right="-109"/>
              <w:jc w:val="center"/>
              <w:rPr>
                <w:b/>
                <w:color w:val="17365D"/>
                <w:sz w:val="18"/>
                <w:szCs w:val="18"/>
                <w:lang w:eastAsia="lv-LV"/>
              </w:rPr>
            </w:pPr>
            <w:r w:rsidRPr="00905AEC">
              <w:rPr>
                <w:b/>
                <w:color w:val="17365D"/>
                <w:sz w:val="18"/>
                <w:szCs w:val="18"/>
                <w:lang w:eastAsia="lv-LV"/>
              </w:rPr>
              <w:t xml:space="preserve">Procentuālās izmaiņas </w:t>
            </w:r>
          </w:p>
          <w:p w14:paraId="6EAFB1E4" w14:textId="77777777" w:rsidR="00224ABF" w:rsidRPr="00905AEC" w:rsidRDefault="00224ABF" w:rsidP="00224ABF">
            <w:pPr>
              <w:spacing w:after="0" w:line="240" w:lineRule="auto"/>
              <w:ind w:left="-107" w:right="-109"/>
              <w:jc w:val="center"/>
              <w:rPr>
                <w:b/>
                <w:color w:val="17365D"/>
                <w:sz w:val="18"/>
                <w:szCs w:val="18"/>
                <w:lang w:eastAsia="lv-LV"/>
              </w:rPr>
            </w:pPr>
            <w:r>
              <w:rPr>
                <w:b/>
                <w:color w:val="17365D"/>
                <w:sz w:val="18"/>
                <w:szCs w:val="18"/>
                <w:lang w:eastAsia="lv-LV"/>
              </w:rPr>
              <w:t>(3</w:t>
            </w:r>
            <w:r w:rsidRPr="00905AEC">
              <w:rPr>
                <w:b/>
                <w:color w:val="17365D"/>
                <w:sz w:val="18"/>
                <w:szCs w:val="18"/>
                <w:lang w:eastAsia="lv-LV"/>
              </w:rPr>
              <w:t>. / 2. x 100)</w:t>
            </w:r>
          </w:p>
        </w:tc>
      </w:tr>
      <w:tr w:rsidR="00224ABF" w:rsidRPr="00905AEC" w14:paraId="7611045E" w14:textId="77777777" w:rsidTr="00224ABF">
        <w:trPr>
          <w:trHeight w:val="63"/>
          <w:tblHeader/>
        </w:trPr>
        <w:tc>
          <w:tcPr>
            <w:tcW w:w="2835" w:type="dxa"/>
            <w:tcBorders>
              <w:top w:val="single" w:sz="4" w:space="0" w:color="17365D"/>
              <w:bottom w:val="single" w:sz="4" w:space="0" w:color="17365D"/>
            </w:tcBorders>
            <w:shd w:val="clear" w:color="auto" w:fill="auto"/>
            <w:vAlign w:val="center"/>
          </w:tcPr>
          <w:p w14:paraId="28C15630" w14:textId="77777777" w:rsidR="00224ABF" w:rsidRPr="00905AEC" w:rsidRDefault="00224ABF" w:rsidP="00224ABF">
            <w:pPr>
              <w:spacing w:after="0" w:line="240" w:lineRule="auto"/>
              <w:jc w:val="center"/>
              <w:rPr>
                <w:b/>
                <w:color w:val="17365D"/>
                <w:sz w:val="18"/>
                <w:szCs w:val="18"/>
              </w:rPr>
            </w:pPr>
            <w:r w:rsidRPr="00905AEC">
              <w:rPr>
                <w:b/>
                <w:color w:val="17365D"/>
                <w:sz w:val="18"/>
                <w:szCs w:val="18"/>
              </w:rPr>
              <w:t>A</w:t>
            </w:r>
          </w:p>
        </w:tc>
        <w:tc>
          <w:tcPr>
            <w:tcW w:w="992" w:type="dxa"/>
            <w:tcBorders>
              <w:top w:val="single" w:sz="4" w:space="0" w:color="17365D"/>
              <w:bottom w:val="single" w:sz="4" w:space="0" w:color="17365D"/>
            </w:tcBorders>
            <w:shd w:val="clear" w:color="auto" w:fill="auto"/>
            <w:vAlign w:val="center"/>
          </w:tcPr>
          <w:p w14:paraId="1C144190" w14:textId="77777777" w:rsidR="00224ABF" w:rsidRPr="00905AEC" w:rsidRDefault="00224ABF" w:rsidP="00224ABF">
            <w:pPr>
              <w:spacing w:after="0" w:line="240" w:lineRule="auto"/>
              <w:jc w:val="center"/>
              <w:rPr>
                <w:b/>
                <w:color w:val="17365D"/>
                <w:sz w:val="18"/>
                <w:szCs w:val="18"/>
              </w:rPr>
            </w:pPr>
            <w:r w:rsidRPr="00905AEC">
              <w:rPr>
                <w:b/>
                <w:color w:val="17365D"/>
                <w:sz w:val="18"/>
                <w:szCs w:val="18"/>
              </w:rPr>
              <w:t>B</w:t>
            </w:r>
          </w:p>
        </w:tc>
        <w:tc>
          <w:tcPr>
            <w:tcW w:w="1413" w:type="dxa"/>
            <w:tcBorders>
              <w:top w:val="single" w:sz="4" w:space="0" w:color="17365D"/>
              <w:bottom w:val="single" w:sz="4" w:space="0" w:color="17365D"/>
            </w:tcBorders>
            <w:shd w:val="clear" w:color="auto" w:fill="auto"/>
            <w:vAlign w:val="center"/>
          </w:tcPr>
          <w:p w14:paraId="5023E7C9" w14:textId="77777777" w:rsidR="00224ABF" w:rsidRPr="00905AEC" w:rsidRDefault="00224ABF" w:rsidP="00224ABF">
            <w:pPr>
              <w:spacing w:after="0" w:line="240" w:lineRule="auto"/>
              <w:jc w:val="center"/>
              <w:rPr>
                <w:b/>
                <w:color w:val="17365D"/>
                <w:sz w:val="18"/>
                <w:szCs w:val="18"/>
              </w:rPr>
            </w:pPr>
            <w:r w:rsidRPr="00905AEC">
              <w:rPr>
                <w:b/>
                <w:color w:val="17365D"/>
                <w:sz w:val="18"/>
                <w:szCs w:val="18"/>
              </w:rPr>
              <w:t>1</w:t>
            </w:r>
          </w:p>
        </w:tc>
        <w:tc>
          <w:tcPr>
            <w:tcW w:w="1418" w:type="dxa"/>
            <w:tcBorders>
              <w:top w:val="single" w:sz="4" w:space="0" w:color="17365D"/>
              <w:bottom w:val="single" w:sz="4" w:space="0" w:color="17365D"/>
            </w:tcBorders>
            <w:shd w:val="clear" w:color="auto" w:fill="auto"/>
            <w:vAlign w:val="center"/>
          </w:tcPr>
          <w:p w14:paraId="0C7FE5E3" w14:textId="77777777" w:rsidR="00224ABF" w:rsidRPr="00905AEC" w:rsidRDefault="00224ABF" w:rsidP="00224ABF">
            <w:pPr>
              <w:spacing w:after="0" w:line="240" w:lineRule="auto"/>
              <w:jc w:val="center"/>
              <w:rPr>
                <w:b/>
                <w:color w:val="17365D"/>
                <w:sz w:val="18"/>
                <w:szCs w:val="18"/>
              </w:rPr>
            </w:pPr>
            <w:r w:rsidRPr="00905AEC">
              <w:rPr>
                <w:b/>
                <w:color w:val="17365D"/>
                <w:sz w:val="18"/>
                <w:szCs w:val="18"/>
              </w:rPr>
              <w:t>2</w:t>
            </w:r>
          </w:p>
        </w:tc>
        <w:tc>
          <w:tcPr>
            <w:tcW w:w="1559" w:type="dxa"/>
            <w:tcBorders>
              <w:top w:val="single" w:sz="4" w:space="0" w:color="17365D"/>
              <w:bottom w:val="single" w:sz="4" w:space="0" w:color="17365D"/>
            </w:tcBorders>
            <w:shd w:val="clear" w:color="auto" w:fill="auto"/>
            <w:vAlign w:val="center"/>
          </w:tcPr>
          <w:p w14:paraId="21A2DD1B" w14:textId="77777777" w:rsidR="00224ABF" w:rsidRPr="00905AEC" w:rsidRDefault="00224ABF" w:rsidP="00224ABF">
            <w:pPr>
              <w:spacing w:after="0" w:line="240" w:lineRule="auto"/>
              <w:jc w:val="center"/>
              <w:rPr>
                <w:b/>
                <w:color w:val="17365D"/>
                <w:sz w:val="18"/>
                <w:szCs w:val="18"/>
              </w:rPr>
            </w:pPr>
            <w:r w:rsidRPr="00905AEC">
              <w:rPr>
                <w:b/>
                <w:color w:val="17365D"/>
                <w:sz w:val="18"/>
                <w:szCs w:val="18"/>
              </w:rPr>
              <w:t>3</w:t>
            </w:r>
          </w:p>
        </w:tc>
        <w:tc>
          <w:tcPr>
            <w:tcW w:w="1172" w:type="dxa"/>
            <w:tcBorders>
              <w:top w:val="single" w:sz="4" w:space="0" w:color="17365D"/>
              <w:bottom w:val="single" w:sz="4" w:space="0" w:color="17365D"/>
            </w:tcBorders>
            <w:shd w:val="clear" w:color="auto" w:fill="auto"/>
            <w:vAlign w:val="center"/>
          </w:tcPr>
          <w:p w14:paraId="00090BA9" w14:textId="77777777" w:rsidR="00224ABF" w:rsidRPr="00905AEC" w:rsidRDefault="00224ABF" w:rsidP="00224ABF">
            <w:pPr>
              <w:spacing w:after="0" w:line="240" w:lineRule="auto"/>
              <w:jc w:val="center"/>
              <w:rPr>
                <w:b/>
                <w:color w:val="17365D"/>
                <w:sz w:val="18"/>
                <w:szCs w:val="18"/>
              </w:rPr>
            </w:pPr>
            <w:r w:rsidRPr="00905AEC">
              <w:rPr>
                <w:b/>
                <w:color w:val="17365D"/>
                <w:sz w:val="18"/>
                <w:szCs w:val="18"/>
              </w:rPr>
              <w:t>4</w:t>
            </w:r>
          </w:p>
        </w:tc>
      </w:tr>
      <w:tr w:rsidR="00224ABF" w:rsidRPr="00905AEC" w14:paraId="0B327811" w14:textId="77777777" w:rsidTr="00224ABF">
        <w:trPr>
          <w:trHeight w:val="272"/>
        </w:trPr>
        <w:tc>
          <w:tcPr>
            <w:tcW w:w="2835" w:type="dxa"/>
            <w:tcBorders>
              <w:top w:val="single" w:sz="4" w:space="0" w:color="17365D"/>
              <w:bottom w:val="single" w:sz="4" w:space="0" w:color="17365D"/>
            </w:tcBorders>
            <w:shd w:val="clear" w:color="auto" w:fill="auto"/>
            <w:vAlign w:val="center"/>
          </w:tcPr>
          <w:p w14:paraId="05E19046" w14:textId="77777777" w:rsidR="00224ABF" w:rsidRPr="00905AEC" w:rsidRDefault="00224ABF" w:rsidP="00224ABF">
            <w:pPr>
              <w:spacing w:after="0" w:line="240" w:lineRule="auto"/>
              <w:rPr>
                <w:color w:val="17365D"/>
                <w:sz w:val="18"/>
                <w:szCs w:val="18"/>
              </w:rPr>
            </w:pPr>
            <w:r w:rsidRPr="00905AEC">
              <w:rPr>
                <w:color w:val="17365D"/>
                <w:sz w:val="18"/>
                <w:szCs w:val="18"/>
              </w:rPr>
              <w:t xml:space="preserve">Naudas līdzekļu plūsma no piesaistītajiem līdzekļiem </w:t>
            </w:r>
          </w:p>
        </w:tc>
        <w:tc>
          <w:tcPr>
            <w:tcW w:w="992" w:type="dxa"/>
            <w:tcBorders>
              <w:top w:val="single" w:sz="4" w:space="0" w:color="17365D"/>
              <w:bottom w:val="single" w:sz="4" w:space="0" w:color="17365D"/>
            </w:tcBorders>
            <w:shd w:val="clear" w:color="auto" w:fill="auto"/>
            <w:vAlign w:val="center"/>
          </w:tcPr>
          <w:p w14:paraId="396893F0" w14:textId="77777777" w:rsidR="00224ABF" w:rsidRPr="00905AEC" w:rsidRDefault="00224ABF" w:rsidP="00224ABF">
            <w:pPr>
              <w:spacing w:after="0" w:line="240" w:lineRule="auto"/>
              <w:jc w:val="center"/>
              <w:rPr>
                <w:color w:val="17365D"/>
                <w:sz w:val="18"/>
                <w:szCs w:val="18"/>
                <w:lang w:val="en-GB"/>
              </w:rPr>
            </w:pPr>
            <w:r w:rsidRPr="00905AEC">
              <w:rPr>
                <w:color w:val="17365D"/>
                <w:sz w:val="18"/>
                <w:szCs w:val="18"/>
                <w:lang w:val="en-GB"/>
              </w:rPr>
              <w:t>NP.D</w:t>
            </w:r>
          </w:p>
        </w:tc>
        <w:tc>
          <w:tcPr>
            <w:tcW w:w="1413" w:type="dxa"/>
            <w:tcBorders>
              <w:top w:val="single" w:sz="4" w:space="0" w:color="17365D"/>
              <w:bottom w:val="single" w:sz="4" w:space="0" w:color="17365D"/>
            </w:tcBorders>
            <w:shd w:val="clear" w:color="auto" w:fill="auto"/>
            <w:vAlign w:val="center"/>
          </w:tcPr>
          <w:p w14:paraId="7C00351A" w14:textId="77777777" w:rsidR="00224ABF" w:rsidRPr="003E3C94" w:rsidRDefault="00224ABF" w:rsidP="00224ABF">
            <w:pPr>
              <w:spacing w:after="0" w:line="240" w:lineRule="auto"/>
              <w:jc w:val="right"/>
              <w:rPr>
                <w:bCs/>
                <w:color w:val="17365D"/>
                <w:sz w:val="18"/>
                <w:szCs w:val="18"/>
              </w:rPr>
            </w:pPr>
            <w:r>
              <w:rPr>
                <w:bCs/>
                <w:color w:val="17365D"/>
                <w:sz w:val="18"/>
                <w:szCs w:val="18"/>
              </w:rPr>
              <w:t>-74</w:t>
            </w:r>
            <w:r w:rsidRPr="003E3C94">
              <w:rPr>
                <w:bCs/>
                <w:color w:val="17365D"/>
                <w:sz w:val="18"/>
                <w:szCs w:val="18"/>
              </w:rPr>
              <w:t> </w:t>
            </w:r>
            <w:r>
              <w:rPr>
                <w:bCs/>
                <w:color w:val="17365D"/>
                <w:sz w:val="18"/>
                <w:szCs w:val="18"/>
              </w:rPr>
              <w:t>393</w:t>
            </w:r>
            <w:r w:rsidRPr="003E3C94">
              <w:rPr>
                <w:bCs/>
                <w:color w:val="17365D"/>
                <w:sz w:val="18"/>
                <w:szCs w:val="18"/>
              </w:rPr>
              <w:t> </w:t>
            </w:r>
            <w:r>
              <w:rPr>
                <w:bCs/>
                <w:color w:val="17365D"/>
                <w:sz w:val="18"/>
                <w:szCs w:val="18"/>
              </w:rPr>
              <w:t>153</w:t>
            </w:r>
          </w:p>
        </w:tc>
        <w:tc>
          <w:tcPr>
            <w:tcW w:w="1418" w:type="dxa"/>
            <w:tcBorders>
              <w:top w:val="single" w:sz="4" w:space="0" w:color="17365D"/>
              <w:bottom w:val="single" w:sz="4" w:space="0" w:color="17365D"/>
            </w:tcBorders>
            <w:shd w:val="clear" w:color="auto" w:fill="auto"/>
            <w:vAlign w:val="center"/>
          </w:tcPr>
          <w:p w14:paraId="2F021B43" w14:textId="77777777" w:rsidR="00224ABF" w:rsidRPr="003E3C94" w:rsidRDefault="00224ABF" w:rsidP="00224ABF">
            <w:pPr>
              <w:spacing w:after="0" w:line="240" w:lineRule="auto"/>
              <w:jc w:val="right"/>
              <w:rPr>
                <w:bCs/>
                <w:color w:val="17365D"/>
                <w:sz w:val="18"/>
                <w:szCs w:val="18"/>
              </w:rPr>
            </w:pPr>
            <w:r>
              <w:rPr>
                <w:bCs/>
                <w:color w:val="17365D"/>
                <w:sz w:val="18"/>
                <w:szCs w:val="18"/>
              </w:rPr>
              <w:t>-21</w:t>
            </w:r>
            <w:r w:rsidRPr="003E3C94">
              <w:rPr>
                <w:bCs/>
                <w:color w:val="17365D"/>
                <w:sz w:val="18"/>
                <w:szCs w:val="18"/>
              </w:rPr>
              <w:t> </w:t>
            </w:r>
            <w:r>
              <w:rPr>
                <w:bCs/>
                <w:color w:val="17365D"/>
                <w:sz w:val="18"/>
                <w:szCs w:val="18"/>
              </w:rPr>
              <w:t>945</w:t>
            </w:r>
            <w:r w:rsidRPr="003E3C94">
              <w:rPr>
                <w:bCs/>
                <w:color w:val="17365D"/>
                <w:sz w:val="18"/>
                <w:szCs w:val="18"/>
              </w:rPr>
              <w:t> </w:t>
            </w:r>
            <w:r>
              <w:rPr>
                <w:bCs/>
                <w:color w:val="17365D"/>
                <w:sz w:val="18"/>
                <w:szCs w:val="18"/>
              </w:rPr>
              <w:t>707</w:t>
            </w:r>
          </w:p>
        </w:tc>
        <w:tc>
          <w:tcPr>
            <w:tcW w:w="1559" w:type="dxa"/>
            <w:tcBorders>
              <w:top w:val="single" w:sz="4" w:space="0" w:color="17365D"/>
              <w:bottom w:val="single" w:sz="4" w:space="0" w:color="17365D"/>
            </w:tcBorders>
            <w:shd w:val="clear" w:color="auto" w:fill="auto"/>
            <w:vAlign w:val="center"/>
          </w:tcPr>
          <w:p w14:paraId="7EDC93B5" w14:textId="77777777" w:rsidR="00224ABF" w:rsidRPr="003E3C94" w:rsidRDefault="00224ABF" w:rsidP="00224ABF">
            <w:pPr>
              <w:spacing w:after="0" w:line="240" w:lineRule="auto"/>
              <w:jc w:val="right"/>
              <w:rPr>
                <w:bCs/>
                <w:color w:val="17365D"/>
                <w:sz w:val="18"/>
                <w:szCs w:val="18"/>
              </w:rPr>
            </w:pPr>
            <w:r w:rsidRPr="003E3C94">
              <w:rPr>
                <w:bCs/>
                <w:color w:val="17365D"/>
                <w:sz w:val="18"/>
                <w:szCs w:val="18"/>
              </w:rPr>
              <w:t>-</w:t>
            </w:r>
            <w:r>
              <w:rPr>
                <w:bCs/>
                <w:color w:val="17365D"/>
                <w:sz w:val="18"/>
                <w:szCs w:val="18"/>
              </w:rPr>
              <w:t>52</w:t>
            </w:r>
            <w:r w:rsidRPr="003E3C94">
              <w:rPr>
                <w:bCs/>
                <w:color w:val="17365D"/>
                <w:sz w:val="18"/>
                <w:szCs w:val="18"/>
              </w:rPr>
              <w:t> </w:t>
            </w:r>
            <w:r>
              <w:rPr>
                <w:bCs/>
                <w:color w:val="17365D"/>
                <w:sz w:val="18"/>
                <w:szCs w:val="18"/>
              </w:rPr>
              <w:t>447</w:t>
            </w:r>
            <w:r w:rsidRPr="003E3C94">
              <w:rPr>
                <w:bCs/>
                <w:color w:val="17365D"/>
                <w:sz w:val="18"/>
                <w:szCs w:val="18"/>
              </w:rPr>
              <w:t> </w:t>
            </w:r>
            <w:r>
              <w:rPr>
                <w:bCs/>
                <w:color w:val="17365D"/>
                <w:sz w:val="18"/>
                <w:szCs w:val="18"/>
              </w:rPr>
              <w:t>448</w:t>
            </w:r>
          </w:p>
        </w:tc>
        <w:tc>
          <w:tcPr>
            <w:tcW w:w="1172" w:type="dxa"/>
            <w:tcBorders>
              <w:top w:val="single" w:sz="4" w:space="0" w:color="17365D"/>
              <w:bottom w:val="single" w:sz="4" w:space="0" w:color="17365D"/>
            </w:tcBorders>
            <w:shd w:val="clear" w:color="auto" w:fill="auto"/>
            <w:vAlign w:val="center"/>
          </w:tcPr>
          <w:p w14:paraId="6F1B73B2" w14:textId="77777777" w:rsidR="00224ABF" w:rsidRPr="003E3C94" w:rsidRDefault="00224ABF" w:rsidP="00224ABF">
            <w:pPr>
              <w:spacing w:after="0" w:line="240" w:lineRule="auto"/>
              <w:jc w:val="right"/>
              <w:rPr>
                <w:bCs/>
                <w:color w:val="17365D"/>
                <w:sz w:val="18"/>
                <w:szCs w:val="18"/>
              </w:rPr>
            </w:pPr>
            <w:r>
              <w:rPr>
                <w:bCs/>
                <w:color w:val="17365D"/>
                <w:sz w:val="18"/>
                <w:szCs w:val="18"/>
              </w:rPr>
              <w:t>238.99</w:t>
            </w:r>
          </w:p>
        </w:tc>
      </w:tr>
      <w:tr w:rsidR="00224ABF" w:rsidRPr="00905AEC" w14:paraId="3A57C477" w14:textId="77777777" w:rsidTr="009A2DE5">
        <w:trPr>
          <w:trHeight w:val="272"/>
        </w:trPr>
        <w:tc>
          <w:tcPr>
            <w:tcW w:w="2835" w:type="dxa"/>
            <w:tcBorders>
              <w:top w:val="single" w:sz="4" w:space="0" w:color="17365D"/>
              <w:bottom w:val="single" w:sz="4" w:space="0" w:color="17365D"/>
            </w:tcBorders>
            <w:shd w:val="clear" w:color="auto" w:fill="auto"/>
            <w:vAlign w:val="center"/>
          </w:tcPr>
          <w:p w14:paraId="2A34D628" w14:textId="77777777" w:rsidR="00224ABF" w:rsidRPr="00905AEC" w:rsidRDefault="00224ABF" w:rsidP="00224ABF">
            <w:pPr>
              <w:spacing w:after="0" w:line="240" w:lineRule="auto"/>
              <w:rPr>
                <w:color w:val="17365D"/>
                <w:sz w:val="18"/>
                <w:szCs w:val="18"/>
              </w:rPr>
            </w:pPr>
            <w:r w:rsidRPr="00905AEC">
              <w:rPr>
                <w:color w:val="17365D"/>
                <w:sz w:val="18"/>
                <w:szCs w:val="18"/>
              </w:rPr>
              <w:t>Ieņēmumi no piesaistītajiem līdzekļiem</w:t>
            </w:r>
          </w:p>
        </w:tc>
        <w:tc>
          <w:tcPr>
            <w:tcW w:w="992" w:type="dxa"/>
            <w:tcBorders>
              <w:top w:val="single" w:sz="4" w:space="0" w:color="17365D"/>
              <w:bottom w:val="single" w:sz="4" w:space="0" w:color="17365D"/>
            </w:tcBorders>
            <w:shd w:val="clear" w:color="auto" w:fill="auto"/>
            <w:vAlign w:val="center"/>
          </w:tcPr>
          <w:p w14:paraId="480875ED" w14:textId="77777777" w:rsidR="00224ABF" w:rsidRPr="00905AEC" w:rsidRDefault="00224ABF" w:rsidP="00224ABF">
            <w:pPr>
              <w:spacing w:after="0" w:line="240" w:lineRule="auto"/>
              <w:jc w:val="center"/>
              <w:rPr>
                <w:color w:val="17365D"/>
                <w:sz w:val="18"/>
                <w:szCs w:val="18"/>
                <w:lang w:val="en-GB"/>
              </w:rPr>
            </w:pPr>
          </w:p>
        </w:tc>
        <w:tc>
          <w:tcPr>
            <w:tcW w:w="1413" w:type="dxa"/>
            <w:tcBorders>
              <w:top w:val="single" w:sz="4" w:space="0" w:color="17365D"/>
              <w:bottom w:val="single" w:sz="4" w:space="0" w:color="17365D"/>
            </w:tcBorders>
            <w:shd w:val="clear" w:color="auto" w:fill="auto"/>
            <w:vAlign w:val="center"/>
          </w:tcPr>
          <w:p w14:paraId="07A0E42F" w14:textId="2AD9E962" w:rsidR="00224ABF" w:rsidRPr="006373E9" w:rsidRDefault="007420DA" w:rsidP="00224ABF">
            <w:pPr>
              <w:spacing w:after="0" w:line="240" w:lineRule="auto"/>
              <w:jc w:val="right"/>
              <w:rPr>
                <w:rFonts w:cs="Times New Roman"/>
                <w:color w:val="17365D"/>
                <w:sz w:val="18"/>
                <w:szCs w:val="18"/>
              </w:rPr>
            </w:pPr>
            <w:r>
              <w:rPr>
                <w:rFonts w:cs="Times New Roman"/>
                <w:color w:val="17365D"/>
                <w:sz w:val="18"/>
                <w:szCs w:val="18"/>
              </w:rPr>
              <w:t>8</w:t>
            </w:r>
            <w:r w:rsidR="00224ABF" w:rsidRPr="006373E9">
              <w:rPr>
                <w:rFonts w:cs="Times New Roman"/>
                <w:color w:val="17365D"/>
                <w:sz w:val="18"/>
                <w:szCs w:val="18"/>
              </w:rPr>
              <w:t xml:space="preserve"> </w:t>
            </w:r>
            <w:r w:rsidR="00224ABF">
              <w:rPr>
                <w:rFonts w:cs="Times New Roman"/>
                <w:color w:val="17365D"/>
                <w:sz w:val="18"/>
                <w:szCs w:val="18"/>
              </w:rPr>
              <w:t>93</w:t>
            </w:r>
            <w:r w:rsidR="00224ABF" w:rsidRPr="006373E9">
              <w:rPr>
                <w:rFonts w:cs="Times New Roman"/>
                <w:color w:val="17365D"/>
                <w:sz w:val="18"/>
                <w:szCs w:val="18"/>
              </w:rPr>
              <w:t xml:space="preserve">6 </w:t>
            </w:r>
            <w:r w:rsidR="00224ABF">
              <w:rPr>
                <w:rFonts w:cs="Times New Roman"/>
                <w:color w:val="17365D"/>
                <w:sz w:val="18"/>
                <w:szCs w:val="18"/>
              </w:rPr>
              <w:t>045</w:t>
            </w:r>
            <w:r w:rsidR="00224ABF" w:rsidRPr="006373E9">
              <w:rPr>
                <w:rFonts w:cs="Times New Roman"/>
                <w:color w:val="17365D"/>
                <w:sz w:val="18"/>
                <w:szCs w:val="18"/>
              </w:rPr>
              <w:t xml:space="preserve"> </w:t>
            </w:r>
            <w:r w:rsidR="00224ABF">
              <w:rPr>
                <w:rFonts w:cs="Times New Roman"/>
                <w:color w:val="17365D"/>
                <w:sz w:val="18"/>
                <w:szCs w:val="18"/>
              </w:rPr>
              <w:t>923</w:t>
            </w:r>
          </w:p>
        </w:tc>
        <w:tc>
          <w:tcPr>
            <w:tcW w:w="1418" w:type="dxa"/>
            <w:tcBorders>
              <w:top w:val="single" w:sz="4" w:space="0" w:color="17365D"/>
              <w:bottom w:val="single" w:sz="4" w:space="0" w:color="17365D"/>
            </w:tcBorders>
            <w:shd w:val="clear" w:color="auto" w:fill="auto"/>
            <w:vAlign w:val="center"/>
          </w:tcPr>
          <w:p w14:paraId="425EA5CF" w14:textId="77777777" w:rsidR="00224ABF" w:rsidRPr="006373E9" w:rsidRDefault="00224ABF" w:rsidP="00224ABF">
            <w:pPr>
              <w:spacing w:after="0" w:line="240" w:lineRule="auto"/>
              <w:jc w:val="right"/>
              <w:rPr>
                <w:rFonts w:cs="Times New Roman"/>
                <w:color w:val="17365D"/>
                <w:sz w:val="18"/>
                <w:szCs w:val="18"/>
              </w:rPr>
            </w:pPr>
            <w:r w:rsidRPr="006373E9">
              <w:rPr>
                <w:rFonts w:cs="Times New Roman"/>
                <w:color w:val="17365D"/>
                <w:sz w:val="18"/>
                <w:szCs w:val="18"/>
              </w:rPr>
              <w:t>7 656 957 555</w:t>
            </w:r>
          </w:p>
        </w:tc>
        <w:tc>
          <w:tcPr>
            <w:tcW w:w="1559" w:type="dxa"/>
            <w:tcBorders>
              <w:top w:val="single" w:sz="4" w:space="0" w:color="17365D"/>
              <w:bottom w:val="single" w:sz="4" w:space="0" w:color="17365D"/>
            </w:tcBorders>
            <w:shd w:val="clear" w:color="auto" w:fill="auto"/>
            <w:vAlign w:val="center"/>
          </w:tcPr>
          <w:p w14:paraId="440BBBA8" w14:textId="77777777" w:rsidR="00224ABF" w:rsidRPr="006373E9" w:rsidRDefault="00224ABF" w:rsidP="00224ABF">
            <w:pPr>
              <w:spacing w:after="0" w:line="240" w:lineRule="auto"/>
              <w:jc w:val="right"/>
              <w:rPr>
                <w:rFonts w:cs="Times New Roman"/>
                <w:color w:val="17365D"/>
                <w:sz w:val="18"/>
                <w:szCs w:val="18"/>
              </w:rPr>
            </w:pPr>
            <w:r w:rsidRPr="006373E9">
              <w:rPr>
                <w:rFonts w:cs="Times New Roman"/>
                <w:color w:val="17365D"/>
                <w:sz w:val="18"/>
                <w:szCs w:val="18"/>
              </w:rPr>
              <w:t xml:space="preserve">1 </w:t>
            </w:r>
            <w:r>
              <w:rPr>
                <w:rFonts w:cs="Times New Roman"/>
                <w:color w:val="17365D"/>
                <w:sz w:val="18"/>
                <w:szCs w:val="18"/>
              </w:rPr>
              <w:t>279</w:t>
            </w:r>
            <w:r w:rsidRPr="006373E9">
              <w:rPr>
                <w:rFonts w:cs="Times New Roman"/>
                <w:color w:val="17365D"/>
                <w:sz w:val="18"/>
                <w:szCs w:val="18"/>
              </w:rPr>
              <w:t xml:space="preserve"> 0</w:t>
            </w:r>
            <w:r>
              <w:rPr>
                <w:rFonts w:cs="Times New Roman"/>
                <w:color w:val="17365D"/>
                <w:sz w:val="18"/>
                <w:szCs w:val="18"/>
              </w:rPr>
              <w:t>88</w:t>
            </w:r>
            <w:r w:rsidRPr="006373E9">
              <w:rPr>
                <w:rFonts w:cs="Times New Roman"/>
                <w:color w:val="17365D"/>
                <w:sz w:val="18"/>
                <w:szCs w:val="18"/>
              </w:rPr>
              <w:t xml:space="preserve"> </w:t>
            </w:r>
            <w:r>
              <w:rPr>
                <w:rFonts w:cs="Times New Roman"/>
                <w:color w:val="17365D"/>
                <w:sz w:val="18"/>
                <w:szCs w:val="18"/>
              </w:rPr>
              <w:t>368</w:t>
            </w:r>
          </w:p>
        </w:tc>
        <w:tc>
          <w:tcPr>
            <w:tcW w:w="1172" w:type="dxa"/>
            <w:tcBorders>
              <w:top w:val="single" w:sz="4" w:space="0" w:color="17365D"/>
              <w:bottom w:val="single" w:sz="4" w:space="0" w:color="17365D"/>
            </w:tcBorders>
            <w:shd w:val="clear" w:color="auto" w:fill="auto"/>
            <w:vAlign w:val="center"/>
          </w:tcPr>
          <w:p w14:paraId="112B047C" w14:textId="77777777" w:rsidR="00224ABF" w:rsidRPr="006373E9" w:rsidRDefault="00224ABF" w:rsidP="00224ABF">
            <w:pPr>
              <w:spacing w:after="0" w:line="240" w:lineRule="auto"/>
              <w:jc w:val="right"/>
              <w:rPr>
                <w:rFonts w:cs="Times New Roman"/>
                <w:color w:val="17365D"/>
                <w:sz w:val="18"/>
                <w:szCs w:val="18"/>
              </w:rPr>
            </w:pPr>
            <w:r>
              <w:rPr>
                <w:rFonts w:cs="Times New Roman"/>
                <w:color w:val="17365D"/>
                <w:sz w:val="18"/>
                <w:szCs w:val="18"/>
              </w:rPr>
              <w:t>16</w:t>
            </w:r>
            <w:r w:rsidRPr="006373E9">
              <w:rPr>
                <w:rFonts w:cs="Times New Roman"/>
                <w:color w:val="17365D"/>
                <w:sz w:val="18"/>
                <w:szCs w:val="18"/>
              </w:rPr>
              <w:t>.</w:t>
            </w:r>
            <w:r>
              <w:rPr>
                <w:rFonts w:cs="Times New Roman"/>
                <w:color w:val="17365D"/>
                <w:sz w:val="18"/>
                <w:szCs w:val="18"/>
              </w:rPr>
              <w:t>70</w:t>
            </w:r>
          </w:p>
        </w:tc>
      </w:tr>
      <w:tr w:rsidR="00224ABF" w:rsidRPr="00905AEC" w14:paraId="03CD9853" w14:textId="77777777" w:rsidTr="009A2DE5">
        <w:trPr>
          <w:trHeight w:val="272"/>
        </w:trPr>
        <w:tc>
          <w:tcPr>
            <w:tcW w:w="2835" w:type="dxa"/>
            <w:tcBorders>
              <w:top w:val="single" w:sz="4" w:space="0" w:color="17365D"/>
              <w:bottom w:val="single" w:sz="4" w:space="0" w:color="17365D"/>
            </w:tcBorders>
            <w:shd w:val="clear" w:color="auto" w:fill="auto"/>
            <w:vAlign w:val="center"/>
          </w:tcPr>
          <w:p w14:paraId="5418E4A4" w14:textId="77777777" w:rsidR="00224ABF" w:rsidRPr="00905AEC" w:rsidRDefault="00224ABF" w:rsidP="00224ABF">
            <w:pPr>
              <w:spacing w:after="0" w:line="240" w:lineRule="auto"/>
              <w:rPr>
                <w:color w:val="17365D"/>
                <w:sz w:val="18"/>
                <w:szCs w:val="18"/>
              </w:rPr>
            </w:pPr>
            <w:r w:rsidRPr="00905AEC">
              <w:rPr>
                <w:color w:val="17365D"/>
                <w:sz w:val="18"/>
                <w:szCs w:val="18"/>
              </w:rPr>
              <w:t>Izdevumi no piesaistītajiem līdzekļiem</w:t>
            </w:r>
          </w:p>
        </w:tc>
        <w:tc>
          <w:tcPr>
            <w:tcW w:w="992" w:type="dxa"/>
            <w:tcBorders>
              <w:top w:val="single" w:sz="4" w:space="0" w:color="17365D"/>
              <w:bottom w:val="single" w:sz="4" w:space="0" w:color="17365D"/>
            </w:tcBorders>
            <w:shd w:val="clear" w:color="auto" w:fill="auto"/>
            <w:vAlign w:val="center"/>
          </w:tcPr>
          <w:p w14:paraId="5A08587E" w14:textId="77777777" w:rsidR="00224ABF" w:rsidRPr="00905AEC" w:rsidRDefault="00224ABF" w:rsidP="00224ABF">
            <w:pPr>
              <w:spacing w:after="0" w:line="240" w:lineRule="auto"/>
              <w:jc w:val="center"/>
              <w:rPr>
                <w:color w:val="17365D"/>
                <w:sz w:val="18"/>
                <w:szCs w:val="18"/>
                <w:lang w:val="en-GB"/>
              </w:rPr>
            </w:pPr>
          </w:p>
        </w:tc>
        <w:tc>
          <w:tcPr>
            <w:tcW w:w="1413" w:type="dxa"/>
            <w:tcBorders>
              <w:top w:val="single" w:sz="4" w:space="0" w:color="17365D"/>
              <w:bottom w:val="single" w:sz="4" w:space="0" w:color="17365D"/>
            </w:tcBorders>
            <w:shd w:val="clear" w:color="auto" w:fill="auto"/>
            <w:vAlign w:val="center"/>
          </w:tcPr>
          <w:p w14:paraId="0D37CFB7" w14:textId="77777777" w:rsidR="00224ABF" w:rsidRPr="006373E9" w:rsidRDefault="00224ABF" w:rsidP="00224ABF">
            <w:pPr>
              <w:spacing w:after="0" w:line="240" w:lineRule="auto"/>
              <w:jc w:val="right"/>
              <w:rPr>
                <w:rFonts w:cs="Times New Roman"/>
                <w:color w:val="17365D"/>
                <w:sz w:val="18"/>
                <w:szCs w:val="18"/>
              </w:rPr>
            </w:pPr>
            <w:r>
              <w:rPr>
                <w:rFonts w:cs="Times New Roman"/>
                <w:color w:val="17365D"/>
                <w:sz w:val="18"/>
                <w:szCs w:val="18"/>
              </w:rPr>
              <w:t>9</w:t>
            </w:r>
            <w:r w:rsidRPr="006373E9">
              <w:rPr>
                <w:rFonts w:cs="Times New Roman"/>
                <w:color w:val="17365D"/>
                <w:sz w:val="18"/>
                <w:szCs w:val="18"/>
              </w:rPr>
              <w:t xml:space="preserve"> </w:t>
            </w:r>
            <w:r>
              <w:rPr>
                <w:rFonts w:cs="Times New Roman"/>
                <w:color w:val="17365D"/>
                <w:sz w:val="18"/>
                <w:szCs w:val="18"/>
              </w:rPr>
              <w:t>010</w:t>
            </w:r>
            <w:r w:rsidRPr="006373E9">
              <w:rPr>
                <w:rFonts w:cs="Times New Roman"/>
                <w:color w:val="17365D"/>
                <w:sz w:val="18"/>
                <w:szCs w:val="18"/>
              </w:rPr>
              <w:t xml:space="preserve"> </w:t>
            </w:r>
            <w:r>
              <w:rPr>
                <w:rFonts w:cs="Times New Roman"/>
                <w:color w:val="17365D"/>
                <w:sz w:val="18"/>
                <w:szCs w:val="18"/>
              </w:rPr>
              <w:t>439</w:t>
            </w:r>
            <w:r w:rsidRPr="006373E9">
              <w:rPr>
                <w:rFonts w:cs="Times New Roman"/>
                <w:color w:val="17365D"/>
                <w:sz w:val="18"/>
                <w:szCs w:val="18"/>
              </w:rPr>
              <w:t xml:space="preserve"> </w:t>
            </w:r>
            <w:r>
              <w:rPr>
                <w:rFonts w:cs="Times New Roman"/>
                <w:color w:val="17365D"/>
                <w:sz w:val="18"/>
                <w:szCs w:val="18"/>
              </w:rPr>
              <w:t>076</w:t>
            </w:r>
          </w:p>
        </w:tc>
        <w:tc>
          <w:tcPr>
            <w:tcW w:w="1418" w:type="dxa"/>
            <w:tcBorders>
              <w:top w:val="single" w:sz="4" w:space="0" w:color="17365D"/>
              <w:bottom w:val="single" w:sz="4" w:space="0" w:color="17365D"/>
            </w:tcBorders>
            <w:shd w:val="clear" w:color="auto" w:fill="auto"/>
            <w:vAlign w:val="center"/>
          </w:tcPr>
          <w:p w14:paraId="31284F36" w14:textId="77777777" w:rsidR="00224ABF" w:rsidRPr="006373E9" w:rsidRDefault="00224ABF" w:rsidP="00224ABF">
            <w:pPr>
              <w:spacing w:after="0" w:line="240" w:lineRule="auto"/>
              <w:jc w:val="right"/>
              <w:rPr>
                <w:rFonts w:cs="Times New Roman"/>
                <w:color w:val="17365D"/>
                <w:sz w:val="18"/>
                <w:szCs w:val="18"/>
              </w:rPr>
            </w:pPr>
            <w:r w:rsidRPr="006373E9">
              <w:rPr>
                <w:rFonts w:cs="Times New Roman"/>
                <w:color w:val="17365D"/>
                <w:sz w:val="18"/>
                <w:szCs w:val="18"/>
              </w:rPr>
              <w:t>7 678 903 26</w:t>
            </w:r>
            <w:r>
              <w:rPr>
                <w:rFonts w:cs="Times New Roman"/>
                <w:color w:val="17365D"/>
                <w:sz w:val="18"/>
                <w:szCs w:val="18"/>
              </w:rPr>
              <w:t>0</w:t>
            </w:r>
          </w:p>
        </w:tc>
        <w:tc>
          <w:tcPr>
            <w:tcW w:w="1559" w:type="dxa"/>
            <w:tcBorders>
              <w:top w:val="single" w:sz="4" w:space="0" w:color="17365D"/>
              <w:bottom w:val="single" w:sz="4" w:space="0" w:color="17365D"/>
            </w:tcBorders>
            <w:shd w:val="clear" w:color="auto" w:fill="auto"/>
            <w:vAlign w:val="center"/>
          </w:tcPr>
          <w:p w14:paraId="72739924" w14:textId="77777777" w:rsidR="00224ABF" w:rsidRPr="006373E9" w:rsidRDefault="00224ABF" w:rsidP="00224ABF">
            <w:pPr>
              <w:spacing w:after="0" w:line="240" w:lineRule="auto"/>
              <w:jc w:val="right"/>
              <w:rPr>
                <w:rFonts w:cs="Times New Roman"/>
                <w:color w:val="17365D"/>
                <w:sz w:val="18"/>
                <w:szCs w:val="18"/>
              </w:rPr>
            </w:pPr>
            <w:r w:rsidRPr="006373E9">
              <w:rPr>
                <w:rFonts w:cs="Times New Roman"/>
                <w:color w:val="17365D"/>
                <w:sz w:val="18"/>
                <w:szCs w:val="18"/>
              </w:rPr>
              <w:t>1 3</w:t>
            </w:r>
            <w:r>
              <w:rPr>
                <w:rFonts w:cs="Times New Roman"/>
                <w:color w:val="17365D"/>
                <w:sz w:val="18"/>
                <w:szCs w:val="18"/>
              </w:rPr>
              <w:t>31</w:t>
            </w:r>
            <w:r w:rsidRPr="006373E9">
              <w:rPr>
                <w:rFonts w:cs="Times New Roman"/>
                <w:color w:val="17365D"/>
                <w:sz w:val="18"/>
                <w:szCs w:val="18"/>
              </w:rPr>
              <w:t xml:space="preserve"> </w:t>
            </w:r>
            <w:r>
              <w:rPr>
                <w:rFonts w:cs="Times New Roman"/>
                <w:color w:val="17365D"/>
                <w:sz w:val="18"/>
                <w:szCs w:val="18"/>
              </w:rPr>
              <w:t>535</w:t>
            </w:r>
            <w:r w:rsidRPr="006373E9">
              <w:rPr>
                <w:rFonts w:cs="Times New Roman"/>
                <w:color w:val="17365D"/>
                <w:sz w:val="18"/>
                <w:szCs w:val="18"/>
              </w:rPr>
              <w:t xml:space="preserve"> </w:t>
            </w:r>
            <w:r>
              <w:rPr>
                <w:rFonts w:cs="Times New Roman"/>
                <w:color w:val="17365D"/>
                <w:sz w:val="18"/>
                <w:szCs w:val="18"/>
              </w:rPr>
              <w:t>816</w:t>
            </w:r>
          </w:p>
        </w:tc>
        <w:tc>
          <w:tcPr>
            <w:tcW w:w="1172" w:type="dxa"/>
            <w:tcBorders>
              <w:top w:val="single" w:sz="4" w:space="0" w:color="17365D"/>
              <w:bottom w:val="single" w:sz="4" w:space="0" w:color="17365D"/>
            </w:tcBorders>
            <w:shd w:val="clear" w:color="auto" w:fill="auto"/>
            <w:vAlign w:val="center"/>
          </w:tcPr>
          <w:p w14:paraId="57C6E1B4" w14:textId="77777777" w:rsidR="00224ABF" w:rsidRPr="006373E9" w:rsidRDefault="00224ABF" w:rsidP="00224ABF">
            <w:pPr>
              <w:spacing w:after="0" w:line="240" w:lineRule="auto"/>
              <w:jc w:val="right"/>
              <w:rPr>
                <w:rFonts w:cs="Times New Roman"/>
                <w:color w:val="17365D"/>
                <w:sz w:val="18"/>
                <w:szCs w:val="18"/>
              </w:rPr>
            </w:pPr>
            <w:r>
              <w:rPr>
                <w:rFonts w:cs="Times New Roman"/>
                <w:color w:val="17365D"/>
                <w:sz w:val="18"/>
                <w:szCs w:val="18"/>
              </w:rPr>
              <w:t>17</w:t>
            </w:r>
            <w:r w:rsidRPr="006373E9">
              <w:rPr>
                <w:rFonts w:cs="Times New Roman"/>
                <w:color w:val="17365D"/>
                <w:sz w:val="18"/>
                <w:szCs w:val="18"/>
              </w:rPr>
              <w:t>.3</w:t>
            </w:r>
            <w:r>
              <w:rPr>
                <w:rFonts w:cs="Times New Roman"/>
                <w:color w:val="17365D"/>
                <w:sz w:val="18"/>
                <w:szCs w:val="18"/>
              </w:rPr>
              <w:t>4</w:t>
            </w:r>
          </w:p>
        </w:tc>
      </w:tr>
      <w:tr w:rsidR="00224ABF" w:rsidRPr="00905AEC" w14:paraId="4D0819F7" w14:textId="77777777" w:rsidTr="00224ABF">
        <w:trPr>
          <w:trHeight w:val="227"/>
        </w:trPr>
        <w:tc>
          <w:tcPr>
            <w:tcW w:w="2835" w:type="dxa"/>
            <w:tcBorders>
              <w:top w:val="single" w:sz="4" w:space="0" w:color="17365D"/>
            </w:tcBorders>
            <w:shd w:val="clear" w:color="auto" w:fill="B9CDE5"/>
            <w:vAlign w:val="center"/>
          </w:tcPr>
          <w:p w14:paraId="01596B24" w14:textId="77777777" w:rsidR="00224ABF" w:rsidRPr="00905AEC" w:rsidRDefault="00224ABF" w:rsidP="00224ABF">
            <w:pPr>
              <w:spacing w:after="0" w:line="240" w:lineRule="auto"/>
              <w:rPr>
                <w:color w:val="17365D"/>
                <w:sz w:val="18"/>
                <w:szCs w:val="18"/>
              </w:rPr>
            </w:pPr>
          </w:p>
        </w:tc>
        <w:tc>
          <w:tcPr>
            <w:tcW w:w="992" w:type="dxa"/>
            <w:tcBorders>
              <w:top w:val="single" w:sz="4" w:space="0" w:color="17365D"/>
            </w:tcBorders>
            <w:shd w:val="clear" w:color="auto" w:fill="B9CDE5"/>
            <w:vAlign w:val="center"/>
          </w:tcPr>
          <w:p w14:paraId="5E700663" w14:textId="77777777" w:rsidR="00224ABF" w:rsidRPr="00905AEC" w:rsidRDefault="00224ABF" w:rsidP="00224ABF">
            <w:pPr>
              <w:spacing w:after="0" w:line="240" w:lineRule="auto"/>
              <w:jc w:val="center"/>
              <w:rPr>
                <w:color w:val="17365D"/>
                <w:sz w:val="18"/>
                <w:szCs w:val="18"/>
                <w:lang w:val="en-GB"/>
              </w:rPr>
            </w:pPr>
          </w:p>
        </w:tc>
        <w:tc>
          <w:tcPr>
            <w:tcW w:w="1413" w:type="dxa"/>
            <w:tcBorders>
              <w:top w:val="single" w:sz="4" w:space="0" w:color="17365D"/>
            </w:tcBorders>
            <w:shd w:val="clear" w:color="auto" w:fill="B9CDE5"/>
            <w:vAlign w:val="center"/>
          </w:tcPr>
          <w:p w14:paraId="0AB1FAA8" w14:textId="77777777" w:rsidR="00224ABF" w:rsidRPr="00905AEC" w:rsidRDefault="00224ABF" w:rsidP="00224ABF">
            <w:pPr>
              <w:spacing w:after="0" w:line="240" w:lineRule="auto"/>
              <w:jc w:val="right"/>
              <w:rPr>
                <w:color w:val="17365D"/>
                <w:sz w:val="18"/>
                <w:szCs w:val="18"/>
              </w:rPr>
            </w:pPr>
          </w:p>
        </w:tc>
        <w:tc>
          <w:tcPr>
            <w:tcW w:w="1418" w:type="dxa"/>
            <w:tcBorders>
              <w:top w:val="single" w:sz="4" w:space="0" w:color="17365D"/>
            </w:tcBorders>
            <w:shd w:val="clear" w:color="auto" w:fill="B9CDE5"/>
            <w:vAlign w:val="center"/>
          </w:tcPr>
          <w:p w14:paraId="68E9B32E" w14:textId="77777777" w:rsidR="00224ABF" w:rsidRPr="00905AEC" w:rsidRDefault="00224ABF" w:rsidP="00224ABF">
            <w:pPr>
              <w:spacing w:after="0" w:line="240" w:lineRule="auto"/>
              <w:jc w:val="right"/>
              <w:rPr>
                <w:color w:val="17365D"/>
                <w:sz w:val="18"/>
                <w:szCs w:val="18"/>
              </w:rPr>
            </w:pPr>
          </w:p>
        </w:tc>
        <w:tc>
          <w:tcPr>
            <w:tcW w:w="1559" w:type="dxa"/>
            <w:tcBorders>
              <w:top w:val="single" w:sz="4" w:space="0" w:color="17365D"/>
            </w:tcBorders>
            <w:shd w:val="clear" w:color="auto" w:fill="B9CDE5"/>
            <w:vAlign w:val="center"/>
          </w:tcPr>
          <w:p w14:paraId="688BD5BB" w14:textId="77777777" w:rsidR="00224ABF" w:rsidRPr="00905AEC" w:rsidRDefault="00224ABF" w:rsidP="00224ABF">
            <w:pPr>
              <w:spacing w:after="0" w:line="240" w:lineRule="auto"/>
              <w:jc w:val="right"/>
              <w:rPr>
                <w:color w:val="17365D"/>
                <w:sz w:val="18"/>
                <w:szCs w:val="18"/>
              </w:rPr>
            </w:pPr>
          </w:p>
        </w:tc>
        <w:tc>
          <w:tcPr>
            <w:tcW w:w="1172" w:type="dxa"/>
            <w:tcBorders>
              <w:top w:val="single" w:sz="4" w:space="0" w:color="17365D"/>
            </w:tcBorders>
            <w:shd w:val="clear" w:color="auto" w:fill="B9CDE5"/>
            <w:vAlign w:val="center"/>
          </w:tcPr>
          <w:p w14:paraId="579367F6" w14:textId="77777777" w:rsidR="00224ABF" w:rsidRPr="00905AEC" w:rsidRDefault="00224ABF" w:rsidP="00224ABF">
            <w:pPr>
              <w:spacing w:after="0" w:line="240" w:lineRule="auto"/>
              <w:jc w:val="right"/>
              <w:rPr>
                <w:color w:val="17365D"/>
                <w:sz w:val="18"/>
                <w:szCs w:val="18"/>
              </w:rPr>
            </w:pPr>
          </w:p>
        </w:tc>
      </w:tr>
    </w:tbl>
    <w:p w14:paraId="7EC20983" w14:textId="363E6E35" w:rsidR="00224ABF" w:rsidRDefault="00224ABF" w:rsidP="00224ABF">
      <w:pPr>
        <w:pStyle w:val="Pamatteksts1"/>
        <w:spacing w:before="240"/>
        <w:ind w:left="851" w:hanging="851"/>
        <w:rPr>
          <w:color w:val="17365D"/>
        </w:rPr>
      </w:pPr>
      <w:r w:rsidRPr="0081088B">
        <w:rPr>
          <w:rStyle w:val="Heading4Char"/>
        </w:rPr>
        <w:t>Piezīme Nr. NP.D</w:t>
      </w:r>
      <w:r>
        <w:rPr>
          <w:rStyle w:val="Heading4Char"/>
        </w:rPr>
        <w:t xml:space="preserve"> </w:t>
      </w:r>
      <w:r w:rsidRPr="0081088B">
        <w:rPr>
          <w:rStyle w:val="Heading4Char"/>
        </w:rPr>
        <w:t>Naudas līdzekļu plūsmu no piesaistītajiem līdzekļiem</w:t>
      </w:r>
      <w:r w:rsidRPr="00232120">
        <w:rPr>
          <w:color w:val="17365D"/>
        </w:rPr>
        <w:t xml:space="preserve"> </w:t>
      </w:r>
    </w:p>
    <w:p w14:paraId="74F3D854" w14:textId="2EB05BD1" w:rsidR="00224ABF" w:rsidRPr="00232120" w:rsidRDefault="00224ABF" w:rsidP="00224ABF">
      <w:pPr>
        <w:pStyle w:val="Pamatteksts1"/>
        <w:spacing w:before="240"/>
        <w:ind w:firstLine="284"/>
        <w:rPr>
          <w:color w:val="17365D"/>
        </w:rPr>
      </w:pPr>
      <w:r>
        <w:rPr>
          <w:color w:val="17365D"/>
        </w:rPr>
        <w:t xml:space="preserve">Šajā postenī </w:t>
      </w:r>
      <w:r w:rsidRPr="00232120">
        <w:rPr>
          <w:color w:val="17365D"/>
        </w:rPr>
        <w:t>uzrāda valsts budžeta finanšu uzskait</w:t>
      </w:r>
      <w:r>
        <w:rPr>
          <w:color w:val="17365D"/>
        </w:rPr>
        <w:t>es</w:t>
      </w:r>
      <w:r w:rsidRPr="00232120">
        <w:rPr>
          <w:color w:val="17365D"/>
        </w:rPr>
        <w:t xml:space="preserve"> darījum</w:t>
      </w:r>
      <w:r>
        <w:rPr>
          <w:color w:val="17365D"/>
        </w:rPr>
        <w:t>us par piesaistītajiem līdzekļiem</w:t>
      </w:r>
      <w:r w:rsidR="00EF19B1">
        <w:rPr>
          <w:color w:val="17365D"/>
        </w:rPr>
        <w:t xml:space="preserve"> (naudas līdzekļi </w:t>
      </w:r>
      <w:r>
        <w:rPr>
          <w:color w:val="17365D"/>
        </w:rPr>
        <w:t xml:space="preserve">Valsts kases klientu kontos </w:t>
      </w:r>
      <w:r w:rsidR="00EF19B1">
        <w:rPr>
          <w:color w:val="17365D"/>
        </w:rPr>
        <w:t>un depozītu kontos). S</w:t>
      </w:r>
      <w:r>
        <w:rPr>
          <w:color w:val="17365D"/>
        </w:rPr>
        <w:t>alīdzinot ar</w:t>
      </w:r>
      <w:r w:rsidR="00F37EB4">
        <w:rPr>
          <w:color w:val="17365D"/>
        </w:rPr>
        <w:t xml:space="preserve"> iepriekšējo pārskata periodu, šī naudas plūsma</w:t>
      </w:r>
      <w:r>
        <w:rPr>
          <w:color w:val="17365D"/>
        </w:rPr>
        <w:t xml:space="preserve"> ir samazināju</w:t>
      </w:r>
      <w:r w:rsidR="00F37EB4">
        <w:rPr>
          <w:color w:val="17365D"/>
        </w:rPr>
        <w:t>s</w:t>
      </w:r>
      <w:r>
        <w:rPr>
          <w:color w:val="17365D"/>
        </w:rPr>
        <w:t xml:space="preserve">ies </w:t>
      </w:r>
      <w:r w:rsidRPr="00232120">
        <w:rPr>
          <w:color w:val="17365D"/>
        </w:rPr>
        <w:t>(</w:t>
      </w:r>
      <w:r>
        <w:rPr>
          <w:color w:val="17365D"/>
        </w:rPr>
        <w:t>52</w:t>
      </w:r>
      <w:r w:rsidRPr="00232120">
        <w:rPr>
          <w:color w:val="17365D"/>
        </w:rPr>
        <w:t> </w:t>
      </w:r>
      <w:r>
        <w:rPr>
          <w:color w:val="17365D"/>
        </w:rPr>
        <w:t>447</w:t>
      </w:r>
      <w:r w:rsidRPr="00232120">
        <w:rPr>
          <w:color w:val="17365D"/>
        </w:rPr>
        <w:t> </w:t>
      </w:r>
      <w:r>
        <w:rPr>
          <w:color w:val="17365D"/>
        </w:rPr>
        <w:t>448</w:t>
      </w:r>
      <w:r w:rsidRPr="00232120">
        <w:rPr>
          <w:color w:val="17365D"/>
        </w:rPr>
        <w:t xml:space="preserve">) </w:t>
      </w:r>
      <w:r w:rsidRPr="0002732A">
        <w:rPr>
          <w:i/>
          <w:color w:val="17365D"/>
        </w:rPr>
        <w:t>euro</w:t>
      </w:r>
      <w:r w:rsidRPr="00232120">
        <w:rPr>
          <w:color w:val="17365D"/>
        </w:rPr>
        <w:t xml:space="preserve"> vērtībā</w:t>
      </w:r>
      <w:r>
        <w:rPr>
          <w:color w:val="17365D"/>
        </w:rPr>
        <w:t>.</w:t>
      </w:r>
    </w:p>
    <w:p w14:paraId="3DC104AC" w14:textId="5D386A9B" w:rsidR="00B27512" w:rsidRDefault="00B27512" w:rsidP="00B27512">
      <w:pPr>
        <w:pStyle w:val="Heading3"/>
        <w:ind w:left="0"/>
        <w:rPr>
          <w:rFonts w:eastAsia="Arial Unicode MS"/>
          <w:noProof/>
          <w:lang w:eastAsia="lv-LV"/>
        </w:rPr>
      </w:pPr>
      <w:r>
        <w:lastRenderedPageBreak/>
        <w:t>S</w:t>
      </w:r>
      <w:r w:rsidRPr="00A27896">
        <w:t xml:space="preserve">kaidrojumi </w:t>
      </w:r>
      <w:r>
        <w:t>naudas plūsmas pārskata</w:t>
      </w:r>
      <w:r w:rsidRPr="00A27896">
        <w:t xml:space="preserve"> posteņu konsolidācij</w:t>
      </w:r>
      <w:r>
        <w:t>ai</w:t>
      </w:r>
      <w:r w:rsidRPr="00A27896">
        <w:t xml:space="preserve"> un korekcij</w:t>
      </w:r>
      <w:r>
        <w:t>ai</w:t>
      </w:r>
    </w:p>
    <w:p w14:paraId="401D8C2E" w14:textId="77777777" w:rsidR="00224ABF" w:rsidRPr="00B27512" w:rsidRDefault="00224ABF" w:rsidP="00224ABF">
      <w:pPr>
        <w:pStyle w:val="Pamatteksts1"/>
        <w:ind w:firstLine="0"/>
        <w:rPr>
          <w:bCs/>
          <w:noProof w:val="0"/>
          <w:color w:val="17365D"/>
        </w:rPr>
      </w:pPr>
      <w:r w:rsidRPr="00B27512">
        <w:rPr>
          <w:bCs/>
          <w:noProof w:val="0"/>
          <w:color w:val="17365D"/>
        </w:rPr>
        <w:t>Konsolidētajā naudas plūsmas pārskatā veikta</w:t>
      </w:r>
      <w:r w:rsidRPr="00405986">
        <w:rPr>
          <w:b/>
          <w:noProof w:val="0"/>
          <w:color w:val="17365D"/>
        </w:rPr>
        <w:t xml:space="preserve"> korekcija </w:t>
      </w:r>
      <w:r w:rsidRPr="00B27512">
        <w:rPr>
          <w:bCs/>
          <w:noProof w:val="0"/>
          <w:color w:val="17365D"/>
        </w:rPr>
        <w:t>šādos pārskata posteņos:</w:t>
      </w:r>
    </w:p>
    <w:p w14:paraId="48979215" w14:textId="77777777" w:rsidR="00224ABF" w:rsidRPr="00405986" w:rsidRDefault="00224ABF" w:rsidP="00224ABF">
      <w:pPr>
        <w:pStyle w:val="BodyTextIndent"/>
        <w:numPr>
          <w:ilvl w:val="0"/>
          <w:numId w:val="18"/>
        </w:numPr>
        <w:spacing w:after="120" w:line="240" w:lineRule="auto"/>
        <w:ind w:left="851" w:hanging="369"/>
        <w:jc w:val="both"/>
        <w:rPr>
          <w:color w:val="17365D"/>
        </w:rPr>
      </w:pPr>
      <w:r w:rsidRPr="00405986">
        <w:rPr>
          <w:color w:val="17365D"/>
        </w:rPr>
        <w:t>pamatdarb</w:t>
      </w:r>
      <w:r>
        <w:rPr>
          <w:color w:val="17365D"/>
        </w:rPr>
        <w:t>ības ieņēmumi par kopējo summu 5</w:t>
      </w:r>
      <w:r w:rsidRPr="00405986">
        <w:rPr>
          <w:color w:val="17365D"/>
        </w:rPr>
        <w:t> </w:t>
      </w:r>
      <w:r w:rsidRPr="00405986">
        <w:rPr>
          <w:i/>
          <w:color w:val="17365D"/>
        </w:rPr>
        <w:t>euro</w:t>
      </w:r>
      <w:r w:rsidRPr="00405986">
        <w:rPr>
          <w:color w:val="17365D"/>
        </w:rPr>
        <w:t>;</w:t>
      </w:r>
    </w:p>
    <w:p w14:paraId="79CC1381" w14:textId="77777777" w:rsidR="00224ABF" w:rsidRDefault="00224ABF" w:rsidP="00224ABF">
      <w:pPr>
        <w:pStyle w:val="BodyTextIndent"/>
        <w:numPr>
          <w:ilvl w:val="0"/>
          <w:numId w:val="18"/>
        </w:numPr>
        <w:spacing w:after="120" w:line="240" w:lineRule="auto"/>
        <w:ind w:left="851" w:hanging="369"/>
        <w:jc w:val="both"/>
        <w:rPr>
          <w:color w:val="17365D"/>
        </w:rPr>
      </w:pPr>
      <w:r w:rsidRPr="00405986">
        <w:rPr>
          <w:color w:val="17365D"/>
        </w:rPr>
        <w:t>pamatdarb</w:t>
      </w:r>
      <w:r>
        <w:rPr>
          <w:color w:val="17365D"/>
        </w:rPr>
        <w:t>ības izdevumi par kopējo summu 1</w:t>
      </w:r>
      <w:r w:rsidRPr="00405986">
        <w:rPr>
          <w:color w:val="17365D"/>
        </w:rPr>
        <w:t> </w:t>
      </w:r>
      <w:r w:rsidRPr="00405986">
        <w:rPr>
          <w:i/>
          <w:color w:val="17365D"/>
        </w:rPr>
        <w:t>euro</w:t>
      </w:r>
      <w:r w:rsidRPr="00405986">
        <w:rPr>
          <w:color w:val="17365D"/>
        </w:rPr>
        <w:t>;</w:t>
      </w:r>
    </w:p>
    <w:p w14:paraId="251540F0" w14:textId="77777777" w:rsidR="00224ABF" w:rsidRPr="00CE5B53" w:rsidRDefault="00224ABF" w:rsidP="00224ABF">
      <w:pPr>
        <w:pStyle w:val="BodyTextIndent"/>
        <w:numPr>
          <w:ilvl w:val="0"/>
          <w:numId w:val="18"/>
        </w:numPr>
        <w:spacing w:after="120" w:line="240" w:lineRule="auto"/>
        <w:ind w:left="851" w:hanging="369"/>
        <w:jc w:val="both"/>
        <w:rPr>
          <w:color w:val="17365D"/>
        </w:rPr>
      </w:pPr>
      <w:r w:rsidRPr="00405986">
        <w:rPr>
          <w:color w:val="17365D"/>
        </w:rPr>
        <w:t xml:space="preserve">finansēšanas darbības </w:t>
      </w:r>
      <w:r>
        <w:rPr>
          <w:color w:val="17365D"/>
        </w:rPr>
        <w:t>ieņēmumi</w:t>
      </w:r>
      <w:r w:rsidRPr="00405986">
        <w:rPr>
          <w:color w:val="17365D"/>
        </w:rPr>
        <w:t xml:space="preserve"> par kopējo summu (</w:t>
      </w:r>
      <w:r>
        <w:rPr>
          <w:color w:val="17365D"/>
        </w:rPr>
        <w:t>5</w:t>
      </w:r>
      <w:r w:rsidRPr="00405986">
        <w:rPr>
          <w:color w:val="17365D"/>
        </w:rPr>
        <w:t>) </w:t>
      </w:r>
      <w:r w:rsidRPr="00405986">
        <w:rPr>
          <w:i/>
          <w:color w:val="17365D"/>
        </w:rPr>
        <w:t>euro</w:t>
      </w:r>
      <w:r w:rsidRPr="00405986">
        <w:rPr>
          <w:color w:val="17365D"/>
        </w:rPr>
        <w:t>;</w:t>
      </w:r>
    </w:p>
    <w:p w14:paraId="3B690171" w14:textId="77777777" w:rsidR="00224ABF" w:rsidRPr="00405986" w:rsidRDefault="00224ABF" w:rsidP="00224ABF">
      <w:pPr>
        <w:pStyle w:val="BodyTextIndent"/>
        <w:numPr>
          <w:ilvl w:val="0"/>
          <w:numId w:val="18"/>
        </w:numPr>
        <w:spacing w:after="120" w:line="240" w:lineRule="auto"/>
        <w:ind w:left="851" w:hanging="369"/>
        <w:jc w:val="both"/>
        <w:rPr>
          <w:color w:val="17365D"/>
        </w:rPr>
      </w:pPr>
      <w:r w:rsidRPr="00405986">
        <w:rPr>
          <w:color w:val="17365D"/>
        </w:rPr>
        <w:t>finansēšanas darbības izdevumi par kopējo summu (</w:t>
      </w:r>
      <w:r>
        <w:rPr>
          <w:color w:val="17365D"/>
        </w:rPr>
        <w:t>1</w:t>
      </w:r>
      <w:r w:rsidRPr="00405986">
        <w:rPr>
          <w:color w:val="17365D"/>
        </w:rPr>
        <w:t>) </w:t>
      </w:r>
      <w:r w:rsidRPr="00405986">
        <w:rPr>
          <w:i/>
          <w:color w:val="17365D"/>
        </w:rPr>
        <w:t>euro</w:t>
      </w:r>
      <w:r w:rsidRPr="00405986">
        <w:rPr>
          <w:color w:val="17365D"/>
        </w:rPr>
        <w:t>;</w:t>
      </w:r>
    </w:p>
    <w:p w14:paraId="4669261D" w14:textId="77777777" w:rsidR="00224ABF" w:rsidRPr="00B27512" w:rsidRDefault="00224ABF" w:rsidP="00224ABF">
      <w:pPr>
        <w:pStyle w:val="Pamatteksts1"/>
        <w:ind w:firstLine="0"/>
        <w:rPr>
          <w:bCs/>
          <w:noProof w:val="0"/>
          <w:color w:val="17365D"/>
        </w:rPr>
      </w:pPr>
      <w:r w:rsidRPr="00B27512">
        <w:rPr>
          <w:bCs/>
          <w:noProof w:val="0"/>
          <w:color w:val="17365D"/>
        </w:rPr>
        <w:t>Konsolidētajā naudas plūsmas pārskatā veikta</w:t>
      </w:r>
      <w:r w:rsidRPr="00405986">
        <w:rPr>
          <w:b/>
          <w:noProof w:val="0"/>
          <w:color w:val="17365D"/>
        </w:rPr>
        <w:t xml:space="preserve"> konsolidācija </w:t>
      </w:r>
      <w:r w:rsidRPr="00B27512">
        <w:rPr>
          <w:bCs/>
          <w:noProof w:val="0"/>
          <w:color w:val="17365D"/>
        </w:rPr>
        <w:t>šādos pārskata posteņos:</w:t>
      </w:r>
    </w:p>
    <w:p w14:paraId="4AE80D1D" w14:textId="77777777" w:rsidR="00224ABF" w:rsidRPr="00405986" w:rsidRDefault="00224ABF" w:rsidP="00224ABF">
      <w:pPr>
        <w:pStyle w:val="BodyTextIndent"/>
        <w:numPr>
          <w:ilvl w:val="0"/>
          <w:numId w:val="18"/>
        </w:numPr>
        <w:spacing w:after="120" w:line="240" w:lineRule="auto"/>
        <w:ind w:left="851" w:hanging="369"/>
        <w:jc w:val="both"/>
        <w:rPr>
          <w:color w:val="17365D"/>
        </w:rPr>
      </w:pPr>
      <w:r w:rsidRPr="00405986">
        <w:rPr>
          <w:color w:val="17365D"/>
        </w:rPr>
        <w:t>pamatdarbības ieņēmumi par kopējo summu (1 </w:t>
      </w:r>
      <w:r>
        <w:rPr>
          <w:color w:val="17365D"/>
        </w:rPr>
        <w:t>677</w:t>
      </w:r>
      <w:r w:rsidRPr="00405986">
        <w:rPr>
          <w:color w:val="17365D"/>
        </w:rPr>
        <w:t> </w:t>
      </w:r>
      <w:r>
        <w:rPr>
          <w:color w:val="17365D"/>
        </w:rPr>
        <w:t>962</w:t>
      </w:r>
      <w:r w:rsidRPr="00405986">
        <w:rPr>
          <w:color w:val="17365D"/>
        </w:rPr>
        <w:t> </w:t>
      </w:r>
      <w:r>
        <w:rPr>
          <w:color w:val="17365D"/>
        </w:rPr>
        <w:t>658</w:t>
      </w:r>
      <w:r w:rsidRPr="00405986">
        <w:rPr>
          <w:color w:val="17365D"/>
        </w:rPr>
        <w:t>) </w:t>
      </w:r>
      <w:r w:rsidRPr="00405986">
        <w:rPr>
          <w:i/>
          <w:color w:val="17365D"/>
        </w:rPr>
        <w:t>euro</w:t>
      </w:r>
      <w:r w:rsidRPr="00405986">
        <w:rPr>
          <w:color w:val="17365D"/>
        </w:rPr>
        <w:t>;</w:t>
      </w:r>
    </w:p>
    <w:p w14:paraId="434BDE90" w14:textId="77777777" w:rsidR="00224ABF" w:rsidRPr="00405986" w:rsidRDefault="00224ABF" w:rsidP="00224ABF">
      <w:pPr>
        <w:pStyle w:val="BodyTextIndent"/>
        <w:numPr>
          <w:ilvl w:val="0"/>
          <w:numId w:val="18"/>
        </w:numPr>
        <w:spacing w:after="120" w:line="240" w:lineRule="auto"/>
        <w:ind w:left="851" w:hanging="369"/>
        <w:jc w:val="both"/>
        <w:rPr>
          <w:color w:val="17365D"/>
        </w:rPr>
      </w:pPr>
      <w:r w:rsidRPr="00405986">
        <w:rPr>
          <w:color w:val="17365D"/>
        </w:rPr>
        <w:t>pamatdarbības izdevumi par kopējo summu (</w:t>
      </w:r>
      <w:r>
        <w:rPr>
          <w:color w:val="17365D"/>
        </w:rPr>
        <w:t>8</w:t>
      </w:r>
      <w:r w:rsidRPr="00405986">
        <w:rPr>
          <w:color w:val="17365D"/>
        </w:rPr>
        <w:t> </w:t>
      </w:r>
      <w:r>
        <w:rPr>
          <w:color w:val="17365D"/>
        </w:rPr>
        <w:t>625</w:t>
      </w:r>
      <w:r w:rsidRPr="00405986">
        <w:rPr>
          <w:color w:val="17365D"/>
        </w:rPr>
        <w:t> </w:t>
      </w:r>
      <w:r>
        <w:rPr>
          <w:color w:val="17365D"/>
        </w:rPr>
        <w:t>438</w:t>
      </w:r>
      <w:r w:rsidRPr="00405986">
        <w:rPr>
          <w:color w:val="17365D"/>
        </w:rPr>
        <w:t> </w:t>
      </w:r>
      <w:r>
        <w:rPr>
          <w:color w:val="17365D"/>
        </w:rPr>
        <w:t>591</w:t>
      </w:r>
      <w:r w:rsidRPr="00405986">
        <w:rPr>
          <w:color w:val="17365D"/>
        </w:rPr>
        <w:t>) </w:t>
      </w:r>
      <w:r w:rsidRPr="00405986">
        <w:rPr>
          <w:i/>
          <w:color w:val="17365D"/>
        </w:rPr>
        <w:t>euro</w:t>
      </w:r>
      <w:r w:rsidRPr="00405986">
        <w:rPr>
          <w:color w:val="17365D"/>
        </w:rPr>
        <w:t>;</w:t>
      </w:r>
    </w:p>
    <w:p w14:paraId="50A609A9" w14:textId="77777777" w:rsidR="00224ABF" w:rsidRPr="00405986" w:rsidRDefault="00224ABF" w:rsidP="00224ABF">
      <w:pPr>
        <w:pStyle w:val="BodyTextIndent"/>
        <w:numPr>
          <w:ilvl w:val="0"/>
          <w:numId w:val="18"/>
        </w:numPr>
        <w:spacing w:after="120" w:line="240" w:lineRule="auto"/>
        <w:ind w:left="851" w:hanging="369"/>
        <w:jc w:val="both"/>
        <w:rPr>
          <w:color w:val="17365D"/>
        </w:rPr>
      </w:pPr>
      <w:r w:rsidRPr="00405986">
        <w:rPr>
          <w:color w:val="17365D"/>
        </w:rPr>
        <w:t>ieguldījumu darbības ieņēmumi par kopējo summu (</w:t>
      </w:r>
      <w:r>
        <w:rPr>
          <w:color w:val="17365D"/>
        </w:rPr>
        <w:t>339</w:t>
      </w:r>
      <w:r w:rsidRPr="00405986">
        <w:rPr>
          <w:color w:val="17365D"/>
        </w:rPr>
        <w:t> </w:t>
      </w:r>
      <w:r>
        <w:rPr>
          <w:color w:val="17365D"/>
        </w:rPr>
        <w:t>277</w:t>
      </w:r>
      <w:r w:rsidRPr="00405986">
        <w:rPr>
          <w:color w:val="17365D"/>
        </w:rPr>
        <w:t> </w:t>
      </w:r>
      <w:r>
        <w:rPr>
          <w:color w:val="17365D"/>
        </w:rPr>
        <w:t>885</w:t>
      </w:r>
      <w:r w:rsidRPr="00405986">
        <w:rPr>
          <w:color w:val="17365D"/>
        </w:rPr>
        <w:t>) </w:t>
      </w:r>
      <w:r w:rsidRPr="00405986">
        <w:rPr>
          <w:i/>
          <w:color w:val="17365D"/>
        </w:rPr>
        <w:t>euro</w:t>
      </w:r>
      <w:r w:rsidRPr="00405986">
        <w:rPr>
          <w:color w:val="17365D"/>
        </w:rPr>
        <w:t>;</w:t>
      </w:r>
    </w:p>
    <w:p w14:paraId="0CCD7FF3" w14:textId="77777777" w:rsidR="00224ABF" w:rsidRPr="00405986" w:rsidRDefault="00224ABF" w:rsidP="00224ABF">
      <w:pPr>
        <w:pStyle w:val="BodyTextIndent"/>
        <w:numPr>
          <w:ilvl w:val="0"/>
          <w:numId w:val="18"/>
        </w:numPr>
        <w:spacing w:after="120" w:line="240" w:lineRule="auto"/>
        <w:ind w:left="851" w:hanging="369"/>
        <w:jc w:val="both"/>
        <w:rPr>
          <w:color w:val="17365D"/>
        </w:rPr>
      </w:pPr>
      <w:r w:rsidRPr="00405986">
        <w:rPr>
          <w:color w:val="17365D"/>
        </w:rPr>
        <w:t>ieguldījumu darbības izdevumi par kopējo summu (</w:t>
      </w:r>
      <w:r>
        <w:rPr>
          <w:color w:val="17365D"/>
        </w:rPr>
        <w:t>304</w:t>
      </w:r>
      <w:r w:rsidRPr="00405986">
        <w:rPr>
          <w:color w:val="17365D"/>
        </w:rPr>
        <w:t> </w:t>
      </w:r>
      <w:r>
        <w:rPr>
          <w:color w:val="17365D"/>
        </w:rPr>
        <w:t>600</w:t>
      </w:r>
      <w:r w:rsidRPr="00405986">
        <w:rPr>
          <w:color w:val="17365D"/>
        </w:rPr>
        <w:t> </w:t>
      </w:r>
      <w:r>
        <w:rPr>
          <w:color w:val="17365D"/>
        </w:rPr>
        <w:t>000</w:t>
      </w:r>
      <w:r w:rsidRPr="00405986">
        <w:rPr>
          <w:color w:val="17365D"/>
        </w:rPr>
        <w:t>) </w:t>
      </w:r>
      <w:r w:rsidRPr="00405986">
        <w:rPr>
          <w:i/>
          <w:color w:val="17365D"/>
        </w:rPr>
        <w:t>euro</w:t>
      </w:r>
      <w:r w:rsidRPr="00405986">
        <w:rPr>
          <w:color w:val="17365D"/>
        </w:rPr>
        <w:t>;</w:t>
      </w:r>
    </w:p>
    <w:p w14:paraId="42B241CD" w14:textId="77777777" w:rsidR="00224ABF" w:rsidRPr="00405986" w:rsidRDefault="00224ABF" w:rsidP="00224ABF">
      <w:pPr>
        <w:pStyle w:val="BodyTextIndent"/>
        <w:numPr>
          <w:ilvl w:val="0"/>
          <w:numId w:val="18"/>
        </w:numPr>
        <w:spacing w:after="120" w:line="240" w:lineRule="auto"/>
        <w:ind w:left="851" w:hanging="369"/>
        <w:jc w:val="both"/>
        <w:rPr>
          <w:color w:val="17365D"/>
        </w:rPr>
      </w:pPr>
      <w:r w:rsidRPr="00405986">
        <w:rPr>
          <w:color w:val="17365D"/>
        </w:rPr>
        <w:t>finansēšanas darbības ieņēmumi par kopējo summu (</w:t>
      </w:r>
      <w:r>
        <w:rPr>
          <w:color w:val="17365D"/>
        </w:rPr>
        <w:t>539</w:t>
      </w:r>
      <w:r w:rsidRPr="00405986">
        <w:rPr>
          <w:color w:val="17365D"/>
        </w:rPr>
        <w:t> </w:t>
      </w:r>
      <w:r>
        <w:rPr>
          <w:color w:val="17365D"/>
        </w:rPr>
        <w:t>582</w:t>
      </w:r>
      <w:r w:rsidRPr="00405986">
        <w:rPr>
          <w:color w:val="17365D"/>
        </w:rPr>
        <w:t> </w:t>
      </w:r>
      <w:r>
        <w:rPr>
          <w:color w:val="17365D"/>
        </w:rPr>
        <w:t>627</w:t>
      </w:r>
      <w:r w:rsidRPr="00405986">
        <w:rPr>
          <w:color w:val="17365D"/>
        </w:rPr>
        <w:t>) </w:t>
      </w:r>
      <w:r w:rsidRPr="00405986">
        <w:rPr>
          <w:i/>
          <w:color w:val="17365D"/>
        </w:rPr>
        <w:t>euro</w:t>
      </w:r>
      <w:r w:rsidRPr="00405986">
        <w:rPr>
          <w:color w:val="17365D"/>
        </w:rPr>
        <w:t>;</w:t>
      </w:r>
    </w:p>
    <w:p w14:paraId="4B933BF9" w14:textId="77777777" w:rsidR="00224ABF" w:rsidRPr="00405986" w:rsidRDefault="00224ABF" w:rsidP="00224ABF">
      <w:pPr>
        <w:pStyle w:val="BodyTextIndent"/>
        <w:numPr>
          <w:ilvl w:val="0"/>
          <w:numId w:val="18"/>
        </w:numPr>
        <w:spacing w:after="120" w:line="240" w:lineRule="auto"/>
        <w:ind w:left="851" w:hanging="369"/>
        <w:jc w:val="both"/>
        <w:rPr>
          <w:color w:val="17365D"/>
        </w:rPr>
      </w:pPr>
      <w:r w:rsidRPr="00405986">
        <w:rPr>
          <w:color w:val="17365D"/>
        </w:rPr>
        <w:t>finansēšanas darbības izdevumi par kopējo summu (</w:t>
      </w:r>
      <w:r>
        <w:rPr>
          <w:color w:val="17365D"/>
        </w:rPr>
        <w:t>528</w:t>
      </w:r>
      <w:r w:rsidRPr="00405986">
        <w:rPr>
          <w:color w:val="17365D"/>
        </w:rPr>
        <w:t> </w:t>
      </w:r>
      <w:r>
        <w:rPr>
          <w:color w:val="17365D"/>
        </w:rPr>
        <w:t>020</w:t>
      </w:r>
      <w:r w:rsidRPr="00405986">
        <w:rPr>
          <w:color w:val="17365D"/>
        </w:rPr>
        <w:t> </w:t>
      </w:r>
      <w:r>
        <w:rPr>
          <w:color w:val="17365D"/>
        </w:rPr>
        <w:t>050</w:t>
      </w:r>
      <w:r w:rsidRPr="00405986">
        <w:rPr>
          <w:color w:val="17365D"/>
        </w:rPr>
        <w:t>) </w:t>
      </w:r>
      <w:r w:rsidRPr="00405986">
        <w:rPr>
          <w:i/>
          <w:color w:val="17365D"/>
        </w:rPr>
        <w:t>euro</w:t>
      </w:r>
      <w:r w:rsidRPr="00405986">
        <w:rPr>
          <w:color w:val="17365D"/>
        </w:rPr>
        <w:t>;</w:t>
      </w:r>
    </w:p>
    <w:p w14:paraId="6A70ABE0" w14:textId="77777777" w:rsidR="00224ABF" w:rsidRPr="00405986" w:rsidRDefault="00224ABF" w:rsidP="00224ABF">
      <w:pPr>
        <w:pStyle w:val="BodyTextIndent"/>
        <w:numPr>
          <w:ilvl w:val="0"/>
          <w:numId w:val="18"/>
        </w:numPr>
        <w:spacing w:after="120" w:line="240" w:lineRule="auto"/>
        <w:ind w:left="851" w:hanging="369"/>
        <w:jc w:val="both"/>
        <w:rPr>
          <w:color w:val="17365D"/>
        </w:rPr>
      </w:pPr>
      <w:r w:rsidRPr="00405986">
        <w:rPr>
          <w:color w:val="17365D"/>
        </w:rPr>
        <w:t xml:space="preserve">naudas līdzekļu plūsma no piesaistītajiem līdzekļiem par kopējo summu </w:t>
      </w:r>
      <w:r>
        <w:rPr>
          <w:color w:val="17365D"/>
        </w:rPr>
        <w:t>3</w:t>
      </w:r>
      <w:r w:rsidRPr="00405986">
        <w:rPr>
          <w:color w:val="17365D"/>
        </w:rPr>
        <w:t> </w:t>
      </w:r>
      <w:r>
        <w:rPr>
          <w:color w:val="17365D"/>
        </w:rPr>
        <w:t>011</w:t>
      </w:r>
      <w:r w:rsidRPr="00405986">
        <w:rPr>
          <w:color w:val="17365D"/>
        </w:rPr>
        <w:t> </w:t>
      </w:r>
      <w:r>
        <w:rPr>
          <w:color w:val="17365D"/>
        </w:rPr>
        <w:t>669</w:t>
      </w:r>
      <w:r w:rsidRPr="00405986">
        <w:rPr>
          <w:color w:val="17365D"/>
        </w:rPr>
        <w:t> </w:t>
      </w:r>
      <w:r>
        <w:rPr>
          <w:color w:val="17365D"/>
        </w:rPr>
        <w:t>977</w:t>
      </w:r>
      <w:r w:rsidRPr="00405986">
        <w:rPr>
          <w:color w:val="17365D"/>
        </w:rPr>
        <w:t> </w:t>
      </w:r>
      <w:r w:rsidRPr="00405986">
        <w:rPr>
          <w:i/>
          <w:color w:val="17365D"/>
        </w:rPr>
        <w:t>euro</w:t>
      </w:r>
      <w:r w:rsidRPr="00405986">
        <w:rPr>
          <w:color w:val="17365D"/>
        </w:rPr>
        <w:t>;</w:t>
      </w:r>
    </w:p>
    <w:p w14:paraId="7F7EAA34" w14:textId="77777777" w:rsidR="00224ABF" w:rsidRPr="00405986" w:rsidRDefault="00224ABF" w:rsidP="00224ABF">
      <w:pPr>
        <w:pStyle w:val="BodyTextIndent"/>
        <w:numPr>
          <w:ilvl w:val="0"/>
          <w:numId w:val="18"/>
        </w:numPr>
        <w:spacing w:after="120" w:line="240" w:lineRule="auto"/>
        <w:ind w:left="851" w:hanging="369"/>
        <w:jc w:val="both"/>
        <w:rPr>
          <w:color w:val="17365D"/>
        </w:rPr>
      </w:pPr>
      <w:r w:rsidRPr="00405986">
        <w:rPr>
          <w:color w:val="17365D"/>
        </w:rPr>
        <w:t>dotācija no vispārējiem ieņēmumiem par kopējo summu (</w:t>
      </w:r>
      <w:r>
        <w:rPr>
          <w:color w:val="17365D"/>
        </w:rPr>
        <w:t>10</w:t>
      </w:r>
      <w:r w:rsidRPr="00405986">
        <w:rPr>
          <w:color w:val="17365D"/>
        </w:rPr>
        <w:t> </w:t>
      </w:r>
      <w:r>
        <w:rPr>
          <w:color w:val="17365D"/>
        </w:rPr>
        <w:t>049</w:t>
      </w:r>
      <w:r w:rsidRPr="00405986">
        <w:rPr>
          <w:color w:val="17365D"/>
        </w:rPr>
        <w:t> </w:t>
      </w:r>
      <w:r>
        <w:rPr>
          <w:color w:val="17365D"/>
        </w:rPr>
        <w:t>552</w:t>
      </w:r>
      <w:r w:rsidRPr="00405986">
        <w:rPr>
          <w:color w:val="17365D"/>
        </w:rPr>
        <w:t> </w:t>
      </w:r>
      <w:r>
        <w:rPr>
          <w:color w:val="17365D"/>
        </w:rPr>
        <w:t>744</w:t>
      </w:r>
      <w:r w:rsidRPr="00405986">
        <w:rPr>
          <w:color w:val="17365D"/>
        </w:rPr>
        <w:t>) </w:t>
      </w:r>
      <w:r w:rsidRPr="00405986">
        <w:rPr>
          <w:i/>
          <w:color w:val="17365D"/>
        </w:rPr>
        <w:t>euro</w:t>
      </w:r>
      <w:r w:rsidRPr="00405986">
        <w:rPr>
          <w:color w:val="17365D"/>
        </w:rPr>
        <w:t>;</w:t>
      </w:r>
    </w:p>
    <w:p w14:paraId="6447F913" w14:textId="39549A6E" w:rsidR="00B9362D" w:rsidRPr="00A27896" w:rsidRDefault="00224ABF" w:rsidP="00224ABF">
      <w:pPr>
        <w:pStyle w:val="Pamatteksts1"/>
        <w:numPr>
          <w:ilvl w:val="0"/>
          <w:numId w:val="18"/>
        </w:numPr>
        <w:ind w:left="851"/>
        <w:rPr>
          <w:color w:val="17365D"/>
        </w:rPr>
      </w:pPr>
      <w:r w:rsidRPr="00DF0DC3">
        <w:rPr>
          <w:color w:val="17365D"/>
        </w:rPr>
        <w:t xml:space="preserve">naudas līdzekļu un noguldījumu izmaiņas pārskata periodā konsolidētas par kopējo summu 136 647 296 </w:t>
      </w:r>
      <w:r w:rsidRPr="00DF0DC3">
        <w:rPr>
          <w:i/>
          <w:color w:val="17365D"/>
        </w:rPr>
        <w:t>euro</w:t>
      </w:r>
      <w:r w:rsidRPr="00DF0DC3">
        <w:rPr>
          <w:color w:val="17365D"/>
        </w:rPr>
        <w:t>.</w:t>
      </w:r>
    </w:p>
    <w:sectPr w:rsidR="00B9362D" w:rsidRPr="00A27896" w:rsidSect="00AC7FDB">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1D75F" w14:textId="77777777" w:rsidR="00475A10" w:rsidRDefault="00475A10" w:rsidP="00C25339">
      <w:pPr>
        <w:spacing w:after="0"/>
      </w:pPr>
      <w:r>
        <w:separator/>
      </w:r>
    </w:p>
  </w:endnote>
  <w:endnote w:type="continuationSeparator" w:id="0">
    <w:p w14:paraId="214AD5F0" w14:textId="77777777" w:rsidR="00475A10" w:rsidRDefault="00475A10" w:rsidP="00C25339">
      <w:pPr>
        <w:spacing w:after="0"/>
      </w:pPr>
      <w:r>
        <w:continuationSeparator/>
      </w:r>
    </w:p>
  </w:endnote>
  <w:endnote w:type="continuationNotice" w:id="1">
    <w:p w14:paraId="05CFAAE1" w14:textId="77777777" w:rsidR="00475A10" w:rsidRDefault="00475A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5510626"/>
      <w:docPartObj>
        <w:docPartGallery w:val="Page Numbers (Bottom of Page)"/>
        <w:docPartUnique/>
      </w:docPartObj>
    </w:sdtPr>
    <w:sdtEndPr>
      <w:rPr>
        <w:noProof/>
        <w:color w:val="17365D"/>
        <w:sz w:val="20"/>
      </w:rPr>
    </w:sdtEndPr>
    <w:sdtContent>
      <w:p w14:paraId="7689B704" w14:textId="7C53EFD9" w:rsidR="00475A10" w:rsidRPr="007A7A77" w:rsidRDefault="00475A10" w:rsidP="007A7A77">
        <w:pPr>
          <w:pStyle w:val="Footer"/>
          <w:jc w:val="right"/>
          <w:rPr>
            <w:color w:val="17365D"/>
            <w:sz w:val="20"/>
          </w:rPr>
        </w:pPr>
        <w:r w:rsidRPr="00BF73C5">
          <w:rPr>
            <w:noProof/>
            <w:lang w:eastAsia="lv-LV"/>
          </w:rPr>
          <mc:AlternateContent>
            <mc:Choice Requires="wps">
              <w:drawing>
                <wp:anchor distT="0" distB="0" distL="114300" distR="114300" simplePos="0" relativeHeight="251665408" behindDoc="0" locked="0" layoutInCell="1" allowOverlap="1" wp14:anchorId="5445A629" wp14:editId="7528424C">
                  <wp:simplePos x="0" y="0"/>
                  <wp:positionH relativeFrom="column">
                    <wp:posOffset>101660</wp:posOffset>
                  </wp:positionH>
                  <wp:positionV relativeFrom="paragraph">
                    <wp:posOffset>-53711</wp:posOffset>
                  </wp:positionV>
                  <wp:extent cx="5348377" cy="345057"/>
                  <wp:effectExtent l="0" t="0" r="5080" b="0"/>
                  <wp:wrapNone/>
                  <wp:docPr id="4" name="Rounded Rectangle 4"/>
                  <wp:cNvGraphicFramePr/>
                  <a:graphic xmlns:a="http://schemas.openxmlformats.org/drawingml/2006/main">
                    <a:graphicData uri="http://schemas.microsoft.com/office/word/2010/wordprocessingShape">
                      <wps:wsp>
                        <wps:cNvSpPr/>
                        <wps:spPr>
                          <a:xfrm>
                            <a:off x="0" y="0"/>
                            <a:ext cx="5348377" cy="345057"/>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3C82EE85" w14:textId="458627D6" w:rsidR="00475A10" w:rsidRDefault="00475A10" w:rsidP="007A7A77">
                              <w:pPr>
                                <w:spacing w:line="240" w:lineRule="auto"/>
                                <w:jc w:val="center"/>
                                <w:rPr>
                                  <w:color w:val="17365D"/>
                                  <w:sz w:val="20"/>
                                  <w:szCs w:val="20"/>
                                </w:rPr>
                              </w:pPr>
                              <w:r>
                                <w:rPr>
                                  <w:color w:val="17365D"/>
                                  <w:sz w:val="20"/>
                                  <w:szCs w:val="20"/>
                                </w:rPr>
                                <w:t>1_07_FMInf_Fpp_150724; Latvijas Republikas konsolidētais 2023</w:t>
                              </w:r>
                              <w:r w:rsidRPr="00D8601B">
                                <w:rPr>
                                  <w:color w:val="17365D"/>
                                  <w:sz w:val="20"/>
                                  <w:szCs w:val="20"/>
                                </w:rPr>
                                <w:t>. gada pārskats; 1. sējums</w:t>
                              </w:r>
                            </w:p>
                            <w:p w14:paraId="060527E8" w14:textId="77777777" w:rsidR="00475A10" w:rsidRPr="00D8601B" w:rsidRDefault="00475A10" w:rsidP="007A7A77">
                              <w:pPr>
                                <w:spacing w:line="240" w:lineRule="auto"/>
                                <w:jc w:val="center"/>
                                <w:rPr>
                                  <w:color w:val="17365D"/>
                                  <w:sz w:val="20"/>
                                  <w:szCs w:val="20"/>
                                </w:rPr>
                              </w:pPr>
                            </w:p>
                            <w:p w14:paraId="0ED89C9E" w14:textId="77777777" w:rsidR="00475A10" w:rsidRPr="004E5A5E" w:rsidRDefault="00475A10" w:rsidP="007A7A77">
                              <w:pPr>
                                <w:jc w:val="center"/>
                                <w:rPr>
                                  <w:color w:val="17365D" w:themeColor="text2" w:themeShade="BF"/>
                                  <w:sz w:val="20"/>
                                  <w:szCs w:val="20"/>
                                </w:rPr>
                              </w:pPr>
                              <w:r w:rsidRPr="000847D9">
                                <w:rPr>
                                  <w:color w:val="17365D" w:themeColor="text2" w:themeShade="BF"/>
                                  <w:sz w:val="20"/>
                                  <w:szCs w:val="20"/>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45A629" id="Rounded Rectangle 4" o:spid="_x0000_s1026" style="position:absolute;left:0;text-align:left;margin-left:8pt;margin-top:-4.25pt;width:421.15pt;height:2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" fillcolor="#dbe5f1 [660]" stroked="f" strokeweight="1pt">
                  <v:stroke dashstyle="dash"/>
                  <v:textbox>
                    <w:txbxContent>
                      <w:p w14:paraId="3C82EE85" w14:textId="458627D6" w:rsidR="00475A10" w:rsidRDefault="00475A10" w:rsidP="007A7A77">
                        <w:pPr>
                          <w:spacing w:line="240" w:lineRule="auto"/>
                          <w:jc w:val="center"/>
                          <w:rPr>
                            <w:color w:val="17365D"/>
                            <w:sz w:val="20"/>
                            <w:szCs w:val="20"/>
                          </w:rPr>
                        </w:pPr>
                        <w:r>
                          <w:rPr>
                            <w:color w:val="17365D"/>
                            <w:sz w:val="20"/>
                            <w:szCs w:val="20"/>
                          </w:rPr>
                          <w:t>1_07_FMInf_Fpp_150724; Latvijas Republikas konsolidētais 2023</w:t>
                        </w:r>
                        <w:r w:rsidRPr="00D8601B">
                          <w:rPr>
                            <w:color w:val="17365D"/>
                            <w:sz w:val="20"/>
                            <w:szCs w:val="20"/>
                          </w:rPr>
                          <w:t>. gada pārskats; 1. sējums</w:t>
                        </w:r>
                      </w:p>
                      <w:p w14:paraId="060527E8" w14:textId="77777777" w:rsidR="00475A10" w:rsidRPr="00D8601B" w:rsidRDefault="00475A10" w:rsidP="007A7A77">
                        <w:pPr>
                          <w:spacing w:line="240" w:lineRule="auto"/>
                          <w:jc w:val="center"/>
                          <w:rPr>
                            <w:color w:val="17365D"/>
                            <w:sz w:val="20"/>
                            <w:szCs w:val="20"/>
                          </w:rPr>
                        </w:pPr>
                      </w:p>
                      <w:p w14:paraId="0ED89C9E" w14:textId="77777777" w:rsidR="00475A10" w:rsidRPr="004E5A5E" w:rsidRDefault="00475A10" w:rsidP="007A7A77">
                        <w:pPr>
                          <w:jc w:val="center"/>
                          <w:rPr>
                            <w:color w:val="17365D" w:themeColor="text2" w:themeShade="BF"/>
                            <w:sz w:val="20"/>
                            <w:szCs w:val="20"/>
                          </w:rPr>
                        </w:pPr>
                        <w:r w:rsidRPr="000847D9">
                          <w:rPr>
                            <w:color w:val="17365D" w:themeColor="text2" w:themeShade="BF"/>
                            <w:sz w:val="20"/>
                            <w:szCs w:val="20"/>
                          </w:rPr>
                          <w:tab/>
                        </w:r>
                      </w:p>
                    </w:txbxContent>
                  </v:textbox>
                </v:roundrect>
              </w:pict>
            </mc:Fallback>
          </mc:AlternateContent>
        </w:r>
        <w:r w:rsidRPr="007A7A77">
          <w:rPr>
            <w:noProof/>
            <w:color w:val="17365D"/>
            <w:sz w:val="12"/>
            <w:lang w:eastAsia="lv-LV"/>
          </w:rPr>
          <mc:AlternateContent>
            <mc:Choice Requires="wps">
              <w:drawing>
                <wp:anchor distT="0" distB="0" distL="114300" distR="114300" simplePos="0" relativeHeight="251663360" behindDoc="1" locked="0" layoutInCell="1" allowOverlap="1" wp14:anchorId="04909151" wp14:editId="3779568E">
                  <wp:simplePos x="0" y="0"/>
                  <wp:positionH relativeFrom="column">
                    <wp:posOffset>5684125</wp:posOffset>
                  </wp:positionH>
                  <wp:positionV relativeFrom="paragraph">
                    <wp:posOffset>-42653</wp:posOffset>
                  </wp:positionV>
                  <wp:extent cx="456565" cy="279400"/>
                  <wp:effectExtent l="0" t="0" r="635" b="6350"/>
                  <wp:wrapNone/>
                  <wp:docPr id="3" name="Rounded Rectangle 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38FA8A5" id="Rounded Rectangle 3" o:spid="_x0000_s1026" style="position:absolute;margin-left:447.55pt;margin-top:-3.35pt;width:35.95pt;height:2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" fillcolor="#dbe5f1 [660]" stroked="f" strokeweight="1pt">
                  <v:stroke dashstyle="dash"/>
                </v:roundrect>
              </w:pict>
            </mc:Fallback>
          </mc:AlternateContent>
        </w:r>
        <w:r w:rsidRPr="007A7A77">
          <w:rPr>
            <w:color w:val="17365D"/>
            <w:sz w:val="20"/>
          </w:rPr>
          <w:fldChar w:fldCharType="begin"/>
        </w:r>
        <w:r w:rsidRPr="007A7A77">
          <w:rPr>
            <w:color w:val="17365D"/>
            <w:sz w:val="20"/>
          </w:rPr>
          <w:instrText xml:space="preserve"> PAGE   \* MERGEFORMAT </w:instrText>
        </w:r>
        <w:r w:rsidRPr="007A7A77">
          <w:rPr>
            <w:color w:val="17365D"/>
            <w:sz w:val="20"/>
          </w:rPr>
          <w:fldChar w:fldCharType="separate"/>
        </w:r>
        <w:r w:rsidR="000B176B">
          <w:rPr>
            <w:noProof/>
            <w:color w:val="17365D"/>
            <w:sz w:val="20"/>
          </w:rPr>
          <w:t>73</w:t>
        </w:r>
        <w:r w:rsidRPr="007A7A77">
          <w:rPr>
            <w:noProof/>
            <w:color w:val="17365D"/>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E3E82" w14:textId="4CBFDF5A" w:rsidR="00475A10" w:rsidRPr="007A7A77" w:rsidRDefault="00475A10" w:rsidP="007A7A77">
    <w:pPr>
      <w:pStyle w:val="Footer"/>
      <w:ind w:right="142"/>
      <w:jc w:val="right"/>
      <w:rPr>
        <w:color w:val="17365D"/>
        <w:sz w:val="20"/>
      </w:rPr>
    </w:pPr>
    <w:r w:rsidRPr="00292A3B">
      <w:rPr>
        <w:noProof/>
        <w:color w:val="17365D"/>
        <w:sz w:val="16"/>
        <w:lang w:eastAsia="lv-LV"/>
      </w:rPr>
      <mc:AlternateContent>
        <mc:Choice Requires="wps">
          <w:drawing>
            <wp:anchor distT="0" distB="0" distL="114300" distR="114300" simplePos="0" relativeHeight="251659264" behindDoc="1" locked="0" layoutInCell="1" allowOverlap="1" wp14:anchorId="3C0D3092" wp14:editId="64912541">
              <wp:simplePos x="0" y="0"/>
              <wp:positionH relativeFrom="column">
                <wp:posOffset>5537692</wp:posOffset>
              </wp:positionH>
              <wp:positionV relativeFrom="paragraph">
                <wp:posOffset>-41910</wp:posOffset>
              </wp:positionV>
              <wp:extent cx="456565" cy="279400"/>
              <wp:effectExtent l="0" t="0" r="635" b="6350"/>
              <wp:wrapNone/>
              <wp:docPr id="13" name="Rounded Rectangle 13"/>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4E62AC2" id="Rounded Rectangle 13" o:spid="_x0000_s1026" style="position:absolute;margin-left:436.05pt;margin-top:-3.3pt;width:35.95pt;height: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" fillcolor="#dbe5f1 [660]" stroked="f" strokeweight="1pt">
              <v:stroke dashstyle="dash"/>
            </v:roundrect>
          </w:pict>
        </mc:Fallback>
      </mc:AlternateContent>
    </w:r>
    <w:r w:rsidRPr="00BF73C5">
      <w:rPr>
        <w:noProof/>
        <w:lang w:eastAsia="lv-LV"/>
      </w:rPr>
      <mc:AlternateContent>
        <mc:Choice Requires="wps">
          <w:drawing>
            <wp:anchor distT="0" distB="0" distL="114300" distR="114300" simplePos="0" relativeHeight="251661312" behindDoc="0" locked="0" layoutInCell="1" allowOverlap="1" wp14:anchorId="406C13EB" wp14:editId="12AD5439">
              <wp:simplePos x="0" y="0"/>
              <wp:positionH relativeFrom="column">
                <wp:posOffset>-1832</wp:posOffset>
              </wp:positionH>
              <wp:positionV relativeFrom="paragraph">
                <wp:posOffset>-80166</wp:posOffset>
              </wp:positionV>
              <wp:extent cx="5244860" cy="345057"/>
              <wp:effectExtent l="0" t="0" r="0" b="0"/>
              <wp:wrapNone/>
              <wp:docPr id="9" name="Rounded Rectangle 9"/>
              <wp:cNvGraphicFramePr/>
              <a:graphic xmlns:a="http://schemas.openxmlformats.org/drawingml/2006/main">
                <a:graphicData uri="http://schemas.microsoft.com/office/word/2010/wordprocessingShape">
                  <wps:wsp>
                    <wps:cNvSpPr/>
                    <wps:spPr>
                      <a:xfrm>
                        <a:off x="0" y="0"/>
                        <a:ext cx="5244860" cy="345057"/>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ECE4132" w14:textId="231B6F85" w:rsidR="00475A10" w:rsidRDefault="009C5215" w:rsidP="007A7A77">
                          <w:pPr>
                            <w:spacing w:line="240" w:lineRule="auto"/>
                            <w:jc w:val="center"/>
                            <w:rPr>
                              <w:color w:val="17365D"/>
                              <w:sz w:val="20"/>
                              <w:szCs w:val="20"/>
                            </w:rPr>
                          </w:pPr>
                          <w:r>
                            <w:rPr>
                              <w:color w:val="17365D"/>
                              <w:sz w:val="20"/>
                              <w:szCs w:val="20"/>
                            </w:rPr>
                            <w:t>1_07_FMInf_Fpp_1507</w:t>
                          </w:r>
                          <w:r w:rsidR="00475A10">
                            <w:rPr>
                              <w:color w:val="17365D"/>
                              <w:sz w:val="20"/>
                              <w:szCs w:val="20"/>
                            </w:rPr>
                            <w:t>24; Latvijas Republikas konsolidētais 2023</w:t>
                          </w:r>
                          <w:r w:rsidR="00475A10" w:rsidRPr="00D8601B">
                            <w:rPr>
                              <w:color w:val="17365D"/>
                              <w:sz w:val="20"/>
                              <w:szCs w:val="20"/>
                            </w:rPr>
                            <w:t>. gada pārskats; 1. sējums</w:t>
                          </w:r>
                        </w:p>
                        <w:p w14:paraId="59A7F7B3" w14:textId="77777777" w:rsidR="00475A10" w:rsidRPr="00D8601B" w:rsidRDefault="00475A10" w:rsidP="007A7A77">
                          <w:pPr>
                            <w:spacing w:line="240" w:lineRule="auto"/>
                            <w:jc w:val="center"/>
                            <w:rPr>
                              <w:color w:val="17365D"/>
                              <w:sz w:val="20"/>
                              <w:szCs w:val="20"/>
                            </w:rPr>
                          </w:pPr>
                        </w:p>
                        <w:p w14:paraId="1BD67462" w14:textId="77777777" w:rsidR="00475A10" w:rsidRPr="004E5A5E" w:rsidRDefault="00475A10" w:rsidP="007A7A77">
                          <w:pPr>
                            <w:jc w:val="center"/>
                            <w:rPr>
                              <w:color w:val="17365D" w:themeColor="text2" w:themeShade="BF"/>
                              <w:sz w:val="20"/>
                              <w:szCs w:val="20"/>
                            </w:rPr>
                          </w:pPr>
                          <w:r w:rsidRPr="000847D9">
                            <w:rPr>
                              <w:color w:val="17365D" w:themeColor="text2" w:themeShade="BF"/>
                              <w:sz w:val="20"/>
                              <w:szCs w:val="20"/>
                            </w:rPr>
                            <w:tab/>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6C13EB" id="Rounded Rectangle 9" o:spid="_x0000_s1027" style="position:absolute;left:0;text-align:left;margin-left:-.15pt;margin-top:-6.3pt;width:413pt;height:2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" fillcolor="#dbe5f1 [660]" stroked="f" strokeweight="1pt">
              <v:stroke dashstyle="dash"/>
              <v:textbox>
                <w:txbxContent>
                  <w:p w14:paraId="4ECE4132" w14:textId="231B6F85" w:rsidR="00475A10" w:rsidRDefault="009C5215" w:rsidP="007A7A77">
                    <w:pPr>
                      <w:spacing w:line="240" w:lineRule="auto"/>
                      <w:jc w:val="center"/>
                      <w:rPr>
                        <w:color w:val="17365D"/>
                        <w:sz w:val="20"/>
                        <w:szCs w:val="20"/>
                      </w:rPr>
                    </w:pPr>
                    <w:r>
                      <w:rPr>
                        <w:color w:val="17365D"/>
                        <w:sz w:val="20"/>
                        <w:szCs w:val="20"/>
                      </w:rPr>
                      <w:t>1_07_FMInf_Fpp_1507</w:t>
                    </w:r>
                    <w:r w:rsidR="00475A10">
                      <w:rPr>
                        <w:color w:val="17365D"/>
                        <w:sz w:val="20"/>
                        <w:szCs w:val="20"/>
                      </w:rPr>
                      <w:t>24; Latvijas Republikas konsolidētais 2023</w:t>
                    </w:r>
                    <w:r w:rsidR="00475A10" w:rsidRPr="00D8601B">
                      <w:rPr>
                        <w:color w:val="17365D"/>
                        <w:sz w:val="20"/>
                        <w:szCs w:val="20"/>
                      </w:rPr>
                      <w:t>. gada pārskats; 1. sējums</w:t>
                    </w:r>
                  </w:p>
                  <w:p w14:paraId="59A7F7B3" w14:textId="77777777" w:rsidR="00475A10" w:rsidRPr="00D8601B" w:rsidRDefault="00475A10" w:rsidP="007A7A77">
                    <w:pPr>
                      <w:spacing w:line="240" w:lineRule="auto"/>
                      <w:jc w:val="center"/>
                      <w:rPr>
                        <w:color w:val="17365D"/>
                        <w:sz w:val="20"/>
                        <w:szCs w:val="20"/>
                      </w:rPr>
                    </w:pPr>
                  </w:p>
                  <w:p w14:paraId="1BD67462" w14:textId="77777777" w:rsidR="00475A10" w:rsidRPr="004E5A5E" w:rsidRDefault="00475A10" w:rsidP="007A7A77">
                    <w:pPr>
                      <w:jc w:val="center"/>
                      <w:rPr>
                        <w:color w:val="17365D" w:themeColor="text2" w:themeShade="BF"/>
                        <w:sz w:val="20"/>
                        <w:szCs w:val="20"/>
                      </w:rPr>
                    </w:pPr>
                    <w:r w:rsidRPr="000847D9">
                      <w:rPr>
                        <w:color w:val="17365D" w:themeColor="text2" w:themeShade="BF"/>
                        <w:sz w:val="20"/>
                        <w:szCs w:val="20"/>
                      </w:rPr>
                      <w:tab/>
                    </w:r>
                  </w:p>
                </w:txbxContent>
              </v:textbox>
            </v:roundrect>
          </w:pict>
        </mc:Fallback>
      </mc:AlternateContent>
    </w:r>
    <w:sdt>
      <w:sdtPr>
        <w:id w:val="1093127172"/>
        <w:docPartObj>
          <w:docPartGallery w:val="Page Numbers (Bottom of Page)"/>
          <w:docPartUnique/>
        </w:docPartObj>
      </w:sdtPr>
      <w:sdtEndPr>
        <w:rPr>
          <w:noProof/>
          <w:color w:val="17365D"/>
          <w:sz w:val="20"/>
        </w:rPr>
      </w:sdtEndPr>
      <w:sdtContent>
        <w:r w:rsidRPr="007A7A77">
          <w:rPr>
            <w:color w:val="17365D"/>
            <w:sz w:val="20"/>
          </w:rPr>
          <w:fldChar w:fldCharType="begin"/>
        </w:r>
        <w:r w:rsidRPr="007A7A77">
          <w:rPr>
            <w:color w:val="17365D"/>
            <w:sz w:val="20"/>
          </w:rPr>
          <w:instrText xml:space="preserve"> PAGE   \* MERGEFORMAT </w:instrText>
        </w:r>
        <w:r w:rsidRPr="007A7A77">
          <w:rPr>
            <w:color w:val="17365D"/>
            <w:sz w:val="20"/>
          </w:rPr>
          <w:fldChar w:fldCharType="separate"/>
        </w:r>
        <w:r w:rsidR="000B176B">
          <w:rPr>
            <w:noProof/>
            <w:color w:val="17365D"/>
            <w:sz w:val="20"/>
          </w:rPr>
          <w:t>76</w:t>
        </w:r>
        <w:r w:rsidRPr="007A7A77">
          <w:rPr>
            <w:noProof/>
            <w:color w:val="17365D"/>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25D10" w14:textId="77777777" w:rsidR="00475A10" w:rsidRPr="009A3D4A" w:rsidRDefault="00475A10" w:rsidP="00C25339">
      <w:pPr>
        <w:spacing w:after="0"/>
        <w:rPr>
          <w:color w:val="17365D"/>
        </w:rPr>
      </w:pPr>
      <w:r w:rsidRPr="009A3D4A">
        <w:rPr>
          <w:color w:val="17365D"/>
        </w:rPr>
        <w:separator/>
      </w:r>
    </w:p>
  </w:footnote>
  <w:footnote w:type="continuationSeparator" w:id="0">
    <w:p w14:paraId="0F5C8D6C" w14:textId="77777777" w:rsidR="00475A10" w:rsidRDefault="00475A10" w:rsidP="00C25339">
      <w:pPr>
        <w:spacing w:after="0"/>
      </w:pPr>
      <w:r>
        <w:continuationSeparator/>
      </w:r>
    </w:p>
  </w:footnote>
  <w:footnote w:type="continuationNotice" w:id="1">
    <w:p w14:paraId="55072603" w14:textId="77777777" w:rsidR="00475A10" w:rsidRDefault="00475A10">
      <w:pPr>
        <w:spacing w:after="0" w:line="240" w:lineRule="auto"/>
      </w:pPr>
    </w:p>
  </w:footnote>
  <w:footnote w:id="2">
    <w:p w14:paraId="64F0CB03" w14:textId="77777777" w:rsidR="00475A10" w:rsidRPr="006068DD" w:rsidRDefault="00475A10" w:rsidP="00954F0C">
      <w:pPr>
        <w:pStyle w:val="FootnoteText"/>
        <w:spacing w:line="240" w:lineRule="auto"/>
        <w:rPr>
          <w:color w:val="17365D"/>
        </w:rPr>
      </w:pPr>
      <w:r w:rsidRPr="006068DD">
        <w:rPr>
          <w:rStyle w:val="FootnoteReference"/>
          <w:color w:val="17365D"/>
        </w:rPr>
        <w:footnoteRef/>
      </w:r>
      <w:r w:rsidRPr="006068DD">
        <w:rPr>
          <w:color w:val="17365D"/>
        </w:rPr>
        <w:t xml:space="preserve"> Saeima un Valsts kontrole</w:t>
      </w:r>
    </w:p>
  </w:footnote>
  <w:footnote w:id="3">
    <w:p w14:paraId="04A92BED" w14:textId="4E6999E8" w:rsidR="00475A10" w:rsidRDefault="00475A10" w:rsidP="00954F0C">
      <w:pPr>
        <w:pStyle w:val="FootnoteText"/>
      </w:pPr>
      <w:r w:rsidRPr="00465C57">
        <w:rPr>
          <w:rStyle w:val="FootnoteReference"/>
          <w:color w:val="17365D"/>
        </w:rPr>
        <w:footnoteRef/>
      </w:r>
      <w:r>
        <w:t xml:space="preserve"> </w:t>
      </w:r>
      <w:r>
        <w:rPr>
          <w:rFonts w:cs="Times New Roman"/>
          <w:color w:val="17365D"/>
        </w:rPr>
        <w:t>Kultūras</w:t>
      </w:r>
      <w:r w:rsidRPr="00465C57">
        <w:rPr>
          <w:rFonts w:cs="Times New Roman"/>
          <w:color w:val="17365D"/>
        </w:rPr>
        <w:t xml:space="preserve"> ministrija</w:t>
      </w:r>
      <w:r>
        <w:rPr>
          <w:rFonts w:cs="Times New Roman"/>
          <w:color w:val="17365D"/>
        </w:rPr>
        <w:t xml:space="preserve"> un Centrālā vēlēšanu komisija</w:t>
      </w:r>
    </w:p>
  </w:footnote>
  <w:footnote w:id="4">
    <w:p w14:paraId="4862400E" w14:textId="0469AD14" w:rsidR="00475A10" w:rsidRPr="006068DD" w:rsidRDefault="00475A10" w:rsidP="00954F0C">
      <w:pPr>
        <w:pStyle w:val="FootnoteText"/>
        <w:spacing w:line="240" w:lineRule="auto"/>
        <w:jc w:val="both"/>
        <w:rPr>
          <w:color w:val="17365D"/>
        </w:rPr>
      </w:pPr>
      <w:r w:rsidRPr="006068DD">
        <w:rPr>
          <w:rStyle w:val="FootnoteReference"/>
          <w:color w:val="17365D"/>
        </w:rPr>
        <w:footnoteRef/>
      </w:r>
      <w:r w:rsidRPr="006068DD">
        <w:rPr>
          <w:color w:val="17365D"/>
        </w:rPr>
        <w:t xml:space="preserve"> </w:t>
      </w:r>
      <w:r>
        <w:rPr>
          <w:color w:val="17365D"/>
        </w:rPr>
        <w:t>Alūksnes novada pašvaldība, Balvu novada pašvaldība, Jēkabpils novada pašvaldība, Līvānu novada pašvaldība,</w:t>
      </w:r>
      <w:r w:rsidRPr="00264F6A">
        <w:rPr>
          <w:color w:val="17365D"/>
        </w:rPr>
        <w:t xml:space="preserve"> </w:t>
      </w:r>
      <w:r>
        <w:rPr>
          <w:color w:val="17365D"/>
        </w:rPr>
        <w:t>Ropažu novada pašvaldība, Talsu novada pašvaldība un Valmieras novada pašvaldība</w:t>
      </w:r>
    </w:p>
  </w:footnote>
  <w:footnote w:id="5">
    <w:p w14:paraId="7C402DD4" w14:textId="6F251867" w:rsidR="00475A10" w:rsidRPr="006068DD" w:rsidRDefault="00475A10" w:rsidP="00954F0C">
      <w:pPr>
        <w:pStyle w:val="FootnoteText"/>
        <w:spacing w:line="240" w:lineRule="auto"/>
        <w:jc w:val="both"/>
        <w:rPr>
          <w:color w:val="17365D"/>
        </w:rPr>
      </w:pPr>
      <w:r w:rsidRPr="006068DD">
        <w:rPr>
          <w:rStyle w:val="FootnoteReference"/>
          <w:color w:val="17365D"/>
        </w:rPr>
        <w:footnoteRef/>
      </w:r>
      <w:r w:rsidRPr="006068DD">
        <w:rPr>
          <w:color w:val="17365D"/>
        </w:rPr>
        <w:t xml:space="preserve"> </w:t>
      </w:r>
      <w:r>
        <w:rPr>
          <w:color w:val="17365D"/>
        </w:rPr>
        <w:t>Jelgavas</w:t>
      </w:r>
      <w:r w:rsidRPr="002E0893">
        <w:rPr>
          <w:color w:val="17365D"/>
          <w:sz w:val="24"/>
          <w:szCs w:val="22"/>
        </w:rPr>
        <w:t xml:space="preserve"> </w:t>
      </w:r>
      <w:r w:rsidRPr="002E0893">
        <w:rPr>
          <w:color w:val="17365D"/>
        </w:rPr>
        <w:t>valstspilsētas pašvaldība</w:t>
      </w:r>
      <w:r>
        <w:rPr>
          <w:color w:val="17365D"/>
        </w:rPr>
        <w:t xml:space="preserve"> un </w:t>
      </w:r>
      <w:r w:rsidRPr="006068DD">
        <w:rPr>
          <w:color w:val="17365D"/>
        </w:rPr>
        <w:t xml:space="preserve">Liepājas </w:t>
      </w:r>
      <w:r>
        <w:rPr>
          <w:color w:val="17365D"/>
        </w:rPr>
        <w:t>valsts</w:t>
      </w:r>
      <w:r w:rsidRPr="006068DD">
        <w:rPr>
          <w:color w:val="17365D"/>
        </w:rPr>
        <w:t>pilsētas pašvaldība</w:t>
      </w:r>
    </w:p>
  </w:footnote>
  <w:footnote w:id="6">
    <w:p w14:paraId="452B0890" w14:textId="4D7F8CCA" w:rsidR="00475A10" w:rsidRPr="006068DD" w:rsidRDefault="00475A10" w:rsidP="00954F0C">
      <w:pPr>
        <w:pStyle w:val="FootnoteText"/>
        <w:spacing w:line="240" w:lineRule="auto"/>
        <w:jc w:val="both"/>
        <w:rPr>
          <w:color w:val="17365D"/>
        </w:rPr>
      </w:pPr>
      <w:r w:rsidRPr="006068DD">
        <w:rPr>
          <w:rStyle w:val="FootnoteReference"/>
          <w:color w:val="17365D"/>
        </w:rPr>
        <w:footnoteRef/>
      </w:r>
      <w:r w:rsidRPr="006068DD">
        <w:rPr>
          <w:color w:val="17365D"/>
        </w:rPr>
        <w:t xml:space="preserve"> </w:t>
      </w:r>
      <w:r>
        <w:rPr>
          <w:color w:val="17365D"/>
        </w:rPr>
        <w:t>Ogres</w:t>
      </w:r>
      <w:r w:rsidRPr="006068DD">
        <w:rPr>
          <w:color w:val="17365D"/>
        </w:rPr>
        <w:t xml:space="preserve"> novada pašvaldība</w:t>
      </w:r>
      <w:r>
        <w:rPr>
          <w:color w:val="17365D"/>
        </w:rPr>
        <w:t>, Preiļu novada pašvaldība un Valkas novada pašvaldība</w:t>
      </w:r>
    </w:p>
  </w:footnote>
  <w:footnote w:id="7">
    <w:p w14:paraId="12E3977E" w14:textId="48B39DD3" w:rsidR="00475A10" w:rsidRPr="00DB0E31" w:rsidRDefault="00475A10" w:rsidP="00AB2439">
      <w:pPr>
        <w:pStyle w:val="FootnoteText"/>
      </w:pPr>
      <w:r>
        <w:rPr>
          <w:rStyle w:val="FootnoteReference"/>
        </w:rPr>
        <w:footnoteRef/>
      </w:r>
      <w:r>
        <w:t xml:space="preserve"> </w:t>
      </w:r>
      <w:r w:rsidRPr="000355A9">
        <w:rPr>
          <w:color w:val="17365D"/>
        </w:rPr>
        <w:t>VK stratēģija publicēta:</w:t>
      </w:r>
      <w:r w:rsidRPr="000355A9">
        <w:t xml:space="preserve"> </w:t>
      </w:r>
      <w:hyperlink r:id="rId1" w:history="1">
        <w:r w:rsidRPr="00B1393D">
          <w:rPr>
            <w:rStyle w:val="Hyperlink"/>
            <w:color w:val="17365D"/>
            <w:u w:color="17365D"/>
          </w:rPr>
          <w:t>https://www.kase.gov.lv/sites/default/files/public/SSD/PVNLVS/PVNLVS_2018.pdf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9C328" w14:textId="319E2425" w:rsidR="00475A10" w:rsidRPr="007A7A77" w:rsidRDefault="00475A10" w:rsidP="007A7A77">
    <w:pPr>
      <w:pStyle w:val="Header"/>
      <w:jc w:val="center"/>
      <w:rPr>
        <w:caps/>
        <w:color w:val="17365D"/>
        <w:sz w:val="20"/>
        <w:szCs w:val="20"/>
      </w:rPr>
    </w:pPr>
    <w:r>
      <w:rPr>
        <w:caps/>
        <w:color w:val="17365D"/>
        <w:sz w:val="20"/>
        <w:szCs w:val="20"/>
      </w:rPr>
      <w:t>finanšu pārskata pielikums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5E6F"/>
    <w:multiLevelType w:val="hybridMultilevel"/>
    <w:tmpl w:val="28BACBB2"/>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 w15:restartNumberingAfterBreak="0">
    <w:nsid w:val="01107E56"/>
    <w:multiLevelType w:val="hybridMultilevel"/>
    <w:tmpl w:val="68B0B4E2"/>
    <w:lvl w:ilvl="0" w:tplc="04260001">
      <w:start w:val="1"/>
      <w:numFmt w:val="bullet"/>
      <w:lvlText w:val=""/>
      <w:lvlJc w:val="left"/>
      <w:pPr>
        <w:ind w:left="1020" w:hanging="360"/>
      </w:pPr>
      <w:rPr>
        <w:rFonts w:ascii="Symbol" w:hAnsi="Symbol" w:hint="default"/>
      </w:rPr>
    </w:lvl>
    <w:lvl w:ilvl="1" w:tplc="04260003" w:tentative="1">
      <w:start w:val="1"/>
      <w:numFmt w:val="bullet"/>
      <w:lvlText w:val="o"/>
      <w:lvlJc w:val="left"/>
      <w:pPr>
        <w:ind w:left="1740" w:hanging="360"/>
      </w:pPr>
      <w:rPr>
        <w:rFonts w:ascii="Courier New" w:hAnsi="Courier New" w:cs="Courier New" w:hint="default"/>
      </w:rPr>
    </w:lvl>
    <w:lvl w:ilvl="2" w:tplc="04260005" w:tentative="1">
      <w:start w:val="1"/>
      <w:numFmt w:val="bullet"/>
      <w:lvlText w:val=""/>
      <w:lvlJc w:val="left"/>
      <w:pPr>
        <w:ind w:left="2460" w:hanging="360"/>
      </w:pPr>
      <w:rPr>
        <w:rFonts w:ascii="Wingdings" w:hAnsi="Wingdings" w:hint="default"/>
      </w:rPr>
    </w:lvl>
    <w:lvl w:ilvl="3" w:tplc="04260001" w:tentative="1">
      <w:start w:val="1"/>
      <w:numFmt w:val="bullet"/>
      <w:lvlText w:val=""/>
      <w:lvlJc w:val="left"/>
      <w:pPr>
        <w:ind w:left="3180" w:hanging="360"/>
      </w:pPr>
      <w:rPr>
        <w:rFonts w:ascii="Symbol" w:hAnsi="Symbol" w:hint="default"/>
      </w:rPr>
    </w:lvl>
    <w:lvl w:ilvl="4" w:tplc="04260003" w:tentative="1">
      <w:start w:val="1"/>
      <w:numFmt w:val="bullet"/>
      <w:lvlText w:val="o"/>
      <w:lvlJc w:val="left"/>
      <w:pPr>
        <w:ind w:left="3900" w:hanging="360"/>
      </w:pPr>
      <w:rPr>
        <w:rFonts w:ascii="Courier New" w:hAnsi="Courier New" w:cs="Courier New" w:hint="default"/>
      </w:rPr>
    </w:lvl>
    <w:lvl w:ilvl="5" w:tplc="04260005" w:tentative="1">
      <w:start w:val="1"/>
      <w:numFmt w:val="bullet"/>
      <w:lvlText w:val=""/>
      <w:lvlJc w:val="left"/>
      <w:pPr>
        <w:ind w:left="4620" w:hanging="360"/>
      </w:pPr>
      <w:rPr>
        <w:rFonts w:ascii="Wingdings" w:hAnsi="Wingdings" w:hint="default"/>
      </w:rPr>
    </w:lvl>
    <w:lvl w:ilvl="6" w:tplc="04260001" w:tentative="1">
      <w:start w:val="1"/>
      <w:numFmt w:val="bullet"/>
      <w:lvlText w:val=""/>
      <w:lvlJc w:val="left"/>
      <w:pPr>
        <w:ind w:left="5340" w:hanging="360"/>
      </w:pPr>
      <w:rPr>
        <w:rFonts w:ascii="Symbol" w:hAnsi="Symbol" w:hint="default"/>
      </w:rPr>
    </w:lvl>
    <w:lvl w:ilvl="7" w:tplc="04260003" w:tentative="1">
      <w:start w:val="1"/>
      <w:numFmt w:val="bullet"/>
      <w:lvlText w:val="o"/>
      <w:lvlJc w:val="left"/>
      <w:pPr>
        <w:ind w:left="6060" w:hanging="360"/>
      </w:pPr>
      <w:rPr>
        <w:rFonts w:ascii="Courier New" w:hAnsi="Courier New" w:cs="Courier New" w:hint="default"/>
      </w:rPr>
    </w:lvl>
    <w:lvl w:ilvl="8" w:tplc="04260005" w:tentative="1">
      <w:start w:val="1"/>
      <w:numFmt w:val="bullet"/>
      <w:lvlText w:val=""/>
      <w:lvlJc w:val="left"/>
      <w:pPr>
        <w:ind w:left="6780" w:hanging="360"/>
      </w:pPr>
      <w:rPr>
        <w:rFonts w:ascii="Wingdings" w:hAnsi="Wingdings" w:hint="default"/>
      </w:rPr>
    </w:lvl>
  </w:abstractNum>
  <w:abstractNum w:abstractNumId="2" w15:restartNumberingAfterBreak="0">
    <w:nsid w:val="04072E52"/>
    <w:multiLevelType w:val="hybridMultilevel"/>
    <w:tmpl w:val="6F8855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53E3A78"/>
    <w:multiLevelType w:val="hybridMultilevel"/>
    <w:tmpl w:val="AB2E7EBA"/>
    <w:lvl w:ilvl="0" w:tplc="04260001">
      <w:start w:val="1"/>
      <w:numFmt w:val="bullet"/>
      <w:lvlText w:val=""/>
      <w:lvlJc w:val="left"/>
      <w:pPr>
        <w:ind w:left="1344" w:hanging="360"/>
      </w:pPr>
      <w:rPr>
        <w:rFonts w:ascii="Symbol" w:hAnsi="Symbol" w:hint="default"/>
      </w:rPr>
    </w:lvl>
    <w:lvl w:ilvl="1" w:tplc="04260003" w:tentative="1">
      <w:start w:val="1"/>
      <w:numFmt w:val="bullet"/>
      <w:lvlText w:val="o"/>
      <w:lvlJc w:val="left"/>
      <w:pPr>
        <w:ind w:left="2064" w:hanging="360"/>
      </w:pPr>
      <w:rPr>
        <w:rFonts w:ascii="Courier New" w:hAnsi="Courier New" w:cs="Courier New" w:hint="default"/>
      </w:rPr>
    </w:lvl>
    <w:lvl w:ilvl="2" w:tplc="04260005" w:tentative="1">
      <w:start w:val="1"/>
      <w:numFmt w:val="bullet"/>
      <w:lvlText w:val=""/>
      <w:lvlJc w:val="left"/>
      <w:pPr>
        <w:ind w:left="2784" w:hanging="360"/>
      </w:pPr>
      <w:rPr>
        <w:rFonts w:ascii="Wingdings" w:hAnsi="Wingdings" w:hint="default"/>
      </w:rPr>
    </w:lvl>
    <w:lvl w:ilvl="3" w:tplc="04260001" w:tentative="1">
      <w:start w:val="1"/>
      <w:numFmt w:val="bullet"/>
      <w:lvlText w:val=""/>
      <w:lvlJc w:val="left"/>
      <w:pPr>
        <w:ind w:left="3504" w:hanging="360"/>
      </w:pPr>
      <w:rPr>
        <w:rFonts w:ascii="Symbol" w:hAnsi="Symbol" w:hint="default"/>
      </w:rPr>
    </w:lvl>
    <w:lvl w:ilvl="4" w:tplc="04260003" w:tentative="1">
      <w:start w:val="1"/>
      <w:numFmt w:val="bullet"/>
      <w:lvlText w:val="o"/>
      <w:lvlJc w:val="left"/>
      <w:pPr>
        <w:ind w:left="4224" w:hanging="360"/>
      </w:pPr>
      <w:rPr>
        <w:rFonts w:ascii="Courier New" w:hAnsi="Courier New" w:cs="Courier New" w:hint="default"/>
      </w:rPr>
    </w:lvl>
    <w:lvl w:ilvl="5" w:tplc="04260005" w:tentative="1">
      <w:start w:val="1"/>
      <w:numFmt w:val="bullet"/>
      <w:lvlText w:val=""/>
      <w:lvlJc w:val="left"/>
      <w:pPr>
        <w:ind w:left="4944" w:hanging="360"/>
      </w:pPr>
      <w:rPr>
        <w:rFonts w:ascii="Wingdings" w:hAnsi="Wingdings" w:hint="default"/>
      </w:rPr>
    </w:lvl>
    <w:lvl w:ilvl="6" w:tplc="04260001" w:tentative="1">
      <w:start w:val="1"/>
      <w:numFmt w:val="bullet"/>
      <w:lvlText w:val=""/>
      <w:lvlJc w:val="left"/>
      <w:pPr>
        <w:ind w:left="5664" w:hanging="360"/>
      </w:pPr>
      <w:rPr>
        <w:rFonts w:ascii="Symbol" w:hAnsi="Symbol" w:hint="default"/>
      </w:rPr>
    </w:lvl>
    <w:lvl w:ilvl="7" w:tplc="04260003" w:tentative="1">
      <w:start w:val="1"/>
      <w:numFmt w:val="bullet"/>
      <w:lvlText w:val="o"/>
      <w:lvlJc w:val="left"/>
      <w:pPr>
        <w:ind w:left="6384" w:hanging="360"/>
      </w:pPr>
      <w:rPr>
        <w:rFonts w:ascii="Courier New" w:hAnsi="Courier New" w:cs="Courier New" w:hint="default"/>
      </w:rPr>
    </w:lvl>
    <w:lvl w:ilvl="8" w:tplc="04260005" w:tentative="1">
      <w:start w:val="1"/>
      <w:numFmt w:val="bullet"/>
      <w:lvlText w:val=""/>
      <w:lvlJc w:val="left"/>
      <w:pPr>
        <w:ind w:left="7104" w:hanging="360"/>
      </w:pPr>
      <w:rPr>
        <w:rFonts w:ascii="Wingdings" w:hAnsi="Wingdings" w:hint="default"/>
      </w:rPr>
    </w:lvl>
  </w:abstractNum>
  <w:abstractNum w:abstractNumId="4" w15:restartNumberingAfterBreak="0">
    <w:nsid w:val="060E64CE"/>
    <w:multiLevelType w:val="hybridMultilevel"/>
    <w:tmpl w:val="B0B6BC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76F5CF6"/>
    <w:multiLevelType w:val="hybridMultilevel"/>
    <w:tmpl w:val="255466C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6" w15:restartNumberingAfterBreak="0">
    <w:nsid w:val="07F56E19"/>
    <w:multiLevelType w:val="hybridMultilevel"/>
    <w:tmpl w:val="258CC612"/>
    <w:lvl w:ilvl="0" w:tplc="FFFFFFFF">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8AC5EA3"/>
    <w:multiLevelType w:val="multilevel"/>
    <w:tmpl w:val="B64277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4."/>
      <w:lvlJc w:val="left"/>
      <w:pPr>
        <w:tabs>
          <w:tab w:val="num" w:pos="864"/>
        </w:tabs>
        <w:ind w:left="864" w:hanging="864"/>
      </w:pPr>
    </w:lvl>
    <w:lvl w:ilvl="4">
      <w:start w:val="1"/>
      <w:numFmt w:val="decimal"/>
      <w:lvlText w:val="%1.%2.%5."/>
      <w:lvlJc w:val="left"/>
      <w:pPr>
        <w:tabs>
          <w:tab w:val="num" w:pos="1008"/>
        </w:tabs>
        <w:ind w:left="1008" w:hanging="1008"/>
      </w:pPr>
    </w:lvl>
    <w:lvl w:ilvl="5">
      <w:start w:val="1"/>
      <w:numFmt w:val="decimal"/>
      <w:pStyle w:val="BodyText3"/>
      <w:lvlText w:val="%1.%2.%3.%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D477CDC"/>
    <w:multiLevelType w:val="hybridMultilevel"/>
    <w:tmpl w:val="ACD4AC16"/>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9" w15:restartNumberingAfterBreak="0">
    <w:nsid w:val="0D4E16BF"/>
    <w:multiLevelType w:val="hybridMultilevel"/>
    <w:tmpl w:val="93B891D4"/>
    <w:lvl w:ilvl="0" w:tplc="04260001">
      <w:start w:val="1"/>
      <w:numFmt w:val="bullet"/>
      <w:lvlText w:val=""/>
      <w:lvlJc w:val="left"/>
      <w:pPr>
        <w:ind w:left="1146" w:hanging="360"/>
      </w:pPr>
      <w:rPr>
        <w:rFonts w:ascii="Symbol" w:hAnsi="Symbol" w:hint="default"/>
      </w:rPr>
    </w:lvl>
    <w:lvl w:ilvl="1" w:tplc="04260003" w:tentative="1">
      <w:start w:val="1"/>
      <w:numFmt w:val="bullet"/>
      <w:lvlText w:val="o"/>
      <w:lvlJc w:val="left"/>
      <w:pPr>
        <w:ind w:left="1866" w:hanging="360"/>
      </w:pPr>
      <w:rPr>
        <w:rFonts w:ascii="Courier New" w:hAnsi="Courier New" w:cs="Courier New" w:hint="default"/>
      </w:rPr>
    </w:lvl>
    <w:lvl w:ilvl="2" w:tplc="04260005" w:tentative="1">
      <w:start w:val="1"/>
      <w:numFmt w:val="bullet"/>
      <w:lvlText w:val=""/>
      <w:lvlJc w:val="left"/>
      <w:pPr>
        <w:ind w:left="2586" w:hanging="360"/>
      </w:pPr>
      <w:rPr>
        <w:rFonts w:ascii="Wingdings" w:hAnsi="Wingdings" w:hint="default"/>
      </w:rPr>
    </w:lvl>
    <w:lvl w:ilvl="3" w:tplc="04260001" w:tentative="1">
      <w:start w:val="1"/>
      <w:numFmt w:val="bullet"/>
      <w:lvlText w:val=""/>
      <w:lvlJc w:val="left"/>
      <w:pPr>
        <w:ind w:left="3306" w:hanging="360"/>
      </w:pPr>
      <w:rPr>
        <w:rFonts w:ascii="Symbol" w:hAnsi="Symbol" w:hint="default"/>
      </w:rPr>
    </w:lvl>
    <w:lvl w:ilvl="4" w:tplc="04260003" w:tentative="1">
      <w:start w:val="1"/>
      <w:numFmt w:val="bullet"/>
      <w:lvlText w:val="o"/>
      <w:lvlJc w:val="left"/>
      <w:pPr>
        <w:ind w:left="4026" w:hanging="360"/>
      </w:pPr>
      <w:rPr>
        <w:rFonts w:ascii="Courier New" w:hAnsi="Courier New" w:cs="Courier New" w:hint="default"/>
      </w:rPr>
    </w:lvl>
    <w:lvl w:ilvl="5" w:tplc="04260005" w:tentative="1">
      <w:start w:val="1"/>
      <w:numFmt w:val="bullet"/>
      <w:lvlText w:val=""/>
      <w:lvlJc w:val="left"/>
      <w:pPr>
        <w:ind w:left="4746" w:hanging="360"/>
      </w:pPr>
      <w:rPr>
        <w:rFonts w:ascii="Wingdings" w:hAnsi="Wingdings" w:hint="default"/>
      </w:rPr>
    </w:lvl>
    <w:lvl w:ilvl="6" w:tplc="04260001" w:tentative="1">
      <w:start w:val="1"/>
      <w:numFmt w:val="bullet"/>
      <w:lvlText w:val=""/>
      <w:lvlJc w:val="left"/>
      <w:pPr>
        <w:ind w:left="5466" w:hanging="360"/>
      </w:pPr>
      <w:rPr>
        <w:rFonts w:ascii="Symbol" w:hAnsi="Symbol" w:hint="default"/>
      </w:rPr>
    </w:lvl>
    <w:lvl w:ilvl="7" w:tplc="04260003" w:tentative="1">
      <w:start w:val="1"/>
      <w:numFmt w:val="bullet"/>
      <w:lvlText w:val="o"/>
      <w:lvlJc w:val="left"/>
      <w:pPr>
        <w:ind w:left="6186" w:hanging="360"/>
      </w:pPr>
      <w:rPr>
        <w:rFonts w:ascii="Courier New" w:hAnsi="Courier New" w:cs="Courier New" w:hint="default"/>
      </w:rPr>
    </w:lvl>
    <w:lvl w:ilvl="8" w:tplc="04260005" w:tentative="1">
      <w:start w:val="1"/>
      <w:numFmt w:val="bullet"/>
      <w:lvlText w:val=""/>
      <w:lvlJc w:val="left"/>
      <w:pPr>
        <w:ind w:left="6906" w:hanging="360"/>
      </w:pPr>
      <w:rPr>
        <w:rFonts w:ascii="Wingdings" w:hAnsi="Wingdings" w:hint="default"/>
      </w:rPr>
    </w:lvl>
  </w:abstractNum>
  <w:abstractNum w:abstractNumId="10" w15:restartNumberingAfterBreak="0">
    <w:nsid w:val="0EC67138"/>
    <w:multiLevelType w:val="hybridMultilevel"/>
    <w:tmpl w:val="A7D07732"/>
    <w:lvl w:ilvl="0" w:tplc="04260001">
      <w:start w:val="1"/>
      <w:numFmt w:val="bullet"/>
      <w:lvlText w:val=""/>
      <w:lvlJc w:val="left"/>
      <w:pPr>
        <w:ind w:left="1724" w:hanging="360"/>
      </w:pPr>
      <w:rPr>
        <w:rFonts w:ascii="Symbol" w:hAnsi="Symbol" w:hint="default"/>
      </w:rPr>
    </w:lvl>
    <w:lvl w:ilvl="1" w:tplc="04260003" w:tentative="1">
      <w:start w:val="1"/>
      <w:numFmt w:val="bullet"/>
      <w:lvlText w:val="o"/>
      <w:lvlJc w:val="left"/>
      <w:pPr>
        <w:ind w:left="2444" w:hanging="360"/>
      </w:pPr>
      <w:rPr>
        <w:rFonts w:ascii="Courier New" w:hAnsi="Courier New" w:cs="Courier New" w:hint="default"/>
      </w:rPr>
    </w:lvl>
    <w:lvl w:ilvl="2" w:tplc="04260005" w:tentative="1">
      <w:start w:val="1"/>
      <w:numFmt w:val="bullet"/>
      <w:lvlText w:val=""/>
      <w:lvlJc w:val="left"/>
      <w:pPr>
        <w:ind w:left="3164" w:hanging="360"/>
      </w:pPr>
      <w:rPr>
        <w:rFonts w:ascii="Wingdings" w:hAnsi="Wingdings" w:hint="default"/>
      </w:rPr>
    </w:lvl>
    <w:lvl w:ilvl="3" w:tplc="04260001" w:tentative="1">
      <w:start w:val="1"/>
      <w:numFmt w:val="bullet"/>
      <w:lvlText w:val=""/>
      <w:lvlJc w:val="left"/>
      <w:pPr>
        <w:ind w:left="3884" w:hanging="360"/>
      </w:pPr>
      <w:rPr>
        <w:rFonts w:ascii="Symbol" w:hAnsi="Symbol" w:hint="default"/>
      </w:rPr>
    </w:lvl>
    <w:lvl w:ilvl="4" w:tplc="04260003" w:tentative="1">
      <w:start w:val="1"/>
      <w:numFmt w:val="bullet"/>
      <w:lvlText w:val="o"/>
      <w:lvlJc w:val="left"/>
      <w:pPr>
        <w:ind w:left="4604" w:hanging="360"/>
      </w:pPr>
      <w:rPr>
        <w:rFonts w:ascii="Courier New" w:hAnsi="Courier New" w:cs="Courier New" w:hint="default"/>
      </w:rPr>
    </w:lvl>
    <w:lvl w:ilvl="5" w:tplc="04260005" w:tentative="1">
      <w:start w:val="1"/>
      <w:numFmt w:val="bullet"/>
      <w:lvlText w:val=""/>
      <w:lvlJc w:val="left"/>
      <w:pPr>
        <w:ind w:left="5324" w:hanging="360"/>
      </w:pPr>
      <w:rPr>
        <w:rFonts w:ascii="Wingdings" w:hAnsi="Wingdings" w:hint="default"/>
      </w:rPr>
    </w:lvl>
    <w:lvl w:ilvl="6" w:tplc="04260001" w:tentative="1">
      <w:start w:val="1"/>
      <w:numFmt w:val="bullet"/>
      <w:lvlText w:val=""/>
      <w:lvlJc w:val="left"/>
      <w:pPr>
        <w:ind w:left="6044" w:hanging="360"/>
      </w:pPr>
      <w:rPr>
        <w:rFonts w:ascii="Symbol" w:hAnsi="Symbol" w:hint="default"/>
      </w:rPr>
    </w:lvl>
    <w:lvl w:ilvl="7" w:tplc="04260003" w:tentative="1">
      <w:start w:val="1"/>
      <w:numFmt w:val="bullet"/>
      <w:lvlText w:val="o"/>
      <w:lvlJc w:val="left"/>
      <w:pPr>
        <w:ind w:left="6764" w:hanging="360"/>
      </w:pPr>
      <w:rPr>
        <w:rFonts w:ascii="Courier New" w:hAnsi="Courier New" w:cs="Courier New" w:hint="default"/>
      </w:rPr>
    </w:lvl>
    <w:lvl w:ilvl="8" w:tplc="04260005" w:tentative="1">
      <w:start w:val="1"/>
      <w:numFmt w:val="bullet"/>
      <w:lvlText w:val=""/>
      <w:lvlJc w:val="left"/>
      <w:pPr>
        <w:ind w:left="7484" w:hanging="360"/>
      </w:pPr>
      <w:rPr>
        <w:rFonts w:ascii="Wingdings" w:hAnsi="Wingdings" w:hint="default"/>
      </w:rPr>
    </w:lvl>
  </w:abstractNum>
  <w:abstractNum w:abstractNumId="11" w15:restartNumberingAfterBreak="0">
    <w:nsid w:val="148D0C24"/>
    <w:multiLevelType w:val="hybridMultilevel"/>
    <w:tmpl w:val="EA984E78"/>
    <w:lvl w:ilvl="0" w:tplc="04260001">
      <w:start w:val="1"/>
      <w:numFmt w:val="bullet"/>
      <w:lvlText w:val=""/>
      <w:lvlJc w:val="left"/>
      <w:pPr>
        <w:ind w:left="1287"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2" w15:restartNumberingAfterBreak="0">
    <w:nsid w:val="1CF937A8"/>
    <w:multiLevelType w:val="hybridMultilevel"/>
    <w:tmpl w:val="DEE6C0F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3" w15:restartNumberingAfterBreak="0">
    <w:nsid w:val="26E85DE8"/>
    <w:multiLevelType w:val="hybridMultilevel"/>
    <w:tmpl w:val="3410A588"/>
    <w:lvl w:ilvl="0" w:tplc="04260001">
      <w:start w:val="1"/>
      <w:numFmt w:val="bullet"/>
      <w:lvlText w:val=""/>
      <w:lvlJc w:val="left"/>
      <w:pPr>
        <w:ind w:left="108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4"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BC01D20"/>
    <w:multiLevelType w:val="hybridMultilevel"/>
    <w:tmpl w:val="2BDACAB6"/>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6" w15:restartNumberingAfterBreak="0">
    <w:nsid w:val="2BC02EAD"/>
    <w:multiLevelType w:val="hybridMultilevel"/>
    <w:tmpl w:val="2E409536"/>
    <w:lvl w:ilvl="0" w:tplc="BBFE7870">
      <w:start w:val="1"/>
      <w:numFmt w:val="bullet"/>
      <w:lvlText w:val=""/>
      <w:lvlJc w:val="left"/>
      <w:pPr>
        <w:ind w:left="1287" w:hanging="360"/>
      </w:pPr>
      <w:rPr>
        <w:rFonts w:ascii="Symbol" w:hAnsi="Symbol" w:hint="default"/>
        <w:color w:val="17365D"/>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17" w15:restartNumberingAfterBreak="0">
    <w:nsid w:val="2D5958D4"/>
    <w:multiLevelType w:val="hybridMultilevel"/>
    <w:tmpl w:val="125E09D4"/>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8" w15:restartNumberingAfterBreak="0">
    <w:nsid w:val="2F7B4672"/>
    <w:multiLevelType w:val="hybridMultilevel"/>
    <w:tmpl w:val="534E673C"/>
    <w:lvl w:ilvl="0" w:tplc="04260001">
      <w:start w:val="1"/>
      <w:numFmt w:val="bullet"/>
      <w:lvlText w:val=""/>
      <w:lvlJc w:val="left"/>
      <w:pPr>
        <w:ind w:left="2007" w:hanging="360"/>
      </w:pPr>
      <w:rPr>
        <w:rFonts w:ascii="Symbol" w:hAnsi="Symbol" w:hint="default"/>
      </w:rPr>
    </w:lvl>
    <w:lvl w:ilvl="1" w:tplc="04260003" w:tentative="1">
      <w:start w:val="1"/>
      <w:numFmt w:val="bullet"/>
      <w:lvlText w:val="o"/>
      <w:lvlJc w:val="left"/>
      <w:pPr>
        <w:ind w:left="2727" w:hanging="360"/>
      </w:pPr>
      <w:rPr>
        <w:rFonts w:ascii="Courier New" w:hAnsi="Courier New" w:cs="Courier New" w:hint="default"/>
      </w:rPr>
    </w:lvl>
    <w:lvl w:ilvl="2" w:tplc="04260005" w:tentative="1">
      <w:start w:val="1"/>
      <w:numFmt w:val="bullet"/>
      <w:lvlText w:val=""/>
      <w:lvlJc w:val="left"/>
      <w:pPr>
        <w:ind w:left="3447" w:hanging="360"/>
      </w:pPr>
      <w:rPr>
        <w:rFonts w:ascii="Wingdings" w:hAnsi="Wingdings" w:hint="default"/>
      </w:rPr>
    </w:lvl>
    <w:lvl w:ilvl="3" w:tplc="04260001" w:tentative="1">
      <w:start w:val="1"/>
      <w:numFmt w:val="bullet"/>
      <w:lvlText w:val=""/>
      <w:lvlJc w:val="left"/>
      <w:pPr>
        <w:ind w:left="4167" w:hanging="360"/>
      </w:pPr>
      <w:rPr>
        <w:rFonts w:ascii="Symbol" w:hAnsi="Symbol" w:hint="default"/>
      </w:rPr>
    </w:lvl>
    <w:lvl w:ilvl="4" w:tplc="04260003" w:tentative="1">
      <w:start w:val="1"/>
      <w:numFmt w:val="bullet"/>
      <w:lvlText w:val="o"/>
      <w:lvlJc w:val="left"/>
      <w:pPr>
        <w:ind w:left="4887" w:hanging="360"/>
      </w:pPr>
      <w:rPr>
        <w:rFonts w:ascii="Courier New" w:hAnsi="Courier New" w:cs="Courier New" w:hint="default"/>
      </w:rPr>
    </w:lvl>
    <w:lvl w:ilvl="5" w:tplc="04260005" w:tentative="1">
      <w:start w:val="1"/>
      <w:numFmt w:val="bullet"/>
      <w:lvlText w:val=""/>
      <w:lvlJc w:val="left"/>
      <w:pPr>
        <w:ind w:left="5607" w:hanging="360"/>
      </w:pPr>
      <w:rPr>
        <w:rFonts w:ascii="Wingdings" w:hAnsi="Wingdings" w:hint="default"/>
      </w:rPr>
    </w:lvl>
    <w:lvl w:ilvl="6" w:tplc="04260001" w:tentative="1">
      <w:start w:val="1"/>
      <w:numFmt w:val="bullet"/>
      <w:lvlText w:val=""/>
      <w:lvlJc w:val="left"/>
      <w:pPr>
        <w:ind w:left="6327" w:hanging="360"/>
      </w:pPr>
      <w:rPr>
        <w:rFonts w:ascii="Symbol" w:hAnsi="Symbol" w:hint="default"/>
      </w:rPr>
    </w:lvl>
    <w:lvl w:ilvl="7" w:tplc="04260003" w:tentative="1">
      <w:start w:val="1"/>
      <w:numFmt w:val="bullet"/>
      <w:lvlText w:val="o"/>
      <w:lvlJc w:val="left"/>
      <w:pPr>
        <w:ind w:left="7047" w:hanging="360"/>
      </w:pPr>
      <w:rPr>
        <w:rFonts w:ascii="Courier New" w:hAnsi="Courier New" w:cs="Courier New" w:hint="default"/>
      </w:rPr>
    </w:lvl>
    <w:lvl w:ilvl="8" w:tplc="04260005" w:tentative="1">
      <w:start w:val="1"/>
      <w:numFmt w:val="bullet"/>
      <w:lvlText w:val=""/>
      <w:lvlJc w:val="left"/>
      <w:pPr>
        <w:ind w:left="7767" w:hanging="360"/>
      </w:pPr>
      <w:rPr>
        <w:rFonts w:ascii="Wingdings" w:hAnsi="Wingdings" w:hint="default"/>
      </w:rPr>
    </w:lvl>
  </w:abstractNum>
  <w:abstractNum w:abstractNumId="19"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20" w15:restartNumberingAfterBreak="0">
    <w:nsid w:val="34E617B7"/>
    <w:multiLevelType w:val="multilevel"/>
    <w:tmpl w:val="7A28ED92"/>
    <w:lvl w:ilvl="0">
      <w:start w:val="1"/>
      <w:numFmt w:val="decimal"/>
      <w:pStyle w:val="Lielievirsraksti"/>
      <w:lvlText w:val="%1."/>
      <w:lvlJc w:val="left"/>
      <w:pPr>
        <w:tabs>
          <w:tab w:val="num" w:pos="360"/>
        </w:tabs>
        <w:ind w:left="360" w:hanging="360"/>
      </w:pPr>
      <w:rPr>
        <w:rFonts w:hint="default"/>
      </w:rPr>
    </w:lvl>
    <w:lvl w:ilvl="1">
      <w:start w:val="1"/>
      <w:numFmt w:val="decimal"/>
      <w:pStyle w:val="Apakvirsraksti"/>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66C0B5F"/>
    <w:multiLevelType w:val="hybridMultilevel"/>
    <w:tmpl w:val="F4E0B6F2"/>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2" w15:restartNumberingAfterBreak="0">
    <w:nsid w:val="36E11F21"/>
    <w:multiLevelType w:val="hybridMultilevel"/>
    <w:tmpl w:val="750A8A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38A37D17"/>
    <w:multiLevelType w:val="hybridMultilevel"/>
    <w:tmpl w:val="46E64910"/>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4" w15:restartNumberingAfterBreak="0">
    <w:nsid w:val="3E3F42AD"/>
    <w:multiLevelType w:val="hybridMultilevel"/>
    <w:tmpl w:val="5B4A7AC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3FEC0AF6"/>
    <w:multiLevelType w:val="hybridMultilevel"/>
    <w:tmpl w:val="819EF3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41E8338F"/>
    <w:multiLevelType w:val="hybridMultilevel"/>
    <w:tmpl w:val="A2F88390"/>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7"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B996344"/>
    <w:multiLevelType w:val="hybridMultilevel"/>
    <w:tmpl w:val="E5DAA27E"/>
    <w:lvl w:ilvl="0" w:tplc="04260003">
      <w:start w:val="1"/>
      <w:numFmt w:val="bullet"/>
      <w:lvlText w:val="o"/>
      <w:lvlJc w:val="left"/>
      <w:pPr>
        <w:ind w:left="1440" w:hanging="360"/>
      </w:pPr>
      <w:rPr>
        <w:rFonts w:ascii="Courier New" w:hAnsi="Courier New" w:cs="Courier New"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9" w15:restartNumberingAfterBreak="0">
    <w:nsid w:val="4BC1684E"/>
    <w:multiLevelType w:val="hybridMultilevel"/>
    <w:tmpl w:val="999455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4C2E43EE"/>
    <w:multiLevelType w:val="hybridMultilevel"/>
    <w:tmpl w:val="9D9CD4B8"/>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1" w15:restartNumberingAfterBreak="0">
    <w:nsid w:val="4EB66993"/>
    <w:multiLevelType w:val="hybridMultilevel"/>
    <w:tmpl w:val="02AA87C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2" w15:restartNumberingAfterBreak="0">
    <w:nsid w:val="51487C54"/>
    <w:multiLevelType w:val="hybridMultilevel"/>
    <w:tmpl w:val="5DA03D54"/>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3" w15:restartNumberingAfterBreak="0">
    <w:nsid w:val="539013FD"/>
    <w:multiLevelType w:val="hybridMultilevel"/>
    <w:tmpl w:val="14F2F2CA"/>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4" w15:restartNumberingAfterBreak="0">
    <w:nsid w:val="53E830FE"/>
    <w:multiLevelType w:val="hybridMultilevel"/>
    <w:tmpl w:val="906E4EA6"/>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5" w15:restartNumberingAfterBreak="0">
    <w:nsid w:val="53E96553"/>
    <w:multiLevelType w:val="hybridMultilevel"/>
    <w:tmpl w:val="B8808C86"/>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6" w15:restartNumberingAfterBreak="0">
    <w:nsid w:val="5593434A"/>
    <w:multiLevelType w:val="hybridMultilevel"/>
    <w:tmpl w:val="412CB498"/>
    <w:lvl w:ilvl="0" w:tplc="04260003">
      <w:start w:val="1"/>
      <w:numFmt w:val="bullet"/>
      <w:lvlText w:val="o"/>
      <w:lvlJc w:val="left"/>
      <w:pPr>
        <w:ind w:left="1004" w:hanging="360"/>
      </w:pPr>
      <w:rPr>
        <w:rFonts w:ascii="Courier New" w:hAnsi="Courier New" w:cs="Courier New"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7" w15:restartNumberingAfterBreak="0">
    <w:nsid w:val="56C92EAB"/>
    <w:multiLevelType w:val="hybridMultilevel"/>
    <w:tmpl w:val="28826CF2"/>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8"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39" w15:restartNumberingAfterBreak="0">
    <w:nsid w:val="581603C5"/>
    <w:multiLevelType w:val="hybridMultilevel"/>
    <w:tmpl w:val="B8A403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5CF270D4"/>
    <w:multiLevelType w:val="hybridMultilevel"/>
    <w:tmpl w:val="5E488AB4"/>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1" w15:restartNumberingAfterBreak="0">
    <w:nsid w:val="5F7B492C"/>
    <w:multiLevelType w:val="hybridMultilevel"/>
    <w:tmpl w:val="C76624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672D6455"/>
    <w:multiLevelType w:val="hybridMultilevel"/>
    <w:tmpl w:val="DCEC04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68537F97"/>
    <w:multiLevelType w:val="hybridMultilevel"/>
    <w:tmpl w:val="333CE03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697748A8"/>
    <w:multiLevelType w:val="hybridMultilevel"/>
    <w:tmpl w:val="A0DEDCC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5" w15:restartNumberingAfterBreak="0">
    <w:nsid w:val="6BF44BCB"/>
    <w:multiLevelType w:val="hybridMultilevel"/>
    <w:tmpl w:val="FE0EE998"/>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46" w15:restartNumberingAfterBreak="0">
    <w:nsid w:val="6EEA5D15"/>
    <w:multiLevelType w:val="hybridMultilevel"/>
    <w:tmpl w:val="82CA24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70E0196F"/>
    <w:multiLevelType w:val="hybridMultilevel"/>
    <w:tmpl w:val="CBF629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74BD3535"/>
    <w:multiLevelType w:val="hybridMultilevel"/>
    <w:tmpl w:val="E55ECEB6"/>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49" w15:restartNumberingAfterBreak="0">
    <w:nsid w:val="76D81C1C"/>
    <w:multiLevelType w:val="hybridMultilevel"/>
    <w:tmpl w:val="15F26C8A"/>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50" w15:restartNumberingAfterBreak="0">
    <w:nsid w:val="7CA34A37"/>
    <w:multiLevelType w:val="hybridMultilevel"/>
    <w:tmpl w:val="A37434BC"/>
    <w:lvl w:ilvl="0" w:tplc="04260001">
      <w:start w:val="1"/>
      <w:numFmt w:val="bullet"/>
      <w:lvlText w:val=""/>
      <w:lvlJc w:val="left"/>
      <w:pPr>
        <w:ind w:left="785" w:hanging="360"/>
      </w:pPr>
      <w:rPr>
        <w:rFonts w:ascii="Symbol" w:hAnsi="Symbol" w:hint="default"/>
      </w:rPr>
    </w:lvl>
    <w:lvl w:ilvl="1" w:tplc="04260003">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51" w15:restartNumberingAfterBreak="0">
    <w:nsid w:val="7EA96A81"/>
    <w:multiLevelType w:val="hybridMultilevel"/>
    <w:tmpl w:val="382EB91C"/>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num w:numId="1">
    <w:abstractNumId w:val="20"/>
  </w:num>
  <w:num w:numId="2">
    <w:abstractNumId w:val="40"/>
  </w:num>
  <w:num w:numId="3">
    <w:abstractNumId w:val="16"/>
  </w:num>
  <w:num w:numId="4">
    <w:abstractNumId w:val="3"/>
  </w:num>
  <w:num w:numId="5">
    <w:abstractNumId w:val="41"/>
  </w:num>
  <w:num w:numId="6">
    <w:abstractNumId w:val="4"/>
  </w:num>
  <w:num w:numId="7">
    <w:abstractNumId w:val="47"/>
  </w:num>
  <w:num w:numId="8">
    <w:abstractNumId w:val="10"/>
  </w:num>
  <w:num w:numId="9">
    <w:abstractNumId w:val="8"/>
  </w:num>
  <w:num w:numId="10">
    <w:abstractNumId w:val="18"/>
  </w:num>
  <w:num w:numId="11">
    <w:abstractNumId w:val="26"/>
  </w:num>
  <w:num w:numId="12">
    <w:abstractNumId w:val="50"/>
  </w:num>
  <w:num w:numId="13">
    <w:abstractNumId w:val="27"/>
  </w:num>
  <w:num w:numId="14">
    <w:abstractNumId w:val="14"/>
  </w:num>
  <w:num w:numId="15">
    <w:abstractNumId w:val="19"/>
  </w:num>
  <w:num w:numId="16">
    <w:abstractNumId w:val="38"/>
  </w:num>
  <w:num w:numId="17">
    <w:abstractNumId w:val="7"/>
  </w:num>
  <w:num w:numId="18">
    <w:abstractNumId w:val="13"/>
  </w:num>
  <w:num w:numId="19">
    <w:abstractNumId w:val="43"/>
  </w:num>
  <w:num w:numId="20">
    <w:abstractNumId w:val="11"/>
  </w:num>
  <w:num w:numId="21">
    <w:abstractNumId w:val="48"/>
  </w:num>
  <w:num w:numId="22">
    <w:abstractNumId w:val="9"/>
  </w:num>
  <w:num w:numId="23">
    <w:abstractNumId w:val="36"/>
  </w:num>
  <w:num w:numId="24">
    <w:abstractNumId w:val="25"/>
  </w:num>
  <w:num w:numId="25">
    <w:abstractNumId w:val="2"/>
  </w:num>
  <w:num w:numId="26">
    <w:abstractNumId w:val="5"/>
  </w:num>
  <w:num w:numId="27">
    <w:abstractNumId w:val="1"/>
  </w:num>
  <w:num w:numId="28">
    <w:abstractNumId w:val="44"/>
  </w:num>
  <w:num w:numId="29">
    <w:abstractNumId w:val="24"/>
  </w:num>
  <w:num w:numId="30">
    <w:abstractNumId w:val="32"/>
  </w:num>
  <w:num w:numId="31">
    <w:abstractNumId w:val="31"/>
  </w:num>
  <w:num w:numId="32">
    <w:abstractNumId w:val="34"/>
  </w:num>
  <w:num w:numId="33">
    <w:abstractNumId w:val="23"/>
  </w:num>
  <w:num w:numId="34">
    <w:abstractNumId w:val="49"/>
  </w:num>
  <w:num w:numId="35">
    <w:abstractNumId w:val="45"/>
  </w:num>
  <w:num w:numId="36">
    <w:abstractNumId w:val="0"/>
  </w:num>
  <w:num w:numId="37">
    <w:abstractNumId w:val="12"/>
  </w:num>
  <w:num w:numId="38">
    <w:abstractNumId w:val="35"/>
  </w:num>
  <w:num w:numId="39">
    <w:abstractNumId w:val="21"/>
  </w:num>
  <w:num w:numId="40">
    <w:abstractNumId w:val="30"/>
  </w:num>
  <w:num w:numId="41">
    <w:abstractNumId w:val="33"/>
  </w:num>
  <w:num w:numId="42">
    <w:abstractNumId w:val="51"/>
  </w:num>
  <w:num w:numId="43">
    <w:abstractNumId w:val="6"/>
  </w:num>
  <w:num w:numId="44">
    <w:abstractNumId w:val="37"/>
  </w:num>
  <w:num w:numId="45">
    <w:abstractNumId w:val="42"/>
  </w:num>
  <w:num w:numId="46">
    <w:abstractNumId w:val="15"/>
  </w:num>
  <w:num w:numId="47">
    <w:abstractNumId w:val="28"/>
  </w:num>
  <w:num w:numId="48">
    <w:abstractNumId w:val="17"/>
  </w:num>
  <w:num w:numId="49">
    <w:abstractNumId w:val="46"/>
  </w:num>
  <w:num w:numId="50">
    <w:abstractNumId w:val="29"/>
  </w:num>
  <w:num w:numId="51">
    <w:abstractNumId w:val="22"/>
  </w:num>
  <w:num w:numId="52">
    <w:abstractNumId w:val="3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20"/>
  <w:characterSpacingControl w:val="doNotCompress"/>
  <w:hdrShapeDefaults>
    <o:shapedefaults v:ext="edit" spidmax="7495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E4"/>
    <w:rsid w:val="00000001"/>
    <w:rsid w:val="0000008E"/>
    <w:rsid w:val="00000328"/>
    <w:rsid w:val="000008CF"/>
    <w:rsid w:val="00000A59"/>
    <w:rsid w:val="00000E17"/>
    <w:rsid w:val="00000F2D"/>
    <w:rsid w:val="0000105F"/>
    <w:rsid w:val="0000111B"/>
    <w:rsid w:val="00001125"/>
    <w:rsid w:val="000013D0"/>
    <w:rsid w:val="000013FA"/>
    <w:rsid w:val="00001445"/>
    <w:rsid w:val="00001521"/>
    <w:rsid w:val="00001522"/>
    <w:rsid w:val="00001BAC"/>
    <w:rsid w:val="000023EA"/>
    <w:rsid w:val="000024CD"/>
    <w:rsid w:val="000024DF"/>
    <w:rsid w:val="00002781"/>
    <w:rsid w:val="000027A4"/>
    <w:rsid w:val="00002972"/>
    <w:rsid w:val="00002F52"/>
    <w:rsid w:val="00002FCF"/>
    <w:rsid w:val="00003177"/>
    <w:rsid w:val="000033B7"/>
    <w:rsid w:val="000038EC"/>
    <w:rsid w:val="00003B3C"/>
    <w:rsid w:val="00003D86"/>
    <w:rsid w:val="00003F54"/>
    <w:rsid w:val="00003FDF"/>
    <w:rsid w:val="000042BE"/>
    <w:rsid w:val="00004529"/>
    <w:rsid w:val="000049E2"/>
    <w:rsid w:val="00004DC5"/>
    <w:rsid w:val="00005096"/>
    <w:rsid w:val="0000526C"/>
    <w:rsid w:val="00005555"/>
    <w:rsid w:val="00005653"/>
    <w:rsid w:val="00005A46"/>
    <w:rsid w:val="00005ABE"/>
    <w:rsid w:val="00005EE2"/>
    <w:rsid w:val="0000624B"/>
    <w:rsid w:val="00006251"/>
    <w:rsid w:val="00006619"/>
    <w:rsid w:val="00006841"/>
    <w:rsid w:val="00006A79"/>
    <w:rsid w:val="00006F2A"/>
    <w:rsid w:val="00007237"/>
    <w:rsid w:val="00007646"/>
    <w:rsid w:val="00010527"/>
    <w:rsid w:val="00010CCE"/>
    <w:rsid w:val="00010E05"/>
    <w:rsid w:val="000110F9"/>
    <w:rsid w:val="000119DF"/>
    <w:rsid w:val="00011AA9"/>
    <w:rsid w:val="00011ABD"/>
    <w:rsid w:val="00011C10"/>
    <w:rsid w:val="00011C95"/>
    <w:rsid w:val="00011CB8"/>
    <w:rsid w:val="00011E6C"/>
    <w:rsid w:val="00011FF5"/>
    <w:rsid w:val="0001214B"/>
    <w:rsid w:val="000122F8"/>
    <w:rsid w:val="0001234B"/>
    <w:rsid w:val="00012374"/>
    <w:rsid w:val="000123E8"/>
    <w:rsid w:val="0001240E"/>
    <w:rsid w:val="000124B7"/>
    <w:rsid w:val="00012F09"/>
    <w:rsid w:val="000133F2"/>
    <w:rsid w:val="00013627"/>
    <w:rsid w:val="000137B7"/>
    <w:rsid w:val="00013ACC"/>
    <w:rsid w:val="00013D34"/>
    <w:rsid w:val="00013E48"/>
    <w:rsid w:val="00013E56"/>
    <w:rsid w:val="000140A1"/>
    <w:rsid w:val="000149EA"/>
    <w:rsid w:val="00014D97"/>
    <w:rsid w:val="0001537A"/>
    <w:rsid w:val="00015887"/>
    <w:rsid w:val="00015935"/>
    <w:rsid w:val="00015C68"/>
    <w:rsid w:val="000160FF"/>
    <w:rsid w:val="0001614D"/>
    <w:rsid w:val="0001633D"/>
    <w:rsid w:val="00016CA6"/>
    <w:rsid w:val="000170A3"/>
    <w:rsid w:val="000170FB"/>
    <w:rsid w:val="00017139"/>
    <w:rsid w:val="0001726F"/>
    <w:rsid w:val="000172D5"/>
    <w:rsid w:val="00017D74"/>
    <w:rsid w:val="0002009C"/>
    <w:rsid w:val="00020BEA"/>
    <w:rsid w:val="00020F9F"/>
    <w:rsid w:val="000210C9"/>
    <w:rsid w:val="0002130D"/>
    <w:rsid w:val="000213C7"/>
    <w:rsid w:val="000216CA"/>
    <w:rsid w:val="000216E7"/>
    <w:rsid w:val="000217AB"/>
    <w:rsid w:val="00021888"/>
    <w:rsid w:val="00021D82"/>
    <w:rsid w:val="000221BB"/>
    <w:rsid w:val="000224DA"/>
    <w:rsid w:val="0002261E"/>
    <w:rsid w:val="000229AE"/>
    <w:rsid w:val="00022B51"/>
    <w:rsid w:val="00022BBC"/>
    <w:rsid w:val="00022DCB"/>
    <w:rsid w:val="00022F69"/>
    <w:rsid w:val="0002364E"/>
    <w:rsid w:val="00023C18"/>
    <w:rsid w:val="00024295"/>
    <w:rsid w:val="00024381"/>
    <w:rsid w:val="00024816"/>
    <w:rsid w:val="00024886"/>
    <w:rsid w:val="00024954"/>
    <w:rsid w:val="0002504C"/>
    <w:rsid w:val="0002545D"/>
    <w:rsid w:val="0002547D"/>
    <w:rsid w:val="00025567"/>
    <w:rsid w:val="000255D8"/>
    <w:rsid w:val="000259E5"/>
    <w:rsid w:val="00025ADD"/>
    <w:rsid w:val="00025C56"/>
    <w:rsid w:val="00025E41"/>
    <w:rsid w:val="00025EA0"/>
    <w:rsid w:val="00026438"/>
    <w:rsid w:val="00026896"/>
    <w:rsid w:val="00026D12"/>
    <w:rsid w:val="0002716E"/>
    <w:rsid w:val="000274D8"/>
    <w:rsid w:val="00027C0A"/>
    <w:rsid w:val="00027CB9"/>
    <w:rsid w:val="00027ED5"/>
    <w:rsid w:val="000303CA"/>
    <w:rsid w:val="00030F16"/>
    <w:rsid w:val="00030FB1"/>
    <w:rsid w:val="0003117E"/>
    <w:rsid w:val="00031243"/>
    <w:rsid w:val="000313B4"/>
    <w:rsid w:val="000313F4"/>
    <w:rsid w:val="00031494"/>
    <w:rsid w:val="000314E5"/>
    <w:rsid w:val="0003199C"/>
    <w:rsid w:val="00031A92"/>
    <w:rsid w:val="00031CD6"/>
    <w:rsid w:val="00032212"/>
    <w:rsid w:val="000324D8"/>
    <w:rsid w:val="00032734"/>
    <w:rsid w:val="0003276A"/>
    <w:rsid w:val="00032826"/>
    <w:rsid w:val="00032AC7"/>
    <w:rsid w:val="00032D0E"/>
    <w:rsid w:val="00032EC5"/>
    <w:rsid w:val="0003311F"/>
    <w:rsid w:val="000335FD"/>
    <w:rsid w:val="00033667"/>
    <w:rsid w:val="000336E2"/>
    <w:rsid w:val="0003417F"/>
    <w:rsid w:val="00034307"/>
    <w:rsid w:val="00034416"/>
    <w:rsid w:val="00034664"/>
    <w:rsid w:val="000346D3"/>
    <w:rsid w:val="00034B3C"/>
    <w:rsid w:val="0003548F"/>
    <w:rsid w:val="000356D0"/>
    <w:rsid w:val="000357A0"/>
    <w:rsid w:val="00035B49"/>
    <w:rsid w:val="00035C14"/>
    <w:rsid w:val="00035DD5"/>
    <w:rsid w:val="00035EBC"/>
    <w:rsid w:val="00035FEE"/>
    <w:rsid w:val="0003665E"/>
    <w:rsid w:val="00036A01"/>
    <w:rsid w:val="00036CE4"/>
    <w:rsid w:val="0003703F"/>
    <w:rsid w:val="000372B2"/>
    <w:rsid w:val="00037F1B"/>
    <w:rsid w:val="00037FD3"/>
    <w:rsid w:val="000401F8"/>
    <w:rsid w:val="000405B1"/>
    <w:rsid w:val="0004095E"/>
    <w:rsid w:val="00040BCE"/>
    <w:rsid w:val="00040FD3"/>
    <w:rsid w:val="000410AE"/>
    <w:rsid w:val="000410BE"/>
    <w:rsid w:val="000413D4"/>
    <w:rsid w:val="00041679"/>
    <w:rsid w:val="00041992"/>
    <w:rsid w:val="00041B05"/>
    <w:rsid w:val="00042337"/>
    <w:rsid w:val="00042448"/>
    <w:rsid w:val="000425C4"/>
    <w:rsid w:val="000427F4"/>
    <w:rsid w:val="000427F8"/>
    <w:rsid w:val="0004314F"/>
    <w:rsid w:val="000435BB"/>
    <w:rsid w:val="000437AB"/>
    <w:rsid w:val="00043A5F"/>
    <w:rsid w:val="00043CBD"/>
    <w:rsid w:val="000445FD"/>
    <w:rsid w:val="00044BDF"/>
    <w:rsid w:val="00044BED"/>
    <w:rsid w:val="00044CB4"/>
    <w:rsid w:val="000450EA"/>
    <w:rsid w:val="000453DF"/>
    <w:rsid w:val="0004546E"/>
    <w:rsid w:val="00045683"/>
    <w:rsid w:val="0004596E"/>
    <w:rsid w:val="00045EA9"/>
    <w:rsid w:val="0004613A"/>
    <w:rsid w:val="00046187"/>
    <w:rsid w:val="000465A1"/>
    <w:rsid w:val="00046A95"/>
    <w:rsid w:val="00046FB2"/>
    <w:rsid w:val="0004707B"/>
    <w:rsid w:val="000472F6"/>
    <w:rsid w:val="000474A0"/>
    <w:rsid w:val="000475C0"/>
    <w:rsid w:val="00047797"/>
    <w:rsid w:val="00047855"/>
    <w:rsid w:val="00047971"/>
    <w:rsid w:val="00047975"/>
    <w:rsid w:val="00047C30"/>
    <w:rsid w:val="00047F5E"/>
    <w:rsid w:val="00050102"/>
    <w:rsid w:val="00050441"/>
    <w:rsid w:val="00050486"/>
    <w:rsid w:val="00050688"/>
    <w:rsid w:val="000508E8"/>
    <w:rsid w:val="00050D0A"/>
    <w:rsid w:val="00050D67"/>
    <w:rsid w:val="00050E79"/>
    <w:rsid w:val="00050F2B"/>
    <w:rsid w:val="00051043"/>
    <w:rsid w:val="00051109"/>
    <w:rsid w:val="00051134"/>
    <w:rsid w:val="00051267"/>
    <w:rsid w:val="000515CA"/>
    <w:rsid w:val="00051615"/>
    <w:rsid w:val="00051850"/>
    <w:rsid w:val="00051A76"/>
    <w:rsid w:val="00051B75"/>
    <w:rsid w:val="00051CCD"/>
    <w:rsid w:val="00051E85"/>
    <w:rsid w:val="00052B6A"/>
    <w:rsid w:val="00052F2B"/>
    <w:rsid w:val="0005332C"/>
    <w:rsid w:val="00053435"/>
    <w:rsid w:val="00053768"/>
    <w:rsid w:val="00053810"/>
    <w:rsid w:val="0005400B"/>
    <w:rsid w:val="000541F4"/>
    <w:rsid w:val="0005465E"/>
    <w:rsid w:val="0005497E"/>
    <w:rsid w:val="00054CAF"/>
    <w:rsid w:val="00054DE1"/>
    <w:rsid w:val="00054E96"/>
    <w:rsid w:val="00054F37"/>
    <w:rsid w:val="000550B5"/>
    <w:rsid w:val="00055ADF"/>
    <w:rsid w:val="00055BCF"/>
    <w:rsid w:val="00056007"/>
    <w:rsid w:val="00056185"/>
    <w:rsid w:val="00056263"/>
    <w:rsid w:val="00056718"/>
    <w:rsid w:val="000568E7"/>
    <w:rsid w:val="00056900"/>
    <w:rsid w:val="000569F1"/>
    <w:rsid w:val="00056A35"/>
    <w:rsid w:val="00056BFE"/>
    <w:rsid w:val="00057375"/>
    <w:rsid w:val="00057422"/>
    <w:rsid w:val="00057571"/>
    <w:rsid w:val="00057B34"/>
    <w:rsid w:val="00057C3A"/>
    <w:rsid w:val="00057D42"/>
    <w:rsid w:val="00057F21"/>
    <w:rsid w:val="00060097"/>
    <w:rsid w:val="000602E8"/>
    <w:rsid w:val="00060581"/>
    <w:rsid w:val="0006089E"/>
    <w:rsid w:val="00060E8A"/>
    <w:rsid w:val="000611C0"/>
    <w:rsid w:val="0006157D"/>
    <w:rsid w:val="00061764"/>
    <w:rsid w:val="000619A5"/>
    <w:rsid w:val="00061DE5"/>
    <w:rsid w:val="00061E50"/>
    <w:rsid w:val="0006202A"/>
    <w:rsid w:val="0006211C"/>
    <w:rsid w:val="0006225B"/>
    <w:rsid w:val="0006229F"/>
    <w:rsid w:val="00062531"/>
    <w:rsid w:val="0006282A"/>
    <w:rsid w:val="00062857"/>
    <w:rsid w:val="00062925"/>
    <w:rsid w:val="00062B90"/>
    <w:rsid w:val="00062BFC"/>
    <w:rsid w:val="00062CB6"/>
    <w:rsid w:val="00062E00"/>
    <w:rsid w:val="00062F4A"/>
    <w:rsid w:val="000632F2"/>
    <w:rsid w:val="00063A3F"/>
    <w:rsid w:val="00063ECA"/>
    <w:rsid w:val="00063F08"/>
    <w:rsid w:val="000640DC"/>
    <w:rsid w:val="00064409"/>
    <w:rsid w:val="000646CE"/>
    <w:rsid w:val="000654F0"/>
    <w:rsid w:val="000655A7"/>
    <w:rsid w:val="00065653"/>
    <w:rsid w:val="00065690"/>
    <w:rsid w:val="000656E5"/>
    <w:rsid w:val="0006599F"/>
    <w:rsid w:val="00065E74"/>
    <w:rsid w:val="00065F41"/>
    <w:rsid w:val="000661AE"/>
    <w:rsid w:val="00066459"/>
    <w:rsid w:val="0006686D"/>
    <w:rsid w:val="0006693C"/>
    <w:rsid w:val="00066AA7"/>
    <w:rsid w:val="00066E17"/>
    <w:rsid w:val="000674FC"/>
    <w:rsid w:val="00067DA1"/>
    <w:rsid w:val="00067DF7"/>
    <w:rsid w:val="0007020B"/>
    <w:rsid w:val="00070451"/>
    <w:rsid w:val="0007046D"/>
    <w:rsid w:val="000708CF"/>
    <w:rsid w:val="00070AB7"/>
    <w:rsid w:val="000716C3"/>
    <w:rsid w:val="000719EF"/>
    <w:rsid w:val="00071C47"/>
    <w:rsid w:val="0007200C"/>
    <w:rsid w:val="000722EE"/>
    <w:rsid w:val="000724ED"/>
    <w:rsid w:val="00072691"/>
    <w:rsid w:val="000727EF"/>
    <w:rsid w:val="000729C9"/>
    <w:rsid w:val="00072BDE"/>
    <w:rsid w:val="00072BFE"/>
    <w:rsid w:val="00072D90"/>
    <w:rsid w:val="00072DD6"/>
    <w:rsid w:val="00073034"/>
    <w:rsid w:val="00073C2F"/>
    <w:rsid w:val="00073EFC"/>
    <w:rsid w:val="000740F5"/>
    <w:rsid w:val="000749E6"/>
    <w:rsid w:val="00075193"/>
    <w:rsid w:val="00075EA0"/>
    <w:rsid w:val="0007616C"/>
    <w:rsid w:val="00076189"/>
    <w:rsid w:val="00076743"/>
    <w:rsid w:val="00076785"/>
    <w:rsid w:val="00076C85"/>
    <w:rsid w:val="000770C8"/>
    <w:rsid w:val="00077516"/>
    <w:rsid w:val="000778AF"/>
    <w:rsid w:val="00077E0F"/>
    <w:rsid w:val="000800E9"/>
    <w:rsid w:val="00080709"/>
    <w:rsid w:val="00080808"/>
    <w:rsid w:val="00081748"/>
    <w:rsid w:val="00081B49"/>
    <w:rsid w:val="00081B84"/>
    <w:rsid w:val="00081CF6"/>
    <w:rsid w:val="00082FDD"/>
    <w:rsid w:val="00082FE6"/>
    <w:rsid w:val="0008310A"/>
    <w:rsid w:val="00083210"/>
    <w:rsid w:val="00083932"/>
    <w:rsid w:val="000839C6"/>
    <w:rsid w:val="00083FEA"/>
    <w:rsid w:val="0008423E"/>
    <w:rsid w:val="000842CA"/>
    <w:rsid w:val="000847D9"/>
    <w:rsid w:val="00084D80"/>
    <w:rsid w:val="000851EE"/>
    <w:rsid w:val="00085314"/>
    <w:rsid w:val="00085381"/>
    <w:rsid w:val="0008545A"/>
    <w:rsid w:val="000857C8"/>
    <w:rsid w:val="00085C64"/>
    <w:rsid w:val="00085CCE"/>
    <w:rsid w:val="00085CF8"/>
    <w:rsid w:val="00085EF2"/>
    <w:rsid w:val="00086259"/>
    <w:rsid w:val="0008656E"/>
    <w:rsid w:val="00086656"/>
    <w:rsid w:val="0008675F"/>
    <w:rsid w:val="000869D9"/>
    <w:rsid w:val="00086E7F"/>
    <w:rsid w:val="000871BF"/>
    <w:rsid w:val="0008722E"/>
    <w:rsid w:val="00087402"/>
    <w:rsid w:val="00087562"/>
    <w:rsid w:val="000878AD"/>
    <w:rsid w:val="00087BAE"/>
    <w:rsid w:val="00087CD2"/>
    <w:rsid w:val="00087D54"/>
    <w:rsid w:val="00087F53"/>
    <w:rsid w:val="00087F64"/>
    <w:rsid w:val="0009071D"/>
    <w:rsid w:val="000909F3"/>
    <w:rsid w:val="00090D03"/>
    <w:rsid w:val="00090D7E"/>
    <w:rsid w:val="00090F83"/>
    <w:rsid w:val="00090FA7"/>
    <w:rsid w:val="00091349"/>
    <w:rsid w:val="00091687"/>
    <w:rsid w:val="00091699"/>
    <w:rsid w:val="000917F7"/>
    <w:rsid w:val="00091A0E"/>
    <w:rsid w:val="00091FCD"/>
    <w:rsid w:val="000928E6"/>
    <w:rsid w:val="00092C56"/>
    <w:rsid w:val="00092E52"/>
    <w:rsid w:val="0009307A"/>
    <w:rsid w:val="0009366B"/>
    <w:rsid w:val="00093D1F"/>
    <w:rsid w:val="00094142"/>
    <w:rsid w:val="000942B4"/>
    <w:rsid w:val="000942BF"/>
    <w:rsid w:val="00094491"/>
    <w:rsid w:val="000946B7"/>
    <w:rsid w:val="000946DD"/>
    <w:rsid w:val="00094873"/>
    <w:rsid w:val="00094A96"/>
    <w:rsid w:val="00094BEB"/>
    <w:rsid w:val="00094C3A"/>
    <w:rsid w:val="00094C43"/>
    <w:rsid w:val="00094C97"/>
    <w:rsid w:val="00094FA0"/>
    <w:rsid w:val="00094FEC"/>
    <w:rsid w:val="0009509F"/>
    <w:rsid w:val="0009550B"/>
    <w:rsid w:val="000959AC"/>
    <w:rsid w:val="00095A1B"/>
    <w:rsid w:val="00095A44"/>
    <w:rsid w:val="00095DE2"/>
    <w:rsid w:val="0009610A"/>
    <w:rsid w:val="00096410"/>
    <w:rsid w:val="00096570"/>
    <w:rsid w:val="00096631"/>
    <w:rsid w:val="00097834"/>
    <w:rsid w:val="00097908"/>
    <w:rsid w:val="0009793A"/>
    <w:rsid w:val="00097AAA"/>
    <w:rsid w:val="000A029B"/>
    <w:rsid w:val="000A062F"/>
    <w:rsid w:val="000A0835"/>
    <w:rsid w:val="000A1089"/>
    <w:rsid w:val="000A1309"/>
    <w:rsid w:val="000A14D4"/>
    <w:rsid w:val="000A1710"/>
    <w:rsid w:val="000A189C"/>
    <w:rsid w:val="000A19A5"/>
    <w:rsid w:val="000A1BB5"/>
    <w:rsid w:val="000A1BDE"/>
    <w:rsid w:val="000A1BF6"/>
    <w:rsid w:val="000A1E5D"/>
    <w:rsid w:val="000A222D"/>
    <w:rsid w:val="000A278D"/>
    <w:rsid w:val="000A2CA2"/>
    <w:rsid w:val="000A2D46"/>
    <w:rsid w:val="000A2D83"/>
    <w:rsid w:val="000A2DE1"/>
    <w:rsid w:val="000A3051"/>
    <w:rsid w:val="000A309F"/>
    <w:rsid w:val="000A33E9"/>
    <w:rsid w:val="000A34AD"/>
    <w:rsid w:val="000A35FF"/>
    <w:rsid w:val="000A37F8"/>
    <w:rsid w:val="000A3982"/>
    <w:rsid w:val="000A3AE2"/>
    <w:rsid w:val="000A3B2E"/>
    <w:rsid w:val="000A4636"/>
    <w:rsid w:val="000A4669"/>
    <w:rsid w:val="000A4870"/>
    <w:rsid w:val="000A4CD7"/>
    <w:rsid w:val="000A5706"/>
    <w:rsid w:val="000A5CA9"/>
    <w:rsid w:val="000A5DCC"/>
    <w:rsid w:val="000A606B"/>
    <w:rsid w:val="000A61EC"/>
    <w:rsid w:val="000A62FE"/>
    <w:rsid w:val="000A6608"/>
    <w:rsid w:val="000A67B3"/>
    <w:rsid w:val="000A6976"/>
    <w:rsid w:val="000A699E"/>
    <w:rsid w:val="000A69F5"/>
    <w:rsid w:val="000A6DE9"/>
    <w:rsid w:val="000A74E9"/>
    <w:rsid w:val="000A7D1A"/>
    <w:rsid w:val="000B0096"/>
    <w:rsid w:val="000B0620"/>
    <w:rsid w:val="000B073F"/>
    <w:rsid w:val="000B0DEA"/>
    <w:rsid w:val="000B1030"/>
    <w:rsid w:val="000B11E2"/>
    <w:rsid w:val="000B120F"/>
    <w:rsid w:val="000B14AB"/>
    <w:rsid w:val="000B176B"/>
    <w:rsid w:val="000B2091"/>
    <w:rsid w:val="000B21C8"/>
    <w:rsid w:val="000B22D1"/>
    <w:rsid w:val="000B2314"/>
    <w:rsid w:val="000B2BFF"/>
    <w:rsid w:val="000B303F"/>
    <w:rsid w:val="000B3065"/>
    <w:rsid w:val="000B3492"/>
    <w:rsid w:val="000B3783"/>
    <w:rsid w:val="000B378A"/>
    <w:rsid w:val="000B37CE"/>
    <w:rsid w:val="000B37DA"/>
    <w:rsid w:val="000B381D"/>
    <w:rsid w:val="000B3883"/>
    <w:rsid w:val="000B3DE5"/>
    <w:rsid w:val="000B4141"/>
    <w:rsid w:val="000B4236"/>
    <w:rsid w:val="000B4349"/>
    <w:rsid w:val="000B4731"/>
    <w:rsid w:val="000B4A18"/>
    <w:rsid w:val="000B51B9"/>
    <w:rsid w:val="000B51F9"/>
    <w:rsid w:val="000B524C"/>
    <w:rsid w:val="000B52A4"/>
    <w:rsid w:val="000B535E"/>
    <w:rsid w:val="000B53D6"/>
    <w:rsid w:val="000B56C3"/>
    <w:rsid w:val="000B56D2"/>
    <w:rsid w:val="000B573A"/>
    <w:rsid w:val="000B5A76"/>
    <w:rsid w:val="000B5F62"/>
    <w:rsid w:val="000B60B2"/>
    <w:rsid w:val="000B6B34"/>
    <w:rsid w:val="000B7364"/>
    <w:rsid w:val="000B73EB"/>
    <w:rsid w:val="000C01EE"/>
    <w:rsid w:val="000C1009"/>
    <w:rsid w:val="000C1053"/>
    <w:rsid w:val="000C13EB"/>
    <w:rsid w:val="000C146A"/>
    <w:rsid w:val="000C195C"/>
    <w:rsid w:val="000C1A3F"/>
    <w:rsid w:val="000C20C0"/>
    <w:rsid w:val="000C2626"/>
    <w:rsid w:val="000C271B"/>
    <w:rsid w:val="000C2907"/>
    <w:rsid w:val="000C2984"/>
    <w:rsid w:val="000C2BAB"/>
    <w:rsid w:val="000C30A0"/>
    <w:rsid w:val="000C3372"/>
    <w:rsid w:val="000C3468"/>
    <w:rsid w:val="000C34EB"/>
    <w:rsid w:val="000C39F7"/>
    <w:rsid w:val="000C4597"/>
    <w:rsid w:val="000C47E3"/>
    <w:rsid w:val="000C4839"/>
    <w:rsid w:val="000C4A13"/>
    <w:rsid w:val="000C4B81"/>
    <w:rsid w:val="000C4BE8"/>
    <w:rsid w:val="000C4E08"/>
    <w:rsid w:val="000C4FA3"/>
    <w:rsid w:val="000C5034"/>
    <w:rsid w:val="000C50A1"/>
    <w:rsid w:val="000C5392"/>
    <w:rsid w:val="000C5AD2"/>
    <w:rsid w:val="000C5D9A"/>
    <w:rsid w:val="000C5EBC"/>
    <w:rsid w:val="000C5F9D"/>
    <w:rsid w:val="000C60E3"/>
    <w:rsid w:val="000C6E5B"/>
    <w:rsid w:val="000C6FC9"/>
    <w:rsid w:val="000C73B4"/>
    <w:rsid w:val="000C7533"/>
    <w:rsid w:val="000D0C2D"/>
    <w:rsid w:val="000D0D03"/>
    <w:rsid w:val="000D0DBD"/>
    <w:rsid w:val="000D1165"/>
    <w:rsid w:val="000D155F"/>
    <w:rsid w:val="000D195A"/>
    <w:rsid w:val="000D1DD2"/>
    <w:rsid w:val="000D207E"/>
    <w:rsid w:val="000D225D"/>
    <w:rsid w:val="000D258A"/>
    <w:rsid w:val="000D277E"/>
    <w:rsid w:val="000D2A1B"/>
    <w:rsid w:val="000D2A4B"/>
    <w:rsid w:val="000D2AAB"/>
    <w:rsid w:val="000D2C5D"/>
    <w:rsid w:val="000D2E21"/>
    <w:rsid w:val="000D303F"/>
    <w:rsid w:val="000D308E"/>
    <w:rsid w:val="000D33D3"/>
    <w:rsid w:val="000D349A"/>
    <w:rsid w:val="000D3D27"/>
    <w:rsid w:val="000D4581"/>
    <w:rsid w:val="000D4945"/>
    <w:rsid w:val="000D4A34"/>
    <w:rsid w:val="000D50DD"/>
    <w:rsid w:val="000D5363"/>
    <w:rsid w:val="000D538E"/>
    <w:rsid w:val="000D54E5"/>
    <w:rsid w:val="000D60A6"/>
    <w:rsid w:val="000D6100"/>
    <w:rsid w:val="000D62CB"/>
    <w:rsid w:val="000D678C"/>
    <w:rsid w:val="000D68E5"/>
    <w:rsid w:val="000D6E6C"/>
    <w:rsid w:val="000D70C8"/>
    <w:rsid w:val="000D713A"/>
    <w:rsid w:val="000D7375"/>
    <w:rsid w:val="000D7BBC"/>
    <w:rsid w:val="000D7D7C"/>
    <w:rsid w:val="000D7F42"/>
    <w:rsid w:val="000E0120"/>
    <w:rsid w:val="000E0731"/>
    <w:rsid w:val="000E07FE"/>
    <w:rsid w:val="000E0D3C"/>
    <w:rsid w:val="000E0ECD"/>
    <w:rsid w:val="000E159E"/>
    <w:rsid w:val="000E179D"/>
    <w:rsid w:val="000E189A"/>
    <w:rsid w:val="000E1DEC"/>
    <w:rsid w:val="000E2447"/>
    <w:rsid w:val="000E2547"/>
    <w:rsid w:val="000E268B"/>
    <w:rsid w:val="000E2985"/>
    <w:rsid w:val="000E29EC"/>
    <w:rsid w:val="000E2C45"/>
    <w:rsid w:val="000E2C51"/>
    <w:rsid w:val="000E2C5D"/>
    <w:rsid w:val="000E2E97"/>
    <w:rsid w:val="000E3091"/>
    <w:rsid w:val="000E385E"/>
    <w:rsid w:val="000E3AEC"/>
    <w:rsid w:val="000E3E15"/>
    <w:rsid w:val="000E42DD"/>
    <w:rsid w:val="000E44E9"/>
    <w:rsid w:val="000E451C"/>
    <w:rsid w:val="000E4716"/>
    <w:rsid w:val="000E48D0"/>
    <w:rsid w:val="000E4976"/>
    <w:rsid w:val="000E4B09"/>
    <w:rsid w:val="000E5114"/>
    <w:rsid w:val="000E5350"/>
    <w:rsid w:val="000E5450"/>
    <w:rsid w:val="000E5463"/>
    <w:rsid w:val="000E5B2C"/>
    <w:rsid w:val="000E5E14"/>
    <w:rsid w:val="000E662D"/>
    <w:rsid w:val="000E677D"/>
    <w:rsid w:val="000E6A4D"/>
    <w:rsid w:val="000E6BA5"/>
    <w:rsid w:val="000E6E37"/>
    <w:rsid w:val="000E7171"/>
    <w:rsid w:val="000E72D4"/>
    <w:rsid w:val="000E74ED"/>
    <w:rsid w:val="000E754D"/>
    <w:rsid w:val="000E75BA"/>
    <w:rsid w:val="000F01CC"/>
    <w:rsid w:val="000F0325"/>
    <w:rsid w:val="000F04D0"/>
    <w:rsid w:val="000F075E"/>
    <w:rsid w:val="000F096C"/>
    <w:rsid w:val="000F0A35"/>
    <w:rsid w:val="000F0ECB"/>
    <w:rsid w:val="000F0F6B"/>
    <w:rsid w:val="000F0FB8"/>
    <w:rsid w:val="000F128D"/>
    <w:rsid w:val="000F1A51"/>
    <w:rsid w:val="000F20AF"/>
    <w:rsid w:val="000F2199"/>
    <w:rsid w:val="000F21BF"/>
    <w:rsid w:val="000F2559"/>
    <w:rsid w:val="000F2671"/>
    <w:rsid w:val="000F27A1"/>
    <w:rsid w:val="000F2836"/>
    <w:rsid w:val="000F2AF2"/>
    <w:rsid w:val="000F31B2"/>
    <w:rsid w:val="000F3D81"/>
    <w:rsid w:val="000F3FC7"/>
    <w:rsid w:val="000F420B"/>
    <w:rsid w:val="000F4C6F"/>
    <w:rsid w:val="000F51E5"/>
    <w:rsid w:val="000F51EF"/>
    <w:rsid w:val="000F5216"/>
    <w:rsid w:val="000F5273"/>
    <w:rsid w:val="000F53B8"/>
    <w:rsid w:val="000F552B"/>
    <w:rsid w:val="000F553A"/>
    <w:rsid w:val="000F5DAE"/>
    <w:rsid w:val="000F5FC3"/>
    <w:rsid w:val="000F5FEB"/>
    <w:rsid w:val="000F64B5"/>
    <w:rsid w:val="000F68C1"/>
    <w:rsid w:val="000F69F0"/>
    <w:rsid w:val="000F6A12"/>
    <w:rsid w:val="000F6A77"/>
    <w:rsid w:val="000F6E15"/>
    <w:rsid w:val="000F7141"/>
    <w:rsid w:val="000F77E3"/>
    <w:rsid w:val="000F7898"/>
    <w:rsid w:val="000F7A41"/>
    <w:rsid w:val="000F7E21"/>
    <w:rsid w:val="0010012D"/>
    <w:rsid w:val="001001B0"/>
    <w:rsid w:val="001009E2"/>
    <w:rsid w:val="00100A4B"/>
    <w:rsid w:val="00100EA1"/>
    <w:rsid w:val="00100F62"/>
    <w:rsid w:val="00101052"/>
    <w:rsid w:val="00101408"/>
    <w:rsid w:val="001016B2"/>
    <w:rsid w:val="001018DE"/>
    <w:rsid w:val="00101FAF"/>
    <w:rsid w:val="0010281D"/>
    <w:rsid w:val="00102889"/>
    <w:rsid w:val="00102999"/>
    <w:rsid w:val="00102FD1"/>
    <w:rsid w:val="00103143"/>
    <w:rsid w:val="0010326E"/>
    <w:rsid w:val="001032C5"/>
    <w:rsid w:val="001038A9"/>
    <w:rsid w:val="00103B0C"/>
    <w:rsid w:val="00103C62"/>
    <w:rsid w:val="00103F62"/>
    <w:rsid w:val="001040AE"/>
    <w:rsid w:val="00104282"/>
    <w:rsid w:val="00104966"/>
    <w:rsid w:val="00104A9B"/>
    <w:rsid w:val="00104AD6"/>
    <w:rsid w:val="00104C4E"/>
    <w:rsid w:val="00104D23"/>
    <w:rsid w:val="00105075"/>
    <w:rsid w:val="0010514B"/>
    <w:rsid w:val="001054F2"/>
    <w:rsid w:val="00105781"/>
    <w:rsid w:val="0010599C"/>
    <w:rsid w:val="00105B04"/>
    <w:rsid w:val="0010646B"/>
    <w:rsid w:val="00106AD2"/>
    <w:rsid w:val="00106D77"/>
    <w:rsid w:val="00107086"/>
    <w:rsid w:val="001073AC"/>
    <w:rsid w:val="001073FA"/>
    <w:rsid w:val="00107C41"/>
    <w:rsid w:val="00107CFD"/>
    <w:rsid w:val="001105FB"/>
    <w:rsid w:val="001108EB"/>
    <w:rsid w:val="00110F31"/>
    <w:rsid w:val="00111025"/>
    <w:rsid w:val="00111197"/>
    <w:rsid w:val="0011149B"/>
    <w:rsid w:val="00111D69"/>
    <w:rsid w:val="00111F29"/>
    <w:rsid w:val="00111FF1"/>
    <w:rsid w:val="001123E9"/>
    <w:rsid w:val="00112811"/>
    <w:rsid w:val="001129D7"/>
    <w:rsid w:val="00112ACC"/>
    <w:rsid w:val="00112B93"/>
    <w:rsid w:val="00112BEA"/>
    <w:rsid w:val="00112C53"/>
    <w:rsid w:val="00112F9D"/>
    <w:rsid w:val="001133DD"/>
    <w:rsid w:val="0011340E"/>
    <w:rsid w:val="00113459"/>
    <w:rsid w:val="00113727"/>
    <w:rsid w:val="00113A8A"/>
    <w:rsid w:val="00113CBB"/>
    <w:rsid w:val="00113DA1"/>
    <w:rsid w:val="001144AB"/>
    <w:rsid w:val="001144C9"/>
    <w:rsid w:val="00114518"/>
    <w:rsid w:val="00114A5A"/>
    <w:rsid w:val="0011570D"/>
    <w:rsid w:val="00115FA7"/>
    <w:rsid w:val="00115FC3"/>
    <w:rsid w:val="001160FD"/>
    <w:rsid w:val="00116450"/>
    <w:rsid w:val="0011677D"/>
    <w:rsid w:val="0011679F"/>
    <w:rsid w:val="00116D71"/>
    <w:rsid w:val="00116E0B"/>
    <w:rsid w:val="00116E4C"/>
    <w:rsid w:val="00117027"/>
    <w:rsid w:val="00117203"/>
    <w:rsid w:val="00117873"/>
    <w:rsid w:val="001178C7"/>
    <w:rsid w:val="00117CE0"/>
    <w:rsid w:val="001200D8"/>
    <w:rsid w:val="001203E0"/>
    <w:rsid w:val="00120716"/>
    <w:rsid w:val="00120A0D"/>
    <w:rsid w:val="00121318"/>
    <w:rsid w:val="00121381"/>
    <w:rsid w:val="0012148F"/>
    <w:rsid w:val="001216B3"/>
    <w:rsid w:val="00121AAE"/>
    <w:rsid w:val="00121C8A"/>
    <w:rsid w:val="00121F7D"/>
    <w:rsid w:val="00122319"/>
    <w:rsid w:val="0012247B"/>
    <w:rsid w:val="001224CF"/>
    <w:rsid w:val="001224F4"/>
    <w:rsid w:val="00122AC1"/>
    <w:rsid w:val="00122D6B"/>
    <w:rsid w:val="00122D7D"/>
    <w:rsid w:val="00122EB8"/>
    <w:rsid w:val="001230B4"/>
    <w:rsid w:val="001231AF"/>
    <w:rsid w:val="00123226"/>
    <w:rsid w:val="00123493"/>
    <w:rsid w:val="001235C4"/>
    <w:rsid w:val="00123C03"/>
    <w:rsid w:val="00124059"/>
    <w:rsid w:val="001244B4"/>
    <w:rsid w:val="001247F7"/>
    <w:rsid w:val="001248F4"/>
    <w:rsid w:val="00124A57"/>
    <w:rsid w:val="00124CC1"/>
    <w:rsid w:val="00124E3D"/>
    <w:rsid w:val="00125133"/>
    <w:rsid w:val="001252D4"/>
    <w:rsid w:val="001254DC"/>
    <w:rsid w:val="00125900"/>
    <w:rsid w:val="00125BDF"/>
    <w:rsid w:val="001261A0"/>
    <w:rsid w:val="0012634D"/>
    <w:rsid w:val="001264D2"/>
    <w:rsid w:val="0012662D"/>
    <w:rsid w:val="0012677E"/>
    <w:rsid w:val="00126906"/>
    <w:rsid w:val="00126ADD"/>
    <w:rsid w:val="00126AFA"/>
    <w:rsid w:val="00126F80"/>
    <w:rsid w:val="00127466"/>
    <w:rsid w:val="0012758A"/>
    <w:rsid w:val="001276F0"/>
    <w:rsid w:val="00127D2E"/>
    <w:rsid w:val="00130046"/>
    <w:rsid w:val="0013018E"/>
    <w:rsid w:val="0013060D"/>
    <w:rsid w:val="00130909"/>
    <w:rsid w:val="00130AB8"/>
    <w:rsid w:val="00130E03"/>
    <w:rsid w:val="00130F4C"/>
    <w:rsid w:val="001310C4"/>
    <w:rsid w:val="0013145F"/>
    <w:rsid w:val="00131D6B"/>
    <w:rsid w:val="00132392"/>
    <w:rsid w:val="001324D5"/>
    <w:rsid w:val="001324EA"/>
    <w:rsid w:val="001325F2"/>
    <w:rsid w:val="00132F96"/>
    <w:rsid w:val="00132FF7"/>
    <w:rsid w:val="001330B6"/>
    <w:rsid w:val="00133AC1"/>
    <w:rsid w:val="00133B2E"/>
    <w:rsid w:val="00133B39"/>
    <w:rsid w:val="00133D77"/>
    <w:rsid w:val="001347EA"/>
    <w:rsid w:val="00134B42"/>
    <w:rsid w:val="00135B97"/>
    <w:rsid w:val="00135FA0"/>
    <w:rsid w:val="00135FC1"/>
    <w:rsid w:val="001363AD"/>
    <w:rsid w:val="00136CB8"/>
    <w:rsid w:val="00136DD6"/>
    <w:rsid w:val="001377F9"/>
    <w:rsid w:val="00137CFE"/>
    <w:rsid w:val="001401BD"/>
    <w:rsid w:val="00140540"/>
    <w:rsid w:val="00140A16"/>
    <w:rsid w:val="00140EE3"/>
    <w:rsid w:val="00140FE1"/>
    <w:rsid w:val="00141269"/>
    <w:rsid w:val="00141313"/>
    <w:rsid w:val="00141376"/>
    <w:rsid w:val="00141378"/>
    <w:rsid w:val="0014143A"/>
    <w:rsid w:val="00141609"/>
    <w:rsid w:val="00142069"/>
    <w:rsid w:val="001420EE"/>
    <w:rsid w:val="001423FB"/>
    <w:rsid w:val="0014260C"/>
    <w:rsid w:val="001426AD"/>
    <w:rsid w:val="0014280E"/>
    <w:rsid w:val="00142C43"/>
    <w:rsid w:val="00142F45"/>
    <w:rsid w:val="00143140"/>
    <w:rsid w:val="001438F5"/>
    <w:rsid w:val="0014394B"/>
    <w:rsid w:val="0014395A"/>
    <w:rsid w:val="00144CE3"/>
    <w:rsid w:val="0014502D"/>
    <w:rsid w:val="0014537C"/>
    <w:rsid w:val="0014583A"/>
    <w:rsid w:val="00146461"/>
    <w:rsid w:val="001469A4"/>
    <w:rsid w:val="00146A16"/>
    <w:rsid w:val="00146B22"/>
    <w:rsid w:val="00146B5D"/>
    <w:rsid w:val="00146BD9"/>
    <w:rsid w:val="00147047"/>
    <w:rsid w:val="00147400"/>
    <w:rsid w:val="0014776F"/>
    <w:rsid w:val="00147E17"/>
    <w:rsid w:val="00147E18"/>
    <w:rsid w:val="00147FB0"/>
    <w:rsid w:val="00150177"/>
    <w:rsid w:val="001506C8"/>
    <w:rsid w:val="0015070E"/>
    <w:rsid w:val="00151F5D"/>
    <w:rsid w:val="001520C7"/>
    <w:rsid w:val="001521F6"/>
    <w:rsid w:val="0015239B"/>
    <w:rsid w:val="001523BD"/>
    <w:rsid w:val="001524E2"/>
    <w:rsid w:val="001526F3"/>
    <w:rsid w:val="00152729"/>
    <w:rsid w:val="001528F5"/>
    <w:rsid w:val="00152D77"/>
    <w:rsid w:val="00152E04"/>
    <w:rsid w:val="00153525"/>
    <w:rsid w:val="001538C1"/>
    <w:rsid w:val="00153C3F"/>
    <w:rsid w:val="00153D07"/>
    <w:rsid w:val="00153DC3"/>
    <w:rsid w:val="00153E38"/>
    <w:rsid w:val="001543A8"/>
    <w:rsid w:val="001549BE"/>
    <w:rsid w:val="00154C14"/>
    <w:rsid w:val="00154C29"/>
    <w:rsid w:val="00155C71"/>
    <w:rsid w:val="00155F21"/>
    <w:rsid w:val="00155F29"/>
    <w:rsid w:val="00156186"/>
    <w:rsid w:val="001562B3"/>
    <w:rsid w:val="00156375"/>
    <w:rsid w:val="001567AF"/>
    <w:rsid w:val="00156AE4"/>
    <w:rsid w:val="00156EE4"/>
    <w:rsid w:val="001578FB"/>
    <w:rsid w:val="00157972"/>
    <w:rsid w:val="00157FB5"/>
    <w:rsid w:val="00160063"/>
    <w:rsid w:val="00160299"/>
    <w:rsid w:val="00160314"/>
    <w:rsid w:val="0016047D"/>
    <w:rsid w:val="001605F0"/>
    <w:rsid w:val="0016061B"/>
    <w:rsid w:val="0016069A"/>
    <w:rsid w:val="00160926"/>
    <w:rsid w:val="00160F92"/>
    <w:rsid w:val="0016122A"/>
    <w:rsid w:val="001615EC"/>
    <w:rsid w:val="00161757"/>
    <w:rsid w:val="00161B29"/>
    <w:rsid w:val="00161C5B"/>
    <w:rsid w:val="00161F29"/>
    <w:rsid w:val="0016204A"/>
    <w:rsid w:val="00162214"/>
    <w:rsid w:val="001625B7"/>
    <w:rsid w:val="001628B0"/>
    <w:rsid w:val="00162BD6"/>
    <w:rsid w:val="00162DB2"/>
    <w:rsid w:val="00162DBF"/>
    <w:rsid w:val="00162F0D"/>
    <w:rsid w:val="00163199"/>
    <w:rsid w:val="0016331B"/>
    <w:rsid w:val="00163372"/>
    <w:rsid w:val="0016344A"/>
    <w:rsid w:val="00163554"/>
    <w:rsid w:val="00163BA8"/>
    <w:rsid w:val="00163F5A"/>
    <w:rsid w:val="00164203"/>
    <w:rsid w:val="00164B96"/>
    <w:rsid w:val="00164E45"/>
    <w:rsid w:val="00164E93"/>
    <w:rsid w:val="001651EB"/>
    <w:rsid w:val="0016534C"/>
    <w:rsid w:val="001654FD"/>
    <w:rsid w:val="001655DA"/>
    <w:rsid w:val="00165814"/>
    <w:rsid w:val="0016591D"/>
    <w:rsid w:val="00165D3D"/>
    <w:rsid w:val="00166B4B"/>
    <w:rsid w:val="00166B96"/>
    <w:rsid w:val="00166ED5"/>
    <w:rsid w:val="0016701E"/>
    <w:rsid w:val="001672A1"/>
    <w:rsid w:val="00167E3F"/>
    <w:rsid w:val="001703E7"/>
    <w:rsid w:val="00170582"/>
    <w:rsid w:val="00170ED6"/>
    <w:rsid w:val="00170FDB"/>
    <w:rsid w:val="00171026"/>
    <w:rsid w:val="00171391"/>
    <w:rsid w:val="0017143D"/>
    <w:rsid w:val="00171CE9"/>
    <w:rsid w:val="00171DFD"/>
    <w:rsid w:val="00171FDE"/>
    <w:rsid w:val="001720B2"/>
    <w:rsid w:val="001722CA"/>
    <w:rsid w:val="0017259F"/>
    <w:rsid w:val="00172635"/>
    <w:rsid w:val="00172952"/>
    <w:rsid w:val="00172B4D"/>
    <w:rsid w:val="00172C19"/>
    <w:rsid w:val="00172E90"/>
    <w:rsid w:val="00173267"/>
    <w:rsid w:val="001735BE"/>
    <w:rsid w:val="001749DD"/>
    <w:rsid w:val="00174E67"/>
    <w:rsid w:val="00174F2B"/>
    <w:rsid w:val="00175097"/>
    <w:rsid w:val="001750B3"/>
    <w:rsid w:val="001752E9"/>
    <w:rsid w:val="00175F59"/>
    <w:rsid w:val="001760A3"/>
    <w:rsid w:val="00176739"/>
    <w:rsid w:val="0017673B"/>
    <w:rsid w:val="00176783"/>
    <w:rsid w:val="00176986"/>
    <w:rsid w:val="001769BB"/>
    <w:rsid w:val="00176F71"/>
    <w:rsid w:val="00176FE2"/>
    <w:rsid w:val="001772E1"/>
    <w:rsid w:val="00177438"/>
    <w:rsid w:val="00177448"/>
    <w:rsid w:val="00177656"/>
    <w:rsid w:val="0017772A"/>
    <w:rsid w:val="0017783A"/>
    <w:rsid w:val="00177952"/>
    <w:rsid w:val="001801A6"/>
    <w:rsid w:val="00180471"/>
    <w:rsid w:val="001806D9"/>
    <w:rsid w:val="00180A33"/>
    <w:rsid w:val="00180BA9"/>
    <w:rsid w:val="001810E7"/>
    <w:rsid w:val="0018110E"/>
    <w:rsid w:val="00181464"/>
    <w:rsid w:val="00181A43"/>
    <w:rsid w:val="00182BB6"/>
    <w:rsid w:val="00182E93"/>
    <w:rsid w:val="00183653"/>
    <w:rsid w:val="0018382B"/>
    <w:rsid w:val="001841D3"/>
    <w:rsid w:val="00184615"/>
    <w:rsid w:val="00184786"/>
    <w:rsid w:val="00184DC6"/>
    <w:rsid w:val="00185020"/>
    <w:rsid w:val="00185040"/>
    <w:rsid w:val="00185443"/>
    <w:rsid w:val="001858ED"/>
    <w:rsid w:val="00185AA1"/>
    <w:rsid w:val="00185DCE"/>
    <w:rsid w:val="00185E10"/>
    <w:rsid w:val="001860B6"/>
    <w:rsid w:val="001864B0"/>
    <w:rsid w:val="00186738"/>
    <w:rsid w:val="00186831"/>
    <w:rsid w:val="001871E5"/>
    <w:rsid w:val="00187B15"/>
    <w:rsid w:val="00187B63"/>
    <w:rsid w:val="00187BA6"/>
    <w:rsid w:val="00187BBC"/>
    <w:rsid w:val="00187DD8"/>
    <w:rsid w:val="001900AA"/>
    <w:rsid w:val="00190B8A"/>
    <w:rsid w:val="00190BC7"/>
    <w:rsid w:val="0019147C"/>
    <w:rsid w:val="001916E7"/>
    <w:rsid w:val="00191DF3"/>
    <w:rsid w:val="00191E54"/>
    <w:rsid w:val="00191F1F"/>
    <w:rsid w:val="00192154"/>
    <w:rsid w:val="001924AF"/>
    <w:rsid w:val="00192566"/>
    <w:rsid w:val="001925F2"/>
    <w:rsid w:val="00192D70"/>
    <w:rsid w:val="00192FAE"/>
    <w:rsid w:val="001932BA"/>
    <w:rsid w:val="001937C5"/>
    <w:rsid w:val="001937F7"/>
    <w:rsid w:val="00193AC0"/>
    <w:rsid w:val="00193C1E"/>
    <w:rsid w:val="00193CA7"/>
    <w:rsid w:val="0019458D"/>
    <w:rsid w:val="00194A2E"/>
    <w:rsid w:val="00194C6B"/>
    <w:rsid w:val="00194DFE"/>
    <w:rsid w:val="00194E1A"/>
    <w:rsid w:val="00195028"/>
    <w:rsid w:val="00195053"/>
    <w:rsid w:val="00195223"/>
    <w:rsid w:val="00195232"/>
    <w:rsid w:val="00195239"/>
    <w:rsid w:val="001952CC"/>
    <w:rsid w:val="0019534D"/>
    <w:rsid w:val="00195757"/>
    <w:rsid w:val="0019588C"/>
    <w:rsid w:val="00195BB8"/>
    <w:rsid w:val="00195E46"/>
    <w:rsid w:val="001960AF"/>
    <w:rsid w:val="00196178"/>
    <w:rsid w:val="001963E7"/>
    <w:rsid w:val="00196552"/>
    <w:rsid w:val="00196775"/>
    <w:rsid w:val="00196D73"/>
    <w:rsid w:val="00196DB6"/>
    <w:rsid w:val="00196E59"/>
    <w:rsid w:val="001970F1"/>
    <w:rsid w:val="001974B0"/>
    <w:rsid w:val="00197542"/>
    <w:rsid w:val="00197579"/>
    <w:rsid w:val="00197771"/>
    <w:rsid w:val="00197DAF"/>
    <w:rsid w:val="00197EE4"/>
    <w:rsid w:val="001A01FF"/>
    <w:rsid w:val="001A0370"/>
    <w:rsid w:val="001A0415"/>
    <w:rsid w:val="001A087B"/>
    <w:rsid w:val="001A0BDB"/>
    <w:rsid w:val="001A0FDC"/>
    <w:rsid w:val="001A10D7"/>
    <w:rsid w:val="001A15D7"/>
    <w:rsid w:val="001A178A"/>
    <w:rsid w:val="001A17FB"/>
    <w:rsid w:val="001A1897"/>
    <w:rsid w:val="001A1A3C"/>
    <w:rsid w:val="001A1C19"/>
    <w:rsid w:val="001A1CE8"/>
    <w:rsid w:val="001A21C9"/>
    <w:rsid w:val="001A228D"/>
    <w:rsid w:val="001A22F8"/>
    <w:rsid w:val="001A2C93"/>
    <w:rsid w:val="001A2D4B"/>
    <w:rsid w:val="001A2E24"/>
    <w:rsid w:val="001A3B06"/>
    <w:rsid w:val="001A3B4D"/>
    <w:rsid w:val="001A3B5C"/>
    <w:rsid w:val="001A3C50"/>
    <w:rsid w:val="001A405D"/>
    <w:rsid w:val="001A4069"/>
    <w:rsid w:val="001A41C9"/>
    <w:rsid w:val="001A4CA2"/>
    <w:rsid w:val="001A4CA3"/>
    <w:rsid w:val="001A4DE9"/>
    <w:rsid w:val="001A50C6"/>
    <w:rsid w:val="001A52D4"/>
    <w:rsid w:val="001A5351"/>
    <w:rsid w:val="001A5698"/>
    <w:rsid w:val="001A5C3A"/>
    <w:rsid w:val="001A5C57"/>
    <w:rsid w:val="001A5DE7"/>
    <w:rsid w:val="001A60F1"/>
    <w:rsid w:val="001A6852"/>
    <w:rsid w:val="001A6E00"/>
    <w:rsid w:val="001A6EA6"/>
    <w:rsid w:val="001A7224"/>
    <w:rsid w:val="001A761C"/>
    <w:rsid w:val="001A77C6"/>
    <w:rsid w:val="001B0A7C"/>
    <w:rsid w:val="001B0F9D"/>
    <w:rsid w:val="001B0FFD"/>
    <w:rsid w:val="001B1512"/>
    <w:rsid w:val="001B198F"/>
    <w:rsid w:val="001B1CC5"/>
    <w:rsid w:val="001B1EC7"/>
    <w:rsid w:val="001B1EFB"/>
    <w:rsid w:val="001B2098"/>
    <w:rsid w:val="001B219F"/>
    <w:rsid w:val="001B23B3"/>
    <w:rsid w:val="001B2488"/>
    <w:rsid w:val="001B26C6"/>
    <w:rsid w:val="001B2A1A"/>
    <w:rsid w:val="001B3068"/>
    <w:rsid w:val="001B36FA"/>
    <w:rsid w:val="001B38FC"/>
    <w:rsid w:val="001B4087"/>
    <w:rsid w:val="001B49E4"/>
    <w:rsid w:val="001B49EA"/>
    <w:rsid w:val="001B4C00"/>
    <w:rsid w:val="001B4CB0"/>
    <w:rsid w:val="001B502E"/>
    <w:rsid w:val="001B503E"/>
    <w:rsid w:val="001B51C6"/>
    <w:rsid w:val="001B5853"/>
    <w:rsid w:val="001B5EA5"/>
    <w:rsid w:val="001B610A"/>
    <w:rsid w:val="001B693A"/>
    <w:rsid w:val="001B6C1F"/>
    <w:rsid w:val="001B6CF1"/>
    <w:rsid w:val="001B6D33"/>
    <w:rsid w:val="001B6D64"/>
    <w:rsid w:val="001B6DA2"/>
    <w:rsid w:val="001B7132"/>
    <w:rsid w:val="001B74DE"/>
    <w:rsid w:val="001B77E4"/>
    <w:rsid w:val="001B7C70"/>
    <w:rsid w:val="001B7CAC"/>
    <w:rsid w:val="001C02DA"/>
    <w:rsid w:val="001C0C3D"/>
    <w:rsid w:val="001C0D0B"/>
    <w:rsid w:val="001C12BA"/>
    <w:rsid w:val="001C131F"/>
    <w:rsid w:val="001C1A8D"/>
    <w:rsid w:val="001C1C3A"/>
    <w:rsid w:val="001C222B"/>
    <w:rsid w:val="001C23FC"/>
    <w:rsid w:val="001C2627"/>
    <w:rsid w:val="001C2646"/>
    <w:rsid w:val="001C2A8F"/>
    <w:rsid w:val="001C2BA6"/>
    <w:rsid w:val="001C33E5"/>
    <w:rsid w:val="001C346C"/>
    <w:rsid w:val="001C35C3"/>
    <w:rsid w:val="001C3A22"/>
    <w:rsid w:val="001C3C16"/>
    <w:rsid w:val="001C4075"/>
    <w:rsid w:val="001C44C1"/>
    <w:rsid w:val="001C4B85"/>
    <w:rsid w:val="001C4C4B"/>
    <w:rsid w:val="001C4F74"/>
    <w:rsid w:val="001C52C0"/>
    <w:rsid w:val="001C5461"/>
    <w:rsid w:val="001C56FB"/>
    <w:rsid w:val="001C5A1A"/>
    <w:rsid w:val="001C5CAB"/>
    <w:rsid w:val="001C5E11"/>
    <w:rsid w:val="001C5EAA"/>
    <w:rsid w:val="001C5F83"/>
    <w:rsid w:val="001C6071"/>
    <w:rsid w:val="001C6525"/>
    <w:rsid w:val="001C6539"/>
    <w:rsid w:val="001C6602"/>
    <w:rsid w:val="001C67F2"/>
    <w:rsid w:val="001C6E01"/>
    <w:rsid w:val="001C744F"/>
    <w:rsid w:val="001C77E9"/>
    <w:rsid w:val="001C78E4"/>
    <w:rsid w:val="001C7C68"/>
    <w:rsid w:val="001C7D4C"/>
    <w:rsid w:val="001D0011"/>
    <w:rsid w:val="001D0B35"/>
    <w:rsid w:val="001D0FE5"/>
    <w:rsid w:val="001D1116"/>
    <w:rsid w:val="001D12BF"/>
    <w:rsid w:val="001D1454"/>
    <w:rsid w:val="001D154F"/>
    <w:rsid w:val="001D1962"/>
    <w:rsid w:val="001D1A6D"/>
    <w:rsid w:val="001D1B9C"/>
    <w:rsid w:val="001D208E"/>
    <w:rsid w:val="001D22F5"/>
    <w:rsid w:val="001D2967"/>
    <w:rsid w:val="001D30EE"/>
    <w:rsid w:val="001D3508"/>
    <w:rsid w:val="001D3684"/>
    <w:rsid w:val="001D3BFC"/>
    <w:rsid w:val="001D3CD2"/>
    <w:rsid w:val="001D3DA5"/>
    <w:rsid w:val="001D3F84"/>
    <w:rsid w:val="001D4A3E"/>
    <w:rsid w:val="001D4D11"/>
    <w:rsid w:val="001D4D3D"/>
    <w:rsid w:val="001D4E4F"/>
    <w:rsid w:val="001D5098"/>
    <w:rsid w:val="001D545B"/>
    <w:rsid w:val="001D5556"/>
    <w:rsid w:val="001D55CD"/>
    <w:rsid w:val="001D5776"/>
    <w:rsid w:val="001D58F5"/>
    <w:rsid w:val="001D591F"/>
    <w:rsid w:val="001D5A4B"/>
    <w:rsid w:val="001D60CA"/>
    <w:rsid w:val="001D6217"/>
    <w:rsid w:val="001D6265"/>
    <w:rsid w:val="001D62F2"/>
    <w:rsid w:val="001D63DA"/>
    <w:rsid w:val="001D6512"/>
    <w:rsid w:val="001D6796"/>
    <w:rsid w:val="001D6E49"/>
    <w:rsid w:val="001D7232"/>
    <w:rsid w:val="001D7570"/>
    <w:rsid w:val="001D7631"/>
    <w:rsid w:val="001D7722"/>
    <w:rsid w:val="001D7A84"/>
    <w:rsid w:val="001D7B48"/>
    <w:rsid w:val="001D7BA4"/>
    <w:rsid w:val="001D7D9D"/>
    <w:rsid w:val="001D7E77"/>
    <w:rsid w:val="001E0064"/>
    <w:rsid w:val="001E0749"/>
    <w:rsid w:val="001E0A0D"/>
    <w:rsid w:val="001E0A61"/>
    <w:rsid w:val="001E0ABF"/>
    <w:rsid w:val="001E0B5E"/>
    <w:rsid w:val="001E0D5F"/>
    <w:rsid w:val="001E1748"/>
    <w:rsid w:val="001E1BB0"/>
    <w:rsid w:val="001E1C49"/>
    <w:rsid w:val="001E2446"/>
    <w:rsid w:val="001E2D29"/>
    <w:rsid w:val="001E2E14"/>
    <w:rsid w:val="001E3129"/>
    <w:rsid w:val="001E32D6"/>
    <w:rsid w:val="001E33B4"/>
    <w:rsid w:val="001E3E60"/>
    <w:rsid w:val="001E419F"/>
    <w:rsid w:val="001E422F"/>
    <w:rsid w:val="001E4344"/>
    <w:rsid w:val="001E437B"/>
    <w:rsid w:val="001E453A"/>
    <w:rsid w:val="001E4D3F"/>
    <w:rsid w:val="001E4DF8"/>
    <w:rsid w:val="001E4E97"/>
    <w:rsid w:val="001E4F8D"/>
    <w:rsid w:val="001E563B"/>
    <w:rsid w:val="001E57A9"/>
    <w:rsid w:val="001E5B85"/>
    <w:rsid w:val="001E62E5"/>
    <w:rsid w:val="001E64F9"/>
    <w:rsid w:val="001E6962"/>
    <w:rsid w:val="001E6CF9"/>
    <w:rsid w:val="001E6F19"/>
    <w:rsid w:val="001E6F63"/>
    <w:rsid w:val="001E71E6"/>
    <w:rsid w:val="001E74C9"/>
    <w:rsid w:val="001E787D"/>
    <w:rsid w:val="001E791B"/>
    <w:rsid w:val="001E79BA"/>
    <w:rsid w:val="001E7E83"/>
    <w:rsid w:val="001F0006"/>
    <w:rsid w:val="001F0296"/>
    <w:rsid w:val="001F0DE8"/>
    <w:rsid w:val="001F0F65"/>
    <w:rsid w:val="001F1056"/>
    <w:rsid w:val="001F11FC"/>
    <w:rsid w:val="001F1207"/>
    <w:rsid w:val="001F12AE"/>
    <w:rsid w:val="001F186E"/>
    <w:rsid w:val="001F1DC7"/>
    <w:rsid w:val="001F1F09"/>
    <w:rsid w:val="001F2268"/>
    <w:rsid w:val="001F2764"/>
    <w:rsid w:val="001F27CB"/>
    <w:rsid w:val="001F27DC"/>
    <w:rsid w:val="001F2B12"/>
    <w:rsid w:val="001F2CE1"/>
    <w:rsid w:val="001F2FE2"/>
    <w:rsid w:val="001F3502"/>
    <w:rsid w:val="001F353A"/>
    <w:rsid w:val="001F36B8"/>
    <w:rsid w:val="001F3857"/>
    <w:rsid w:val="001F3A7C"/>
    <w:rsid w:val="001F3D28"/>
    <w:rsid w:val="001F3D80"/>
    <w:rsid w:val="001F45DE"/>
    <w:rsid w:val="001F4AE6"/>
    <w:rsid w:val="001F4E5E"/>
    <w:rsid w:val="001F552E"/>
    <w:rsid w:val="001F557E"/>
    <w:rsid w:val="001F5A30"/>
    <w:rsid w:val="001F5B31"/>
    <w:rsid w:val="001F5D07"/>
    <w:rsid w:val="001F60F8"/>
    <w:rsid w:val="001F62BD"/>
    <w:rsid w:val="001F6809"/>
    <w:rsid w:val="001F713B"/>
    <w:rsid w:val="001F768B"/>
    <w:rsid w:val="001F76EB"/>
    <w:rsid w:val="001F786D"/>
    <w:rsid w:val="001F7D6F"/>
    <w:rsid w:val="001F7F83"/>
    <w:rsid w:val="00200042"/>
    <w:rsid w:val="0020074D"/>
    <w:rsid w:val="00200CD6"/>
    <w:rsid w:val="00200EB6"/>
    <w:rsid w:val="0020116D"/>
    <w:rsid w:val="002012AC"/>
    <w:rsid w:val="00201D85"/>
    <w:rsid w:val="002020FF"/>
    <w:rsid w:val="00202100"/>
    <w:rsid w:val="00202407"/>
    <w:rsid w:val="00202945"/>
    <w:rsid w:val="00202B38"/>
    <w:rsid w:val="00202CF6"/>
    <w:rsid w:val="0020364F"/>
    <w:rsid w:val="0020383C"/>
    <w:rsid w:val="00203B13"/>
    <w:rsid w:val="00203DA3"/>
    <w:rsid w:val="00203FA0"/>
    <w:rsid w:val="002043CA"/>
    <w:rsid w:val="00204574"/>
    <w:rsid w:val="0020476F"/>
    <w:rsid w:val="00204B11"/>
    <w:rsid w:val="00204CC8"/>
    <w:rsid w:val="00205953"/>
    <w:rsid w:val="00205BEB"/>
    <w:rsid w:val="00205BED"/>
    <w:rsid w:val="00206100"/>
    <w:rsid w:val="002061B8"/>
    <w:rsid w:val="00207021"/>
    <w:rsid w:val="0020710E"/>
    <w:rsid w:val="002074E7"/>
    <w:rsid w:val="00207717"/>
    <w:rsid w:val="00207723"/>
    <w:rsid w:val="00207CD1"/>
    <w:rsid w:val="00207F87"/>
    <w:rsid w:val="002102C4"/>
    <w:rsid w:val="002109ED"/>
    <w:rsid w:val="0021111A"/>
    <w:rsid w:val="0021162E"/>
    <w:rsid w:val="0021171F"/>
    <w:rsid w:val="00211789"/>
    <w:rsid w:val="002119CE"/>
    <w:rsid w:val="00211AA6"/>
    <w:rsid w:val="00211B59"/>
    <w:rsid w:val="002122C8"/>
    <w:rsid w:val="00212335"/>
    <w:rsid w:val="0021236D"/>
    <w:rsid w:val="002123C1"/>
    <w:rsid w:val="00212423"/>
    <w:rsid w:val="002125A6"/>
    <w:rsid w:val="00212614"/>
    <w:rsid w:val="0021263A"/>
    <w:rsid w:val="002127A0"/>
    <w:rsid w:val="00212DF3"/>
    <w:rsid w:val="0021326D"/>
    <w:rsid w:val="00213770"/>
    <w:rsid w:val="00213BDF"/>
    <w:rsid w:val="00213BF7"/>
    <w:rsid w:val="00213EDB"/>
    <w:rsid w:val="002140F3"/>
    <w:rsid w:val="0021414E"/>
    <w:rsid w:val="00214853"/>
    <w:rsid w:val="00214C1C"/>
    <w:rsid w:val="00214E4E"/>
    <w:rsid w:val="00215082"/>
    <w:rsid w:val="002151C7"/>
    <w:rsid w:val="002152BD"/>
    <w:rsid w:val="00215439"/>
    <w:rsid w:val="00215551"/>
    <w:rsid w:val="00215C7A"/>
    <w:rsid w:val="0021657A"/>
    <w:rsid w:val="00216951"/>
    <w:rsid w:val="00216AA0"/>
    <w:rsid w:val="00216B0A"/>
    <w:rsid w:val="00216C15"/>
    <w:rsid w:val="00216CC0"/>
    <w:rsid w:val="00216ED4"/>
    <w:rsid w:val="00216EF0"/>
    <w:rsid w:val="002172EC"/>
    <w:rsid w:val="0021730D"/>
    <w:rsid w:val="002175CC"/>
    <w:rsid w:val="00217776"/>
    <w:rsid w:val="002177C6"/>
    <w:rsid w:val="00217CD3"/>
    <w:rsid w:val="00217EF4"/>
    <w:rsid w:val="002200C0"/>
    <w:rsid w:val="0022056B"/>
    <w:rsid w:val="00220C50"/>
    <w:rsid w:val="00220C57"/>
    <w:rsid w:val="00220F02"/>
    <w:rsid w:val="0022146C"/>
    <w:rsid w:val="00221572"/>
    <w:rsid w:val="0022188C"/>
    <w:rsid w:val="002218C0"/>
    <w:rsid w:val="00221D24"/>
    <w:rsid w:val="00221F58"/>
    <w:rsid w:val="00221FDC"/>
    <w:rsid w:val="002221F1"/>
    <w:rsid w:val="002222AB"/>
    <w:rsid w:val="00222346"/>
    <w:rsid w:val="002225B1"/>
    <w:rsid w:val="00222609"/>
    <w:rsid w:val="00222797"/>
    <w:rsid w:val="00222871"/>
    <w:rsid w:val="00222B22"/>
    <w:rsid w:val="00222C91"/>
    <w:rsid w:val="00222E25"/>
    <w:rsid w:val="00222F81"/>
    <w:rsid w:val="0022338D"/>
    <w:rsid w:val="002235AD"/>
    <w:rsid w:val="0022365D"/>
    <w:rsid w:val="002236F2"/>
    <w:rsid w:val="00223B91"/>
    <w:rsid w:val="0022433A"/>
    <w:rsid w:val="002247FA"/>
    <w:rsid w:val="0022497D"/>
    <w:rsid w:val="00224ABF"/>
    <w:rsid w:val="00224D83"/>
    <w:rsid w:val="00225061"/>
    <w:rsid w:val="0022512A"/>
    <w:rsid w:val="00225344"/>
    <w:rsid w:val="00225748"/>
    <w:rsid w:val="00225F55"/>
    <w:rsid w:val="002261B1"/>
    <w:rsid w:val="002265AA"/>
    <w:rsid w:val="00226B3B"/>
    <w:rsid w:val="00226E9F"/>
    <w:rsid w:val="00226F7C"/>
    <w:rsid w:val="00227FBE"/>
    <w:rsid w:val="00230370"/>
    <w:rsid w:val="002304CF"/>
    <w:rsid w:val="00230531"/>
    <w:rsid w:val="00230894"/>
    <w:rsid w:val="00230BBB"/>
    <w:rsid w:val="00230DC6"/>
    <w:rsid w:val="00230E4E"/>
    <w:rsid w:val="00231078"/>
    <w:rsid w:val="0023120C"/>
    <w:rsid w:val="002313A8"/>
    <w:rsid w:val="00231541"/>
    <w:rsid w:val="002315AC"/>
    <w:rsid w:val="00231B94"/>
    <w:rsid w:val="00232279"/>
    <w:rsid w:val="0023246F"/>
    <w:rsid w:val="00232772"/>
    <w:rsid w:val="00232DD9"/>
    <w:rsid w:val="00232EBB"/>
    <w:rsid w:val="00232F00"/>
    <w:rsid w:val="00233421"/>
    <w:rsid w:val="002334E2"/>
    <w:rsid w:val="002335D5"/>
    <w:rsid w:val="002335EE"/>
    <w:rsid w:val="00233B8E"/>
    <w:rsid w:val="00233D42"/>
    <w:rsid w:val="00233DCB"/>
    <w:rsid w:val="00233FFD"/>
    <w:rsid w:val="002343B7"/>
    <w:rsid w:val="0023447B"/>
    <w:rsid w:val="002346C1"/>
    <w:rsid w:val="0023491E"/>
    <w:rsid w:val="00234B1C"/>
    <w:rsid w:val="002352AF"/>
    <w:rsid w:val="00235448"/>
    <w:rsid w:val="002354F0"/>
    <w:rsid w:val="00236209"/>
    <w:rsid w:val="0023632A"/>
    <w:rsid w:val="002363FD"/>
    <w:rsid w:val="002365B6"/>
    <w:rsid w:val="00237038"/>
    <w:rsid w:val="00237404"/>
    <w:rsid w:val="002375B3"/>
    <w:rsid w:val="00237D91"/>
    <w:rsid w:val="00237ED9"/>
    <w:rsid w:val="00240048"/>
    <w:rsid w:val="00240240"/>
    <w:rsid w:val="00240261"/>
    <w:rsid w:val="00240376"/>
    <w:rsid w:val="00240936"/>
    <w:rsid w:val="00240E3E"/>
    <w:rsid w:val="00240EB3"/>
    <w:rsid w:val="00241091"/>
    <w:rsid w:val="00241184"/>
    <w:rsid w:val="002414BB"/>
    <w:rsid w:val="002415B2"/>
    <w:rsid w:val="002416D0"/>
    <w:rsid w:val="002419BA"/>
    <w:rsid w:val="00241C87"/>
    <w:rsid w:val="00241FC4"/>
    <w:rsid w:val="00241FF9"/>
    <w:rsid w:val="002426B5"/>
    <w:rsid w:val="00242950"/>
    <w:rsid w:val="00242EA6"/>
    <w:rsid w:val="00242F2A"/>
    <w:rsid w:val="002433BF"/>
    <w:rsid w:val="002433C5"/>
    <w:rsid w:val="00243531"/>
    <w:rsid w:val="0024395B"/>
    <w:rsid w:val="00243DBC"/>
    <w:rsid w:val="00243DBD"/>
    <w:rsid w:val="00243F7C"/>
    <w:rsid w:val="0024463D"/>
    <w:rsid w:val="0024474C"/>
    <w:rsid w:val="00244965"/>
    <w:rsid w:val="00244A72"/>
    <w:rsid w:val="00244DF5"/>
    <w:rsid w:val="00244F99"/>
    <w:rsid w:val="00245253"/>
    <w:rsid w:val="00245866"/>
    <w:rsid w:val="00246173"/>
    <w:rsid w:val="002465F1"/>
    <w:rsid w:val="002465FC"/>
    <w:rsid w:val="0024663C"/>
    <w:rsid w:val="00246AE6"/>
    <w:rsid w:val="00246C02"/>
    <w:rsid w:val="00246C99"/>
    <w:rsid w:val="0024703A"/>
    <w:rsid w:val="002474F9"/>
    <w:rsid w:val="002476B8"/>
    <w:rsid w:val="00247792"/>
    <w:rsid w:val="00250017"/>
    <w:rsid w:val="00250111"/>
    <w:rsid w:val="002508A5"/>
    <w:rsid w:val="00250939"/>
    <w:rsid w:val="00250E13"/>
    <w:rsid w:val="00251099"/>
    <w:rsid w:val="0025160B"/>
    <w:rsid w:val="00251DDC"/>
    <w:rsid w:val="00252620"/>
    <w:rsid w:val="002527CA"/>
    <w:rsid w:val="0025284E"/>
    <w:rsid w:val="00252B28"/>
    <w:rsid w:val="00252FF6"/>
    <w:rsid w:val="00253291"/>
    <w:rsid w:val="002535FA"/>
    <w:rsid w:val="002536FC"/>
    <w:rsid w:val="002538B5"/>
    <w:rsid w:val="00253AE4"/>
    <w:rsid w:val="0025409F"/>
    <w:rsid w:val="002547B7"/>
    <w:rsid w:val="00254C6B"/>
    <w:rsid w:val="00254C84"/>
    <w:rsid w:val="0025501D"/>
    <w:rsid w:val="00255323"/>
    <w:rsid w:val="0025574D"/>
    <w:rsid w:val="00255926"/>
    <w:rsid w:val="002559CD"/>
    <w:rsid w:val="00255CA5"/>
    <w:rsid w:val="00256031"/>
    <w:rsid w:val="0025613F"/>
    <w:rsid w:val="00256258"/>
    <w:rsid w:val="00256728"/>
    <w:rsid w:val="002568B8"/>
    <w:rsid w:val="00256B28"/>
    <w:rsid w:val="00256BC8"/>
    <w:rsid w:val="00256F4F"/>
    <w:rsid w:val="0025782B"/>
    <w:rsid w:val="00257905"/>
    <w:rsid w:val="0026031E"/>
    <w:rsid w:val="002603E3"/>
    <w:rsid w:val="0026041A"/>
    <w:rsid w:val="0026043C"/>
    <w:rsid w:val="002607E0"/>
    <w:rsid w:val="00260DAB"/>
    <w:rsid w:val="00261492"/>
    <w:rsid w:val="00261596"/>
    <w:rsid w:val="0026260D"/>
    <w:rsid w:val="0026296F"/>
    <w:rsid w:val="00262A9E"/>
    <w:rsid w:val="00262E53"/>
    <w:rsid w:val="00262F3E"/>
    <w:rsid w:val="00262FC6"/>
    <w:rsid w:val="00262FE6"/>
    <w:rsid w:val="00262FF9"/>
    <w:rsid w:val="0026328D"/>
    <w:rsid w:val="002633C0"/>
    <w:rsid w:val="00263400"/>
    <w:rsid w:val="0026380C"/>
    <w:rsid w:val="002638EB"/>
    <w:rsid w:val="00263F25"/>
    <w:rsid w:val="002640DD"/>
    <w:rsid w:val="002647A5"/>
    <w:rsid w:val="00264841"/>
    <w:rsid w:val="002648D6"/>
    <w:rsid w:val="00264931"/>
    <w:rsid w:val="00264B37"/>
    <w:rsid w:val="00264F6A"/>
    <w:rsid w:val="00265061"/>
    <w:rsid w:val="00265155"/>
    <w:rsid w:val="00265FD2"/>
    <w:rsid w:val="0026661F"/>
    <w:rsid w:val="002669CB"/>
    <w:rsid w:val="0026708C"/>
    <w:rsid w:val="00267147"/>
    <w:rsid w:val="00267165"/>
    <w:rsid w:val="002672A4"/>
    <w:rsid w:val="002672B0"/>
    <w:rsid w:val="002672EF"/>
    <w:rsid w:val="00267700"/>
    <w:rsid w:val="002679B1"/>
    <w:rsid w:val="0027004A"/>
    <w:rsid w:val="0027019F"/>
    <w:rsid w:val="002701DA"/>
    <w:rsid w:val="00270365"/>
    <w:rsid w:val="0027063E"/>
    <w:rsid w:val="002709BA"/>
    <w:rsid w:val="00270B17"/>
    <w:rsid w:val="00270CC1"/>
    <w:rsid w:val="00270FF1"/>
    <w:rsid w:val="00271032"/>
    <w:rsid w:val="002710EC"/>
    <w:rsid w:val="002710FB"/>
    <w:rsid w:val="002715CD"/>
    <w:rsid w:val="002717E1"/>
    <w:rsid w:val="002719DB"/>
    <w:rsid w:val="00271A28"/>
    <w:rsid w:val="00271B73"/>
    <w:rsid w:val="00271BC4"/>
    <w:rsid w:val="00272009"/>
    <w:rsid w:val="00272158"/>
    <w:rsid w:val="002722C9"/>
    <w:rsid w:val="002725D3"/>
    <w:rsid w:val="0027275F"/>
    <w:rsid w:val="00272A58"/>
    <w:rsid w:val="00272DFE"/>
    <w:rsid w:val="00272E16"/>
    <w:rsid w:val="00272F75"/>
    <w:rsid w:val="00272FDB"/>
    <w:rsid w:val="002733B0"/>
    <w:rsid w:val="00273775"/>
    <w:rsid w:val="002737C1"/>
    <w:rsid w:val="00273802"/>
    <w:rsid w:val="00273CE6"/>
    <w:rsid w:val="00273ECF"/>
    <w:rsid w:val="002741DF"/>
    <w:rsid w:val="002743AB"/>
    <w:rsid w:val="0027444A"/>
    <w:rsid w:val="002744E3"/>
    <w:rsid w:val="00274713"/>
    <w:rsid w:val="00274781"/>
    <w:rsid w:val="00274CD9"/>
    <w:rsid w:val="00275301"/>
    <w:rsid w:val="00275A1B"/>
    <w:rsid w:val="00275C3B"/>
    <w:rsid w:val="00275D8E"/>
    <w:rsid w:val="00275D95"/>
    <w:rsid w:val="00275F16"/>
    <w:rsid w:val="00275FA9"/>
    <w:rsid w:val="002760B4"/>
    <w:rsid w:val="0027610E"/>
    <w:rsid w:val="002763A2"/>
    <w:rsid w:val="00276C09"/>
    <w:rsid w:val="00276E68"/>
    <w:rsid w:val="00277134"/>
    <w:rsid w:val="002774D2"/>
    <w:rsid w:val="002776C2"/>
    <w:rsid w:val="002778F9"/>
    <w:rsid w:val="0028040C"/>
    <w:rsid w:val="002804BD"/>
    <w:rsid w:val="002804E7"/>
    <w:rsid w:val="00280A39"/>
    <w:rsid w:val="00280B46"/>
    <w:rsid w:val="00280F1A"/>
    <w:rsid w:val="00280F28"/>
    <w:rsid w:val="00280F53"/>
    <w:rsid w:val="002810F6"/>
    <w:rsid w:val="0028127D"/>
    <w:rsid w:val="002813E0"/>
    <w:rsid w:val="002813ED"/>
    <w:rsid w:val="00281697"/>
    <w:rsid w:val="00281811"/>
    <w:rsid w:val="00281879"/>
    <w:rsid w:val="00282143"/>
    <w:rsid w:val="00282717"/>
    <w:rsid w:val="002832DE"/>
    <w:rsid w:val="00283424"/>
    <w:rsid w:val="002835E3"/>
    <w:rsid w:val="00283709"/>
    <w:rsid w:val="00283869"/>
    <w:rsid w:val="0028389A"/>
    <w:rsid w:val="00283A48"/>
    <w:rsid w:val="00283B7C"/>
    <w:rsid w:val="00283CE1"/>
    <w:rsid w:val="002844C7"/>
    <w:rsid w:val="0028450F"/>
    <w:rsid w:val="0028452D"/>
    <w:rsid w:val="00284AB3"/>
    <w:rsid w:val="00284B66"/>
    <w:rsid w:val="00284D17"/>
    <w:rsid w:val="00284D6E"/>
    <w:rsid w:val="00284F8A"/>
    <w:rsid w:val="0028506B"/>
    <w:rsid w:val="00285369"/>
    <w:rsid w:val="00285C6B"/>
    <w:rsid w:val="00285D40"/>
    <w:rsid w:val="00285DB2"/>
    <w:rsid w:val="00285F95"/>
    <w:rsid w:val="002860D7"/>
    <w:rsid w:val="002864C1"/>
    <w:rsid w:val="002865B9"/>
    <w:rsid w:val="00286779"/>
    <w:rsid w:val="00286B6E"/>
    <w:rsid w:val="00286C41"/>
    <w:rsid w:val="00286D0F"/>
    <w:rsid w:val="00286DBE"/>
    <w:rsid w:val="002871D2"/>
    <w:rsid w:val="00287604"/>
    <w:rsid w:val="00287848"/>
    <w:rsid w:val="00287A35"/>
    <w:rsid w:val="00287A71"/>
    <w:rsid w:val="00287BFF"/>
    <w:rsid w:val="00287CCA"/>
    <w:rsid w:val="00287FAB"/>
    <w:rsid w:val="00287FD8"/>
    <w:rsid w:val="002913B7"/>
    <w:rsid w:val="0029195F"/>
    <w:rsid w:val="00291FCC"/>
    <w:rsid w:val="002926E7"/>
    <w:rsid w:val="00292A3B"/>
    <w:rsid w:val="00293160"/>
    <w:rsid w:val="00293177"/>
    <w:rsid w:val="00293228"/>
    <w:rsid w:val="00293326"/>
    <w:rsid w:val="00293ABC"/>
    <w:rsid w:val="00293AC9"/>
    <w:rsid w:val="00293C61"/>
    <w:rsid w:val="00293DB7"/>
    <w:rsid w:val="00293F99"/>
    <w:rsid w:val="0029465A"/>
    <w:rsid w:val="00294670"/>
    <w:rsid w:val="002948C2"/>
    <w:rsid w:val="00294B1A"/>
    <w:rsid w:val="00294FEE"/>
    <w:rsid w:val="002951F9"/>
    <w:rsid w:val="00295C0E"/>
    <w:rsid w:val="00295C41"/>
    <w:rsid w:val="00295DE6"/>
    <w:rsid w:val="00295E2B"/>
    <w:rsid w:val="00296290"/>
    <w:rsid w:val="002964B6"/>
    <w:rsid w:val="002972CD"/>
    <w:rsid w:val="002977DA"/>
    <w:rsid w:val="00297A8D"/>
    <w:rsid w:val="00297B78"/>
    <w:rsid w:val="00297C12"/>
    <w:rsid w:val="00297D82"/>
    <w:rsid w:val="002A044C"/>
    <w:rsid w:val="002A04BC"/>
    <w:rsid w:val="002A0BFD"/>
    <w:rsid w:val="002A0D23"/>
    <w:rsid w:val="002A1017"/>
    <w:rsid w:val="002A111C"/>
    <w:rsid w:val="002A1642"/>
    <w:rsid w:val="002A17A3"/>
    <w:rsid w:val="002A18D0"/>
    <w:rsid w:val="002A1908"/>
    <w:rsid w:val="002A2780"/>
    <w:rsid w:val="002A2916"/>
    <w:rsid w:val="002A2936"/>
    <w:rsid w:val="002A295C"/>
    <w:rsid w:val="002A298A"/>
    <w:rsid w:val="002A3058"/>
    <w:rsid w:val="002A31DC"/>
    <w:rsid w:val="002A3AA7"/>
    <w:rsid w:val="002A3E4A"/>
    <w:rsid w:val="002A3F49"/>
    <w:rsid w:val="002A4146"/>
    <w:rsid w:val="002A4526"/>
    <w:rsid w:val="002A4556"/>
    <w:rsid w:val="002A488E"/>
    <w:rsid w:val="002A4C58"/>
    <w:rsid w:val="002A50DA"/>
    <w:rsid w:val="002A5780"/>
    <w:rsid w:val="002A58A9"/>
    <w:rsid w:val="002A5F20"/>
    <w:rsid w:val="002A602A"/>
    <w:rsid w:val="002A60D7"/>
    <w:rsid w:val="002A6221"/>
    <w:rsid w:val="002A649E"/>
    <w:rsid w:val="002A65C9"/>
    <w:rsid w:val="002A685B"/>
    <w:rsid w:val="002A692B"/>
    <w:rsid w:val="002A7090"/>
    <w:rsid w:val="002A71C9"/>
    <w:rsid w:val="002A73AF"/>
    <w:rsid w:val="002A7A67"/>
    <w:rsid w:val="002A7A87"/>
    <w:rsid w:val="002A7DEB"/>
    <w:rsid w:val="002B04C0"/>
    <w:rsid w:val="002B0B54"/>
    <w:rsid w:val="002B1420"/>
    <w:rsid w:val="002B1503"/>
    <w:rsid w:val="002B15CA"/>
    <w:rsid w:val="002B15F5"/>
    <w:rsid w:val="002B16F0"/>
    <w:rsid w:val="002B1832"/>
    <w:rsid w:val="002B196D"/>
    <w:rsid w:val="002B1B27"/>
    <w:rsid w:val="002B2B21"/>
    <w:rsid w:val="002B2BA9"/>
    <w:rsid w:val="002B2C17"/>
    <w:rsid w:val="002B3511"/>
    <w:rsid w:val="002B35F7"/>
    <w:rsid w:val="002B3837"/>
    <w:rsid w:val="002B3950"/>
    <w:rsid w:val="002B3A63"/>
    <w:rsid w:val="002B3B00"/>
    <w:rsid w:val="002B404B"/>
    <w:rsid w:val="002B43AD"/>
    <w:rsid w:val="002B4962"/>
    <w:rsid w:val="002B4B85"/>
    <w:rsid w:val="002B4CDB"/>
    <w:rsid w:val="002B4D72"/>
    <w:rsid w:val="002B4E49"/>
    <w:rsid w:val="002B51AA"/>
    <w:rsid w:val="002B5272"/>
    <w:rsid w:val="002B5703"/>
    <w:rsid w:val="002B58FA"/>
    <w:rsid w:val="002B5935"/>
    <w:rsid w:val="002B5DD6"/>
    <w:rsid w:val="002B6198"/>
    <w:rsid w:val="002B61E7"/>
    <w:rsid w:val="002B6330"/>
    <w:rsid w:val="002B6495"/>
    <w:rsid w:val="002B65EB"/>
    <w:rsid w:val="002B68E0"/>
    <w:rsid w:val="002B6B76"/>
    <w:rsid w:val="002B6E37"/>
    <w:rsid w:val="002B6EA9"/>
    <w:rsid w:val="002B72EF"/>
    <w:rsid w:val="002B78DC"/>
    <w:rsid w:val="002B7C68"/>
    <w:rsid w:val="002B7D91"/>
    <w:rsid w:val="002C0286"/>
    <w:rsid w:val="002C0313"/>
    <w:rsid w:val="002C0384"/>
    <w:rsid w:val="002C0552"/>
    <w:rsid w:val="002C0871"/>
    <w:rsid w:val="002C11C0"/>
    <w:rsid w:val="002C123C"/>
    <w:rsid w:val="002C165B"/>
    <w:rsid w:val="002C1862"/>
    <w:rsid w:val="002C1B9C"/>
    <w:rsid w:val="002C2386"/>
    <w:rsid w:val="002C25EF"/>
    <w:rsid w:val="002C277E"/>
    <w:rsid w:val="002C31AA"/>
    <w:rsid w:val="002C3740"/>
    <w:rsid w:val="002C3A6C"/>
    <w:rsid w:val="002C3EDC"/>
    <w:rsid w:val="002C40E1"/>
    <w:rsid w:val="002C42F0"/>
    <w:rsid w:val="002C51E6"/>
    <w:rsid w:val="002C5730"/>
    <w:rsid w:val="002C58E3"/>
    <w:rsid w:val="002C5934"/>
    <w:rsid w:val="002C5969"/>
    <w:rsid w:val="002C5F68"/>
    <w:rsid w:val="002C6412"/>
    <w:rsid w:val="002C64EE"/>
    <w:rsid w:val="002C6860"/>
    <w:rsid w:val="002C6A05"/>
    <w:rsid w:val="002C6B58"/>
    <w:rsid w:val="002C6ED6"/>
    <w:rsid w:val="002C71ED"/>
    <w:rsid w:val="002C72AC"/>
    <w:rsid w:val="002C752A"/>
    <w:rsid w:val="002C7C5C"/>
    <w:rsid w:val="002C7E5A"/>
    <w:rsid w:val="002C7EF3"/>
    <w:rsid w:val="002D0369"/>
    <w:rsid w:val="002D0503"/>
    <w:rsid w:val="002D0611"/>
    <w:rsid w:val="002D0F36"/>
    <w:rsid w:val="002D1FB0"/>
    <w:rsid w:val="002D217E"/>
    <w:rsid w:val="002D240F"/>
    <w:rsid w:val="002D25D6"/>
    <w:rsid w:val="002D2711"/>
    <w:rsid w:val="002D2A0D"/>
    <w:rsid w:val="002D2DEA"/>
    <w:rsid w:val="002D3024"/>
    <w:rsid w:val="002D319E"/>
    <w:rsid w:val="002D34A2"/>
    <w:rsid w:val="002D3552"/>
    <w:rsid w:val="002D39D0"/>
    <w:rsid w:val="002D3AC8"/>
    <w:rsid w:val="002D3B54"/>
    <w:rsid w:val="002D3CC4"/>
    <w:rsid w:val="002D3FE6"/>
    <w:rsid w:val="002D50E3"/>
    <w:rsid w:val="002D515E"/>
    <w:rsid w:val="002D51CB"/>
    <w:rsid w:val="002D526A"/>
    <w:rsid w:val="002D5735"/>
    <w:rsid w:val="002D5929"/>
    <w:rsid w:val="002D5B5B"/>
    <w:rsid w:val="002D5E95"/>
    <w:rsid w:val="002D5F75"/>
    <w:rsid w:val="002D6192"/>
    <w:rsid w:val="002D6245"/>
    <w:rsid w:val="002D64B0"/>
    <w:rsid w:val="002D6889"/>
    <w:rsid w:val="002D692E"/>
    <w:rsid w:val="002D69D9"/>
    <w:rsid w:val="002D6A28"/>
    <w:rsid w:val="002D6AD4"/>
    <w:rsid w:val="002D6B8D"/>
    <w:rsid w:val="002D6F7B"/>
    <w:rsid w:val="002D7435"/>
    <w:rsid w:val="002D763F"/>
    <w:rsid w:val="002D7C41"/>
    <w:rsid w:val="002E038A"/>
    <w:rsid w:val="002E0893"/>
    <w:rsid w:val="002E0D8F"/>
    <w:rsid w:val="002E15CF"/>
    <w:rsid w:val="002E1C59"/>
    <w:rsid w:val="002E1CE4"/>
    <w:rsid w:val="002E1CEA"/>
    <w:rsid w:val="002E22F9"/>
    <w:rsid w:val="002E2324"/>
    <w:rsid w:val="002E2490"/>
    <w:rsid w:val="002E260F"/>
    <w:rsid w:val="002E267F"/>
    <w:rsid w:val="002E2B41"/>
    <w:rsid w:val="002E2CFA"/>
    <w:rsid w:val="002E2D7E"/>
    <w:rsid w:val="002E2E6E"/>
    <w:rsid w:val="002E2F00"/>
    <w:rsid w:val="002E3037"/>
    <w:rsid w:val="002E361C"/>
    <w:rsid w:val="002E3918"/>
    <w:rsid w:val="002E40B1"/>
    <w:rsid w:val="002E4276"/>
    <w:rsid w:val="002E4977"/>
    <w:rsid w:val="002E49EF"/>
    <w:rsid w:val="002E4D57"/>
    <w:rsid w:val="002E57BC"/>
    <w:rsid w:val="002E5B32"/>
    <w:rsid w:val="002E5BB7"/>
    <w:rsid w:val="002E5D28"/>
    <w:rsid w:val="002E5E35"/>
    <w:rsid w:val="002E6393"/>
    <w:rsid w:val="002E6CA6"/>
    <w:rsid w:val="002E6FD5"/>
    <w:rsid w:val="002E7294"/>
    <w:rsid w:val="002E74BE"/>
    <w:rsid w:val="002E78F1"/>
    <w:rsid w:val="002E7B9A"/>
    <w:rsid w:val="002E7C05"/>
    <w:rsid w:val="002E7D6B"/>
    <w:rsid w:val="002E7D81"/>
    <w:rsid w:val="002E7DDC"/>
    <w:rsid w:val="002F0819"/>
    <w:rsid w:val="002F093F"/>
    <w:rsid w:val="002F0F89"/>
    <w:rsid w:val="002F1432"/>
    <w:rsid w:val="002F1ADB"/>
    <w:rsid w:val="002F1E82"/>
    <w:rsid w:val="002F1E9A"/>
    <w:rsid w:val="002F20C6"/>
    <w:rsid w:val="002F21E6"/>
    <w:rsid w:val="002F229F"/>
    <w:rsid w:val="002F25FB"/>
    <w:rsid w:val="002F27AA"/>
    <w:rsid w:val="002F290A"/>
    <w:rsid w:val="002F2C76"/>
    <w:rsid w:val="002F2D05"/>
    <w:rsid w:val="002F329E"/>
    <w:rsid w:val="002F3500"/>
    <w:rsid w:val="002F3833"/>
    <w:rsid w:val="002F3893"/>
    <w:rsid w:val="002F38DE"/>
    <w:rsid w:val="002F3C07"/>
    <w:rsid w:val="002F3E3E"/>
    <w:rsid w:val="002F402D"/>
    <w:rsid w:val="002F40AA"/>
    <w:rsid w:val="002F4BA6"/>
    <w:rsid w:val="002F4CCD"/>
    <w:rsid w:val="002F4DD8"/>
    <w:rsid w:val="002F5083"/>
    <w:rsid w:val="002F5912"/>
    <w:rsid w:val="002F5AEF"/>
    <w:rsid w:val="002F5AFE"/>
    <w:rsid w:val="002F5BF4"/>
    <w:rsid w:val="002F5E87"/>
    <w:rsid w:val="002F5F95"/>
    <w:rsid w:val="002F6132"/>
    <w:rsid w:val="002F68AC"/>
    <w:rsid w:val="002F6918"/>
    <w:rsid w:val="002F6A38"/>
    <w:rsid w:val="002F6A83"/>
    <w:rsid w:val="002F6AB6"/>
    <w:rsid w:val="002F6EF8"/>
    <w:rsid w:val="002F72A8"/>
    <w:rsid w:val="002F75E9"/>
    <w:rsid w:val="002F7877"/>
    <w:rsid w:val="002F7891"/>
    <w:rsid w:val="002F7C98"/>
    <w:rsid w:val="0030001F"/>
    <w:rsid w:val="0030012B"/>
    <w:rsid w:val="003004FD"/>
    <w:rsid w:val="00300993"/>
    <w:rsid w:val="00300AF5"/>
    <w:rsid w:val="00300ED8"/>
    <w:rsid w:val="00300F02"/>
    <w:rsid w:val="00300F6D"/>
    <w:rsid w:val="0030101B"/>
    <w:rsid w:val="00301319"/>
    <w:rsid w:val="0030176B"/>
    <w:rsid w:val="003018CE"/>
    <w:rsid w:val="00301A6B"/>
    <w:rsid w:val="00301B31"/>
    <w:rsid w:val="00301CCE"/>
    <w:rsid w:val="003021FC"/>
    <w:rsid w:val="003027D7"/>
    <w:rsid w:val="003028BC"/>
    <w:rsid w:val="003029D0"/>
    <w:rsid w:val="00302BE2"/>
    <w:rsid w:val="00302E18"/>
    <w:rsid w:val="00303009"/>
    <w:rsid w:val="0030312D"/>
    <w:rsid w:val="003033B3"/>
    <w:rsid w:val="0030341C"/>
    <w:rsid w:val="00303985"/>
    <w:rsid w:val="00303A35"/>
    <w:rsid w:val="00303A90"/>
    <w:rsid w:val="00303B9D"/>
    <w:rsid w:val="00304100"/>
    <w:rsid w:val="0030415E"/>
    <w:rsid w:val="0030423F"/>
    <w:rsid w:val="00304751"/>
    <w:rsid w:val="00304946"/>
    <w:rsid w:val="0030494B"/>
    <w:rsid w:val="00304FE6"/>
    <w:rsid w:val="003055A0"/>
    <w:rsid w:val="003058F9"/>
    <w:rsid w:val="003061DA"/>
    <w:rsid w:val="0030630A"/>
    <w:rsid w:val="00306854"/>
    <w:rsid w:val="00306DD2"/>
    <w:rsid w:val="00306EB5"/>
    <w:rsid w:val="0030796E"/>
    <w:rsid w:val="00307B57"/>
    <w:rsid w:val="00307CDA"/>
    <w:rsid w:val="003107C9"/>
    <w:rsid w:val="00310B3B"/>
    <w:rsid w:val="00310B67"/>
    <w:rsid w:val="00310BDE"/>
    <w:rsid w:val="0031106C"/>
    <w:rsid w:val="00311079"/>
    <w:rsid w:val="00311165"/>
    <w:rsid w:val="00311180"/>
    <w:rsid w:val="00311295"/>
    <w:rsid w:val="003115B3"/>
    <w:rsid w:val="0031192A"/>
    <w:rsid w:val="00311DED"/>
    <w:rsid w:val="003127B9"/>
    <w:rsid w:val="003127E8"/>
    <w:rsid w:val="00312865"/>
    <w:rsid w:val="00313235"/>
    <w:rsid w:val="00313654"/>
    <w:rsid w:val="003137D2"/>
    <w:rsid w:val="0031405E"/>
    <w:rsid w:val="003142A1"/>
    <w:rsid w:val="00314441"/>
    <w:rsid w:val="00314509"/>
    <w:rsid w:val="00314705"/>
    <w:rsid w:val="00314835"/>
    <w:rsid w:val="00314931"/>
    <w:rsid w:val="00314A1D"/>
    <w:rsid w:val="00314E5A"/>
    <w:rsid w:val="00314F0B"/>
    <w:rsid w:val="0031529D"/>
    <w:rsid w:val="0031535D"/>
    <w:rsid w:val="003153FA"/>
    <w:rsid w:val="003154D9"/>
    <w:rsid w:val="00315A27"/>
    <w:rsid w:val="00315CB8"/>
    <w:rsid w:val="00315ED7"/>
    <w:rsid w:val="00315F81"/>
    <w:rsid w:val="00315F8A"/>
    <w:rsid w:val="003165C5"/>
    <w:rsid w:val="003165C6"/>
    <w:rsid w:val="00316848"/>
    <w:rsid w:val="003168CB"/>
    <w:rsid w:val="00316F3A"/>
    <w:rsid w:val="003174D4"/>
    <w:rsid w:val="0031782C"/>
    <w:rsid w:val="00317FE8"/>
    <w:rsid w:val="00320268"/>
    <w:rsid w:val="003205AE"/>
    <w:rsid w:val="00320A8B"/>
    <w:rsid w:val="00320B79"/>
    <w:rsid w:val="00320CB1"/>
    <w:rsid w:val="00320D03"/>
    <w:rsid w:val="00320D22"/>
    <w:rsid w:val="00320DE8"/>
    <w:rsid w:val="00320F7D"/>
    <w:rsid w:val="003212B2"/>
    <w:rsid w:val="003214FC"/>
    <w:rsid w:val="00321507"/>
    <w:rsid w:val="00321529"/>
    <w:rsid w:val="00321B50"/>
    <w:rsid w:val="0032253A"/>
    <w:rsid w:val="003225AA"/>
    <w:rsid w:val="00322CB1"/>
    <w:rsid w:val="00322DAE"/>
    <w:rsid w:val="00322F7E"/>
    <w:rsid w:val="003235DC"/>
    <w:rsid w:val="00323644"/>
    <w:rsid w:val="00323749"/>
    <w:rsid w:val="00323758"/>
    <w:rsid w:val="003238D9"/>
    <w:rsid w:val="003239A2"/>
    <w:rsid w:val="00323A7A"/>
    <w:rsid w:val="00324160"/>
    <w:rsid w:val="003245E6"/>
    <w:rsid w:val="003247CC"/>
    <w:rsid w:val="00324B90"/>
    <w:rsid w:val="0032510E"/>
    <w:rsid w:val="0032524D"/>
    <w:rsid w:val="003255BB"/>
    <w:rsid w:val="00325A1E"/>
    <w:rsid w:val="00325AE1"/>
    <w:rsid w:val="00325E7E"/>
    <w:rsid w:val="00326142"/>
    <w:rsid w:val="0032670B"/>
    <w:rsid w:val="003269FF"/>
    <w:rsid w:val="00326B2F"/>
    <w:rsid w:val="00326DB6"/>
    <w:rsid w:val="00326E35"/>
    <w:rsid w:val="00326EE9"/>
    <w:rsid w:val="00326F76"/>
    <w:rsid w:val="003271D2"/>
    <w:rsid w:val="00327936"/>
    <w:rsid w:val="00327B2D"/>
    <w:rsid w:val="00327B7B"/>
    <w:rsid w:val="00327D45"/>
    <w:rsid w:val="00327DB0"/>
    <w:rsid w:val="00330376"/>
    <w:rsid w:val="0033056C"/>
    <w:rsid w:val="003306C8"/>
    <w:rsid w:val="0033071A"/>
    <w:rsid w:val="00330828"/>
    <w:rsid w:val="00330B42"/>
    <w:rsid w:val="00330BEF"/>
    <w:rsid w:val="00330E30"/>
    <w:rsid w:val="0033100D"/>
    <w:rsid w:val="003310C7"/>
    <w:rsid w:val="003314E4"/>
    <w:rsid w:val="0033169D"/>
    <w:rsid w:val="00331F08"/>
    <w:rsid w:val="003324DA"/>
    <w:rsid w:val="003326A6"/>
    <w:rsid w:val="00332710"/>
    <w:rsid w:val="00332AFC"/>
    <w:rsid w:val="00332D8D"/>
    <w:rsid w:val="00333927"/>
    <w:rsid w:val="003339CE"/>
    <w:rsid w:val="0033469D"/>
    <w:rsid w:val="003348EF"/>
    <w:rsid w:val="003350FD"/>
    <w:rsid w:val="0033533F"/>
    <w:rsid w:val="0033537C"/>
    <w:rsid w:val="00335490"/>
    <w:rsid w:val="003357F4"/>
    <w:rsid w:val="003358B9"/>
    <w:rsid w:val="003358F7"/>
    <w:rsid w:val="00335E55"/>
    <w:rsid w:val="00335E6F"/>
    <w:rsid w:val="003362DF"/>
    <w:rsid w:val="0033667D"/>
    <w:rsid w:val="00336B9C"/>
    <w:rsid w:val="00336CF4"/>
    <w:rsid w:val="0033707E"/>
    <w:rsid w:val="0033766F"/>
    <w:rsid w:val="0033772A"/>
    <w:rsid w:val="00337AD1"/>
    <w:rsid w:val="00337E32"/>
    <w:rsid w:val="00337E8F"/>
    <w:rsid w:val="003400E0"/>
    <w:rsid w:val="00340325"/>
    <w:rsid w:val="003403E0"/>
    <w:rsid w:val="003405BC"/>
    <w:rsid w:val="00340D9B"/>
    <w:rsid w:val="00341778"/>
    <w:rsid w:val="00341865"/>
    <w:rsid w:val="00341DE0"/>
    <w:rsid w:val="00342182"/>
    <w:rsid w:val="00342325"/>
    <w:rsid w:val="00342618"/>
    <w:rsid w:val="003427B8"/>
    <w:rsid w:val="003428F3"/>
    <w:rsid w:val="003429DD"/>
    <w:rsid w:val="00342D06"/>
    <w:rsid w:val="00342EA5"/>
    <w:rsid w:val="00342FCB"/>
    <w:rsid w:val="00343287"/>
    <w:rsid w:val="00343C0A"/>
    <w:rsid w:val="00343DA1"/>
    <w:rsid w:val="00344771"/>
    <w:rsid w:val="003448D9"/>
    <w:rsid w:val="0034515C"/>
    <w:rsid w:val="00345286"/>
    <w:rsid w:val="0034535F"/>
    <w:rsid w:val="00345634"/>
    <w:rsid w:val="00345BCC"/>
    <w:rsid w:val="00345EBD"/>
    <w:rsid w:val="00345F26"/>
    <w:rsid w:val="00346152"/>
    <w:rsid w:val="003462C8"/>
    <w:rsid w:val="003465A0"/>
    <w:rsid w:val="0034666F"/>
    <w:rsid w:val="0034670B"/>
    <w:rsid w:val="003469BE"/>
    <w:rsid w:val="00346FB8"/>
    <w:rsid w:val="003475FA"/>
    <w:rsid w:val="00347935"/>
    <w:rsid w:val="00350062"/>
    <w:rsid w:val="00350384"/>
    <w:rsid w:val="0035039B"/>
    <w:rsid w:val="00350716"/>
    <w:rsid w:val="0035073E"/>
    <w:rsid w:val="00350985"/>
    <w:rsid w:val="00350B35"/>
    <w:rsid w:val="00350C18"/>
    <w:rsid w:val="00350FE2"/>
    <w:rsid w:val="0035181C"/>
    <w:rsid w:val="00351872"/>
    <w:rsid w:val="00351A14"/>
    <w:rsid w:val="00351DCE"/>
    <w:rsid w:val="0035209F"/>
    <w:rsid w:val="003521B1"/>
    <w:rsid w:val="003522D6"/>
    <w:rsid w:val="00352348"/>
    <w:rsid w:val="0035263B"/>
    <w:rsid w:val="003526E3"/>
    <w:rsid w:val="00352FB3"/>
    <w:rsid w:val="00352FEE"/>
    <w:rsid w:val="003536E9"/>
    <w:rsid w:val="003538AA"/>
    <w:rsid w:val="00353A33"/>
    <w:rsid w:val="00354272"/>
    <w:rsid w:val="003542BC"/>
    <w:rsid w:val="003546B7"/>
    <w:rsid w:val="003549AA"/>
    <w:rsid w:val="003549D2"/>
    <w:rsid w:val="00354B09"/>
    <w:rsid w:val="003551BD"/>
    <w:rsid w:val="003555D0"/>
    <w:rsid w:val="00355F4A"/>
    <w:rsid w:val="00355F74"/>
    <w:rsid w:val="003560EF"/>
    <w:rsid w:val="00356385"/>
    <w:rsid w:val="00356501"/>
    <w:rsid w:val="0035662F"/>
    <w:rsid w:val="00356708"/>
    <w:rsid w:val="0035677C"/>
    <w:rsid w:val="003569CE"/>
    <w:rsid w:val="00356D63"/>
    <w:rsid w:val="00356DAD"/>
    <w:rsid w:val="00357190"/>
    <w:rsid w:val="003574B5"/>
    <w:rsid w:val="003574E8"/>
    <w:rsid w:val="00357510"/>
    <w:rsid w:val="00357744"/>
    <w:rsid w:val="0035786A"/>
    <w:rsid w:val="00357A44"/>
    <w:rsid w:val="00357A6C"/>
    <w:rsid w:val="00357FA6"/>
    <w:rsid w:val="0036009C"/>
    <w:rsid w:val="00360320"/>
    <w:rsid w:val="003606E5"/>
    <w:rsid w:val="0036087C"/>
    <w:rsid w:val="00360C40"/>
    <w:rsid w:val="00360D67"/>
    <w:rsid w:val="00360EBA"/>
    <w:rsid w:val="0036115C"/>
    <w:rsid w:val="0036121B"/>
    <w:rsid w:val="00361264"/>
    <w:rsid w:val="003612DD"/>
    <w:rsid w:val="003617AF"/>
    <w:rsid w:val="003618CF"/>
    <w:rsid w:val="00361D22"/>
    <w:rsid w:val="00361DC1"/>
    <w:rsid w:val="00362191"/>
    <w:rsid w:val="00362198"/>
    <w:rsid w:val="003624B3"/>
    <w:rsid w:val="003625A5"/>
    <w:rsid w:val="00362EF1"/>
    <w:rsid w:val="003634ED"/>
    <w:rsid w:val="00363537"/>
    <w:rsid w:val="003635ED"/>
    <w:rsid w:val="0036382B"/>
    <w:rsid w:val="00363BB2"/>
    <w:rsid w:val="00363D00"/>
    <w:rsid w:val="00363E14"/>
    <w:rsid w:val="003642E5"/>
    <w:rsid w:val="003646FD"/>
    <w:rsid w:val="003647AA"/>
    <w:rsid w:val="00364A13"/>
    <w:rsid w:val="00364A3E"/>
    <w:rsid w:val="00364B02"/>
    <w:rsid w:val="00365051"/>
    <w:rsid w:val="003650BC"/>
    <w:rsid w:val="003651E6"/>
    <w:rsid w:val="00365661"/>
    <w:rsid w:val="003658A2"/>
    <w:rsid w:val="00365955"/>
    <w:rsid w:val="0036596C"/>
    <w:rsid w:val="00365C65"/>
    <w:rsid w:val="00365C8B"/>
    <w:rsid w:val="00365D5E"/>
    <w:rsid w:val="00365E1D"/>
    <w:rsid w:val="00365ED8"/>
    <w:rsid w:val="0036606D"/>
    <w:rsid w:val="003661F7"/>
    <w:rsid w:val="003662E2"/>
    <w:rsid w:val="003663ED"/>
    <w:rsid w:val="00366656"/>
    <w:rsid w:val="00366771"/>
    <w:rsid w:val="003667F8"/>
    <w:rsid w:val="00366893"/>
    <w:rsid w:val="00366AA1"/>
    <w:rsid w:val="00366AB5"/>
    <w:rsid w:val="00366B55"/>
    <w:rsid w:val="00366C14"/>
    <w:rsid w:val="0036720C"/>
    <w:rsid w:val="00367750"/>
    <w:rsid w:val="00367875"/>
    <w:rsid w:val="00367928"/>
    <w:rsid w:val="00367B78"/>
    <w:rsid w:val="00367BEE"/>
    <w:rsid w:val="003702A3"/>
    <w:rsid w:val="00370832"/>
    <w:rsid w:val="00370A1F"/>
    <w:rsid w:val="00370B15"/>
    <w:rsid w:val="00370E09"/>
    <w:rsid w:val="00371450"/>
    <w:rsid w:val="00371554"/>
    <w:rsid w:val="0037157E"/>
    <w:rsid w:val="003719EF"/>
    <w:rsid w:val="00371BD9"/>
    <w:rsid w:val="00371C64"/>
    <w:rsid w:val="003721D0"/>
    <w:rsid w:val="0037241E"/>
    <w:rsid w:val="00372442"/>
    <w:rsid w:val="0037261F"/>
    <w:rsid w:val="00372AB6"/>
    <w:rsid w:val="00372C0C"/>
    <w:rsid w:val="00372DBB"/>
    <w:rsid w:val="0037300E"/>
    <w:rsid w:val="003731A4"/>
    <w:rsid w:val="003731AE"/>
    <w:rsid w:val="003736EB"/>
    <w:rsid w:val="00373723"/>
    <w:rsid w:val="003738F4"/>
    <w:rsid w:val="00374153"/>
    <w:rsid w:val="00374299"/>
    <w:rsid w:val="003745BA"/>
    <w:rsid w:val="00374732"/>
    <w:rsid w:val="00374C7B"/>
    <w:rsid w:val="00374D53"/>
    <w:rsid w:val="003753CF"/>
    <w:rsid w:val="003757E8"/>
    <w:rsid w:val="003761B8"/>
    <w:rsid w:val="0037654F"/>
    <w:rsid w:val="00376EBB"/>
    <w:rsid w:val="0037754C"/>
    <w:rsid w:val="00377603"/>
    <w:rsid w:val="003777C5"/>
    <w:rsid w:val="003778AF"/>
    <w:rsid w:val="00377A4B"/>
    <w:rsid w:val="00377A66"/>
    <w:rsid w:val="00377B9A"/>
    <w:rsid w:val="003807BB"/>
    <w:rsid w:val="003808D7"/>
    <w:rsid w:val="003809FA"/>
    <w:rsid w:val="00380B79"/>
    <w:rsid w:val="00380BEF"/>
    <w:rsid w:val="00380DC7"/>
    <w:rsid w:val="00381572"/>
    <w:rsid w:val="00381575"/>
    <w:rsid w:val="003817E3"/>
    <w:rsid w:val="00381A5A"/>
    <w:rsid w:val="00381A77"/>
    <w:rsid w:val="00381BD2"/>
    <w:rsid w:val="00381DCA"/>
    <w:rsid w:val="00381FDE"/>
    <w:rsid w:val="003825CF"/>
    <w:rsid w:val="00382FA8"/>
    <w:rsid w:val="0038309F"/>
    <w:rsid w:val="0038361B"/>
    <w:rsid w:val="0038381F"/>
    <w:rsid w:val="00383910"/>
    <w:rsid w:val="003848E2"/>
    <w:rsid w:val="00384A7A"/>
    <w:rsid w:val="00384B94"/>
    <w:rsid w:val="00384C23"/>
    <w:rsid w:val="00384D96"/>
    <w:rsid w:val="00384E29"/>
    <w:rsid w:val="00384E3B"/>
    <w:rsid w:val="00385016"/>
    <w:rsid w:val="0038554F"/>
    <w:rsid w:val="003855C4"/>
    <w:rsid w:val="00385680"/>
    <w:rsid w:val="00385862"/>
    <w:rsid w:val="0038592D"/>
    <w:rsid w:val="003859CB"/>
    <w:rsid w:val="003859F9"/>
    <w:rsid w:val="00386414"/>
    <w:rsid w:val="003865E8"/>
    <w:rsid w:val="003866CC"/>
    <w:rsid w:val="0038675E"/>
    <w:rsid w:val="0038679A"/>
    <w:rsid w:val="00386AE4"/>
    <w:rsid w:val="00386D0F"/>
    <w:rsid w:val="00386D22"/>
    <w:rsid w:val="003870F6"/>
    <w:rsid w:val="00387242"/>
    <w:rsid w:val="0038757C"/>
    <w:rsid w:val="0038758B"/>
    <w:rsid w:val="0038773D"/>
    <w:rsid w:val="003877C0"/>
    <w:rsid w:val="00387B35"/>
    <w:rsid w:val="00387B53"/>
    <w:rsid w:val="00387CD0"/>
    <w:rsid w:val="00387FDD"/>
    <w:rsid w:val="003902D5"/>
    <w:rsid w:val="003903B6"/>
    <w:rsid w:val="003906B2"/>
    <w:rsid w:val="0039076C"/>
    <w:rsid w:val="00390DE8"/>
    <w:rsid w:val="00390F05"/>
    <w:rsid w:val="003914A5"/>
    <w:rsid w:val="00391546"/>
    <w:rsid w:val="003916B0"/>
    <w:rsid w:val="00391A37"/>
    <w:rsid w:val="00391B88"/>
    <w:rsid w:val="00391C00"/>
    <w:rsid w:val="003921B7"/>
    <w:rsid w:val="00392403"/>
    <w:rsid w:val="0039245B"/>
    <w:rsid w:val="0039246B"/>
    <w:rsid w:val="0039277D"/>
    <w:rsid w:val="003927D8"/>
    <w:rsid w:val="00392882"/>
    <w:rsid w:val="00392BA6"/>
    <w:rsid w:val="00392C0E"/>
    <w:rsid w:val="00392F37"/>
    <w:rsid w:val="00392F85"/>
    <w:rsid w:val="0039300D"/>
    <w:rsid w:val="003930F5"/>
    <w:rsid w:val="00393D99"/>
    <w:rsid w:val="00393F2A"/>
    <w:rsid w:val="00394111"/>
    <w:rsid w:val="003941C3"/>
    <w:rsid w:val="003941D2"/>
    <w:rsid w:val="00394239"/>
    <w:rsid w:val="0039438F"/>
    <w:rsid w:val="003947B5"/>
    <w:rsid w:val="003949A7"/>
    <w:rsid w:val="003949F7"/>
    <w:rsid w:val="00394B0E"/>
    <w:rsid w:val="0039537D"/>
    <w:rsid w:val="00395487"/>
    <w:rsid w:val="003955E3"/>
    <w:rsid w:val="00395699"/>
    <w:rsid w:val="0039582A"/>
    <w:rsid w:val="003959E9"/>
    <w:rsid w:val="00395C1B"/>
    <w:rsid w:val="00395D7B"/>
    <w:rsid w:val="00396318"/>
    <w:rsid w:val="003963FD"/>
    <w:rsid w:val="00396709"/>
    <w:rsid w:val="00396732"/>
    <w:rsid w:val="00396C04"/>
    <w:rsid w:val="00396F2E"/>
    <w:rsid w:val="00397647"/>
    <w:rsid w:val="003A030B"/>
    <w:rsid w:val="003A0352"/>
    <w:rsid w:val="003A099D"/>
    <w:rsid w:val="003A0AD4"/>
    <w:rsid w:val="003A0D66"/>
    <w:rsid w:val="003A0FE6"/>
    <w:rsid w:val="003A106C"/>
    <w:rsid w:val="003A1480"/>
    <w:rsid w:val="003A15E8"/>
    <w:rsid w:val="003A16BB"/>
    <w:rsid w:val="003A1968"/>
    <w:rsid w:val="003A19B7"/>
    <w:rsid w:val="003A1A74"/>
    <w:rsid w:val="003A202E"/>
    <w:rsid w:val="003A2094"/>
    <w:rsid w:val="003A2177"/>
    <w:rsid w:val="003A228D"/>
    <w:rsid w:val="003A306F"/>
    <w:rsid w:val="003A335E"/>
    <w:rsid w:val="003A37C0"/>
    <w:rsid w:val="003A3BFF"/>
    <w:rsid w:val="003A3FBB"/>
    <w:rsid w:val="003A428F"/>
    <w:rsid w:val="003A4CA5"/>
    <w:rsid w:val="003A4CE1"/>
    <w:rsid w:val="003A5152"/>
    <w:rsid w:val="003A57BA"/>
    <w:rsid w:val="003A57DB"/>
    <w:rsid w:val="003A58BC"/>
    <w:rsid w:val="003A5F63"/>
    <w:rsid w:val="003A5FE1"/>
    <w:rsid w:val="003A693D"/>
    <w:rsid w:val="003A6BAC"/>
    <w:rsid w:val="003A6E5B"/>
    <w:rsid w:val="003A6EA1"/>
    <w:rsid w:val="003A70C8"/>
    <w:rsid w:val="003A78A9"/>
    <w:rsid w:val="003A793E"/>
    <w:rsid w:val="003A7A1A"/>
    <w:rsid w:val="003B01CE"/>
    <w:rsid w:val="003B07E1"/>
    <w:rsid w:val="003B1148"/>
    <w:rsid w:val="003B1310"/>
    <w:rsid w:val="003B1620"/>
    <w:rsid w:val="003B1918"/>
    <w:rsid w:val="003B199D"/>
    <w:rsid w:val="003B22DE"/>
    <w:rsid w:val="003B238A"/>
    <w:rsid w:val="003B239A"/>
    <w:rsid w:val="003B24CC"/>
    <w:rsid w:val="003B255E"/>
    <w:rsid w:val="003B268C"/>
    <w:rsid w:val="003B2D3B"/>
    <w:rsid w:val="003B30A0"/>
    <w:rsid w:val="003B30FD"/>
    <w:rsid w:val="003B3144"/>
    <w:rsid w:val="003B3389"/>
    <w:rsid w:val="003B3C09"/>
    <w:rsid w:val="003B3F10"/>
    <w:rsid w:val="003B452F"/>
    <w:rsid w:val="003B475A"/>
    <w:rsid w:val="003B4764"/>
    <w:rsid w:val="003B487A"/>
    <w:rsid w:val="003B4E80"/>
    <w:rsid w:val="003B52FA"/>
    <w:rsid w:val="003B558A"/>
    <w:rsid w:val="003B5A8C"/>
    <w:rsid w:val="003B5CE1"/>
    <w:rsid w:val="003B5F90"/>
    <w:rsid w:val="003B66B8"/>
    <w:rsid w:val="003B6914"/>
    <w:rsid w:val="003B6915"/>
    <w:rsid w:val="003B6C31"/>
    <w:rsid w:val="003B6C8A"/>
    <w:rsid w:val="003B6EC1"/>
    <w:rsid w:val="003B71B8"/>
    <w:rsid w:val="003B7209"/>
    <w:rsid w:val="003B73B4"/>
    <w:rsid w:val="003B75BA"/>
    <w:rsid w:val="003B7970"/>
    <w:rsid w:val="003B7EBF"/>
    <w:rsid w:val="003C02FE"/>
    <w:rsid w:val="003C0388"/>
    <w:rsid w:val="003C0390"/>
    <w:rsid w:val="003C05CB"/>
    <w:rsid w:val="003C0ED1"/>
    <w:rsid w:val="003C0F6B"/>
    <w:rsid w:val="003C10D7"/>
    <w:rsid w:val="003C13DC"/>
    <w:rsid w:val="003C162D"/>
    <w:rsid w:val="003C191A"/>
    <w:rsid w:val="003C1BA2"/>
    <w:rsid w:val="003C1D64"/>
    <w:rsid w:val="003C2248"/>
    <w:rsid w:val="003C2480"/>
    <w:rsid w:val="003C248A"/>
    <w:rsid w:val="003C2CD6"/>
    <w:rsid w:val="003C2D2C"/>
    <w:rsid w:val="003C3565"/>
    <w:rsid w:val="003C37C1"/>
    <w:rsid w:val="003C37DB"/>
    <w:rsid w:val="003C3841"/>
    <w:rsid w:val="003C3B93"/>
    <w:rsid w:val="003C3BF2"/>
    <w:rsid w:val="003C3C94"/>
    <w:rsid w:val="003C419D"/>
    <w:rsid w:val="003C4B56"/>
    <w:rsid w:val="003C4D84"/>
    <w:rsid w:val="003C4E23"/>
    <w:rsid w:val="003C5020"/>
    <w:rsid w:val="003C5125"/>
    <w:rsid w:val="003C5248"/>
    <w:rsid w:val="003C5C74"/>
    <w:rsid w:val="003C5F99"/>
    <w:rsid w:val="003C618F"/>
    <w:rsid w:val="003C61C9"/>
    <w:rsid w:val="003C61E7"/>
    <w:rsid w:val="003C6452"/>
    <w:rsid w:val="003C6E84"/>
    <w:rsid w:val="003C744A"/>
    <w:rsid w:val="003C7887"/>
    <w:rsid w:val="003C7DEA"/>
    <w:rsid w:val="003C7E38"/>
    <w:rsid w:val="003D001E"/>
    <w:rsid w:val="003D041D"/>
    <w:rsid w:val="003D0871"/>
    <w:rsid w:val="003D0B97"/>
    <w:rsid w:val="003D0DDE"/>
    <w:rsid w:val="003D1107"/>
    <w:rsid w:val="003D13B0"/>
    <w:rsid w:val="003D13BF"/>
    <w:rsid w:val="003D15F9"/>
    <w:rsid w:val="003D1830"/>
    <w:rsid w:val="003D1ECC"/>
    <w:rsid w:val="003D299D"/>
    <w:rsid w:val="003D2ACE"/>
    <w:rsid w:val="003D2AD6"/>
    <w:rsid w:val="003D2CC9"/>
    <w:rsid w:val="003D35C3"/>
    <w:rsid w:val="003D3F41"/>
    <w:rsid w:val="003D40BA"/>
    <w:rsid w:val="003D4112"/>
    <w:rsid w:val="003D4218"/>
    <w:rsid w:val="003D4437"/>
    <w:rsid w:val="003D453C"/>
    <w:rsid w:val="003D45B4"/>
    <w:rsid w:val="003D4996"/>
    <w:rsid w:val="003D4C30"/>
    <w:rsid w:val="003D4D4A"/>
    <w:rsid w:val="003D4F94"/>
    <w:rsid w:val="003D5062"/>
    <w:rsid w:val="003D5086"/>
    <w:rsid w:val="003D5407"/>
    <w:rsid w:val="003D5463"/>
    <w:rsid w:val="003D5706"/>
    <w:rsid w:val="003D5973"/>
    <w:rsid w:val="003D5AE8"/>
    <w:rsid w:val="003D5BA4"/>
    <w:rsid w:val="003D61EC"/>
    <w:rsid w:val="003D637D"/>
    <w:rsid w:val="003D6387"/>
    <w:rsid w:val="003D645D"/>
    <w:rsid w:val="003D6623"/>
    <w:rsid w:val="003D6C9B"/>
    <w:rsid w:val="003D7258"/>
    <w:rsid w:val="003D76C8"/>
    <w:rsid w:val="003E0121"/>
    <w:rsid w:val="003E01A7"/>
    <w:rsid w:val="003E02B8"/>
    <w:rsid w:val="003E05A2"/>
    <w:rsid w:val="003E0991"/>
    <w:rsid w:val="003E09D9"/>
    <w:rsid w:val="003E0A80"/>
    <w:rsid w:val="003E0CD4"/>
    <w:rsid w:val="003E1736"/>
    <w:rsid w:val="003E1807"/>
    <w:rsid w:val="003E1869"/>
    <w:rsid w:val="003E1895"/>
    <w:rsid w:val="003E189A"/>
    <w:rsid w:val="003E1D8D"/>
    <w:rsid w:val="003E1F16"/>
    <w:rsid w:val="003E21F2"/>
    <w:rsid w:val="003E23A8"/>
    <w:rsid w:val="003E2DFD"/>
    <w:rsid w:val="003E305E"/>
    <w:rsid w:val="003E3069"/>
    <w:rsid w:val="003E3209"/>
    <w:rsid w:val="003E3225"/>
    <w:rsid w:val="003E38F9"/>
    <w:rsid w:val="003E39F2"/>
    <w:rsid w:val="003E4135"/>
    <w:rsid w:val="003E48CF"/>
    <w:rsid w:val="003E4CEE"/>
    <w:rsid w:val="003E4ED1"/>
    <w:rsid w:val="003E58B4"/>
    <w:rsid w:val="003E58FB"/>
    <w:rsid w:val="003E5FB6"/>
    <w:rsid w:val="003E60CC"/>
    <w:rsid w:val="003E614A"/>
    <w:rsid w:val="003E61FC"/>
    <w:rsid w:val="003E67C4"/>
    <w:rsid w:val="003E69E5"/>
    <w:rsid w:val="003E6A63"/>
    <w:rsid w:val="003E6D34"/>
    <w:rsid w:val="003E6E2D"/>
    <w:rsid w:val="003E6EE0"/>
    <w:rsid w:val="003E7261"/>
    <w:rsid w:val="003E74F8"/>
    <w:rsid w:val="003E7825"/>
    <w:rsid w:val="003E78A0"/>
    <w:rsid w:val="003E78BA"/>
    <w:rsid w:val="003E7A47"/>
    <w:rsid w:val="003E7B67"/>
    <w:rsid w:val="003E7B98"/>
    <w:rsid w:val="003E7CEB"/>
    <w:rsid w:val="003F0332"/>
    <w:rsid w:val="003F04AF"/>
    <w:rsid w:val="003F0695"/>
    <w:rsid w:val="003F0922"/>
    <w:rsid w:val="003F0951"/>
    <w:rsid w:val="003F09F4"/>
    <w:rsid w:val="003F0D49"/>
    <w:rsid w:val="003F1059"/>
    <w:rsid w:val="003F1135"/>
    <w:rsid w:val="003F12CF"/>
    <w:rsid w:val="003F12DE"/>
    <w:rsid w:val="003F12E1"/>
    <w:rsid w:val="003F1338"/>
    <w:rsid w:val="003F14E4"/>
    <w:rsid w:val="003F155D"/>
    <w:rsid w:val="003F15C6"/>
    <w:rsid w:val="003F166B"/>
    <w:rsid w:val="003F17BB"/>
    <w:rsid w:val="003F182E"/>
    <w:rsid w:val="003F18D6"/>
    <w:rsid w:val="003F1AEC"/>
    <w:rsid w:val="003F2820"/>
    <w:rsid w:val="003F2DB9"/>
    <w:rsid w:val="003F2E6D"/>
    <w:rsid w:val="003F3087"/>
    <w:rsid w:val="003F3156"/>
    <w:rsid w:val="003F3289"/>
    <w:rsid w:val="003F3609"/>
    <w:rsid w:val="003F397C"/>
    <w:rsid w:val="003F3B19"/>
    <w:rsid w:val="003F3EC5"/>
    <w:rsid w:val="003F3EE5"/>
    <w:rsid w:val="003F4529"/>
    <w:rsid w:val="003F49D0"/>
    <w:rsid w:val="003F50AE"/>
    <w:rsid w:val="003F5182"/>
    <w:rsid w:val="003F53DE"/>
    <w:rsid w:val="003F54AA"/>
    <w:rsid w:val="003F551C"/>
    <w:rsid w:val="003F5775"/>
    <w:rsid w:val="003F5E9C"/>
    <w:rsid w:val="003F6235"/>
    <w:rsid w:val="003F62C0"/>
    <w:rsid w:val="003F63FE"/>
    <w:rsid w:val="003F6472"/>
    <w:rsid w:val="003F6C71"/>
    <w:rsid w:val="003F6C84"/>
    <w:rsid w:val="003F6DEA"/>
    <w:rsid w:val="003F7524"/>
    <w:rsid w:val="003F7650"/>
    <w:rsid w:val="003F7B81"/>
    <w:rsid w:val="003F7BCD"/>
    <w:rsid w:val="00400118"/>
    <w:rsid w:val="004003B1"/>
    <w:rsid w:val="0040054A"/>
    <w:rsid w:val="00400804"/>
    <w:rsid w:val="00400D2A"/>
    <w:rsid w:val="004011E0"/>
    <w:rsid w:val="004015F3"/>
    <w:rsid w:val="004016E7"/>
    <w:rsid w:val="00401F50"/>
    <w:rsid w:val="00402048"/>
    <w:rsid w:val="004020F0"/>
    <w:rsid w:val="0040248A"/>
    <w:rsid w:val="00402515"/>
    <w:rsid w:val="00402939"/>
    <w:rsid w:val="00402DE4"/>
    <w:rsid w:val="00403126"/>
    <w:rsid w:val="004038C1"/>
    <w:rsid w:val="004040EC"/>
    <w:rsid w:val="0040457A"/>
    <w:rsid w:val="00404816"/>
    <w:rsid w:val="00404B09"/>
    <w:rsid w:val="004051AB"/>
    <w:rsid w:val="004054F9"/>
    <w:rsid w:val="00405AD7"/>
    <w:rsid w:val="00405C88"/>
    <w:rsid w:val="00405FE3"/>
    <w:rsid w:val="00406053"/>
    <w:rsid w:val="0040615D"/>
    <w:rsid w:val="00406531"/>
    <w:rsid w:val="004069DE"/>
    <w:rsid w:val="00406A91"/>
    <w:rsid w:val="00406E4B"/>
    <w:rsid w:val="004071BD"/>
    <w:rsid w:val="004074B8"/>
    <w:rsid w:val="00407689"/>
    <w:rsid w:val="00407831"/>
    <w:rsid w:val="00407A63"/>
    <w:rsid w:val="00407AFB"/>
    <w:rsid w:val="00407D7E"/>
    <w:rsid w:val="004105BE"/>
    <w:rsid w:val="004109EA"/>
    <w:rsid w:val="00410B08"/>
    <w:rsid w:val="004112B3"/>
    <w:rsid w:val="004115A8"/>
    <w:rsid w:val="00411954"/>
    <w:rsid w:val="0041198A"/>
    <w:rsid w:val="00411A43"/>
    <w:rsid w:val="00411A90"/>
    <w:rsid w:val="004121DB"/>
    <w:rsid w:val="00412440"/>
    <w:rsid w:val="004131B5"/>
    <w:rsid w:val="004135F2"/>
    <w:rsid w:val="004137E9"/>
    <w:rsid w:val="00413A33"/>
    <w:rsid w:val="00413E6B"/>
    <w:rsid w:val="00413EC1"/>
    <w:rsid w:val="004140AC"/>
    <w:rsid w:val="0041410B"/>
    <w:rsid w:val="00414204"/>
    <w:rsid w:val="00414252"/>
    <w:rsid w:val="004143E8"/>
    <w:rsid w:val="00414B4E"/>
    <w:rsid w:val="00414E65"/>
    <w:rsid w:val="00414EAE"/>
    <w:rsid w:val="00415130"/>
    <w:rsid w:val="00415385"/>
    <w:rsid w:val="004153D2"/>
    <w:rsid w:val="00415A0A"/>
    <w:rsid w:val="00415B9A"/>
    <w:rsid w:val="00415D18"/>
    <w:rsid w:val="00415E13"/>
    <w:rsid w:val="004164D9"/>
    <w:rsid w:val="0041652D"/>
    <w:rsid w:val="004168B4"/>
    <w:rsid w:val="004178AA"/>
    <w:rsid w:val="00420195"/>
    <w:rsid w:val="00420270"/>
    <w:rsid w:val="00420286"/>
    <w:rsid w:val="004204A0"/>
    <w:rsid w:val="004206A3"/>
    <w:rsid w:val="00420BCE"/>
    <w:rsid w:val="0042123C"/>
    <w:rsid w:val="004212D2"/>
    <w:rsid w:val="004214E1"/>
    <w:rsid w:val="00421CE0"/>
    <w:rsid w:val="00422631"/>
    <w:rsid w:val="00422A9E"/>
    <w:rsid w:val="00422AC7"/>
    <w:rsid w:val="00422BC0"/>
    <w:rsid w:val="00422BF2"/>
    <w:rsid w:val="004230F7"/>
    <w:rsid w:val="00423317"/>
    <w:rsid w:val="00423745"/>
    <w:rsid w:val="00423A29"/>
    <w:rsid w:val="00423A6A"/>
    <w:rsid w:val="00424463"/>
    <w:rsid w:val="004245F3"/>
    <w:rsid w:val="00424EA8"/>
    <w:rsid w:val="00425251"/>
    <w:rsid w:val="00425320"/>
    <w:rsid w:val="00425328"/>
    <w:rsid w:val="00425C03"/>
    <w:rsid w:val="00425E12"/>
    <w:rsid w:val="00425E3D"/>
    <w:rsid w:val="00425E54"/>
    <w:rsid w:val="0042600A"/>
    <w:rsid w:val="004279C7"/>
    <w:rsid w:val="00427CF2"/>
    <w:rsid w:val="0043024B"/>
    <w:rsid w:val="00430BE9"/>
    <w:rsid w:val="00430D2B"/>
    <w:rsid w:val="0043108A"/>
    <w:rsid w:val="0043132C"/>
    <w:rsid w:val="00431446"/>
    <w:rsid w:val="00431785"/>
    <w:rsid w:val="004317FD"/>
    <w:rsid w:val="00431DA5"/>
    <w:rsid w:val="00431F8E"/>
    <w:rsid w:val="004322AA"/>
    <w:rsid w:val="00432367"/>
    <w:rsid w:val="004323FF"/>
    <w:rsid w:val="004324DD"/>
    <w:rsid w:val="00432761"/>
    <w:rsid w:val="004328E8"/>
    <w:rsid w:val="0043294D"/>
    <w:rsid w:val="00432BBE"/>
    <w:rsid w:val="00432C28"/>
    <w:rsid w:val="00432D94"/>
    <w:rsid w:val="0043339F"/>
    <w:rsid w:val="004334CE"/>
    <w:rsid w:val="004334E7"/>
    <w:rsid w:val="00433785"/>
    <w:rsid w:val="00433E7C"/>
    <w:rsid w:val="004340A9"/>
    <w:rsid w:val="004344BB"/>
    <w:rsid w:val="00434EB6"/>
    <w:rsid w:val="004350EA"/>
    <w:rsid w:val="0043576F"/>
    <w:rsid w:val="00435F16"/>
    <w:rsid w:val="004363A4"/>
    <w:rsid w:val="004368D0"/>
    <w:rsid w:val="00436AD6"/>
    <w:rsid w:val="00436AFD"/>
    <w:rsid w:val="00436B67"/>
    <w:rsid w:val="00436DEE"/>
    <w:rsid w:val="00437245"/>
    <w:rsid w:val="004372BD"/>
    <w:rsid w:val="00437550"/>
    <w:rsid w:val="00437B8B"/>
    <w:rsid w:val="004403F1"/>
    <w:rsid w:val="004407E1"/>
    <w:rsid w:val="004414B4"/>
    <w:rsid w:val="004414BB"/>
    <w:rsid w:val="00441766"/>
    <w:rsid w:val="0044187F"/>
    <w:rsid w:val="00441883"/>
    <w:rsid w:val="00441B8B"/>
    <w:rsid w:val="00441C65"/>
    <w:rsid w:val="00441FB6"/>
    <w:rsid w:val="00442090"/>
    <w:rsid w:val="004421BC"/>
    <w:rsid w:val="004428DB"/>
    <w:rsid w:val="004428E1"/>
    <w:rsid w:val="0044299E"/>
    <w:rsid w:val="00442A77"/>
    <w:rsid w:val="00442B2A"/>
    <w:rsid w:val="00442BFB"/>
    <w:rsid w:val="00442CA7"/>
    <w:rsid w:val="00442CB4"/>
    <w:rsid w:val="00442DAA"/>
    <w:rsid w:val="00443E95"/>
    <w:rsid w:val="00444108"/>
    <w:rsid w:val="00444BFD"/>
    <w:rsid w:val="00444E87"/>
    <w:rsid w:val="00444FA9"/>
    <w:rsid w:val="00445216"/>
    <w:rsid w:val="00445299"/>
    <w:rsid w:val="004453EF"/>
    <w:rsid w:val="004455F7"/>
    <w:rsid w:val="00445787"/>
    <w:rsid w:val="00445925"/>
    <w:rsid w:val="00445A3F"/>
    <w:rsid w:val="00445E54"/>
    <w:rsid w:val="0044651C"/>
    <w:rsid w:val="004466A0"/>
    <w:rsid w:val="00446917"/>
    <w:rsid w:val="004469F5"/>
    <w:rsid w:val="00446C17"/>
    <w:rsid w:val="00446CEB"/>
    <w:rsid w:val="00446D89"/>
    <w:rsid w:val="0044706E"/>
    <w:rsid w:val="004473E0"/>
    <w:rsid w:val="0044789F"/>
    <w:rsid w:val="00447A4F"/>
    <w:rsid w:val="00447A9B"/>
    <w:rsid w:val="00447BC6"/>
    <w:rsid w:val="00447C83"/>
    <w:rsid w:val="00447CED"/>
    <w:rsid w:val="004503D2"/>
    <w:rsid w:val="0045081D"/>
    <w:rsid w:val="00450A63"/>
    <w:rsid w:val="00450BFF"/>
    <w:rsid w:val="00451931"/>
    <w:rsid w:val="00451B7B"/>
    <w:rsid w:val="00451C29"/>
    <w:rsid w:val="00451CA4"/>
    <w:rsid w:val="00451F6A"/>
    <w:rsid w:val="0045219A"/>
    <w:rsid w:val="00452298"/>
    <w:rsid w:val="004522B0"/>
    <w:rsid w:val="00452397"/>
    <w:rsid w:val="00452A9A"/>
    <w:rsid w:val="00453020"/>
    <w:rsid w:val="004531EB"/>
    <w:rsid w:val="004536B8"/>
    <w:rsid w:val="004539EC"/>
    <w:rsid w:val="00453FC4"/>
    <w:rsid w:val="00454836"/>
    <w:rsid w:val="004548EE"/>
    <w:rsid w:val="00454C4C"/>
    <w:rsid w:val="00454F1D"/>
    <w:rsid w:val="00454FFE"/>
    <w:rsid w:val="0045502E"/>
    <w:rsid w:val="00455069"/>
    <w:rsid w:val="00455112"/>
    <w:rsid w:val="0045513E"/>
    <w:rsid w:val="004556D9"/>
    <w:rsid w:val="0045572C"/>
    <w:rsid w:val="004557A8"/>
    <w:rsid w:val="00455ABD"/>
    <w:rsid w:val="00455CBB"/>
    <w:rsid w:val="00455E94"/>
    <w:rsid w:val="00455F4E"/>
    <w:rsid w:val="00456350"/>
    <w:rsid w:val="00456841"/>
    <w:rsid w:val="004568C1"/>
    <w:rsid w:val="004576D5"/>
    <w:rsid w:val="00457922"/>
    <w:rsid w:val="00457B38"/>
    <w:rsid w:val="00457E6D"/>
    <w:rsid w:val="00457EFA"/>
    <w:rsid w:val="00460012"/>
    <w:rsid w:val="00460497"/>
    <w:rsid w:val="00460912"/>
    <w:rsid w:val="00461297"/>
    <w:rsid w:val="00461522"/>
    <w:rsid w:val="00461A74"/>
    <w:rsid w:val="00461A75"/>
    <w:rsid w:val="00461B50"/>
    <w:rsid w:val="00462224"/>
    <w:rsid w:val="0046232D"/>
    <w:rsid w:val="00462421"/>
    <w:rsid w:val="004624B8"/>
    <w:rsid w:val="00462547"/>
    <w:rsid w:val="004626BD"/>
    <w:rsid w:val="00462A3C"/>
    <w:rsid w:val="00462FFF"/>
    <w:rsid w:val="00463162"/>
    <w:rsid w:val="004631B1"/>
    <w:rsid w:val="00463969"/>
    <w:rsid w:val="00463993"/>
    <w:rsid w:val="00463AF5"/>
    <w:rsid w:val="00463B71"/>
    <w:rsid w:val="00463FD8"/>
    <w:rsid w:val="00463FE5"/>
    <w:rsid w:val="00464208"/>
    <w:rsid w:val="0046489D"/>
    <w:rsid w:val="00464B46"/>
    <w:rsid w:val="00464D6C"/>
    <w:rsid w:val="00464E6C"/>
    <w:rsid w:val="004650C7"/>
    <w:rsid w:val="0046567F"/>
    <w:rsid w:val="00465933"/>
    <w:rsid w:val="00465AC7"/>
    <w:rsid w:val="00465C57"/>
    <w:rsid w:val="00465D6B"/>
    <w:rsid w:val="00465EE1"/>
    <w:rsid w:val="00466B3D"/>
    <w:rsid w:val="00466E9D"/>
    <w:rsid w:val="00467017"/>
    <w:rsid w:val="0046714B"/>
    <w:rsid w:val="004675D4"/>
    <w:rsid w:val="004676DD"/>
    <w:rsid w:val="004679BA"/>
    <w:rsid w:val="00467C39"/>
    <w:rsid w:val="004702EF"/>
    <w:rsid w:val="00470658"/>
    <w:rsid w:val="0047150E"/>
    <w:rsid w:val="00471871"/>
    <w:rsid w:val="00471D61"/>
    <w:rsid w:val="00471F2C"/>
    <w:rsid w:val="00472325"/>
    <w:rsid w:val="004726F6"/>
    <w:rsid w:val="00472714"/>
    <w:rsid w:val="00472A58"/>
    <w:rsid w:val="00472EAD"/>
    <w:rsid w:val="0047302B"/>
    <w:rsid w:val="0047316F"/>
    <w:rsid w:val="004733B1"/>
    <w:rsid w:val="004733E4"/>
    <w:rsid w:val="00473572"/>
    <w:rsid w:val="004736A7"/>
    <w:rsid w:val="00473981"/>
    <w:rsid w:val="00474105"/>
    <w:rsid w:val="00474138"/>
    <w:rsid w:val="00474148"/>
    <w:rsid w:val="00474286"/>
    <w:rsid w:val="0047494C"/>
    <w:rsid w:val="00474CB0"/>
    <w:rsid w:val="00474D10"/>
    <w:rsid w:val="00474E8F"/>
    <w:rsid w:val="004752F4"/>
    <w:rsid w:val="0047551B"/>
    <w:rsid w:val="00475A10"/>
    <w:rsid w:val="00475A80"/>
    <w:rsid w:val="00475E0D"/>
    <w:rsid w:val="00476215"/>
    <w:rsid w:val="004763A2"/>
    <w:rsid w:val="00476505"/>
    <w:rsid w:val="0047653F"/>
    <w:rsid w:val="00476671"/>
    <w:rsid w:val="00476E51"/>
    <w:rsid w:val="00476EC3"/>
    <w:rsid w:val="00476F4F"/>
    <w:rsid w:val="00477259"/>
    <w:rsid w:val="004772DF"/>
    <w:rsid w:val="004772E0"/>
    <w:rsid w:val="00477571"/>
    <w:rsid w:val="004776C7"/>
    <w:rsid w:val="00477828"/>
    <w:rsid w:val="00477936"/>
    <w:rsid w:val="00477BE7"/>
    <w:rsid w:val="00477D6F"/>
    <w:rsid w:val="00477DBB"/>
    <w:rsid w:val="004800E3"/>
    <w:rsid w:val="00480326"/>
    <w:rsid w:val="00480962"/>
    <w:rsid w:val="00480B09"/>
    <w:rsid w:val="00480C5A"/>
    <w:rsid w:val="00480FE4"/>
    <w:rsid w:val="00480FEB"/>
    <w:rsid w:val="004813F2"/>
    <w:rsid w:val="00481444"/>
    <w:rsid w:val="00481AA3"/>
    <w:rsid w:val="00481BCD"/>
    <w:rsid w:val="0048216E"/>
    <w:rsid w:val="004821BD"/>
    <w:rsid w:val="00482C79"/>
    <w:rsid w:val="00483530"/>
    <w:rsid w:val="00483969"/>
    <w:rsid w:val="00483A59"/>
    <w:rsid w:val="00483BB1"/>
    <w:rsid w:val="00483E00"/>
    <w:rsid w:val="00483FBA"/>
    <w:rsid w:val="00483FFD"/>
    <w:rsid w:val="004842C4"/>
    <w:rsid w:val="00484324"/>
    <w:rsid w:val="0048474D"/>
    <w:rsid w:val="0048475B"/>
    <w:rsid w:val="004848FE"/>
    <w:rsid w:val="00484961"/>
    <w:rsid w:val="0048498A"/>
    <w:rsid w:val="00484ACA"/>
    <w:rsid w:val="00484C99"/>
    <w:rsid w:val="00484D2F"/>
    <w:rsid w:val="00484DF4"/>
    <w:rsid w:val="0048504B"/>
    <w:rsid w:val="004851DC"/>
    <w:rsid w:val="00485439"/>
    <w:rsid w:val="004854F7"/>
    <w:rsid w:val="00485A23"/>
    <w:rsid w:val="00485B2E"/>
    <w:rsid w:val="00485BD4"/>
    <w:rsid w:val="00485E18"/>
    <w:rsid w:val="00486063"/>
    <w:rsid w:val="00486070"/>
    <w:rsid w:val="0048671B"/>
    <w:rsid w:val="0048672F"/>
    <w:rsid w:val="00486B84"/>
    <w:rsid w:val="00486E1E"/>
    <w:rsid w:val="00486FD8"/>
    <w:rsid w:val="004873C9"/>
    <w:rsid w:val="004873EA"/>
    <w:rsid w:val="004875EB"/>
    <w:rsid w:val="00487767"/>
    <w:rsid w:val="00487AC2"/>
    <w:rsid w:val="00487C51"/>
    <w:rsid w:val="00487D37"/>
    <w:rsid w:val="0049016D"/>
    <w:rsid w:val="00490263"/>
    <w:rsid w:val="00490264"/>
    <w:rsid w:val="00490C78"/>
    <w:rsid w:val="00490E37"/>
    <w:rsid w:val="0049100E"/>
    <w:rsid w:val="004910AB"/>
    <w:rsid w:val="00491109"/>
    <w:rsid w:val="004911AC"/>
    <w:rsid w:val="004911CA"/>
    <w:rsid w:val="00491299"/>
    <w:rsid w:val="0049135D"/>
    <w:rsid w:val="00491452"/>
    <w:rsid w:val="004916DA"/>
    <w:rsid w:val="0049189C"/>
    <w:rsid w:val="0049200A"/>
    <w:rsid w:val="004923D8"/>
    <w:rsid w:val="004925EC"/>
    <w:rsid w:val="00492724"/>
    <w:rsid w:val="00492881"/>
    <w:rsid w:val="00492B99"/>
    <w:rsid w:val="004935AF"/>
    <w:rsid w:val="004937D0"/>
    <w:rsid w:val="004937FE"/>
    <w:rsid w:val="00493F1C"/>
    <w:rsid w:val="004942C7"/>
    <w:rsid w:val="0049451D"/>
    <w:rsid w:val="004957AA"/>
    <w:rsid w:val="00495A42"/>
    <w:rsid w:val="00495BDC"/>
    <w:rsid w:val="00495BF2"/>
    <w:rsid w:val="00495CD3"/>
    <w:rsid w:val="00495E4C"/>
    <w:rsid w:val="00495F94"/>
    <w:rsid w:val="0049604D"/>
    <w:rsid w:val="00496230"/>
    <w:rsid w:val="00496D2A"/>
    <w:rsid w:val="0049722E"/>
    <w:rsid w:val="004975A9"/>
    <w:rsid w:val="00497A39"/>
    <w:rsid w:val="004A00D0"/>
    <w:rsid w:val="004A0420"/>
    <w:rsid w:val="004A0679"/>
    <w:rsid w:val="004A0E26"/>
    <w:rsid w:val="004A0F54"/>
    <w:rsid w:val="004A0FF6"/>
    <w:rsid w:val="004A1249"/>
    <w:rsid w:val="004A12AD"/>
    <w:rsid w:val="004A1881"/>
    <w:rsid w:val="004A1A4C"/>
    <w:rsid w:val="004A1F37"/>
    <w:rsid w:val="004A1FF2"/>
    <w:rsid w:val="004A2384"/>
    <w:rsid w:val="004A259F"/>
    <w:rsid w:val="004A2779"/>
    <w:rsid w:val="004A2B38"/>
    <w:rsid w:val="004A2D35"/>
    <w:rsid w:val="004A2DE6"/>
    <w:rsid w:val="004A2DF9"/>
    <w:rsid w:val="004A2F45"/>
    <w:rsid w:val="004A317B"/>
    <w:rsid w:val="004A38CD"/>
    <w:rsid w:val="004A3C4B"/>
    <w:rsid w:val="004A3DC3"/>
    <w:rsid w:val="004A4458"/>
    <w:rsid w:val="004A4A3E"/>
    <w:rsid w:val="004A4B69"/>
    <w:rsid w:val="004A4E8E"/>
    <w:rsid w:val="004A5242"/>
    <w:rsid w:val="004A526E"/>
    <w:rsid w:val="004A5430"/>
    <w:rsid w:val="004A54D2"/>
    <w:rsid w:val="004A55BE"/>
    <w:rsid w:val="004A6291"/>
    <w:rsid w:val="004A64D3"/>
    <w:rsid w:val="004A66B0"/>
    <w:rsid w:val="004A6F7E"/>
    <w:rsid w:val="004A701E"/>
    <w:rsid w:val="004A7182"/>
    <w:rsid w:val="004A71B2"/>
    <w:rsid w:val="004A7297"/>
    <w:rsid w:val="004A7653"/>
    <w:rsid w:val="004A776C"/>
    <w:rsid w:val="004A789D"/>
    <w:rsid w:val="004A7B30"/>
    <w:rsid w:val="004A7FBA"/>
    <w:rsid w:val="004B0108"/>
    <w:rsid w:val="004B012D"/>
    <w:rsid w:val="004B024E"/>
    <w:rsid w:val="004B0452"/>
    <w:rsid w:val="004B0466"/>
    <w:rsid w:val="004B05AE"/>
    <w:rsid w:val="004B09E9"/>
    <w:rsid w:val="004B1463"/>
    <w:rsid w:val="004B1FFF"/>
    <w:rsid w:val="004B2088"/>
    <w:rsid w:val="004B21BA"/>
    <w:rsid w:val="004B2265"/>
    <w:rsid w:val="004B2527"/>
    <w:rsid w:val="004B3096"/>
    <w:rsid w:val="004B30C4"/>
    <w:rsid w:val="004B31D0"/>
    <w:rsid w:val="004B321C"/>
    <w:rsid w:val="004B36EF"/>
    <w:rsid w:val="004B3E3B"/>
    <w:rsid w:val="004B3F3C"/>
    <w:rsid w:val="004B3FB7"/>
    <w:rsid w:val="004B4BD8"/>
    <w:rsid w:val="004B4CCD"/>
    <w:rsid w:val="004B4E11"/>
    <w:rsid w:val="004B5A2E"/>
    <w:rsid w:val="004B5E6C"/>
    <w:rsid w:val="004B60FA"/>
    <w:rsid w:val="004B6226"/>
    <w:rsid w:val="004B641C"/>
    <w:rsid w:val="004B6785"/>
    <w:rsid w:val="004B68FE"/>
    <w:rsid w:val="004B6BAC"/>
    <w:rsid w:val="004B6BD5"/>
    <w:rsid w:val="004B7131"/>
    <w:rsid w:val="004B7430"/>
    <w:rsid w:val="004B75EE"/>
    <w:rsid w:val="004B764E"/>
    <w:rsid w:val="004B7690"/>
    <w:rsid w:val="004B76B8"/>
    <w:rsid w:val="004B7D5C"/>
    <w:rsid w:val="004C01A2"/>
    <w:rsid w:val="004C09F2"/>
    <w:rsid w:val="004C0D83"/>
    <w:rsid w:val="004C0E40"/>
    <w:rsid w:val="004C0E88"/>
    <w:rsid w:val="004C0EAD"/>
    <w:rsid w:val="004C14FE"/>
    <w:rsid w:val="004C15E9"/>
    <w:rsid w:val="004C2253"/>
    <w:rsid w:val="004C22EC"/>
    <w:rsid w:val="004C3BF7"/>
    <w:rsid w:val="004C3C41"/>
    <w:rsid w:val="004C3D33"/>
    <w:rsid w:val="004C3FEF"/>
    <w:rsid w:val="004C42E4"/>
    <w:rsid w:val="004C431A"/>
    <w:rsid w:val="004C440E"/>
    <w:rsid w:val="004C46B4"/>
    <w:rsid w:val="004C47BA"/>
    <w:rsid w:val="004C49B9"/>
    <w:rsid w:val="004C4CCA"/>
    <w:rsid w:val="004C514C"/>
    <w:rsid w:val="004C5244"/>
    <w:rsid w:val="004C52D3"/>
    <w:rsid w:val="004C5DA1"/>
    <w:rsid w:val="004C5E58"/>
    <w:rsid w:val="004C5ECB"/>
    <w:rsid w:val="004C602E"/>
    <w:rsid w:val="004C68CD"/>
    <w:rsid w:val="004C68E5"/>
    <w:rsid w:val="004C7039"/>
    <w:rsid w:val="004C704C"/>
    <w:rsid w:val="004C71AD"/>
    <w:rsid w:val="004C74EE"/>
    <w:rsid w:val="004C7911"/>
    <w:rsid w:val="004C7DD0"/>
    <w:rsid w:val="004C7F08"/>
    <w:rsid w:val="004D0873"/>
    <w:rsid w:val="004D0A23"/>
    <w:rsid w:val="004D0AE6"/>
    <w:rsid w:val="004D17AD"/>
    <w:rsid w:val="004D18A2"/>
    <w:rsid w:val="004D20EA"/>
    <w:rsid w:val="004D2462"/>
    <w:rsid w:val="004D28F8"/>
    <w:rsid w:val="004D2975"/>
    <w:rsid w:val="004D2DE3"/>
    <w:rsid w:val="004D30EC"/>
    <w:rsid w:val="004D3666"/>
    <w:rsid w:val="004D38A7"/>
    <w:rsid w:val="004D3A0B"/>
    <w:rsid w:val="004D3C90"/>
    <w:rsid w:val="004D3E34"/>
    <w:rsid w:val="004D3ED4"/>
    <w:rsid w:val="004D4021"/>
    <w:rsid w:val="004D4316"/>
    <w:rsid w:val="004D4438"/>
    <w:rsid w:val="004D4547"/>
    <w:rsid w:val="004D4935"/>
    <w:rsid w:val="004D4B72"/>
    <w:rsid w:val="004D4B79"/>
    <w:rsid w:val="004D4FB0"/>
    <w:rsid w:val="004D50C6"/>
    <w:rsid w:val="004D515A"/>
    <w:rsid w:val="004D577C"/>
    <w:rsid w:val="004D6101"/>
    <w:rsid w:val="004D620E"/>
    <w:rsid w:val="004D6365"/>
    <w:rsid w:val="004D6A07"/>
    <w:rsid w:val="004D6AC2"/>
    <w:rsid w:val="004D6B05"/>
    <w:rsid w:val="004D6B97"/>
    <w:rsid w:val="004D6DA6"/>
    <w:rsid w:val="004D6E58"/>
    <w:rsid w:val="004D76F9"/>
    <w:rsid w:val="004D7D54"/>
    <w:rsid w:val="004D7E11"/>
    <w:rsid w:val="004D7ECF"/>
    <w:rsid w:val="004D7F66"/>
    <w:rsid w:val="004D7FF7"/>
    <w:rsid w:val="004E007E"/>
    <w:rsid w:val="004E008A"/>
    <w:rsid w:val="004E05AE"/>
    <w:rsid w:val="004E07C3"/>
    <w:rsid w:val="004E07CD"/>
    <w:rsid w:val="004E099D"/>
    <w:rsid w:val="004E1311"/>
    <w:rsid w:val="004E1414"/>
    <w:rsid w:val="004E162E"/>
    <w:rsid w:val="004E1716"/>
    <w:rsid w:val="004E25F6"/>
    <w:rsid w:val="004E2ED4"/>
    <w:rsid w:val="004E314E"/>
    <w:rsid w:val="004E3537"/>
    <w:rsid w:val="004E371E"/>
    <w:rsid w:val="004E3D30"/>
    <w:rsid w:val="004E3E0B"/>
    <w:rsid w:val="004E3E31"/>
    <w:rsid w:val="004E4166"/>
    <w:rsid w:val="004E4263"/>
    <w:rsid w:val="004E4513"/>
    <w:rsid w:val="004E45C8"/>
    <w:rsid w:val="004E49A7"/>
    <w:rsid w:val="004E4A08"/>
    <w:rsid w:val="004E4AD8"/>
    <w:rsid w:val="004E4C00"/>
    <w:rsid w:val="004E4F74"/>
    <w:rsid w:val="004E4FCA"/>
    <w:rsid w:val="004E51BC"/>
    <w:rsid w:val="004E5915"/>
    <w:rsid w:val="004E5918"/>
    <w:rsid w:val="004E5B4F"/>
    <w:rsid w:val="004E5D9D"/>
    <w:rsid w:val="004E5E24"/>
    <w:rsid w:val="004E5EAB"/>
    <w:rsid w:val="004E6557"/>
    <w:rsid w:val="004E666A"/>
    <w:rsid w:val="004E6764"/>
    <w:rsid w:val="004E682D"/>
    <w:rsid w:val="004E6E33"/>
    <w:rsid w:val="004E6F9C"/>
    <w:rsid w:val="004E702D"/>
    <w:rsid w:val="004E75C1"/>
    <w:rsid w:val="004E769A"/>
    <w:rsid w:val="004E79A8"/>
    <w:rsid w:val="004E7DAA"/>
    <w:rsid w:val="004F00DE"/>
    <w:rsid w:val="004F05F1"/>
    <w:rsid w:val="004F07AD"/>
    <w:rsid w:val="004F0921"/>
    <w:rsid w:val="004F098F"/>
    <w:rsid w:val="004F0B4D"/>
    <w:rsid w:val="004F0E5C"/>
    <w:rsid w:val="004F0EF2"/>
    <w:rsid w:val="004F10F4"/>
    <w:rsid w:val="004F1284"/>
    <w:rsid w:val="004F17A3"/>
    <w:rsid w:val="004F185D"/>
    <w:rsid w:val="004F1F45"/>
    <w:rsid w:val="004F27BE"/>
    <w:rsid w:val="004F2C4C"/>
    <w:rsid w:val="004F2DA3"/>
    <w:rsid w:val="004F3003"/>
    <w:rsid w:val="004F314D"/>
    <w:rsid w:val="004F317C"/>
    <w:rsid w:val="004F36B3"/>
    <w:rsid w:val="004F36FE"/>
    <w:rsid w:val="004F3CAB"/>
    <w:rsid w:val="004F3F9F"/>
    <w:rsid w:val="004F45F5"/>
    <w:rsid w:val="004F465D"/>
    <w:rsid w:val="004F470B"/>
    <w:rsid w:val="004F4916"/>
    <w:rsid w:val="004F4A38"/>
    <w:rsid w:val="004F4F61"/>
    <w:rsid w:val="004F5493"/>
    <w:rsid w:val="004F5B81"/>
    <w:rsid w:val="004F5C5A"/>
    <w:rsid w:val="004F5E2B"/>
    <w:rsid w:val="004F65D5"/>
    <w:rsid w:val="004F672D"/>
    <w:rsid w:val="004F67BD"/>
    <w:rsid w:val="004F7241"/>
    <w:rsid w:val="004F7A41"/>
    <w:rsid w:val="004F7E41"/>
    <w:rsid w:val="004F7F9B"/>
    <w:rsid w:val="005001DE"/>
    <w:rsid w:val="00500452"/>
    <w:rsid w:val="00500486"/>
    <w:rsid w:val="005006A4"/>
    <w:rsid w:val="00500C8C"/>
    <w:rsid w:val="00500CEE"/>
    <w:rsid w:val="00500DDE"/>
    <w:rsid w:val="00501332"/>
    <w:rsid w:val="005013EE"/>
    <w:rsid w:val="005013EF"/>
    <w:rsid w:val="005015E9"/>
    <w:rsid w:val="005019B4"/>
    <w:rsid w:val="00501C29"/>
    <w:rsid w:val="00501C48"/>
    <w:rsid w:val="00501C78"/>
    <w:rsid w:val="00501DC1"/>
    <w:rsid w:val="0050223E"/>
    <w:rsid w:val="005023E7"/>
    <w:rsid w:val="005026E3"/>
    <w:rsid w:val="005027E5"/>
    <w:rsid w:val="0050289F"/>
    <w:rsid w:val="00502A25"/>
    <w:rsid w:val="00503547"/>
    <w:rsid w:val="00503744"/>
    <w:rsid w:val="00503820"/>
    <w:rsid w:val="005047F9"/>
    <w:rsid w:val="00504EFB"/>
    <w:rsid w:val="00504F54"/>
    <w:rsid w:val="0050500A"/>
    <w:rsid w:val="00505A18"/>
    <w:rsid w:val="00505D3B"/>
    <w:rsid w:val="005064F5"/>
    <w:rsid w:val="005068C1"/>
    <w:rsid w:val="0050693C"/>
    <w:rsid w:val="005069CE"/>
    <w:rsid w:val="00506EE3"/>
    <w:rsid w:val="00506F4E"/>
    <w:rsid w:val="005072AA"/>
    <w:rsid w:val="00507311"/>
    <w:rsid w:val="0050737E"/>
    <w:rsid w:val="00507BA3"/>
    <w:rsid w:val="00507CFE"/>
    <w:rsid w:val="00507E3D"/>
    <w:rsid w:val="0051052A"/>
    <w:rsid w:val="005106A2"/>
    <w:rsid w:val="00510AA7"/>
    <w:rsid w:val="00510CFB"/>
    <w:rsid w:val="00510EAB"/>
    <w:rsid w:val="00511131"/>
    <w:rsid w:val="00511771"/>
    <w:rsid w:val="00511A79"/>
    <w:rsid w:val="00511D9E"/>
    <w:rsid w:val="00512033"/>
    <w:rsid w:val="00512439"/>
    <w:rsid w:val="00512BB8"/>
    <w:rsid w:val="00512CBA"/>
    <w:rsid w:val="0051319F"/>
    <w:rsid w:val="005132F0"/>
    <w:rsid w:val="00513621"/>
    <w:rsid w:val="00513743"/>
    <w:rsid w:val="0051376B"/>
    <w:rsid w:val="00513F64"/>
    <w:rsid w:val="00514031"/>
    <w:rsid w:val="00514151"/>
    <w:rsid w:val="005144CB"/>
    <w:rsid w:val="00514614"/>
    <w:rsid w:val="00514659"/>
    <w:rsid w:val="0051465E"/>
    <w:rsid w:val="00514C3E"/>
    <w:rsid w:val="00514E47"/>
    <w:rsid w:val="00514FA7"/>
    <w:rsid w:val="005150EB"/>
    <w:rsid w:val="00515258"/>
    <w:rsid w:val="00515BD5"/>
    <w:rsid w:val="00515C89"/>
    <w:rsid w:val="0051612F"/>
    <w:rsid w:val="0051622B"/>
    <w:rsid w:val="00516E7F"/>
    <w:rsid w:val="00516FF5"/>
    <w:rsid w:val="005175D4"/>
    <w:rsid w:val="00517A00"/>
    <w:rsid w:val="00517A9A"/>
    <w:rsid w:val="005204C5"/>
    <w:rsid w:val="005204C7"/>
    <w:rsid w:val="0052065D"/>
    <w:rsid w:val="005207DC"/>
    <w:rsid w:val="00520D75"/>
    <w:rsid w:val="00520F9F"/>
    <w:rsid w:val="005211A7"/>
    <w:rsid w:val="00521789"/>
    <w:rsid w:val="00521AE3"/>
    <w:rsid w:val="00522100"/>
    <w:rsid w:val="0052247B"/>
    <w:rsid w:val="005224DE"/>
    <w:rsid w:val="0052299C"/>
    <w:rsid w:val="00522B47"/>
    <w:rsid w:val="00522C06"/>
    <w:rsid w:val="005233DD"/>
    <w:rsid w:val="0052340B"/>
    <w:rsid w:val="005234F0"/>
    <w:rsid w:val="005235E5"/>
    <w:rsid w:val="005236F4"/>
    <w:rsid w:val="0052374F"/>
    <w:rsid w:val="00523E39"/>
    <w:rsid w:val="00524331"/>
    <w:rsid w:val="0052490E"/>
    <w:rsid w:val="00524C3A"/>
    <w:rsid w:val="00524F46"/>
    <w:rsid w:val="005253E2"/>
    <w:rsid w:val="00525C6C"/>
    <w:rsid w:val="00525DC1"/>
    <w:rsid w:val="00525FDD"/>
    <w:rsid w:val="0052646C"/>
    <w:rsid w:val="005268A4"/>
    <w:rsid w:val="005269DC"/>
    <w:rsid w:val="00526B89"/>
    <w:rsid w:val="00526E83"/>
    <w:rsid w:val="00526FD4"/>
    <w:rsid w:val="00527066"/>
    <w:rsid w:val="005272DB"/>
    <w:rsid w:val="0052761A"/>
    <w:rsid w:val="00527A9E"/>
    <w:rsid w:val="0053007A"/>
    <w:rsid w:val="005300B2"/>
    <w:rsid w:val="005301E2"/>
    <w:rsid w:val="00530292"/>
    <w:rsid w:val="00530751"/>
    <w:rsid w:val="0053077A"/>
    <w:rsid w:val="0053082C"/>
    <w:rsid w:val="005311AD"/>
    <w:rsid w:val="005311E7"/>
    <w:rsid w:val="0053139B"/>
    <w:rsid w:val="0053155D"/>
    <w:rsid w:val="00531581"/>
    <w:rsid w:val="0053172D"/>
    <w:rsid w:val="00531EF9"/>
    <w:rsid w:val="00532066"/>
    <w:rsid w:val="00532188"/>
    <w:rsid w:val="00532AAC"/>
    <w:rsid w:val="00532FF8"/>
    <w:rsid w:val="00533296"/>
    <w:rsid w:val="005333D1"/>
    <w:rsid w:val="0053344E"/>
    <w:rsid w:val="00533956"/>
    <w:rsid w:val="0053417E"/>
    <w:rsid w:val="00534294"/>
    <w:rsid w:val="005343D3"/>
    <w:rsid w:val="005347A7"/>
    <w:rsid w:val="005347B9"/>
    <w:rsid w:val="005347EA"/>
    <w:rsid w:val="00534DDE"/>
    <w:rsid w:val="00534F63"/>
    <w:rsid w:val="00535413"/>
    <w:rsid w:val="005354F3"/>
    <w:rsid w:val="0053554A"/>
    <w:rsid w:val="0053567C"/>
    <w:rsid w:val="005356FE"/>
    <w:rsid w:val="00535AFD"/>
    <w:rsid w:val="005367F2"/>
    <w:rsid w:val="005368D3"/>
    <w:rsid w:val="00536A29"/>
    <w:rsid w:val="00536A85"/>
    <w:rsid w:val="00536DAE"/>
    <w:rsid w:val="00536F4F"/>
    <w:rsid w:val="00537435"/>
    <w:rsid w:val="00537A4A"/>
    <w:rsid w:val="00537C53"/>
    <w:rsid w:val="00537E2A"/>
    <w:rsid w:val="00540008"/>
    <w:rsid w:val="005403A5"/>
    <w:rsid w:val="005406D4"/>
    <w:rsid w:val="005407B2"/>
    <w:rsid w:val="005407B8"/>
    <w:rsid w:val="005407EC"/>
    <w:rsid w:val="005411FB"/>
    <w:rsid w:val="0054155D"/>
    <w:rsid w:val="005418F4"/>
    <w:rsid w:val="00542556"/>
    <w:rsid w:val="00542659"/>
    <w:rsid w:val="005427F8"/>
    <w:rsid w:val="00542EDD"/>
    <w:rsid w:val="00542F01"/>
    <w:rsid w:val="0054346C"/>
    <w:rsid w:val="0054357D"/>
    <w:rsid w:val="00543AAF"/>
    <w:rsid w:val="00543F02"/>
    <w:rsid w:val="005440A7"/>
    <w:rsid w:val="00544808"/>
    <w:rsid w:val="00544DF3"/>
    <w:rsid w:val="00545BC0"/>
    <w:rsid w:val="00545CDA"/>
    <w:rsid w:val="00545E14"/>
    <w:rsid w:val="00545E57"/>
    <w:rsid w:val="00545F5F"/>
    <w:rsid w:val="005460D0"/>
    <w:rsid w:val="0054631F"/>
    <w:rsid w:val="005463D4"/>
    <w:rsid w:val="00546844"/>
    <w:rsid w:val="00546F5A"/>
    <w:rsid w:val="00546FA3"/>
    <w:rsid w:val="005470E4"/>
    <w:rsid w:val="005470F8"/>
    <w:rsid w:val="005471DE"/>
    <w:rsid w:val="00547565"/>
    <w:rsid w:val="0054776A"/>
    <w:rsid w:val="005478E9"/>
    <w:rsid w:val="00547AC7"/>
    <w:rsid w:val="00547ACD"/>
    <w:rsid w:val="00547F8D"/>
    <w:rsid w:val="00550113"/>
    <w:rsid w:val="00550124"/>
    <w:rsid w:val="00550B7A"/>
    <w:rsid w:val="005512D2"/>
    <w:rsid w:val="005519F3"/>
    <w:rsid w:val="00551C85"/>
    <w:rsid w:val="005521B9"/>
    <w:rsid w:val="005522A6"/>
    <w:rsid w:val="00552554"/>
    <w:rsid w:val="00552663"/>
    <w:rsid w:val="0055273D"/>
    <w:rsid w:val="005528D1"/>
    <w:rsid w:val="00552AE7"/>
    <w:rsid w:val="00552BFA"/>
    <w:rsid w:val="00552E9D"/>
    <w:rsid w:val="00552F44"/>
    <w:rsid w:val="00553047"/>
    <w:rsid w:val="0055314C"/>
    <w:rsid w:val="005539B3"/>
    <w:rsid w:val="00553A08"/>
    <w:rsid w:val="00553B07"/>
    <w:rsid w:val="00554372"/>
    <w:rsid w:val="00554481"/>
    <w:rsid w:val="00554F93"/>
    <w:rsid w:val="00555045"/>
    <w:rsid w:val="00555424"/>
    <w:rsid w:val="00555445"/>
    <w:rsid w:val="00555579"/>
    <w:rsid w:val="005558C9"/>
    <w:rsid w:val="00555BA9"/>
    <w:rsid w:val="00555FCA"/>
    <w:rsid w:val="00556288"/>
    <w:rsid w:val="005562E1"/>
    <w:rsid w:val="00556516"/>
    <w:rsid w:val="00556854"/>
    <w:rsid w:val="0055687E"/>
    <w:rsid w:val="005568BA"/>
    <w:rsid w:val="005569CD"/>
    <w:rsid w:val="00557080"/>
    <w:rsid w:val="00557187"/>
    <w:rsid w:val="005571D6"/>
    <w:rsid w:val="0055743A"/>
    <w:rsid w:val="00557641"/>
    <w:rsid w:val="00557817"/>
    <w:rsid w:val="00557CBA"/>
    <w:rsid w:val="00557FF4"/>
    <w:rsid w:val="00560530"/>
    <w:rsid w:val="0056093F"/>
    <w:rsid w:val="00560E2F"/>
    <w:rsid w:val="00560F69"/>
    <w:rsid w:val="00561047"/>
    <w:rsid w:val="005610D4"/>
    <w:rsid w:val="00561114"/>
    <w:rsid w:val="005612BC"/>
    <w:rsid w:val="00561552"/>
    <w:rsid w:val="005618B7"/>
    <w:rsid w:val="00561C99"/>
    <w:rsid w:val="005622E0"/>
    <w:rsid w:val="005625BD"/>
    <w:rsid w:val="0056265F"/>
    <w:rsid w:val="005626CE"/>
    <w:rsid w:val="0056281F"/>
    <w:rsid w:val="00562976"/>
    <w:rsid w:val="00562B1F"/>
    <w:rsid w:val="00562B7A"/>
    <w:rsid w:val="00562C82"/>
    <w:rsid w:val="00562EE0"/>
    <w:rsid w:val="005630DD"/>
    <w:rsid w:val="00563256"/>
    <w:rsid w:val="00563901"/>
    <w:rsid w:val="00563CC1"/>
    <w:rsid w:val="00563F29"/>
    <w:rsid w:val="00563F68"/>
    <w:rsid w:val="00563FEA"/>
    <w:rsid w:val="00564096"/>
    <w:rsid w:val="0056414E"/>
    <w:rsid w:val="00564A75"/>
    <w:rsid w:val="00564C9F"/>
    <w:rsid w:val="00564D3D"/>
    <w:rsid w:val="00564F62"/>
    <w:rsid w:val="00565545"/>
    <w:rsid w:val="00565991"/>
    <w:rsid w:val="00565BD7"/>
    <w:rsid w:val="00565F72"/>
    <w:rsid w:val="005665C5"/>
    <w:rsid w:val="00566787"/>
    <w:rsid w:val="005667C3"/>
    <w:rsid w:val="00566860"/>
    <w:rsid w:val="00566A56"/>
    <w:rsid w:val="00567397"/>
    <w:rsid w:val="0056789D"/>
    <w:rsid w:val="005678DC"/>
    <w:rsid w:val="005678DE"/>
    <w:rsid w:val="00567B6F"/>
    <w:rsid w:val="00567FBE"/>
    <w:rsid w:val="005702CE"/>
    <w:rsid w:val="00570313"/>
    <w:rsid w:val="00570452"/>
    <w:rsid w:val="0057059C"/>
    <w:rsid w:val="00570981"/>
    <w:rsid w:val="00570CF5"/>
    <w:rsid w:val="00570D08"/>
    <w:rsid w:val="00571581"/>
    <w:rsid w:val="00571594"/>
    <w:rsid w:val="00571B1D"/>
    <w:rsid w:val="00571CE2"/>
    <w:rsid w:val="00571D62"/>
    <w:rsid w:val="005720BD"/>
    <w:rsid w:val="00572202"/>
    <w:rsid w:val="005722B8"/>
    <w:rsid w:val="0057250C"/>
    <w:rsid w:val="00572541"/>
    <w:rsid w:val="00572775"/>
    <w:rsid w:val="005727B9"/>
    <w:rsid w:val="00572A54"/>
    <w:rsid w:val="00572E34"/>
    <w:rsid w:val="00572E7A"/>
    <w:rsid w:val="0057305A"/>
    <w:rsid w:val="005732A1"/>
    <w:rsid w:val="00573A7C"/>
    <w:rsid w:val="00573FF2"/>
    <w:rsid w:val="00574563"/>
    <w:rsid w:val="00574659"/>
    <w:rsid w:val="0057470D"/>
    <w:rsid w:val="00574801"/>
    <w:rsid w:val="00574D2D"/>
    <w:rsid w:val="00574DDC"/>
    <w:rsid w:val="00575056"/>
    <w:rsid w:val="0057518D"/>
    <w:rsid w:val="0057588C"/>
    <w:rsid w:val="0057595B"/>
    <w:rsid w:val="005759FB"/>
    <w:rsid w:val="00575BF2"/>
    <w:rsid w:val="00575CAE"/>
    <w:rsid w:val="00575D43"/>
    <w:rsid w:val="00575EBF"/>
    <w:rsid w:val="005761F2"/>
    <w:rsid w:val="005766EA"/>
    <w:rsid w:val="00576934"/>
    <w:rsid w:val="00576D71"/>
    <w:rsid w:val="00576F84"/>
    <w:rsid w:val="00576F9F"/>
    <w:rsid w:val="0057759A"/>
    <w:rsid w:val="00577C3E"/>
    <w:rsid w:val="00577C56"/>
    <w:rsid w:val="00577EE2"/>
    <w:rsid w:val="00580126"/>
    <w:rsid w:val="00580229"/>
    <w:rsid w:val="005804AF"/>
    <w:rsid w:val="005807C9"/>
    <w:rsid w:val="005807D6"/>
    <w:rsid w:val="005809D5"/>
    <w:rsid w:val="0058152B"/>
    <w:rsid w:val="00581682"/>
    <w:rsid w:val="005817B4"/>
    <w:rsid w:val="00581818"/>
    <w:rsid w:val="0058198E"/>
    <w:rsid w:val="00581A1D"/>
    <w:rsid w:val="00581A8F"/>
    <w:rsid w:val="00581E58"/>
    <w:rsid w:val="00581E96"/>
    <w:rsid w:val="00581FED"/>
    <w:rsid w:val="005825D7"/>
    <w:rsid w:val="0058281F"/>
    <w:rsid w:val="00582894"/>
    <w:rsid w:val="00582A76"/>
    <w:rsid w:val="00582FAB"/>
    <w:rsid w:val="0058330B"/>
    <w:rsid w:val="0058332E"/>
    <w:rsid w:val="00583A48"/>
    <w:rsid w:val="00583B99"/>
    <w:rsid w:val="005840B9"/>
    <w:rsid w:val="00584321"/>
    <w:rsid w:val="0058446A"/>
    <w:rsid w:val="005844BA"/>
    <w:rsid w:val="0058453D"/>
    <w:rsid w:val="00584A37"/>
    <w:rsid w:val="00584F66"/>
    <w:rsid w:val="0058552D"/>
    <w:rsid w:val="00585531"/>
    <w:rsid w:val="005855FD"/>
    <w:rsid w:val="00585888"/>
    <w:rsid w:val="00585B1F"/>
    <w:rsid w:val="00585D5E"/>
    <w:rsid w:val="00585E9B"/>
    <w:rsid w:val="00585FE0"/>
    <w:rsid w:val="005861EC"/>
    <w:rsid w:val="00586499"/>
    <w:rsid w:val="005867CA"/>
    <w:rsid w:val="0058683D"/>
    <w:rsid w:val="005869BF"/>
    <w:rsid w:val="00586A9E"/>
    <w:rsid w:val="00586B8D"/>
    <w:rsid w:val="00586FE1"/>
    <w:rsid w:val="00587013"/>
    <w:rsid w:val="0058737B"/>
    <w:rsid w:val="00587DD0"/>
    <w:rsid w:val="00587FD7"/>
    <w:rsid w:val="00590AF1"/>
    <w:rsid w:val="00590E1A"/>
    <w:rsid w:val="005912C0"/>
    <w:rsid w:val="00591328"/>
    <w:rsid w:val="00591469"/>
    <w:rsid w:val="0059174C"/>
    <w:rsid w:val="00592705"/>
    <w:rsid w:val="00592BA7"/>
    <w:rsid w:val="00592C1E"/>
    <w:rsid w:val="00592C27"/>
    <w:rsid w:val="00593006"/>
    <w:rsid w:val="00593165"/>
    <w:rsid w:val="00593782"/>
    <w:rsid w:val="00593F68"/>
    <w:rsid w:val="00594155"/>
    <w:rsid w:val="00594287"/>
    <w:rsid w:val="005946F6"/>
    <w:rsid w:val="00594AC2"/>
    <w:rsid w:val="00595078"/>
    <w:rsid w:val="00595209"/>
    <w:rsid w:val="005952C7"/>
    <w:rsid w:val="0059552A"/>
    <w:rsid w:val="00595B2B"/>
    <w:rsid w:val="00595B48"/>
    <w:rsid w:val="00595FEE"/>
    <w:rsid w:val="00596033"/>
    <w:rsid w:val="005964B2"/>
    <w:rsid w:val="00596945"/>
    <w:rsid w:val="00596B3C"/>
    <w:rsid w:val="00596EDF"/>
    <w:rsid w:val="00597152"/>
    <w:rsid w:val="005971D0"/>
    <w:rsid w:val="0059742F"/>
    <w:rsid w:val="005975D0"/>
    <w:rsid w:val="005976B6"/>
    <w:rsid w:val="0059795F"/>
    <w:rsid w:val="0059799E"/>
    <w:rsid w:val="00597B90"/>
    <w:rsid w:val="00597EB9"/>
    <w:rsid w:val="00597FA2"/>
    <w:rsid w:val="005A010F"/>
    <w:rsid w:val="005A044F"/>
    <w:rsid w:val="005A0612"/>
    <w:rsid w:val="005A0861"/>
    <w:rsid w:val="005A0C98"/>
    <w:rsid w:val="005A0CFD"/>
    <w:rsid w:val="005A1105"/>
    <w:rsid w:val="005A1903"/>
    <w:rsid w:val="005A19CD"/>
    <w:rsid w:val="005A1EA8"/>
    <w:rsid w:val="005A1FA3"/>
    <w:rsid w:val="005A2175"/>
    <w:rsid w:val="005A291B"/>
    <w:rsid w:val="005A2C2B"/>
    <w:rsid w:val="005A2D55"/>
    <w:rsid w:val="005A2E64"/>
    <w:rsid w:val="005A324E"/>
    <w:rsid w:val="005A328C"/>
    <w:rsid w:val="005A3758"/>
    <w:rsid w:val="005A3844"/>
    <w:rsid w:val="005A397C"/>
    <w:rsid w:val="005A3AE2"/>
    <w:rsid w:val="005A4057"/>
    <w:rsid w:val="005A44B0"/>
    <w:rsid w:val="005A47D0"/>
    <w:rsid w:val="005A49A4"/>
    <w:rsid w:val="005A4A31"/>
    <w:rsid w:val="005A4D05"/>
    <w:rsid w:val="005A4D3B"/>
    <w:rsid w:val="005A4E12"/>
    <w:rsid w:val="005A5197"/>
    <w:rsid w:val="005A5B34"/>
    <w:rsid w:val="005A6305"/>
    <w:rsid w:val="005A6323"/>
    <w:rsid w:val="005A6467"/>
    <w:rsid w:val="005A6743"/>
    <w:rsid w:val="005A6D45"/>
    <w:rsid w:val="005A6E00"/>
    <w:rsid w:val="005A6EC3"/>
    <w:rsid w:val="005A6FF6"/>
    <w:rsid w:val="005A7117"/>
    <w:rsid w:val="005A71E9"/>
    <w:rsid w:val="005B0C31"/>
    <w:rsid w:val="005B0F4C"/>
    <w:rsid w:val="005B15DD"/>
    <w:rsid w:val="005B191B"/>
    <w:rsid w:val="005B1AD5"/>
    <w:rsid w:val="005B2501"/>
    <w:rsid w:val="005B2705"/>
    <w:rsid w:val="005B2EAD"/>
    <w:rsid w:val="005B2EBA"/>
    <w:rsid w:val="005B2F38"/>
    <w:rsid w:val="005B2FF4"/>
    <w:rsid w:val="005B3D90"/>
    <w:rsid w:val="005B40AF"/>
    <w:rsid w:val="005B446D"/>
    <w:rsid w:val="005B4776"/>
    <w:rsid w:val="005B508B"/>
    <w:rsid w:val="005B5293"/>
    <w:rsid w:val="005B596D"/>
    <w:rsid w:val="005B5D45"/>
    <w:rsid w:val="005B6245"/>
    <w:rsid w:val="005B6252"/>
    <w:rsid w:val="005B6A97"/>
    <w:rsid w:val="005B6D47"/>
    <w:rsid w:val="005B7048"/>
    <w:rsid w:val="005B72C0"/>
    <w:rsid w:val="005B75B2"/>
    <w:rsid w:val="005B764F"/>
    <w:rsid w:val="005B7A11"/>
    <w:rsid w:val="005B7D42"/>
    <w:rsid w:val="005C000D"/>
    <w:rsid w:val="005C093C"/>
    <w:rsid w:val="005C0C7F"/>
    <w:rsid w:val="005C1374"/>
    <w:rsid w:val="005C15A2"/>
    <w:rsid w:val="005C15D8"/>
    <w:rsid w:val="005C1762"/>
    <w:rsid w:val="005C1BD9"/>
    <w:rsid w:val="005C1BE8"/>
    <w:rsid w:val="005C239B"/>
    <w:rsid w:val="005C24A4"/>
    <w:rsid w:val="005C257A"/>
    <w:rsid w:val="005C2EA2"/>
    <w:rsid w:val="005C2FC0"/>
    <w:rsid w:val="005C320A"/>
    <w:rsid w:val="005C3212"/>
    <w:rsid w:val="005C38FA"/>
    <w:rsid w:val="005C3DE8"/>
    <w:rsid w:val="005C459E"/>
    <w:rsid w:val="005C4693"/>
    <w:rsid w:val="005C5065"/>
    <w:rsid w:val="005C51F0"/>
    <w:rsid w:val="005C53A8"/>
    <w:rsid w:val="005C569F"/>
    <w:rsid w:val="005C5AD9"/>
    <w:rsid w:val="005C5AF6"/>
    <w:rsid w:val="005C5B2B"/>
    <w:rsid w:val="005C5C24"/>
    <w:rsid w:val="005C628B"/>
    <w:rsid w:val="005C67B2"/>
    <w:rsid w:val="005C6A1F"/>
    <w:rsid w:val="005C6A50"/>
    <w:rsid w:val="005C6B50"/>
    <w:rsid w:val="005C71FA"/>
    <w:rsid w:val="005C75BB"/>
    <w:rsid w:val="005D01CA"/>
    <w:rsid w:val="005D03F3"/>
    <w:rsid w:val="005D0683"/>
    <w:rsid w:val="005D0E67"/>
    <w:rsid w:val="005D171A"/>
    <w:rsid w:val="005D200E"/>
    <w:rsid w:val="005D2046"/>
    <w:rsid w:val="005D23ED"/>
    <w:rsid w:val="005D25CC"/>
    <w:rsid w:val="005D2C0F"/>
    <w:rsid w:val="005D2E74"/>
    <w:rsid w:val="005D330D"/>
    <w:rsid w:val="005D3437"/>
    <w:rsid w:val="005D36D2"/>
    <w:rsid w:val="005D389A"/>
    <w:rsid w:val="005D3D58"/>
    <w:rsid w:val="005D41BB"/>
    <w:rsid w:val="005D41C3"/>
    <w:rsid w:val="005D4C94"/>
    <w:rsid w:val="005D4EFA"/>
    <w:rsid w:val="005D4F13"/>
    <w:rsid w:val="005D56E1"/>
    <w:rsid w:val="005D5CA4"/>
    <w:rsid w:val="005D603F"/>
    <w:rsid w:val="005D60D0"/>
    <w:rsid w:val="005D639F"/>
    <w:rsid w:val="005D65DC"/>
    <w:rsid w:val="005D6A76"/>
    <w:rsid w:val="005D7216"/>
    <w:rsid w:val="005D73E9"/>
    <w:rsid w:val="005D755E"/>
    <w:rsid w:val="005D75B6"/>
    <w:rsid w:val="005D78A7"/>
    <w:rsid w:val="005D7FA5"/>
    <w:rsid w:val="005E0171"/>
    <w:rsid w:val="005E0278"/>
    <w:rsid w:val="005E030D"/>
    <w:rsid w:val="005E0393"/>
    <w:rsid w:val="005E05EF"/>
    <w:rsid w:val="005E0917"/>
    <w:rsid w:val="005E1029"/>
    <w:rsid w:val="005E127B"/>
    <w:rsid w:val="005E177D"/>
    <w:rsid w:val="005E17C4"/>
    <w:rsid w:val="005E1956"/>
    <w:rsid w:val="005E1BDF"/>
    <w:rsid w:val="005E1E4B"/>
    <w:rsid w:val="005E2663"/>
    <w:rsid w:val="005E26F9"/>
    <w:rsid w:val="005E2AAF"/>
    <w:rsid w:val="005E2BB1"/>
    <w:rsid w:val="005E3124"/>
    <w:rsid w:val="005E32C7"/>
    <w:rsid w:val="005E3A38"/>
    <w:rsid w:val="005E3BFA"/>
    <w:rsid w:val="005E3C84"/>
    <w:rsid w:val="005E3D32"/>
    <w:rsid w:val="005E3E61"/>
    <w:rsid w:val="005E3FC3"/>
    <w:rsid w:val="005E44E9"/>
    <w:rsid w:val="005E473E"/>
    <w:rsid w:val="005E4C5D"/>
    <w:rsid w:val="005E504A"/>
    <w:rsid w:val="005E51BD"/>
    <w:rsid w:val="005E574A"/>
    <w:rsid w:val="005E5801"/>
    <w:rsid w:val="005E5E10"/>
    <w:rsid w:val="005E5E50"/>
    <w:rsid w:val="005E5F4E"/>
    <w:rsid w:val="005E606B"/>
    <w:rsid w:val="005E64B3"/>
    <w:rsid w:val="005E66FF"/>
    <w:rsid w:val="005E685D"/>
    <w:rsid w:val="005E6945"/>
    <w:rsid w:val="005E6ADF"/>
    <w:rsid w:val="005E7172"/>
    <w:rsid w:val="005E74FA"/>
    <w:rsid w:val="005E780D"/>
    <w:rsid w:val="005E79FE"/>
    <w:rsid w:val="005E7BDE"/>
    <w:rsid w:val="005F0035"/>
    <w:rsid w:val="005F0416"/>
    <w:rsid w:val="005F0666"/>
    <w:rsid w:val="005F099D"/>
    <w:rsid w:val="005F09D7"/>
    <w:rsid w:val="005F1199"/>
    <w:rsid w:val="005F1CF6"/>
    <w:rsid w:val="005F1E64"/>
    <w:rsid w:val="005F1F9D"/>
    <w:rsid w:val="005F24FE"/>
    <w:rsid w:val="005F26F7"/>
    <w:rsid w:val="005F2923"/>
    <w:rsid w:val="005F2FCB"/>
    <w:rsid w:val="005F2FD4"/>
    <w:rsid w:val="005F300D"/>
    <w:rsid w:val="005F3016"/>
    <w:rsid w:val="005F3125"/>
    <w:rsid w:val="005F3250"/>
    <w:rsid w:val="005F3732"/>
    <w:rsid w:val="005F3736"/>
    <w:rsid w:val="005F37B7"/>
    <w:rsid w:val="005F387A"/>
    <w:rsid w:val="005F3A1A"/>
    <w:rsid w:val="005F426E"/>
    <w:rsid w:val="005F4BA4"/>
    <w:rsid w:val="005F4C3B"/>
    <w:rsid w:val="005F503D"/>
    <w:rsid w:val="005F5299"/>
    <w:rsid w:val="005F536C"/>
    <w:rsid w:val="005F550C"/>
    <w:rsid w:val="005F5845"/>
    <w:rsid w:val="005F595B"/>
    <w:rsid w:val="005F5BD4"/>
    <w:rsid w:val="005F5C32"/>
    <w:rsid w:val="005F5E0A"/>
    <w:rsid w:val="005F5E1C"/>
    <w:rsid w:val="005F5E76"/>
    <w:rsid w:val="005F6183"/>
    <w:rsid w:val="005F6442"/>
    <w:rsid w:val="005F6799"/>
    <w:rsid w:val="005F6D1F"/>
    <w:rsid w:val="005F70E2"/>
    <w:rsid w:val="005F79CD"/>
    <w:rsid w:val="005F7A15"/>
    <w:rsid w:val="005F7B7D"/>
    <w:rsid w:val="00600B61"/>
    <w:rsid w:val="00600BB5"/>
    <w:rsid w:val="00600C2C"/>
    <w:rsid w:val="00600C4F"/>
    <w:rsid w:val="00600E0E"/>
    <w:rsid w:val="00600E97"/>
    <w:rsid w:val="006010C8"/>
    <w:rsid w:val="0060113E"/>
    <w:rsid w:val="006011A4"/>
    <w:rsid w:val="006012E4"/>
    <w:rsid w:val="00601839"/>
    <w:rsid w:val="00601E0F"/>
    <w:rsid w:val="0060258E"/>
    <w:rsid w:val="00602882"/>
    <w:rsid w:val="00602D03"/>
    <w:rsid w:val="006033B9"/>
    <w:rsid w:val="006036F6"/>
    <w:rsid w:val="006037DD"/>
    <w:rsid w:val="00603FE0"/>
    <w:rsid w:val="0060409C"/>
    <w:rsid w:val="0060497B"/>
    <w:rsid w:val="00604C0B"/>
    <w:rsid w:val="00604FC3"/>
    <w:rsid w:val="00605306"/>
    <w:rsid w:val="0060587A"/>
    <w:rsid w:val="00605AB5"/>
    <w:rsid w:val="00605CD0"/>
    <w:rsid w:val="00605F48"/>
    <w:rsid w:val="00606093"/>
    <w:rsid w:val="00606177"/>
    <w:rsid w:val="00606264"/>
    <w:rsid w:val="00606734"/>
    <w:rsid w:val="006068DD"/>
    <w:rsid w:val="00606DDC"/>
    <w:rsid w:val="00606F95"/>
    <w:rsid w:val="0060703C"/>
    <w:rsid w:val="00607373"/>
    <w:rsid w:val="0060756E"/>
    <w:rsid w:val="00607591"/>
    <w:rsid w:val="00607777"/>
    <w:rsid w:val="006078D9"/>
    <w:rsid w:val="00607A65"/>
    <w:rsid w:val="00607C0F"/>
    <w:rsid w:val="00607E85"/>
    <w:rsid w:val="006103C3"/>
    <w:rsid w:val="006106CB"/>
    <w:rsid w:val="00610A09"/>
    <w:rsid w:val="00610A3E"/>
    <w:rsid w:val="00610B54"/>
    <w:rsid w:val="00610D06"/>
    <w:rsid w:val="00610E56"/>
    <w:rsid w:val="00610E9A"/>
    <w:rsid w:val="00611391"/>
    <w:rsid w:val="0061154F"/>
    <w:rsid w:val="00611693"/>
    <w:rsid w:val="00611704"/>
    <w:rsid w:val="00611B77"/>
    <w:rsid w:val="00611BFB"/>
    <w:rsid w:val="00611C75"/>
    <w:rsid w:val="00612436"/>
    <w:rsid w:val="00612528"/>
    <w:rsid w:val="00612922"/>
    <w:rsid w:val="00612C98"/>
    <w:rsid w:val="00612D4C"/>
    <w:rsid w:val="00612EC3"/>
    <w:rsid w:val="00613029"/>
    <w:rsid w:val="00613206"/>
    <w:rsid w:val="0061361A"/>
    <w:rsid w:val="006137C1"/>
    <w:rsid w:val="006138D3"/>
    <w:rsid w:val="00613BC9"/>
    <w:rsid w:val="00613D92"/>
    <w:rsid w:val="00614125"/>
    <w:rsid w:val="0061437B"/>
    <w:rsid w:val="00614431"/>
    <w:rsid w:val="006144F1"/>
    <w:rsid w:val="006147D1"/>
    <w:rsid w:val="00614D18"/>
    <w:rsid w:val="00614DBD"/>
    <w:rsid w:val="006151F9"/>
    <w:rsid w:val="00615CC9"/>
    <w:rsid w:val="00615E1E"/>
    <w:rsid w:val="00615E8B"/>
    <w:rsid w:val="00615FD7"/>
    <w:rsid w:val="0061602C"/>
    <w:rsid w:val="00616585"/>
    <w:rsid w:val="0061666A"/>
    <w:rsid w:val="00616694"/>
    <w:rsid w:val="006168AE"/>
    <w:rsid w:val="006178D3"/>
    <w:rsid w:val="00617B08"/>
    <w:rsid w:val="00617B2D"/>
    <w:rsid w:val="00617FDA"/>
    <w:rsid w:val="006202C6"/>
    <w:rsid w:val="00620636"/>
    <w:rsid w:val="00620981"/>
    <w:rsid w:val="00620DDE"/>
    <w:rsid w:val="006213DE"/>
    <w:rsid w:val="00621710"/>
    <w:rsid w:val="00621A78"/>
    <w:rsid w:val="00621B77"/>
    <w:rsid w:val="00621EFC"/>
    <w:rsid w:val="00622070"/>
    <w:rsid w:val="00622C6C"/>
    <w:rsid w:val="00623071"/>
    <w:rsid w:val="006230A0"/>
    <w:rsid w:val="00623724"/>
    <w:rsid w:val="00623E93"/>
    <w:rsid w:val="00624006"/>
    <w:rsid w:val="0062438E"/>
    <w:rsid w:val="00624421"/>
    <w:rsid w:val="00624458"/>
    <w:rsid w:val="0062564E"/>
    <w:rsid w:val="00625676"/>
    <w:rsid w:val="006257EE"/>
    <w:rsid w:val="006258A6"/>
    <w:rsid w:val="006259D0"/>
    <w:rsid w:val="00625AA1"/>
    <w:rsid w:val="00625ADF"/>
    <w:rsid w:val="00625DB3"/>
    <w:rsid w:val="006263A0"/>
    <w:rsid w:val="00626770"/>
    <w:rsid w:val="006268B9"/>
    <w:rsid w:val="00626D43"/>
    <w:rsid w:val="00626EF6"/>
    <w:rsid w:val="006270BE"/>
    <w:rsid w:val="00627188"/>
    <w:rsid w:val="006271A4"/>
    <w:rsid w:val="00627254"/>
    <w:rsid w:val="0062725E"/>
    <w:rsid w:val="0062778B"/>
    <w:rsid w:val="0062786A"/>
    <w:rsid w:val="00627925"/>
    <w:rsid w:val="00627A38"/>
    <w:rsid w:val="00627C71"/>
    <w:rsid w:val="0063088E"/>
    <w:rsid w:val="00631082"/>
    <w:rsid w:val="00631D81"/>
    <w:rsid w:val="00631D8A"/>
    <w:rsid w:val="00631FD1"/>
    <w:rsid w:val="00632415"/>
    <w:rsid w:val="0063242A"/>
    <w:rsid w:val="0063247A"/>
    <w:rsid w:val="00632710"/>
    <w:rsid w:val="006327CB"/>
    <w:rsid w:val="00632948"/>
    <w:rsid w:val="00632A92"/>
    <w:rsid w:val="00632C3E"/>
    <w:rsid w:val="00632F4B"/>
    <w:rsid w:val="0063310A"/>
    <w:rsid w:val="00633139"/>
    <w:rsid w:val="006338BD"/>
    <w:rsid w:val="00633EA9"/>
    <w:rsid w:val="006341E0"/>
    <w:rsid w:val="006342AC"/>
    <w:rsid w:val="006343E6"/>
    <w:rsid w:val="00634607"/>
    <w:rsid w:val="00634971"/>
    <w:rsid w:val="00634DA9"/>
    <w:rsid w:val="00634E37"/>
    <w:rsid w:val="00634ECE"/>
    <w:rsid w:val="00635052"/>
    <w:rsid w:val="00635D1C"/>
    <w:rsid w:val="00635EA0"/>
    <w:rsid w:val="00636599"/>
    <w:rsid w:val="0063692C"/>
    <w:rsid w:val="006369F0"/>
    <w:rsid w:val="00636CE3"/>
    <w:rsid w:val="00636EBC"/>
    <w:rsid w:val="006370A8"/>
    <w:rsid w:val="006370DD"/>
    <w:rsid w:val="00637469"/>
    <w:rsid w:val="0063747C"/>
    <w:rsid w:val="00637662"/>
    <w:rsid w:val="00637765"/>
    <w:rsid w:val="00637A22"/>
    <w:rsid w:val="00637A5F"/>
    <w:rsid w:val="00637EA7"/>
    <w:rsid w:val="00640219"/>
    <w:rsid w:val="00640256"/>
    <w:rsid w:val="00640280"/>
    <w:rsid w:val="006411CF"/>
    <w:rsid w:val="0064183C"/>
    <w:rsid w:val="0064191B"/>
    <w:rsid w:val="006419A1"/>
    <w:rsid w:val="00642214"/>
    <w:rsid w:val="006423F9"/>
    <w:rsid w:val="00642617"/>
    <w:rsid w:val="0064290D"/>
    <w:rsid w:val="0064305C"/>
    <w:rsid w:val="00643148"/>
    <w:rsid w:val="006434D2"/>
    <w:rsid w:val="00643ADA"/>
    <w:rsid w:val="00644339"/>
    <w:rsid w:val="00644358"/>
    <w:rsid w:val="00644B2C"/>
    <w:rsid w:val="00644BA4"/>
    <w:rsid w:val="00644D06"/>
    <w:rsid w:val="00644E79"/>
    <w:rsid w:val="006453FC"/>
    <w:rsid w:val="006456D2"/>
    <w:rsid w:val="0064605A"/>
    <w:rsid w:val="006464D1"/>
    <w:rsid w:val="00646714"/>
    <w:rsid w:val="00646A6B"/>
    <w:rsid w:val="00646BD3"/>
    <w:rsid w:val="006473C4"/>
    <w:rsid w:val="0065006C"/>
    <w:rsid w:val="00650452"/>
    <w:rsid w:val="006504B2"/>
    <w:rsid w:val="00650966"/>
    <w:rsid w:val="00650BA6"/>
    <w:rsid w:val="0065128C"/>
    <w:rsid w:val="006512D6"/>
    <w:rsid w:val="0065153B"/>
    <w:rsid w:val="006519EB"/>
    <w:rsid w:val="00651A01"/>
    <w:rsid w:val="00651D4F"/>
    <w:rsid w:val="00651EF9"/>
    <w:rsid w:val="00652188"/>
    <w:rsid w:val="00652461"/>
    <w:rsid w:val="0065247D"/>
    <w:rsid w:val="00652534"/>
    <w:rsid w:val="006527E7"/>
    <w:rsid w:val="00652B3F"/>
    <w:rsid w:val="00652C85"/>
    <w:rsid w:val="006533D6"/>
    <w:rsid w:val="00653412"/>
    <w:rsid w:val="006536BF"/>
    <w:rsid w:val="0065385F"/>
    <w:rsid w:val="00653A6F"/>
    <w:rsid w:val="00653D17"/>
    <w:rsid w:val="00653DA8"/>
    <w:rsid w:val="0065401A"/>
    <w:rsid w:val="0065404B"/>
    <w:rsid w:val="00654D31"/>
    <w:rsid w:val="00655288"/>
    <w:rsid w:val="0065560D"/>
    <w:rsid w:val="00655757"/>
    <w:rsid w:val="006557EB"/>
    <w:rsid w:val="00655B76"/>
    <w:rsid w:val="00655C2E"/>
    <w:rsid w:val="006563EC"/>
    <w:rsid w:val="00656600"/>
    <w:rsid w:val="00656C5E"/>
    <w:rsid w:val="00656C91"/>
    <w:rsid w:val="006570CF"/>
    <w:rsid w:val="006573C2"/>
    <w:rsid w:val="00657614"/>
    <w:rsid w:val="00657799"/>
    <w:rsid w:val="00657B77"/>
    <w:rsid w:val="00657C45"/>
    <w:rsid w:val="00657E64"/>
    <w:rsid w:val="00657EE6"/>
    <w:rsid w:val="00660CD3"/>
    <w:rsid w:val="00660EE4"/>
    <w:rsid w:val="0066108A"/>
    <w:rsid w:val="006612DB"/>
    <w:rsid w:val="00661363"/>
    <w:rsid w:val="006613D3"/>
    <w:rsid w:val="0066146D"/>
    <w:rsid w:val="00661E03"/>
    <w:rsid w:val="00661E90"/>
    <w:rsid w:val="00661F4F"/>
    <w:rsid w:val="00661F72"/>
    <w:rsid w:val="00662562"/>
    <w:rsid w:val="00662660"/>
    <w:rsid w:val="006629F7"/>
    <w:rsid w:val="00662AB4"/>
    <w:rsid w:val="006634EB"/>
    <w:rsid w:val="00663524"/>
    <w:rsid w:val="006636F2"/>
    <w:rsid w:val="006639F2"/>
    <w:rsid w:val="00663A6D"/>
    <w:rsid w:val="00663BD1"/>
    <w:rsid w:val="00663C69"/>
    <w:rsid w:val="00663D4B"/>
    <w:rsid w:val="00664387"/>
    <w:rsid w:val="006644A1"/>
    <w:rsid w:val="0066488D"/>
    <w:rsid w:val="00664CB1"/>
    <w:rsid w:val="00664D68"/>
    <w:rsid w:val="00664ED1"/>
    <w:rsid w:val="0066540B"/>
    <w:rsid w:val="00665518"/>
    <w:rsid w:val="00665B36"/>
    <w:rsid w:val="00665D7E"/>
    <w:rsid w:val="006660E4"/>
    <w:rsid w:val="00666209"/>
    <w:rsid w:val="0066627C"/>
    <w:rsid w:val="00666C27"/>
    <w:rsid w:val="00666CE5"/>
    <w:rsid w:val="00666EBB"/>
    <w:rsid w:val="0066705E"/>
    <w:rsid w:val="00667493"/>
    <w:rsid w:val="00667515"/>
    <w:rsid w:val="00667FE5"/>
    <w:rsid w:val="00670036"/>
    <w:rsid w:val="00670338"/>
    <w:rsid w:val="00670924"/>
    <w:rsid w:val="00670A6B"/>
    <w:rsid w:val="00670C5E"/>
    <w:rsid w:val="00670DA7"/>
    <w:rsid w:val="006718C2"/>
    <w:rsid w:val="006718FA"/>
    <w:rsid w:val="00671D05"/>
    <w:rsid w:val="006720C9"/>
    <w:rsid w:val="00672357"/>
    <w:rsid w:val="006727CB"/>
    <w:rsid w:val="00672937"/>
    <w:rsid w:val="006730C1"/>
    <w:rsid w:val="00673A1A"/>
    <w:rsid w:val="00673AE2"/>
    <w:rsid w:val="00674038"/>
    <w:rsid w:val="00674191"/>
    <w:rsid w:val="006746BC"/>
    <w:rsid w:val="006746DD"/>
    <w:rsid w:val="00674D4F"/>
    <w:rsid w:val="00675213"/>
    <w:rsid w:val="0067530C"/>
    <w:rsid w:val="0067556B"/>
    <w:rsid w:val="006758E4"/>
    <w:rsid w:val="00675B35"/>
    <w:rsid w:val="00675FE3"/>
    <w:rsid w:val="00675FED"/>
    <w:rsid w:val="00675FFD"/>
    <w:rsid w:val="0067624F"/>
    <w:rsid w:val="006766A1"/>
    <w:rsid w:val="00676CA4"/>
    <w:rsid w:val="006772CE"/>
    <w:rsid w:val="006776A9"/>
    <w:rsid w:val="0067772B"/>
    <w:rsid w:val="006778FD"/>
    <w:rsid w:val="00677BAF"/>
    <w:rsid w:val="00677CC6"/>
    <w:rsid w:val="00677F52"/>
    <w:rsid w:val="00680055"/>
    <w:rsid w:val="006804BF"/>
    <w:rsid w:val="006805A5"/>
    <w:rsid w:val="00680755"/>
    <w:rsid w:val="00680855"/>
    <w:rsid w:val="00681182"/>
    <w:rsid w:val="00681537"/>
    <w:rsid w:val="006815E2"/>
    <w:rsid w:val="006819B2"/>
    <w:rsid w:val="00681A09"/>
    <w:rsid w:val="00681C0E"/>
    <w:rsid w:val="00681CCB"/>
    <w:rsid w:val="00681F00"/>
    <w:rsid w:val="00682CE0"/>
    <w:rsid w:val="006832C0"/>
    <w:rsid w:val="00683457"/>
    <w:rsid w:val="00683462"/>
    <w:rsid w:val="006835B9"/>
    <w:rsid w:val="00683A9E"/>
    <w:rsid w:val="00683D8C"/>
    <w:rsid w:val="0068413B"/>
    <w:rsid w:val="0068485C"/>
    <w:rsid w:val="00684C54"/>
    <w:rsid w:val="00684DCB"/>
    <w:rsid w:val="006853EF"/>
    <w:rsid w:val="00685872"/>
    <w:rsid w:val="00685C2D"/>
    <w:rsid w:val="00686079"/>
    <w:rsid w:val="00686095"/>
    <w:rsid w:val="006869A6"/>
    <w:rsid w:val="00686E7A"/>
    <w:rsid w:val="00686E8E"/>
    <w:rsid w:val="00686F84"/>
    <w:rsid w:val="006870AB"/>
    <w:rsid w:val="006873EE"/>
    <w:rsid w:val="00687923"/>
    <w:rsid w:val="00687A58"/>
    <w:rsid w:val="00687E7F"/>
    <w:rsid w:val="00690020"/>
    <w:rsid w:val="006904E5"/>
    <w:rsid w:val="006904EB"/>
    <w:rsid w:val="00690A1C"/>
    <w:rsid w:val="00690BF8"/>
    <w:rsid w:val="00690F00"/>
    <w:rsid w:val="006911FB"/>
    <w:rsid w:val="00691771"/>
    <w:rsid w:val="00691C8A"/>
    <w:rsid w:val="00692024"/>
    <w:rsid w:val="0069270C"/>
    <w:rsid w:val="0069284B"/>
    <w:rsid w:val="00692C75"/>
    <w:rsid w:val="00692E4C"/>
    <w:rsid w:val="00692E81"/>
    <w:rsid w:val="006931A9"/>
    <w:rsid w:val="00693293"/>
    <w:rsid w:val="00693406"/>
    <w:rsid w:val="00693782"/>
    <w:rsid w:val="00693C45"/>
    <w:rsid w:val="00693D32"/>
    <w:rsid w:val="00694B57"/>
    <w:rsid w:val="00694FC8"/>
    <w:rsid w:val="0069525E"/>
    <w:rsid w:val="006952AE"/>
    <w:rsid w:val="006953B8"/>
    <w:rsid w:val="00695DE3"/>
    <w:rsid w:val="00696155"/>
    <w:rsid w:val="0069618E"/>
    <w:rsid w:val="00696343"/>
    <w:rsid w:val="006964DA"/>
    <w:rsid w:val="00696A29"/>
    <w:rsid w:val="00696DB3"/>
    <w:rsid w:val="006971C6"/>
    <w:rsid w:val="006973BF"/>
    <w:rsid w:val="0069748A"/>
    <w:rsid w:val="00697BEA"/>
    <w:rsid w:val="00697C6C"/>
    <w:rsid w:val="006A00CA"/>
    <w:rsid w:val="006A0BD9"/>
    <w:rsid w:val="006A1131"/>
    <w:rsid w:val="006A116B"/>
    <w:rsid w:val="006A1284"/>
    <w:rsid w:val="006A13AB"/>
    <w:rsid w:val="006A13CA"/>
    <w:rsid w:val="006A1B79"/>
    <w:rsid w:val="006A2189"/>
    <w:rsid w:val="006A218A"/>
    <w:rsid w:val="006A2415"/>
    <w:rsid w:val="006A25DE"/>
    <w:rsid w:val="006A2914"/>
    <w:rsid w:val="006A2A60"/>
    <w:rsid w:val="006A2EAB"/>
    <w:rsid w:val="006A3516"/>
    <w:rsid w:val="006A37A2"/>
    <w:rsid w:val="006A3A57"/>
    <w:rsid w:val="006A3B40"/>
    <w:rsid w:val="006A40B8"/>
    <w:rsid w:val="006A4138"/>
    <w:rsid w:val="006A4216"/>
    <w:rsid w:val="006A42A2"/>
    <w:rsid w:val="006A4337"/>
    <w:rsid w:val="006A4967"/>
    <w:rsid w:val="006A4E09"/>
    <w:rsid w:val="006A5608"/>
    <w:rsid w:val="006A57AA"/>
    <w:rsid w:val="006A5976"/>
    <w:rsid w:val="006A5CB6"/>
    <w:rsid w:val="006A5E66"/>
    <w:rsid w:val="006A63A7"/>
    <w:rsid w:val="006A64E6"/>
    <w:rsid w:val="006A6747"/>
    <w:rsid w:val="006A6BEA"/>
    <w:rsid w:val="006A7196"/>
    <w:rsid w:val="006A7363"/>
    <w:rsid w:val="006B001A"/>
    <w:rsid w:val="006B049F"/>
    <w:rsid w:val="006B0607"/>
    <w:rsid w:val="006B0774"/>
    <w:rsid w:val="006B078A"/>
    <w:rsid w:val="006B08D5"/>
    <w:rsid w:val="006B0B1C"/>
    <w:rsid w:val="006B0BBF"/>
    <w:rsid w:val="006B0E02"/>
    <w:rsid w:val="006B11E9"/>
    <w:rsid w:val="006B12AA"/>
    <w:rsid w:val="006B1341"/>
    <w:rsid w:val="006B198E"/>
    <w:rsid w:val="006B1B55"/>
    <w:rsid w:val="006B1FE1"/>
    <w:rsid w:val="006B239D"/>
    <w:rsid w:val="006B2A0D"/>
    <w:rsid w:val="006B352C"/>
    <w:rsid w:val="006B376F"/>
    <w:rsid w:val="006B3F64"/>
    <w:rsid w:val="006B3F84"/>
    <w:rsid w:val="006B3FA1"/>
    <w:rsid w:val="006B4279"/>
    <w:rsid w:val="006B4511"/>
    <w:rsid w:val="006B4D98"/>
    <w:rsid w:val="006B4E70"/>
    <w:rsid w:val="006B5171"/>
    <w:rsid w:val="006B5905"/>
    <w:rsid w:val="006B5912"/>
    <w:rsid w:val="006B5B03"/>
    <w:rsid w:val="006B6324"/>
    <w:rsid w:val="006B636A"/>
    <w:rsid w:val="006B63F5"/>
    <w:rsid w:val="006B6410"/>
    <w:rsid w:val="006B6731"/>
    <w:rsid w:val="006B69BD"/>
    <w:rsid w:val="006B69DC"/>
    <w:rsid w:val="006B6C2C"/>
    <w:rsid w:val="006B6DD5"/>
    <w:rsid w:val="006B6ED6"/>
    <w:rsid w:val="006B6F15"/>
    <w:rsid w:val="006B6FC4"/>
    <w:rsid w:val="006B6FE4"/>
    <w:rsid w:val="006B7618"/>
    <w:rsid w:val="006B79CD"/>
    <w:rsid w:val="006C01F4"/>
    <w:rsid w:val="006C04BC"/>
    <w:rsid w:val="006C05F4"/>
    <w:rsid w:val="006C0B08"/>
    <w:rsid w:val="006C0B8D"/>
    <w:rsid w:val="006C0C46"/>
    <w:rsid w:val="006C1037"/>
    <w:rsid w:val="006C10BE"/>
    <w:rsid w:val="006C13DD"/>
    <w:rsid w:val="006C1AA7"/>
    <w:rsid w:val="006C1B61"/>
    <w:rsid w:val="006C20FF"/>
    <w:rsid w:val="006C2170"/>
    <w:rsid w:val="006C21A3"/>
    <w:rsid w:val="006C224C"/>
    <w:rsid w:val="006C2354"/>
    <w:rsid w:val="006C23AD"/>
    <w:rsid w:val="006C2B0F"/>
    <w:rsid w:val="006C2B8C"/>
    <w:rsid w:val="006C2BF2"/>
    <w:rsid w:val="006C2C33"/>
    <w:rsid w:val="006C2F08"/>
    <w:rsid w:val="006C2F1E"/>
    <w:rsid w:val="006C32DF"/>
    <w:rsid w:val="006C3E9B"/>
    <w:rsid w:val="006C40F0"/>
    <w:rsid w:val="006C4110"/>
    <w:rsid w:val="006C41B0"/>
    <w:rsid w:val="006C4479"/>
    <w:rsid w:val="006C49AD"/>
    <w:rsid w:val="006C5062"/>
    <w:rsid w:val="006C5598"/>
    <w:rsid w:val="006C55DF"/>
    <w:rsid w:val="006C56E4"/>
    <w:rsid w:val="006C5CC9"/>
    <w:rsid w:val="006C65D0"/>
    <w:rsid w:val="006C68FF"/>
    <w:rsid w:val="006C6A09"/>
    <w:rsid w:val="006C6CCE"/>
    <w:rsid w:val="006C6F27"/>
    <w:rsid w:val="006C70C6"/>
    <w:rsid w:val="006C72E5"/>
    <w:rsid w:val="006C76FE"/>
    <w:rsid w:val="006C792B"/>
    <w:rsid w:val="006C7BA8"/>
    <w:rsid w:val="006C7FA2"/>
    <w:rsid w:val="006D00A0"/>
    <w:rsid w:val="006D00DF"/>
    <w:rsid w:val="006D03F6"/>
    <w:rsid w:val="006D0B78"/>
    <w:rsid w:val="006D13F9"/>
    <w:rsid w:val="006D1487"/>
    <w:rsid w:val="006D1505"/>
    <w:rsid w:val="006D1511"/>
    <w:rsid w:val="006D16A1"/>
    <w:rsid w:val="006D1712"/>
    <w:rsid w:val="006D17B7"/>
    <w:rsid w:val="006D184C"/>
    <w:rsid w:val="006D1872"/>
    <w:rsid w:val="006D1A08"/>
    <w:rsid w:val="006D1C00"/>
    <w:rsid w:val="006D2089"/>
    <w:rsid w:val="006D3433"/>
    <w:rsid w:val="006D35DB"/>
    <w:rsid w:val="006D36DA"/>
    <w:rsid w:val="006D3DDE"/>
    <w:rsid w:val="006D4102"/>
    <w:rsid w:val="006D439B"/>
    <w:rsid w:val="006D4886"/>
    <w:rsid w:val="006D4944"/>
    <w:rsid w:val="006D4DD8"/>
    <w:rsid w:val="006D51AB"/>
    <w:rsid w:val="006D545E"/>
    <w:rsid w:val="006D5800"/>
    <w:rsid w:val="006D5FC8"/>
    <w:rsid w:val="006D6074"/>
    <w:rsid w:val="006D6175"/>
    <w:rsid w:val="006D6CDC"/>
    <w:rsid w:val="006D6DD7"/>
    <w:rsid w:val="006D6E0E"/>
    <w:rsid w:val="006D729A"/>
    <w:rsid w:val="006D7454"/>
    <w:rsid w:val="006D7AD8"/>
    <w:rsid w:val="006D7BEC"/>
    <w:rsid w:val="006E0063"/>
    <w:rsid w:val="006E018D"/>
    <w:rsid w:val="006E0214"/>
    <w:rsid w:val="006E06C0"/>
    <w:rsid w:val="006E098C"/>
    <w:rsid w:val="006E0B1B"/>
    <w:rsid w:val="006E0D7E"/>
    <w:rsid w:val="006E0F17"/>
    <w:rsid w:val="006E1414"/>
    <w:rsid w:val="006E1A62"/>
    <w:rsid w:val="006E1BE7"/>
    <w:rsid w:val="006E1C3B"/>
    <w:rsid w:val="006E1D41"/>
    <w:rsid w:val="006E1D65"/>
    <w:rsid w:val="006E1EAE"/>
    <w:rsid w:val="006E1F6D"/>
    <w:rsid w:val="006E2684"/>
    <w:rsid w:val="006E313C"/>
    <w:rsid w:val="006E3217"/>
    <w:rsid w:val="006E3568"/>
    <w:rsid w:val="006E3D68"/>
    <w:rsid w:val="006E3E05"/>
    <w:rsid w:val="006E3FD2"/>
    <w:rsid w:val="006E490F"/>
    <w:rsid w:val="006E53F8"/>
    <w:rsid w:val="006E54A9"/>
    <w:rsid w:val="006E5550"/>
    <w:rsid w:val="006E5987"/>
    <w:rsid w:val="006E5A22"/>
    <w:rsid w:val="006E5B95"/>
    <w:rsid w:val="006E6315"/>
    <w:rsid w:val="006E6D10"/>
    <w:rsid w:val="006E7343"/>
    <w:rsid w:val="006E7756"/>
    <w:rsid w:val="006E7CA4"/>
    <w:rsid w:val="006F028B"/>
    <w:rsid w:val="006F02B7"/>
    <w:rsid w:val="006F03FF"/>
    <w:rsid w:val="006F0F46"/>
    <w:rsid w:val="006F0F8A"/>
    <w:rsid w:val="006F1095"/>
    <w:rsid w:val="006F12AB"/>
    <w:rsid w:val="006F1395"/>
    <w:rsid w:val="006F17E4"/>
    <w:rsid w:val="006F1961"/>
    <w:rsid w:val="006F19A6"/>
    <w:rsid w:val="006F1B1D"/>
    <w:rsid w:val="006F1D6A"/>
    <w:rsid w:val="006F1E3C"/>
    <w:rsid w:val="006F1E4D"/>
    <w:rsid w:val="006F1F09"/>
    <w:rsid w:val="006F1FBF"/>
    <w:rsid w:val="006F2094"/>
    <w:rsid w:val="006F215F"/>
    <w:rsid w:val="006F22AC"/>
    <w:rsid w:val="006F2541"/>
    <w:rsid w:val="006F263F"/>
    <w:rsid w:val="006F280B"/>
    <w:rsid w:val="006F2EA6"/>
    <w:rsid w:val="006F2FAD"/>
    <w:rsid w:val="006F312D"/>
    <w:rsid w:val="006F3CF8"/>
    <w:rsid w:val="006F3DC9"/>
    <w:rsid w:val="006F3F9C"/>
    <w:rsid w:val="006F4319"/>
    <w:rsid w:val="006F45DC"/>
    <w:rsid w:val="006F4B05"/>
    <w:rsid w:val="006F4BCF"/>
    <w:rsid w:val="006F4E62"/>
    <w:rsid w:val="006F50DE"/>
    <w:rsid w:val="006F51E3"/>
    <w:rsid w:val="006F52F6"/>
    <w:rsid w:val="006F557F"/>
    <w:rsid w:val="006F585F"/>
    <w:rsid w:val="006F5A34"/>
    <w:rsid w:val="006F5C20"/>
    <w:rsid w:val="006F5DCC"/>
    <w:rsid w:val="006F5EA6"/>
    <w:rsid w:val="006F6C58"/>
    <w:rsid w:val="006F70C4"/>
    <w:rsid w:val="006F7136"/>
    <w:rsid w:val="006F7773"/>
    <w:rsid w:val="006F7A1A"/>
    <w:rsid w:val="006F7CBB"/>
    <w:rsid w:val="006F7F57"/>
    <w:rsid w:val="00700106"/>
    <w:rsid w:val="007002F8"/>
    <w:rsid w:val="007003EE"/>
    <w:rsid w:val="0070057A"/>
    <w:rsid w:val="007007B6"/>
    <w:rsid w:val="0070096C"/>
    <w:rsid w:val="00700C5B"/>
    <w:rsid w:val="007011A8"/>
    <w:rsid w:val="0070137D"/>
    <w:rsid w:val="00701710"/>
    <w:rsid w:val="007018E2"/>
    <w:rsid w:val="00701C6E"/>
    <w:rsid w:val="007021E9"/>
    <w:rsid w:val="00702255"/>
    <w:rsid w:val="00702563"/>
    <w:rsid w:val="0070260E"/>
    <w:rsid w:val="00702CAF"/>
    <w:rsid w:val="00703336"/>
    <w:rsid w:val="007033E9"/>
    <w:rsid w:val="0070362E"/>
    <w:rsid w:val="00703637"/>
    <w:rsid w:val="0070395C"/>
    <w:rsid w:val="00703E67"/>
    <w:rsid w:val="007040B2"/>
    <w:rsid w:val="00704311"/>
    <w:rsid w:val="00704381"/>
    <w:rsid w:val="007047E8"/>
    <w:rsid w:val="00704D47"/>
    <w:rsid w:val="00704E96"/>
    <w:rsid w:val="007052DC"/>
    <w:rsid w:val="007055C5"/>
    <w:rsid w:val="007055CC"/>
    <w:rsid w:val="00705793"/>
    <w:rsid w:val="0070580E"/>
    <w:rsid w:val="00705988"/>
    <w:rsid w:val="00705AC5"/>
    <w:rsid w:val="00705EE9"/>
    <w:rsid w:val="00705F27"/>
    <w:rsid w:val="00705F53"/>
    <w:rsid w:val="00705F6D"/>
    <w:rsid w:val="00705F9F"/>
    <w:rsid w:val="00706279"/>
    <w:rsid w:val="007062B2"/>
    <w:rsid w:val="007062E3"/>
    <w:rsid w:val="0070639C"/>
    <w:rsid w:val="007063E5"/>
    <w:rsid w:val="00706534"/>
    <w:rsid w:val="00706B01"/>
    <w:rsid w:val="00706C04"/>
    <w:rsid w:val="00706C8F"/>
    <w:rsid w:val="00706F1E"/>
    <w:rsid w:val="007070BD"/>
    <w:rsid w:val="007072AC"/>
    <w:rsid w:val="0070730E"/>
    <w:rsid w:val="00707AFD"/>
    <w:rsid w:val="00707CF2"/>
    <w:rsid w:val="00707DF3"/>
    <w:rsid w:val="00707F5E"/>
    <w:rsid w:val="00710534"/>
    <w:rsid w:val="00710730"/>
    <w:rsid w:val="0071086F"/>
    <w:rsid w:val="00710F48"/>
    <w:rsid w:val="00711923"/>
    <w:rsid w:val="00711B65"/>
    <w:rsid w:val="00712599"/>
    <w:rsid w:val="007127D2"/>
    <w:rsid w:val="007128AC"/>
    <w:rsid w:val="007128B4"/>
    <w:rsid w:val="00712973"/>
    <w:rsid w:val="00712E96"/>
    <w:rsid w:val="007130AA"/>
    <w:rsid w:val="007133A9"/>
    <w:rsid w:val="00713477"/>
    <w:rsid w:val="007134F4"/>
    <w:rsid w:val="007137AD"/>
    <w:rsid w:val="00713B95"/>
    <w:rsid w:val="00713BBD"/>
    <w:rsid w:val="00713BEE"/>
    <w:rsid w:val="00713D41"/>
    <w:rsid w:val="00713D83"/>
    <w:rsid w:val="00713FA4"/>
    <w:rsid w:val="00714F33"/>
    <w:rsid w:val="00714F6A"/>
    <w:rsid w:val="007152C9"/>
    <w:rsid w:val="00715490"/>
    <w:rsid w:val="0071549A"/>
    <w:rsid w:val="00715595"/>
    <w:rsid w:val="00715739"/>
    <w:rsid w:val="00715B9B"/>
    <w:rsid w:val="00715CB2"/>
    <w:rsid w:val="00715EF2"/>
    <w:rsid w:val="0071639C"/>
    <w:rsid w:val="00716743"/>
    <w:rsid w:val="00716A9F"/>
    <w:rsid w:val="00716B0B"/>
    <w:rsid w:val="00716DC7"/>
    <w:rsid w:val="00716F00"/>
    <w:rsid w:val="007171F6"/>
    <w:rsid w:val="00717535"/>
    <w:rsid w:val="00717F2A"/>
    <w:rsid w:val="00720110"/>
    <w:rsid w:val="00720630"/>
    <w:rsid w:val="0072064D"/>
    <w:rsid w:val="007207C3"/>
    <w:rsid w:val="00720A2C"/>
    <w:rsid w:val="00720AFA"/>
    <w:rsid w:val="00720CDA"/>
    <w:rsid w:val="00720F73"/>
    <w:rsid w:val="00720FBC"/>
    <w:rsid w:val="00721BCC"/>
    <w:rsid w:val="00721D75"/>
    <w:rsid w:val="00722271"/>
    <w:rsid w:val="0072299D"/>
    <w:rsid w:val="00722B69"/>
    <w:rsid w:val="00722F2A"/>
    <w:rsid w:val="00723626"/>
    <w:rsid w:val="00723DB4"/>
    <w:rsid w:val="007241AB"/>
    <w:rsid w:val="007241CE"/>
    <w:rsid w:val="00724218"/>
    <w:rsid w:val="00724292"/>
    <w:rsid w:val="007244CB"/>
    <w:rsid w:val="00724752"/>
    <w:rsid w:val="007251EC"/>
    <w:rsid w:val="0072530E"/>
    <w:rsid w:val="0072540C"/>
    <w:rsid w:val="0072595E"/>
    <w:rsid w:val="00725A76"/>
    <w:rsid w:val="00725BE5"/>
    <w:rsid w:val="007269C2"/>
    <w:rsid w:val="00726D69"/>
    <w:rsid w:val="00726DCD"/>
    <w:rsid w:val="00727067"/>
    <w:rsid w:val="00727360"/>
    <w:rsid w:val="007276AD"/>
    <w:rsid w:val="0072789D"/>
    <w:rsid w:val="0072797C"/>
    <w:rsid w:val="00727B5A"/>
    <w:rsid w:val="00727ED6"/>
    <w:rsid w:val="00727F0F"/>
    <w:rsid w:val="0073065E"/>
    <w:rsid w:val="00730B8F"/>
    <w:rsid w:val="00730BD9"/>
    <w:rsid w:val="00730E22"/>
    <w:rsid w:val="00730EF6"/>
    <w:rsid w:val="00730FED"/>
    <w:rsid w:val="00731108"/>
    <w:rsid w:val="0073130D"/>
    <w:rsid w:val="007315CF"/>
    <w:rsid w:val="0073177C"/>
    <w:rsid w:val="00731BDB"/>
    <w:rsid w:val="00731D12"/>
    <w:rsid w:val="00731FEC"/>
    <w:rsid w:val="00732819"/>
    <w:rsid w:val="0073285F"/>
    <w:rsid w:val="00732B19"/>
    <w:rsid w:val="00732BAF"/>
    <w:rsid w:val="00732BF0"/>
    <w:rsid w:val="00732D7E"/>
    <w:rsid w:val="00732DC9"/>
    <w:rsid w:val="00733283"/>
    <w:rsid w:val="007332FF"/>
    <w:rsid w:val="00733F1A"/>
    <w:rsid w:val="00734752"/>
    <w:rsid w:val="00734786"/>
    <w:rsid w:val="00734B73"/>
    <w:rsid w:val="007351E3"/>
    <w:rsid w:val="00735542"/>
    <w:rsid w:val="00735A35"/>
    <w:rsid w:val="00735AE9"/>
    <w:rsid w:val="00735C41"/>
    <w:rsid w:val="007367F6"/>
    <w:rsid w:val="007368CC"/>
    <w:rsid w:val="00736919"/>
    <w:rsid w:val="0073691A"/>
    <w:rsid w:val="00736C9A"/>
    <w:rsid w:val="00737203"/>
    <w:rsid w:val="00737267"/>
    <w:rsid w:val="00737339"/>
    <w:rsid w:val="0073733D"/>
    <w:rsid w:val="007373F9"/>
    <w:rsid w:val="0073783A"/>
    <w:rsid w:val="007379EF"/>
    <w:rsid w:val="00737D86"/>
    <w:rsid w:val="007403D0"/>
    <w:rsid w:val="007405AC"/>
    <w:rsid w:val="0074086C"/>
    <w:rsid w:val="00740953"/>
    <w:rsid w:val="00740FC1"/>
    <w:rsid w:val="00740FE3"/>
    <w:rsid w:val="00741211"/>
    <w:rsid w:val="007413D8"/>
    <w:rsid w:val="00741AD1"/>
    <w:rsid w:val="00742018"/>
    <w:rsid w:val="00742076"/>
    <w:rsid w:val="007420DA"/>
    <w:rsid w:val="007422CE"/>
    <w:rsid w:val="007425AD"/>
    <w:rsid w:val="0074274B"/>
    <w:rsid w:val="007430C7"/>
    <w:rsid w:val="00743262"/>
    <w:rsid w:val="007432BB"/>
    <w:rsid w:val="00743614"/>
    <w:rsid w:val="0074364F"/>
    <w:rsid w:val="007436C6"/>
    <w:rsid w:val="00743A8E"/>
    <w:rsid w:val="00743E0E"/>
    <w:rsid w:val="00744313"/>
    <w:rsid w:val="00744AE4"/>
    <w:rsid w:val="0074560D"/>
    <w:rsid w:val="00745963"/>
    <w:rsid w:val="00745A4C"/>
    <w:rsid w:val="00745C0F"/>
    <w:rsid w:val="00745C6C"/>
    <w:rsid w:val="00745DF0"/>
    <w:rsid w:val="00746521"/>
    <w:rsid w:val="00746529"/>
    <w:rsid w:val="00746603"/>
    <w:rsid w:val="0074698C"/>
    <w:rsid w:val="00746BA2"/>
    <w:rsid w:val="00746BD9"/>
    <w:rsid w:val="00746BEF"/>
    <w:rsid w:val="00746D51"/>
    <w:rsid w:val="00746FAB"/>
    <w:rsid w:val="00746FF4"/>
    <w:rsid w:val="00747107"/>
    <w:rsid w:val="0074714D"/>
    <w:rsid w:val="00747261"/>
    <w:rsid w:val="00747400"/>
    <w:rsid w:val="00747553"/>
    <w:rsid w:val="007479E7"/>
    <w:rsid w:val="00747E55"/>
    <w:rsid w:val="00750400"/>
    <w:rsid w:val="0075064B"/>
    <w:rsid w:val="007507FA"/>
    <w:rsid w:val="007508FA"/>
    <w:rsid w:val="00750EAC"/>
    <w:rsid w:val="00751073"/>
    <w:rsid w:val="00751141"/>
    <w:rsid w:val="00751550"/>
    <w:rsid w:val="00751780"/>
    <w:rsid w:val="007519C4"/>
    <w:rsid w:val="00752233"/>
    <w:rsid w:val="007523F3"/>
    <w:rsid w:val="007524B1"/>
    <w:rsid w:val="00752AA0"/>
    <w:rsid w:val="00752C92"/>
    <w:rsid w:val="00753217"/>
    <w:rsid w:val="00753280"/>
    <w:rsid w:val="007532E5"/>
    <w:rsid w:val="007532F0"/>
    <w:rsid w:val="0075331A"/>
    <w:rsid w:val="00753379"/>
    <w:rsid w:val="007533AB"/>
    <w:rsid w:val="00753ADE"/>
    <w:rsid w:val="00753B54"/>
    <w:rsid w:val="007546A8"/>
    <w:rsid w:val="00754873"/>
    <w:rsid w:val="00754973"/>
    <w:rsid w:val="00754EE1"/>
    <w:rsid w:val="007550CB"/>
    <w:rsid w:val="007555B2"/>
    <w:rsid w:val="00755798"/>
    <w:rsid w:val="00755A9E"/>
    <w:rsid w:val="00755DA3"/>
    <w:rsid w:val="00755F48"/>
    <w:rsid w:val="0075609C"/>
    <w:rsid w:val="007562F2"/>
    <w:rsid w:val="00756431"/>
    <w:rsid w:val="00756819"/>
    <w:rsid w:val="00756E95"/>
    <w:rsid w:val="00756F13"/>
    <w:rsid w:val="0075711E"/>
    <w:rsid w:val="0075768E"/>
    <w:rsid w:val="00757694"/>
    <w:rsid w:val="0075776C"/>
    <w:rsid w:val="00757F24"/>
    <w:rsid w:val="00757F99"/>
    <w:rsid w:val="00760019"/>
    <w:rsid w:val="0076084D"/>
    <w:rsid w:val="00760B0F"/>
    <w:rsid w:val="00760B49"/>
    <w:rsid w:val="007612AC"/>
    <w:rsid w:val="007617CF"/>
    <w:rsid w:val="00761AC7"/>
    <w:rsid w:val="00761E25"/>
    <w:rsid w:val="00762255"/>
    <w:rsid w:val="00762793"/>
    <w:rsid w:val="00762B23"/>
    <w:rsid w:val="0076305A"/>
    <w:rsid w:val="00763539"/>
    <w:rsid w:val="00763D05"/>
    <w:rsid w:val="0076405B"/>
    <w:rsid w:val="007641CF"/>
    <w:rsid w:val="007647E7"/>
    <w:rsid w:val="00764892"/>
    <w:rsid w:val="0076491F"/>
    <w:rsid w:val="00764B74"/>
    <w:rsid w:val="00764C71"/>
    <w:rsid w:val="00764E64"/>
    <w:rsid w:val="00764F50"/>
    <w:rsid w:val="0076531E"/>
    <w:rsid w:val="0076561D"/>
    <w:rsid w:val="0076581B"/>
    <w:rsid w:val="00765884"/>
    <w:rsid w:val="00765A67"/>
    <w:rsid w:val="00765EE4"/>
    <w:rsid w:val="00765FC6"/>
    <w:rsid w:val="00766831"/>
    <w:rsid w:val="00766A8C"/>
    <w:rsid w:val="00766C5C"/>
    <w:rsid w:val="00766E94"/>
    <w:rsid w:val="00767373"/>
    <w:rsid w:val="0076759A"/>
    <w:rsid w:val="00767783"/>
    <w:rsid w:val="00767C63"/>
    <w:rsid w:val="0077024B"/>
    <w:rsid w:val="00770B82"/>
    <w:rsid w:val="0077159C"/>
    <w:rsid w:val="00771823"/>
    <w:rsid w:val="00771943"/>
    <w:rsid w:val="00771B42"/>
    <w:rsid w:val="00771C0C"/>
    <w:rsid w:val="007722D2"/>
    <w:rsid w:val="007723DF"/>
    <w:rsid w:val="007726AC"/>
    <w:rsid w:val="00772BF4"/>
    <w:rsid w:val="00772C3F"/>
    <w:rsid w:val="00772CF8"/>
    <w:rsid w:val="00772F0E"/>
    <w:rsid w:val="00773027"/>
    <w:rsid w:val="007730AC"/>
    <w:rsid w:val="0077324D"/>
    <w:rsid w:val="007732C2"/>
    <w:rsid w:val="007733B4"/>
    <w:rsid w:val="007738B8"/>
    <w:rsid w:val="00773B41"/>
    <w:rsid w:val="00773D9D"/>
    <w:rsid w:val="00773FB7"/>
    <w:rsid w:val="00774560"/>
    <w:rsid w:val="00774683"/>
    <w:rsid w:val="007750BA"/>
    <w:rsid w:val="007750DB"/>
    <w:rsid w:val="0077518F"/>
    <w:rsid w:val="00775780"/>
    <w:rsid w:val="00775802"/>
    <w:rsid w:val="00775855"/>
    <w:rsid w:val="00775B99"/>
    <w:rsid w:val="00775BD5"/>
    <w:rsid w:val="00775C62"/>
    <w:rsid w:val="00775FE9"/>
    <w:rsid w:val="007760F8"/>
    <w:rsid w:val="00776394"/>
    <w:rsid w:val="00776445"/>
    <w:rsid w:val="007768C1"/>
    <w:rsid w:val="0077692E"/>
    <w:rsid w:val="00776E94"/>
    <w:rsid w:val="00776ED6"/>
    <w:rsid w:val="00776FDF"/>
    <w:rsid w:val="0077710E"/>
    <w:rsid w:val="00777129"/>
    <w:rsid w:val="007774CA"/>
    <w:rsid w:val="0077771E"/>
    <w:rsid w:val="00777D42"/>
    <w:rsid w:val="00777F3F"/>
    <w:rsid w:val="007800A7"/>
    <w:rsid w:val="007802A5"/>
    <w:rsid w:val="00780430"/>
    <w:rsid w:val="00780497"/>
    <w:rsid w:val="00780601"/>
    <w:rsid w:val="00780659"/>
    <w:rsid w:val="00780764"/>
    <w:rsid w:val="00780A5F"/>
    <w:rsid w:val="00780BB8"/>
    <w:rsid w:val="00780FFB"/>
    <w:rsid w:val="007810DE"/>
    <w:rsid w:val="00781220"/>
    <w:rsid w:val="007816D4"/>
    <w:rsid w:val="007818C1"/>
    <w:rsid w:val="0078191F"/>
    <w:rsid w:val="007819F3"/>
    <w:rsid w:val="00781BDC"/>
    <w:rsid w:val="00781E3C"/>
    <w:rsid w:val="007822C4"/>
    <w:rsid w:val="00782C2A"/>
    <w:rsid w:val="0078304E"/>
    <w:rsid w:val="00783426"/>
    <w:rsid w:val="0078348D"/>
    <w:rsid w:val="007834AC"/>
    <w:rsid w:val="007834F0"/>
    <w:rsid w:val="007836CF"/>
    <w:rsid w:val="0078382C"/>
    <w:rsid w:val="00783AB6"/>
    <w:rsid w:val="00783BFF"/>
    <w:rsid w:val="00783C5F"/>
    <w:rsid w:val="00784262"/>
    <w:rsid w:val="00784AFF"/>
    <w:rsid w:val="00784B2F"/>
    <w:rsid w:val="007850F8"/>
    <w:rsid w:val="00785427"/>
    <w:rsid w:val="00785489"/>
    <w:rsid w:val="007857C3"/>
    <w:rsid w:val="007857D9"/>
    <w:rsid w:val="00785854"/>
    <w:rsid w:val="007859A7"/>
    <w:rsid w:val="00785B98"/>
    <w:rsid w:val="00785C0A"/>
    <w:rsid w:val="00785C1A"/>
    <w:rsid w:val="00785CC9"/>
    <w:rsid w:val="00786047"/>
    <w:rsid w:val="00786470"/>
    <w:rsid w:val="007864D5"/>
    <w:rsid w:val="007865DD"/>
    <w:rsid w:val="007869D4"/>
    <w:rsid w:val="00787029"/>
    <w:rsid w:val="007871B4"/>
    <w:rsid w:val="007871C4"/>
    <w:rsid w:val="007878E2"/>
    <w:rsid w:val="00787DF5"/>
    <w:rsid w:val="00787FAC"/>
    <w:rsid w:val="00790209"/>
    <w:rsid w:val="0079036F"/>
    <w:rsid w:val="00790570"/>
    <w:rsid w:val="00790DA6"/>
    <w:rsid w:val="0079104B"/>
    <w:rsid w:val="007915C7"/>
    <w:rsid w:val="007917EB"/>
    <w:rsid w:val="00791813"/>
    <w:rsid w:val="00791B65"/>
    <w:rsid w:val="00791F6C"/>
    <w:rsid w:val="007921CE"/>
    <w:rsid w:val="0079220D"/>
    <w:rsid w:val="00792AE6"/>
    <w:rsid w:val="00792C29"/>
    <w:rsid w:val="00792CD5"/>
    <w:rsid w:val="00792D4C"/>
    <w:rsid w:val="00792FC6"/>
    <w:rsid w:val="0079398B"/>
    <w:rsid w:val="00793BE0"/>
    <w:rsid w:val="00793BE1"/>
    <w:rsid w:val="00793CFE"/>
    <w:rsid w:val="0079424A"/>
    <w:rsid w:val="00794627"/>
    <w:rsid w:val="00794F49"/>
    <w:rsid w:val="007951D8"/>
    <w:rsid w:val="007954C8"/>
    <w:rsid w:val="007954DF"/>
    <w:rsid w:val="00795CC9"/>
    <w:rsid w:val="0079634A"/>
    <w:rsid w:val="007966B5"/>
    <w:rsid w:val="007966F2"/>
    <w:rsid w:val="00796846"/>
    <w:rsid w:val="00796B4C"/>
    <w:rsid w:val="00796B8E"/>
    <w:rsid w:val="00796FBC"/>
    <w:rsid w:val="007972FA"/>
    <w:rsid w:val="00797462"/>
    <w:rsid w:val="00797B92"/>
    <w:rsid w:val="00797D28"/>
    <w:rsid w:val="007A01FF"/>
    <w:rsid w:val="007A0260"/>
    <w:rsid w:val="007A03DA"/>
    <w:rsid w:val="007A0ABA"/>
    <w:rsid w:val="007A0B69"/>
    <w:rsid w:val="007A0E27"/>
    <w:rsid w:val="007A1AC4"/>
    <w:rsid w:val="007A1E6A"/>
    <w:rsid w:val="007A22F7"/>
    <w:rsid w:val="007A24F0"/>
    <w:rsid w:val="007A251F"/>
    <w:rsid w:val="007A2565"/>
    <w:rsid w:val="007A25BC"/>
    <w:rsid w:val="007A2CBF"/>
    <w:rsid w:val="007A2F09"/>
    <w:rsid w:val="007A3020"/>
    <w:rsid w:val="007A30AF"/>
    <w:rsid w:val="007A39CF"/>
    <w:rsid w:val="007A3B71"/>
    <w:rsid w:val="007A40E4"/>
    <w:rsid w:val="007A42A0"/>
    <w:rsid w:val="007A4746"/>
    <w:rsid w:val="007A4C77"/>
    <w:rsid w:val="007A5157"/>
    <w:rsid w:val="007A5235"/>
    <w:rsid w:val="007A584A"/>
    <w:rsid w:val="007A5DA3"/>
    <w:rsid w:val="007A6052"/>
    <w:rsid w:val="007A627A"/>
    <w:rsid w:val="007A633A"/>
    <w:rsid w:val="007A641E"/>
    <w:rsid w:val="007A6AB1"/>
    <w:rsid w:val="007A7018"/>
    <w:rsid w:val="007A77C2"/>
    <w:rsid w:val="007A7A77"/>
    <w:rsid w:val="007A7BCC"/>
    <w:rsid w:val="007B0146"/>
    <w:rsid w:val="007B04B9"/>
    <w:rsid w:val="007B0B48"/>
    <w:rsid w:val="007B0D27"/>
    <w:rsid w:val="007B0D36"/>
    <w:rsid w:val="007B0D86"/>
    <w:rsid w:val="007B0DD3"/>
    <w:rsid w:val="007B0F3E"/>
    <w:rsid w:val="007B1178"/>
    <w:rsid w:val="007B14FC"/>
    <w:rsid w:val="007B178C"/>
    <w:rsid w:val="007B1A98"/>
    <w:rsid w:val="007B1F4F"/>
    <w:rsid w:val="007B29D7"/>
    <w:rsid w:val="007B2C71"/>
    <w:rsid w:val="007B2F50"/>
    <w:rsid w:val="007B30C5"/>
    <w:rsid w:val="007B3221"/>
    <w:rsid w:val="007B3322"/>
    <w:rsid w:val="007B37F3"/>
    <w:rsid w:val="007B3F33"/>
    <w:rsid w:val="007B3F5F"/>
    <w:rsid w:val="007B444C"/>
    <w:rsid w:val="007B446F"/>
    <w:rsid w:val="007B46F6"/>
    <w:rsid w:val="007B47C2"/>
    <w:rsid w:val="007B4951"/>
    <w:rsid w:val="007B49BC"/>
    <w:rsid w:val="007B4F30"/>
    <w:rsid w:val="007B501F"/>
    <w:rsid w:val="007B5315"/>
    <w:rsid w:val="007B5834"/>
    <w:rsid w:val="007B58F3"/>
    <w:rsid w:val="007B5BAE"/>
    <w:rsid w:val="007B5C34"/>
    <w:rsid w:val="007B5DFC"/>
    <w:rsid w:val="007B6525"/>
    <w:rsid w:val="007B6BEB"/>
    <w:rsid w:val="007B6D68"/>
    <w:rsid w:val="007B6F15"/>
    <w:rsid w:val="007B6F88"/>
    <w:rsid w:val="007B70FF"/>
    <w:rsid w:val="007B7239"/>
    <w:rsid w:val="007B74D9"/>
    <w:rsid w:val="007B7796"/>
    <w:rsid w:val="007B78B5"/>
    <w:rsid w:val="007B7B29"/>
    <w:rsid w:val="007B7BD7"/>
    <w:rsid w:val="007B7C14"/>
    <w:rsid w:val="007B7D77"/>
    <w:rsid w:val="007B7FF4"/>
    <w:rsid w:val="007C01C4"/>
    <w:rsid w:val="007C0466"/>
    <w:rsid w:val="007C0999"/>
    <w:rsid w:val="007C0A8A"/>
    <w:rsid w:val="007C1030"/>
    <w:rsid w:val="007C13A8"/>
    <w:rsid w:val="007C15D6"/>
    <w:rsid w:val="007C186F"/>
    <w:rsid w:val="007C1A25"/>
    <w:rsid w:val="007C1C18"/>
    <w:rsid w:val="007C2682"/>
    <w:rsid w:val="007C26D3"/>
    <w:rsid w:val="007C2711"/>
    <w:rsid w:val="007C2791"/>
    <w:rsid w:val="007C2A70"/>
    <w:rsid w:val="007C3BB4"/>
    <w:rsid w:val="007C3D03"/>
    <w:rsid w:val="007C3F05"/>
    <w:rsid w:val="007C413D"/>
    <w:rsid w:val="007C43C2"/>
    <w:rsid w:val="007C43F5"/>
    <w:rsid w:val="007C4553"/>
    <w:rsid w:val="007C4556"/>
    <w:rsid w:val="007C53A7"/>
    <w:rsid w:val="007C5CE0"/>
    <w:rsid w:val="007C5D43"/>
    <w:rsid w:val="007C6204"/>
    <w:rsid w:val="007C6C15"/>
    <w:rsid w:val="007C6DFF"/>
    <w:rsid w:val="007C6FF5"/>
    <w:rsid w:val="007C7149"/>
    <w:rsid w:val="007C7370"/>
    <w:rsid w:val="007C79C0"/>
    <w:rsid w:val="007C7BFE"/>
    <w:rsid w:val="007C7CF0"/>
    <w:rsid w:val="007D0374"/>
    <w:rsid w:val="007D0F3B"/>
    <w:rsid w:val="007D1840"/>
    <w:rsid w:val="007D18AF"/>
    <w:rsid w:val="007D1BF8"/>
    <w:rsid w:val="007D1C48"/>
    <w:rsid w:val="007D1D4B"/>
    <w:rsid w:val="007D260A"/>
    <w:rsid w:val="007D28C7"/>
    <w:rsid w:val="007D2A1A"/>
    <w:rsid w:val="007D2CB2"/>
    <w:rsid w:val="007D3644"/>
    <w:rsid w:val="007D37F7"/>
    <w:rsid w:val="007D39A9"/>
    <w:rsid w:val="007D3A1E"/>
    <w:rsid w:val="007D47AA"/>
    <w:rsid w:val="007D4A28"/>
    <w:rsid w:val="007D4BB5"/>
    <w:rsid w:val="007D4D92"/>
    <w:rsid w:val="007D4F66"/>
    <w:rsid w:val="007D51C6"/>
    <w:rsid w:val="007D56A3"/>
    <w:rsid w:val="007D5CA7"/>
    <w:rsid w:val="007D5CDB"/>
    <w:rsid w:val="007D5FEC"/>
    <w:rsid w:val="007D607C"/>
    <w:rsid w:val="007D6167"/>
    <w:rsid w:val="007D63CC"/>
    <w:rsid w:val="007D63EC"/>
    <w:rsid w:val="007D673A"/>
    <w:rsid w:val="007D71B9"/>
    <w:rsid w:val="007D749B"/>
    <w:rsid w:val="007D7577"/>
    <w:rsid w:val="007D7764"/>
    <w:rsid w:val="007D799F"/>
    <w:rsid w:val="007D7CF0"/>
    <w:rsid w:val="007D7F1F"/>
    <w:rsid w:val="007E015D"/>
    <w:rsid w:val="007E01B8"/>
    <w:rsid w:val="007E0C8B"/>
    <w:rsid w:val="007E1431"/>
    <w:rsid w:val="007E1582"/>
    <w:rsid w:val="007E1951"/>
    <w:rsid w:val="007E196F"/>
    <w:rsid w:val="007E1CF7"/>
    <w:rsid w:val="007E2205"/>
    <w:rsid w:val="007E22D9"/>
    <w:rsid w:val="007E2567"/>
    <w:rsid w:val="007E266F"/>
    <w:rsid w:val="007E2F20"/>
    <w:rsid w:val="007E31E8"/>
    <w:rsid w:val="007E3222"/>
    <w:rsid w:val="007E3FEE"/>
    <w:rsid w:val="007E45F9"/>
    <w:rsid w:val="007E480A"/>
    <w:rsid w:val="007E4A9D"/>
    <w:rsid w:val="007E4B48"/>
    <w:rsid w:val="007E4B5E"/>
    <w:rsid w:val="007E4FC6"/>
    <w:rsid w:val="007E4FF0"/>
    <w:rsid w:val="007E5016"/>
    <w:rsid w:val="007E5186"/>
    <w:rsid w:val="007E5528"/>
    <w:rsid w:val="007E57EC"/>
    <w:rsid w:val="007E5913"/>
    <w:rsid w:val="007E5E24"/>
    <w:rsid w:val="007E66AE"/>
    <w:rsid w:val="007E66BC"/>
    <w:rsid w:val="007E66FC"/>
    <w:rsid w:val="007E69A5"/>
    <w:rsid w:val="007E70F3"/>
    <w:rsid w:val="007E7D5D"/>
    <w:rsid w:val="007E7D71"/>
    <w:rsid w:val="007F0224"/>
    <w:rsid w:val="007F03F3"/>
    <w:rsid w:val="007F057A"/>
    <w:rsid w:val="007F068B"/>
    <w:rsid w:val="007F073D"/>
    <w:rsid w:val="007F0770"/>
    <w:rsid w:val="007F0841"/>
    <w:rsid w:val="007F0D19"/>
    <w:rsid w:val="007F0E7B"/>
    <w:rsid w:val="007F11B4"/>
    <w:rsid w:val="007F159F"/>
    <w:rsid w:val="007F1606"/>
    <w:rsid w:val="007F1C84"/>
    <w:rsid w:val="007F1E6D"/>
    <w:rsid w:val="007F2556"/>
    <w:rsid w:val="007F2C61"/>
    <w:rsid w:val="007F309E"/>
    <w:rsid w:val="007F30E8"/>
    <w:rsid w:val="007F3352"/>
    <w:rsid w:val="007F3771"/>
    <w:rsid w:val="007F3C4C"/>
    <w:rsid w:val="007F3D3D"/>
    <w:rsid w:val="007F3DAB"/>
    <w:rsid w:val="007F47FB"/>
    <w:rsid w:val="007F4C5D"/>
    <w:rsid w:val="007F4FE1"/>
    <w:rsid w:val="007F5252"/>
    <w:rsid w:val="007F54C7"/>
    <w:rsid w:val="007F5A51"/>
    <w:rsid w:val="007F5DFA"/>
    <w:rsid w:val="007F5FC7"/>
    <w:rsid w:val="007F6755"/>
    <w:rsid w:val="007F6EA6"/>
    <w:rsid w:val="007F7573"/>
    <w:rsid w:val="007F7759"/>
    <w:rsid w:val="007F7C91"/>
    <w:rsid w:val="007F7E51"/>
    <w:rsid w:val="007F7EC3"/>
    <w:rsid w:val="00800010"/>
    <w:rsid w:val="00800DCA"/>
    <w:rsid w:val="00801030"/>
    <w:rsid w:val="00801187"/>
    <w:rsid w:val="00801297"/>
    <w:rsid w:val="00801754"/>
    <w:rsid w:val="00801CED"/>
    <w:rsid w:val="00801DC7"/>
    <w:rsid w:val="008022DD"/>
    <w:rsid w:val="00802ACE"/>
    <w:rsid w:val="00802B6E"/>
    <w:rsid w:val="00802C5D"/>
    <w:rsid w:val="00803203"/>
    <w:rsid w:val="0080360C"/>
    <w:rsid w:val="008037B0"/>
    <w:rsid w:val="00803BBB"/>
    <w:rsid w:val="00803C46"/>
    <w:rsid w:val="00803E3A"/>
    <w:rsid w:val="00804D0A"/>
    <w:rsid w:val="00805111"/>
    <w:rsid w:val="008051C4"/>
    <w:rsid w:val="008052E6"/>
    <w:rsid w:val="0080539D"/>
    <w:rsid w:val="00805BC1"/>
    <w:rsid w:val="00805DC3"/>
    <w:rsid w:val="00806201"/>
    <w:rsid w:val="00806202"/>
    <w:rsid w:val="00806762"/>
    <w:rsid w:val="00806961"/>
    <w:rsid w:val="00806CAD"/>
    <w:rsid w:val="008071C5"/>
    <w:rsid w:val="008074F4"/>
    <w:rsid w:val="00810290"/>
    <w:rsid w:val="00810325"/>
    <w:rsid w:val="008105B1"/>
    <w:rsid w:val="008108BC"/>
    <w:rsid w:val="00810AB1"/>
    <w:rsid w:val="0081105E"/>
    <w:rsid w:val="00811615"/>
    <w:rsid w:val="00811956"/>
    <w:rsid w:val="00811BD1"/>
    <w:rsid w:val="00811C2C"/>
    <w:rsid w:val="00811F21"/>
    <w:rsid w:val="00812309"/>
    <w:rsid w:val="00812A9D"/>
    <w:rsid w:val="00812E0D"/>
    <w:rsid w:val="00813066"/>
    <w:rsid w:val="00813285"/>
    <w:rsid w:val="00813384"/>
    <w:rsid w:val="008138F9"/>
    <w:rsid w:val="00814354"/>
    <w:rsid w:val="0081449E"/>
    <w:rsid w:val="008144B1"/>
    <w:rsid w:val="008144DB"/>
    <w:rsid w:val="0081465F"/>
    <w:rsid w:val="00814830"/>
    <w:rsid w:val="00814FB5"/>
    <w:rsid w:val="00814FBF"/>
    <w:rsid w:val="00815152"/>
    <w:rsid w:val="008151F4"/>
    <w:rsid w:val="0081524B"/>
    <w:rsid w:val="00815314"/>
    <w:rsid w:val="0081545B"/>
    <w:rsid w:val="00815B09"/>
    <w:rsid w:val="00815D28"/>
    <w:rsid w:val="0081611F"/>
    <w:rsid w:val="00816147"/>
    <w:rsid w:val="00816274"/>
    <w:rsid w:val="00816325"/>
    <w:rsid w:val="008164C5"/>
    <w:rsid w:val="00816839"/>
    <w:rsid w:val="00816907"/>
    <w:rsid w:val="00816B71"/>
    <w:rsid w:val="008171FD"/>
    <w:rsid w:val="0081727B"/>
    <w:rsid w:val="00817299"/>
    <w:rsid w:val="008175D6"/>
    <w:rsid w:val="0081788B"/>
    <w:rsid w:val="00817B1C"/>
    <w:rsid w:val="00817EBA"/>
    <w:rsid w:val="00820020"/>
    <w:rsid w:val="0082014D"/>
    <w:rsid w:val="0082029B"/>
    <w:rsid w:val="00820311"/>
    <w:rsid w:val="008206D4"/>
    <w:rsid w:val="00820FA8"/>
    <w:rsid w:val="0082101E"/>
    <w:rsid w:val="00821255"/>
    <w:rsid w:val="0082144B"/>
    <w:rsid w:val="0082178A"/>
    <w:rsid w:val="00821AAB"/>
    <w:rsid w:val="00821FBA"/>
    <w:rsid w:val="008220F5"/>
    <w:rsid w:val="00822160"/>
    <w:rsid w:val="0082218A"/>
    <w:rsid w:val="00822450"/>
    <w:rsid w:val="008228EF"/>
    <w:rsid w:val="00822D19"/>
    <w:rsid w:val="00822EF2"/>
    <w:rsid w:val="008233C3"/>
    <w:rsid w:val="00823821"/>
    <w:rsid w:val="00823834"/>
    <w:rsid w:val="0082400D"/>
    <w:rsid w:val="008240A4"/>
    <w:rsid w:val="008242AA"/>
    <w:rsid w:val="0082457A"/>
    <w:rsid w:val="00824901"/>
    <w:rsid w:val="00824F8F"/>
    <w:rsid w:val="00824FA8"/>
    <w:rsid w:val="00825084"/>
    <w:rsid w:val="008252E6"/>
    <w:rsid w:val="00825713"/>
    <w:rsid w:val="008257B6"/>
    <w:rsid w:val="00825FCD"/>
    <w:rsid w:val="0082617F"/>
    <w:rsid w:val="0082626A"/>
    <w:rsid w:val="008265C8"/>
    <w:rsid w:val="008267DF"/>
    <w:rsid w:val="0082685E"/>
    <w:rsid w:val="008268D3"/>
    <w:rsid w:val="00826A5A"/>
    <w:rsid w:val="00826D51"/>
    <w:rsid w:val="0082701F"/>
    <w:rsid w:val="008270A8"/>
    <w:rsid w:val="00827707"/>
    <w:rsid w:val="00827822"/>
    <w:rsid w:val="00827AC2"/>
    <w:rsid w:val="00827CF2"/>
    <w:rsid w:val="00827CFE"/>
    <w:rsid w:val="00827E0A"/>
    <w:rsid w:val="00827F87"/>
    <w:rsid w:val="00827FA1"/>
    <w:rsid w:val="0083082B"/>
    <w:rsid w:val="00830B01"/>
    <w:rsid w:val="00830E00"/>
    <w:rsid w:val="00831149"/>
    <w:rsid w:val="008311A4"/>
    <w:rsid w:val="008311FB"/>
    <w:rsid w:val="008313AE"/>
    <w:rsid w:val="00831516"/>
    <w:rsid w:val="00831911"/>
    <w:rsid w:val="00831AE7"/>
    <w:rsid w:val="00831D5D"/>
    <w:rsid w:val="00831DC9"/>
    <w:rsid w:val="008320EE"/>
    <w:rsid w:val="00832649"/>
    <w:rsid w:val="00832A69"/>
    <w:rsid w:val="00832D28"/>
    <w:rsid w:val="00832D2E"/>
    <w:rsid w:val="00833405"/>
    <w:rsid w:val="00833408"/>
    <w:rsid w:val="00833D4C"/>
    <w:rsid w:val="00833FAF"/>
    <w:rsid w:val="00833FD0"/>
    <w:rsid w:val="0083408F"/>
    <w:rsid w:val="008346A3"/>
    <w:rsid w:val="00834B87"/>
    <w:rsid w:val="00834DA1"/>
    <w:rsid w:val="00834E92"/>
    <w:rsid w:val="00835357"/>
    <w:rsid w:val="00835816"/>
    <w:rsid w:val="00835F7A"/>
    <w:rsid w:val="00836385"/>
    <w:rsid w:val="00836699"/>
    <w:rsid w:val="00836E30"/>
    <w:rsid w:val="00836F9B"/>
    <w:rsid w:val="00837934"/>
    <w:rsid w:val="00837A3F"/>
    <w:rsid w:val="00837AF5"/>
    <w:rsid w:val="00837F37"/>
    <w:rsid w:val="00840051"/>
    <w:rsid w:val="00840771"/>
    <w:rsid w:val="00840953"/>
    <w:rsid w:val="008412DB"/>
    <w:rsid w:val="00841922"/>
    <w:rsid w:val="00841A1E"/>
    <w:rsid w:val="00841B0E"/>
    <w:rsid w:val="00841D16"/>
    <w:rsid w:val="00841D60"/>
    <w:rsid w:val="00841DD5"/>
    <w:rsid w:val="00841DFE"/>
    <w:rsid w:val="0084285F"/>
    <w:rsid w:val="00842D28"/>
    <w:rsid w:val="0084306E"/>
    <w:rsid w:val="00843504"/>
    <w:rsid w:val="00843560"/>
    <w:rsid w:val="0084370D"/>
    <w:rsid w:val="00843FB4"/>
    <w:rsid w:val="008440C3"/>
    <w:rsid w:val="0084412A"/>
    <w:rsid w:val="00844306"/>
    <w:rsid w:val="00844915"/>
    <w:rsid w:val="00844E05"/>
    <w:rsid w:val="00844F8A"/>
    <w:rsid w:val="008452D7"/>
    <w:rsid w:val="008456E3"/>
    <w:rsid w:val="0084579B"/>
    <w:rsid w:val="008458AC"/>
    <w:rsid w:val="008458DF"/>
    <w:rsid w:val="00845919"/>
    <w:rsid w:val="0084594C"/>
    <w:rsid w:val="00845B14"/>
    <w:rsid w:val="00845E0A"/>
    <w:rsid w:val="008464D9"/>
    <w:rsid w:val="0084666C"/>
    <w:rsid w:val="00846910"/>
    <w:rsid w:val="00847198"/>
    <w:rsid w:val="00847474"/>
    <w:rsid w:val="00847517"/>
    <w:rsid w:val="008500AC"/>
    <w:rsid w:val="00850115"/>
    <w:rsid w:val="008503BC"/>
    <w:rsid w:val="008507D2"/>
    <w:rsid w:val="00850F76"/>
    <w:rsid w:val="0085121B"/>
    <w:rsid w:val="008515B6"/>
    <w:rsid w:val="008515F0"/>
    <w:rsid w:val="0085170B"/>
    <w:rsid w:val="0085182C"/>
    <w:rsid w:val="00851986"/>
    <w:rsid w:val="0085199D"/>
    <w:rsid w:val="00851D4E"/>
    <w:rsid w:val="00851D64"/>
    <w:rsid w:val="00851D9B"/>
    <w:rsid w:val="00851DDE"/>
    <w:rsid w:val="00852BE3"/>
    <w:rsid w:val="00852BF9"/>
    <w:rsid w:val="00852D89"/>
    <w:rsid w:val="00853028"/>
    <w:rsid w:val="00853611"/>
    <w:rsid w:val="00853879"/>
    <w:rsid w:val="00853977"/>
    <w:rsid w:val="0085408E"/>
    <w:rsid w:val="008542CB"/>
    <w:rsid w:val="00854392"/>
    <w:rsid w:val="008545BD"/>
    <w:rsid w:val="00854BF2"/>
    <w:rsid w:val="00854C4D"/>
    <w:rsid w:val="00854DD2"/>
    <w:rsid w:val="00854F57"/>
    <w:rsid w:val="00855111"/>
    <w:rsid w:val="008552C9"/>
    <w:rsid w:val="00855B07"/>
    <w:rsid w:val="00855D0D"/>
    <w:rsid w:val="0085604A"/>
    <w:rsid w:val="0085665C"/>
    <w:rsid w:val="00856EDB"/>
    <w:rsid w:val="00857259"/>
    <w:rsid w:val="0085747B"/>
    <w:rsid w:val="00857863"/>
    <w:rsid w:val="008579B8"/>
    <w:rsid w:val="00857D5D"/>
    <w:rsid w:val="00857F28"/>
    <w:rsid w:val="00860010"/>
    <w:rsid w:val="008601AC"/>
    <w:rsid w:val="008606EF"/>
    <w:rsid w:val="00860B56"/>
    <w:rsid w:val="00860FBD"/>
    <w:rsid w:val="0086118F"/>
    <w:rsid w:val="008611B1"/>
    <w:rsid w:val="00861987"/>
    <w:rsid w:val="00861B65"/>
    <w:rsid w:val="00861D24"/>
    <w:rsid w:val="0086215C"/>
    <w:rsid w:val="00862691"/>
    <w:rsid w:val="00862E6C"/>
    <w:rsid w:val="00862EE6"/>
    <w:rsid w:val="008631B2"/>
    <w:rsid w:val="00863204"/>
    <w:rsid w:val="00863B4A"/>
    <w:rsid w:val="00863CEC"/>
    <w:rsid w:val="00864C9B"/>
    <w:rsid w:val="00864D0D"/>
    <w:rsid w:val="00865A9B"/>
    <w:rsid w:val="00866234"/>
    <w:rsid w:val="008665E2"/>
    <w:rsid w:val="00866935"/>
    <w:rsid w:val="008669A1"/>
    <w:rsid w:val="00866E17"/>
    <w:rsid w:val="00866FF3"/>
    <w:rsid w:val="00867272"/>
    <w:rsid w:val="008672EB"/>
    <w:rsid w:val="0086733D"/>
    <w:rsid w:val="0086752A"/>
    <w:rsid w:val="008679DC"/>
    <w:rsid w:val="00867C23"/>
    <w:rsid w:val="00867C3A"/>
    <w:rsid w:val="008700FB"/>
    <w:rsid w:val="00870421"/>
    <w:rsid w:val="008705B6"/>
    <w:rsid w:val="0087079F"/>
    <w:rsid w:val="00870BED"/>
    <w:rsid w:val="008710E2"/>
    <w:rsid w:val="0087140E"/>
    <w:rsid w:val="0087181E"/>
    <w:rsid w:val="00871A1F"/>
    <w:rsid w:val="00871C34"/>
    <w:rsid w:val="00871D2D"/>
    <w:rsid w:val="00872039"/>
    <w:rsid w:val="00872AE1"/>
    <w:rsid w:val="00872AF1"/>
    <w:rsid w:val="00872F98"/>
    <w:rsid w:val="008731C9"/>
    <w:rsid w:val="008734F2"/>
    <w:rsid w:val="0087351C"/>
    <w:rsid w:val="00873528"/>
    <w:rsid w:val="00873568"/>
    <w:rsid w:val="00873CFE"/>
    <w:rsid w:val="00873FDA"/>
    <w:rsid w:val="008741AC"/>
    <w:rsid w:val="008742A8"/>
    <w:rsid w:val="008742BF"/>
    <w:rsid w:val="00874363"/>
    <w:rsid w:val="00874654"/>
    <w:rsid w:val="00874AAD"/>
    <w:rsid w:val="00874CA4"/>
    <w:rsid w:val="00875331"/>
    <w:rsid w:val="0087580C"/>
    <w:rsid w:val="00875AEB"/>
    <w:rsid w:val="00875B89"/>
    <w:rsid w:val="00875D58"/>
    <w:rsid w:val="008760C9"/>
    <w:rsid w:val="008767AF"/>
    <w:rsid w:val="00876836"/>
    <w:rsid w:val="00876BB1"/>
    <w:rsid w:val="00876BCD"/>
    <w:rsid w:val="00876D45"/>
    <w:rsid w:val="00876E4C"/>
    <w:rsid w:val="00876ED0"/>
    <w:rsid w:val="00876FDF"/>
    <w:rsid w:val="00877498"/>
    <w:rsid w:val="00877BB4"/>
    <w:rsid w:val="00877FEC"/>
    <w:rsid w:val="0088054C"/>
    <w:rsid w:val="0088063A"/>
    <w:rsid w:val="00881E36"/>
    <w:rsid w:val="00881F63"/>
    <w:rsid w:val="0088212E"/>
    <w:rsid w:val="008825F5"/>
    <w:rsid w:val="008826AD"/>
    <w:rsid w:val="00882D93"/>
    <w:rsid w:val="00882E80"/>
    <w:rsid w:val="008830B2"/>
    <w:rsid w:val="00883399"/>
    <w:rsid w:val="008834F1"/>
    <w:rsid w:val="0088381C"/>
    <w:rsid w:val="00883B05"/>
    <w:rsid w:val="008846DA"/>
    <w:rsid w:val="00884E37"/>
    <w:rsid w:val="00885431"/>
    <w:rsid w:val="008854F2"/>
    <w:rsid w:val="00885645"/>
    <w:rsid w:val="008860C6"/>
    <w:rsid w:val="0088639D"/>
    <w:rsid w:val="00886413"/>
    <w:rsid w:val="0088647A"/>
    <w:rsid w:val="00886B52"/>
    <w:rsid w:val="00886CB8"/>
    <w:rsid w:val="00886F30"/>
    <w:rsid w:val="00887277"/>
    <w:rsid w:val="00887516"/>
    <w:rsid w:val="008878DA"/>
    <w:rsid w:val="00890261"/>
    <w:rsid w:val="00890698"/>
    <w:rsid w:val="0089084A"/>
    <w:rsid w:val="0089089C"/>
    <w:rsid w:val="00890D11"/>
    <w:rsid w:val="008911F1"/>
    <w:rsid w:val="00891679"/>
    <w:rsid w:val="008916F5"/>
    <w:rsid w:val="0089176E"/>
    <w:rsid w:val="00892DC2"/>
    <w:rsid w:val="008930E9"/>
    <w:rsid w:val="00893B24"/>
    <w:rsid w:val="00893B8A"/>
    <w:rsid w:val="00893B93"/>
    <w:rsid w:val="00893EA8"/>
    <w:rsid w:val="0089409E"/>
    <w:rsid w:val="00894134"/>
    <w:rsid w:val="008942BA"/>
    <w:rsid w:val="008944A8"/>
    <w:rsid w:val="0089497C"/>
    <w:rsid w:val="00895526"/>
    <w:rsid w:val="0089580C"/>
    <w:rsid w:val="00895BC5"/>
    <w:rsid w:val="00895D99"/>
    <w:rsid w:val="00895EC5"/>
    <w:rsid w:val="00896097"/>
    <w:rsid w:val="008960F3"/>
    <w:rsid w:val="0089663F"/>
    <w:rsid w:val="00896715"/>
    <w:rsid w:val="0089674A"/>
    <w:rsid w:val="008968A9"/>
    <w:rsid w:val="008968F3"/>
    <w:rsid w:val="00896B76"/>
    <w:rsid w:val="00896BD2"/>
    <w:rsid w:val="00896C6E"/>
    <w:rsid w:val="00897D9D"/>
    <w:rsid w:val="00897FB5"/>
    <w:rsid w:val="008A003D"/>
    <w:rsid w:val="008A04FB"/>
    <w:rsid w:val="008A06D9"/>
    <w:rsid w:val="008A096E"/>
    <w:rsid w:val="008A09CC"/>
    <w:rsid w:val="008A0A06"/>
    <w:rsid w:val="008A0BD0"/>
    <w:rsid w:val="008A10D0"/>
    <w:rsid w:val="008A158E"/>
    <w:rsid w:val="008A15F2"/>
    <w:rsid w:val="008A19B4"/>
    <w:rsid w:val="008A1CB1"/>
    <w:rsid w:val="008A2150"/>
    <w:rsid w:val="008A256B"/>
    <w:rsid w:val="008A2611"/>
    <w:rsid w:val="008A2773"/>
    <w:rsid w:val="008A2814"/>
    <w:rsid w:val="008A282F"/>
    <w:rsid w:val="008A2DE2"/>
    <w:rsid w:val="008A37BB"/>
    <w:rsid w:val="008A3F70"/>
    <w:rsid w:val="008A46F2"/>
    <w:rsid w:val="008A4C9A"/>
    <w:rsid w:val="008A4E6C"/>
    <w:rsid w:val="008A4E88"/>
    <w:rsid w:val="008A5280"/>
    <w:rsid w:val="008A54C9"/>
    <w:rsid w:val="008A55DC"/>
    <w:rsid w:val="008A5612"/>
    <w:rsid w:val="008A57EA"/>
    <w:rsid w:val="008A5C87"/>
    <w:rsid w:val="008A5E83"/>
    <w:rsid w:val="008A5E9A"/>
    <w:rsid w:val="008A63EA"/>
    <w:rsid w:val="008A6836"/>
    <w:rsid w:val="008A72AD"/>
    <w:rsid w:val="008A736E"/>
    <w:rsid w:val="008A75C0"/>
    <w:rsid w:val="008A7804"/>
    <w:rsid w:val="008A7862"/>
    <w:rsid w:val="008A7FF6"/>
    <w:rsid w:val="008B00BC"/>
    <w:rsid w:val="008B076B"/>
    <w:rsid w:val="008B07C0"/>
    <w:rsid w:val="008B0D79"/>
    <w:rsid w:val="008B0FAB"/>
    <w:rsid w:val="008B112A"/>
    <w:rsid w:val="008B15CF"/>
    <w:rsid w:val="008B172A"/>
    <w:rsid w:val="008B193B"/>
    <w:rsid w:val="008B1A32"/>
    <w:rsid w:val="008B1C58"/>
    <w:rsid w:val="008B1E35"/>
    <w:rsid w:val="008B1E55"/>
    <w:rsid w:val="008B1E9F"/>
    <w:rsid w:val="008B1F4B"/>
    <w:rsid w:val="008B2084"/>
    <w:rsid w:val="008B2304"/>
    <w:rsid w:val="008B25A2"/>
    <w:rsid w:val="008B2CC4"/>
    <w:rsid w:val="008B2D76"/>
    <w:rsid w:val="008B32C4"/>
    <w:rsid w:val="008B3FB2"/>
    <w:rsid w:val="008B4719"/>
    <w:rsid w:val="008B4ADE"/>
    <w:rsid w:val="008B5050"/>
    <w:rsid w:val="008B5139"/>
    <w:rsid w:val="008B57EC"/>
    <w:rsid w:val="008B5981"/>
    <w:rsid w:val="008B5989"/>
    <w:rsid w:val="008B5A68"/>
    <w:rsid w:val="008B5A91"/>
    <w:rsid w:val="008B5B7B"/>
    <w:rsid w:val="008B5B8B"/>
    <w:rsid w:val="008B6166"/>
    <w:rsid w:val="008B6424"/>
    <w:rsid w:val="008B65DC"/>
    <w:rsid w:val="008B74E1"/>
    <w:rsid w:val="008B787D"/>
    <w:rsid w:val="008B78B9"/>
    <w:rsid w:val="008B792F"/>
    <w:rsid w:val="008B79DC"/>
    <w:rsid w:val="008C0961"/>
    <w:rsid w:val="008C0F8F"/>
    <w:rsid w:val="008C10F5"/>
    <w:rsid w:val="008C17F3"/>
    <w:rsid w:val="008C1AD0"/>
    <w:rsid w:val="008C1B67"/>
    <w:rsid w:val="008C1CA0"/>
    <w:rsid w:val="008C1DBA"/>
    <w:rsid w:val="008C1DE2"/>
    <w:rsid w:val="008C1E39"/>
    <w:rsid w:val="008C20C5"/>
    <w:rsid w:val="008C2225"/>
    <w:rsid w:val="008C238E"/>
    <w:rsid w:val="008C294B"/>
    <w:rsid w:val="008C2ACC"/>
    <w:rsid w:val="008C2D22"/>
    <w:rsid w:val="008C3045"/>
    <w:rsid w:val="008C3164"/>
    <w:rsid w:val="008C33BC"/>
    <w:rsid w:val="008C3AE8"/>
    <w:rsid w:val="008C3BA0"/>
    <w:rsid w:val="008C3D6D"/>
    <w:rsid w:val="008C3D98"/>
    <w:rsid w:val="008C46B0"/>
    <w:rsid w:val="008C46B5"/>
    <w:rsid w:val="008C4777"/>
    <w:rsid w:val="008C479D"/>
    <w:rsid w:val="008C4E9E"/>
    <w:rsid w:val="008C5066"/>
    <w:rsid w:val="008C5225"/>
    <w:rsid w:val="008C5D7D"/>
    <w:rsid w:val="008C6009"/>
    <w:rsid w:val="008C6044"/>
    <w:rsid w:val="008C6291"/>
    <w:rsid w:val="008C6AA8"/>
    <w:rsid w:val="008C7015"/>
    <w:rsid w:val="008C7533"/>
    <w:rsid w:val="008C778A"/>
    <w:rsid w:val="008C789D"/>
    <w:rsid w:val="008C79C2"/>
    <w:rsid w:val="008C79E2"/>
    <w:rsid w:val="008C7A01"/>
    <w:rsid w:val="008D052E"/>
    <w:rsid w:val="008D0563"/>
    <w:rsid w:val="008D0B14"/>
    <w:rsid w:val="008D0B96"/>
    <w:rsid w:val="008D0E6F"/>
    <w:rsid w:val="008D1B42"/>
    <w:rsid w:val="008D2039"/>
    <w:rsid w:val="008D2664"/>
    <w:rsid w:val="008D3278"/>
    <w:rsid w:val="008D362B"/>
    <w:rsid w:val="008D36B1"/>
    <w:rsid w:val="008D37A9"/>
    <w:rsid w:val="008D3921"/>
    <w:rsid w:val="008D3B74"/>
    <w:rsid w:val="008D3BCD"/>
    <w:rsid w:val="008D4311"/>
    <w:rsid w:val="008D471C"/>
    <w:rsid w:val="008D4BD7"/>
    <w:rsid w:val="008D4DB3"/>
    <w:rsid w:val="008D53C9"/>
    <w:rsid w:val="008D562C"/>
    <w:rsid w:val="008D5857"/>
    <w:rsid w:val="008D6A21"/>
    <w:rsid w:val="008D6E7B"/>
    <w:rsid w:val="008D6F0F"/>
    <w:rsid w:val="008D7381"/>
    <w:rsid w:val="008D7489"/>
    <w:rsid w:val="008D7B9D"/>
    <w:rsid w:val="008D7DA8"/>
    <w:rsid w:val="008D7E9A"/>
    <w:rsid w:val="008E052E"/>
    <w:rsid w:val="008E08A5"/>
    <w:rsid w:val="008E0C00"/>
    <w:rsid w:val="008E0F24"/>
    <w:rsid w:val="008E10E0"/>
    <w:rsid w:val="008E1722"/>
    <w:rsid w:val="008E1A81"/>
    <w:rsid w:val="008E1A89"/>
    <w:rsid w:val="008E1DFC"/>
    <w:rsid w:val="008E1F9D"/>
    <w:rsid w:val="008E2227"/>
    <w:rsid w:val="008E2923"/>
    <w:rsid w:val="008E371F"/>
    <w:rsid w:val="008E3BB0"/>
    <w:rsid w:val="008E443B"/>
    <w:rsid w:val="008E4455"/>
    <w:rsid w:val="008E472F"/>
    <w:rsid w:val="008E49A2"/>
    <w:rsid w:val="008E4D3E"/>
    <w:rsid w:val="008E4D79"/>
    <w:rsid w:val="008E4DB7"/>
    <w:rsid w:val="008E5015"/>
    <w:rsid w:val="008E5FC0"/>
    <w:rsid w:val="008E5FE9"/>
    <w:rsid w:val="008E6133"/>
    <w:rsid w:val="008E6D14"/>
    <w:rsid w:val="008E6D63"/>
    <w:rsid w:val="008E6DF7"/>
    <w:rsid w:val="008E717C"/>
    <w:rsid w:val="008E71CE"/>
    <w:rsid w:val="008E722C"/>
    <w:rsid w:val="008E7298"/>
    <w:rsid w:val="008E79E8"/>
    <w:rsid w:val="008F037B"/>
    <w:rsid w:val="008F04E8"/>
    <w:rsid w:val="008F082C"/>
    <w:rsid w:val="008F0D7E"/>
    <w:rsid w:val="008F0EDC"/>
    <w:rsid w:val="008F1577"/>
    <w:rsid w:val="008F15FD"/>
    <w:rsid w:val="008F1DC5"/>
    <w:rsid w:val="008F2679"/>
    <w:rsid w:val="008F26E5"/>
    <w:rsid w:val="008F2B8C"/>
    <w:rsid w:val="008F2EAC"/>
    <w:rsid w:val="008F314E"/>
    <w:rsid w:val="008F3184"/>
    <w:rsid w:val="008F3443"/>
    <w:rsid w:val="008F3D70"/>
    <w:rsid w:val="008F43A4"/>
    <w:rsid w:val="008F4BE9"/>
    <w:rsid w:val="008F51EE"/>
    <w:rsid w:val="008F520B"/>
    <w:rsid w:val="008F55DB"/>
    <w:rsid w:val="008F5877"/>
    <w:rsid w:val="008F5993"/>
    <w:rsid w:val="008F5F38"/>
    <w:rsid w:val="008F5F48"/>
    <w:rsid w:val="008F612C"/>
    <w:rsid w:val="008F624D"/>
    <w:rsid w:val="008F6303"/>
    <w:rsid w:val="008F638E"/>
    <w:rsid w:val="008F642D"/>
    <w:rsid w:val="008F66DC"/>
    <w:rsid w:val="008F67E0"/>
    <w:rsid w:val="008F6C6A"/>
    <w:rsid w:val="008F6D80"/>
    <w:rsid w:val="008F72E5"/>
    <w:rsid w:val="008F7973"/>
    <w:rsid w:val="008F7AA3"/>
    <w:rsid w:val="008F7AD2"/>
    <w:rsid w:val="008F7D16"/>
    <w:rsid w:val="008F7DBD"/>
    <w:rsid w:val="008F7DD4"/>
    <w:rsid w:val="009001BC"/>
    <w:rsid w:val="00900608"/>
    <w:rsid w:val="009010EC"/>
    <w:rsid w:val="009013DC"/>
    <w:rsid w:val="00901887"/>
    <w:rsid w:val="00902911"/>
    <w:rsid w:val="00902943"/>
    <w:rsid w:val="00902AD9"/>
    <w:rsid w:val="00902B42"/>
    <w:rsid w:val="009030AC"/>
    <w:rsid w:val="009039B8"/>
    <w:rsid w:val="00903BE4"/>
    <w:rsid w:val="00903BFC"/>
    <w:rsid w:val="00903D2A"/>
    <w:rsid w:val="00903D83"/>
    <w:rsid w:val="00903DE6"/>
    <w:rsid w:val="00904247"/>
    <w:rsid w:val="009042E6"/>
    <w:rsid w:val="009043C1"/>
    <w:rsid w:val="0090448B"/>
    <w:rsid w:val="009044A5"/>
    <w:rsid w:val="00904593"/>
    <w:rsid w:val="00904688"/>
    <w:rsid w:val="00904695"/>
    <w:rsid w:val="009048D9"/>
    <w:rsid w:val="009049FE"/>
    <w:rsid w:val="00904A2A"/>
    <w:rsid w:val="00904D27"/>
    <w:rsid w:val="00904F02"/>
    <w:rsid w:val="00904F4F"/>
    <w:rsid w:val="009050CD"/>
    <w:rsid w:val="00905231"/>
    <w:rsid w:val="0090540D"/>
    <w:rsid w:val="0090558E"/>
    <w:rsid w:val="0090578E"/>
    <w:rsid w:val="00905AEC"/>
    <w:rsid w:val="00905B14"/>
    <w:rsid w:val="00905F3C"/>
    <w:rsid w:val="00905F72"/>
    <w:rsid w:val="009061D3"/>
    <w:rsid w:val="009069C8"/>
    <w:rsid w:val="00906BD2"/>
    <w:rsid w:val="00906C8F"/>
    <w:rsid w:val="00906DD8"/>
    <w:rsid w:val="00906E20"/>
    <w:rsid w:val="00907249"/>
    <w:rsid w:val="009072B7"/>
    <w:rsid w:val="009073DE"/>
    <w:rsid w:val="009075A0"/>
    <w:rsid w:val="00907B2A"/>
    <w:rsid w:val="009102AB"/>
    <w:rsid w:val="0091151F"/>
    <w:rsid w:val="00911682"/>
    <w:rsid w:val="00911B27"/>
    <w:rsid w:val="00911F9C"/>
    <w:rsid w:val="009121A4"/>
    <w:rsid w:val="00912248"/>
    <w:rsid w:val="00912672"/>
    <w:rsid w:val="009126B9"/>
    <w:rsid w:val="00912756"/>
    <w:rsid w:val="0091275A"/>
    <w:rsid w:val="0091293E"/>
    <w:rsid w:val="00912A3C"/>
    <w:rsid w:val="00912F05"/>
    <w:rsid w:val="00912FDE"/>
    <w:rsid w:val="00913221"/>
    <w:rsid w:val="0091325E"/>
    <w:rsid w:val="00913518"/>
    <w:rsid w:val="0091359F"/>
    <w:rsid w:val="0091391C"/>
    <w:rsid w:val="00913C28"/>
    <w:rsid w:val="00913D3D"/>
    <w:rsid w:val="00913EC6"/>
    <w:rsid w:val="00913FE8"/>
    <w:rsid w:val="0091434F"/>
    <w:rsid w:val="0091447D"/>
    <w:rsid w:val="00914861"/>
    <w:rsid w:val="00914BEC"/>
    <w:rsid w:val="00914C58"/>
    <w:rsid w:val="00914CF4"/>
    <w:rsid w:val="00914D1C"/>
    <w:rsid w:val="00914D20"/>
    <w:rsid w:val="009151D0"/>
    <w:rsid w:val="00915646"/>
    <w:rsid w:val="009159BB"/>
    <w:rsid w:val="00915BE1"/>
    <w:rsid w:val="00915DF2"/>
    <w:rsid w:val="00915FC2"/>
    <w:rsid w:val="0091609B"/>
    <w:rsid w:val="00916628"/>
    <w:rsid w:val="0091683D"/>
    <w:rsid w:val="009168A6"/>
    <w:rsid w:val="00916946"/>
    <w:rsid w:val="009169B4"/>
    <w:rsid w:val="009171BC"/>
    <w:rsid w:val="00917326"/>
    <w:rsid w:val="009178D3"/>
    <w:rsid w:val="00917DF0"/>
    <w:rsid w:val="00920503"/>
    <w:rsid w:val="009205A5"/>
    <w:rsid w:val="009206BE"/>
    <w:rsid w:val="00920911"/>
    <w:rsid w:val="00920954"/>
    <w:rsid w:val="00920A0B"/>
    <w:rsid w:val="00920C94"/>
    <w:rsid w:val="00920D30"/>
    <w:rsid w:val="00920F20"/>
    <w:rsid w:val="0092132B"/>
    <w:rsid w:val="009214E5"/>
    <w:rsid w:val="009216A4"/>
    <w:rsid w:val="009218AB"/>
    <w:rsid w:val="009218F6"/>
    <w:rsid w:val="00921F20"/>
    <w:rsid w:val="00922A26"/>
    <w:rsid w:val="00922A70"/>
    <w:rsid w:val="00922AC8"/>
    <w:rsid w:val="00922C78"/>
    <w:rsid w:val="00922E1C"/>
    <w:rsid w:val="00922E5E"/>
    <w:rsid w:val="00922E7F"/>
    <w:rsid w:val="00922F36"/>
    <w:rsid w:val="00922FBB"/>
    <w:rsid w:val="00923516"/>
    <w:rsid w:val="00923835"/>
    <w:rsid w:val="00923A0E"/>
    <w:rsid w:val="009240EF"/>
    <w:rsid w:val="00924349"/>
    <w:rsid w:val="00924471"/>
    <w:rsid w:val="00924C7D"/>
    <w:rsid w:val="00924D78"/>
    <w:rsid w:val="00925302"/>
    <w:rsid w:val="009255C4"/>
    <w:rsid w:val="0092577A"/>
    <w:rsid w:val="00925798"/>
    <w:rsid w:val="00925BF9"/>
    <w:rsid w:val="00925C80"/>
    <w:rsid w:val="00926050"/>
    <w:rsid w:val="009262A0"/>
    <w:rsid w:val="009267A1"/>
    <w:rsid w:val="00926C62"/>
    <w:rsid w:val="00926F07"/>
    <w:rsid w:val="00927021"/>
    <w:rsid w:val="009271D4"/>
    <w:rsid w:val="0092777E"/>
    <w:rsid w:val="00927CDF"/>
    <w:rsid w:val="009300CB"/>
    <w:rsid w:val="00930118"/>
    <w:rsid w:val="00930256"/>
    <w:rsid w:val="00930883"/>
    <w:rsid w:val="00930E86"/>
    <w:rsid w:val="009311EA"/>
    <w:rsid w:val="009314A1"/>
    <w:rsid w:val="009314E4"/>
    <w:rsid w:val="0093163C"/>
    <w:rsid w:val="00931648"/>
    <w:rsid w:val="0093192D"/>
    <w:rsid w:val="00931AFC"/>
    <w:rsid w:val="00931B92"/>
    <w:rsid w:val="00931E4B"/>
    <w:rsid w:val="009321CE"/>
    <w:rsid w:val="00932656"/>
    <w:rsid w:val="0093297B"/>
    <w:rsid w:val="00932A9D"/>
    <w:rsid w:val="00932BD4"/>
    <w:rsid w:val="00932CAA"/>
    <w:rsid w:val="00932CCA"/>
    <w:rsid w:val="00932FA7"/>
    <w:rsid w:val="00933012"/>
    <w:rsid w:val="0093312A"/>
    <w:rsid w:val="0093322F"/>
    <w:rsid w:val="009332F0"/>
    <w:rsid w:val="00933A5A"/>
    <w:rsid w:val="00933C32"/>
    <w:rsid w:val="00933EE3"/>
    <w:rsid w:val="00933FF3"/>
    <w:rsid w:val="00934128"/>
    <w:rsid w:val="0093461E"/>
    <w:rsid w:val="00934668"/>
    <w:rsid w:val="00934ABC"/>
    <w:rsid w:val="00934ADF"/>
    <w:rsid w:val="00934C2E"/>
    <w:rsid w:val="00934C9C"/>
    <w:rsid w:val="00934E06"/>
    <w:rsid w:val="00934F14"/>
    <w:rsid w:val="00935107"/>
    <w:rsid w:val="009355E1"/>
    <w:rsid w:val="009359BB"/>
    <w:rsid w:val="00935D7E"/>
    <w:rsid w:val="00935EAE"/>
    <w:rsid w:val="0093604E"/>
    <w:rsid w:val="0093642C"/>
    <w:rsid w:val="009364EF"/>
    <w:rsid w:val="00936983"/>
    <w:rsid w:val="00936BE9"/>
    <w:rsid w:val="00936DBD"/>
    <w:rsid w:val="009370D8"/>
    <w:rsid w:val="009373AF"/>
    <w:rsid w:val="009374DA"/>
    <w:rsid w:val="009379E0"/>
    <w:rsid w:val="00937A57"/>
    <w:rsid w:val="00940196"/>
    <w:rsid w:val="009403DB"/>
    <w:rsid w:val="0094051D"/>
    <w:rsid w:val="00940B26"/>
    <w:rsid w:val="009413D4"/>
    <w:rsid w:val="0094148C"/>
    <w:rsid w:val="00941571"/>
    <w:rsid w:val="0094163C"/>
    <w:rsid w:val="00941B43"/>
    <w:rsid w:val="00941C06"/>
    <w:rsid w:val="00941E37"/>
    <w:rsid w:val="00941F70"/>
    <w:rsid w:val="00941FF3"/>
    <w:rsid w:val="009420B1"/>
    <w:rsid w:val="009421FD"/>
    <w:rsid w:val="00942289"/>
    <w:rsid w:val="00942363"/>
    <w:rsid w:val="009423EA"/>
    <w:rsid w:val="00942883"/>
    <w:rsid w:val="00942A09"/>
    <w:rsid w:val="00942A2C"/>
    <w:rsid w:val="0094303F"/>
    <w:rsid w:val="00943264"/>
    <w:rsid w:val="0094340A"/>
    <w:rsid w:val="00943D0C"/>
    <w:rsid w:val="00943DD5"/>
    <w:rsid w:val="0094412C"/>
    <w:rsid w:val="00944857"/>
    <w:rsid w:val="00944A95"/>
    <w:rsid w:val="00944B21"/>
    <w:rsid w:val="00944C7C"/>
    <w:rsid w:val="00945297"/>
    <w:rsid w:val="00945457"/>
    <w:rsid w:val="00945479"/>
    <w:rsid w:val="009454FB"/>
    <w:rsid w:val="0094595A"/>
    <w:rsid w:val="00945964"/>
    <w:rsid w:val="00945D79"/>
    <w:rsid w:val="0094605E"/>
    <w:rsid w:val="00946399"/>
    <w:rsid w:val="009465B4"/>
    <w:rsid w:val="00946D05"/>
    <w:rsid w:val="00947000"/>
    <w:rsid w:val="0094700C"/>
    <w:rsid w:val="009472C3"/>
    <w:rsid w:val="00947531"/>
    <w:rsid w:val="00947A03"/>
    <w:rsid w:val="00947BD3"/>
    <w:rsid w:val="00947C97"/>
    <w:rsid w:val="00950164"/>
    <w:rsid w:val="0095023E"/>
    <w:rsid w:val="00950327"/>
    <w:rsid w:val="00950543"/>
    <w:rsid w:val="009505D1"/>
    <w:rsid w:val="00950697"/>
    <w:rsid w:val="009508E0"/>
    <w:rsid w:val="00950C59"/>
    <w:rsid w:val="00950D3D"/>
    <w:rsid w:val="00950FBC"/>
    <w:rsid w:val="00951178"/>
    <w:rsid w:val="0095133F"/>
    <w:rsid w:val="009514EF"/>
    <w:rsid w:val="00951A50"/>
    <w:rsid w:val="00951AF3"/>
    <w:rsid w:val="00951AFD"/>
    <w:rsid w:val="00951CE5"/>
    <w:rsid w:val="00951F3B"/>
    <w:rsid w:val="00952345"/>
    <w:rsid w:val="00952522"/>
    <w:rsid w:val="00952909"/>
    <w:rsid w:val="00952CD4"/>
    <w:rsid w:val="00952E6D"/>
    <w:rsid w:val="00953B61"/>
    <w:rsid w:val="00953F69"/>
    <w:rsid w:val="00953F7F"/>
    <w:rsid w:val="00954229"/>
    <w:rsid w:val="009542F6"/>
    <w:rsid w:val="009543CE"/>
    <w:rsid w:val="00954476"/>
    <w:rsid w:val="00954515"/>
    <w:rsid w:val="009548CE"/>
    <w:rsid w:val="00954BE6"/>
    <w:rsid w:val="00954C81"/>
    <w:rsid w:val="00954C91"/>
    <w:rsid w:val="00954E1E"/>
    <w:rsid w:val="00954F0C"/>
    <w:rsid w:val="00955697"/>
    <w:rsid w:val="00955E53"/>
    <w:rsid w:val="0095645F"/>
    <w:rsid w:val="009566CE"/>
    <w:rsid w:val="00956780"/>
    <w:rsid w:val="00956823"/>
    <w:rsid w:val="0095764C"/>
    <w:rsid w:val="00957AB7"/>
    <w:rsid w:val="00957BF4"/>
    <w:rsid w:val="00960410"/>
    <w:rsid w:val="00960C56"/>
    <w:rsid w:val="00960FBD"/>
    <w:rsid w:val="00961178"/>
    <w:rsid w:val="00961234"/>
    <w:rsid w:val="00961937"/>
    <w:rsid w:val="00961A56"/>
    <w:rsid w:val="00961E05"/>
    <w:rsid w:val="00962255"/>
    <w:rsid w:val="00962C06"/>
    <w:rsid w:val="00963043"/>
    <w:rsid w:val="0096309E"/>
    <w:rsid w:val="009630B9"/>
    <w:rsid w:val="009631E4"/>
    <w:rsid w:val="00963514"/>
    <w:rsid w:val="00963781"/>
    <w:rsid w:val="009638C4"/>
    <w:rsid w:val="00963DB0"/>
    <w:rsid w:val="00963EEA"/>
    <w:rsid w:val="00964263"/>
    <w:rsid w:val="00964400"/>
    <w:rsid w:val="00964489"/>
    <w:rsid w:val="009647F4"/>
    <w:rsid w:val="009650BC"/>
    <w:rsid w:val="009652E2"/>
    <w:rsid w:val="009660DF"/>
    <w:rsid w:val="009662A8"/>
    <w:rsid w:val="00966393"/>
    <w:rsid w:val="0096639A"/>
    <w:rsid w:val="009664EB"/>
    <w:rsid w:val="0096669D"/>
    <w:rsid w:val="0096682A"/>
    <w:rsid w:val="00966995"/>
    <w:rsid w:val="00966B1D"/>
    <w:rsid w:val="00967008"/>
    <w:rsid w:val="0096725C"/>
    <w:rsid w:val="00967269"/>
    <w:rsid w:val="0096740C"/>
    <w:rsid w:val="009674A9"/>
    <w:rsid w:val="009675F5"/>
    <w:rsid w:val="009677AB"/>
    <w:rsid w:val="00967993"/>
    <w:rsid w:val="009679CE"/>
    <w:rsid w:val="00967AF0"/>
    <w:rsid w:val="00967C76"/>
    <w:rsid w:val="00970551"/>
    <w:rsid w:val="009712FE"/>
    <w:rsid w:val="0097135B"/>
    <w:rsid w:val="0097140B"/>
    <w:rsid w:val="00971924"/>
    <w:rsid w:val="00971AF2"/>
    <w:rsid w:val="00971BEF"/>
    <w:rsid w:val="00971DAC"/>
    <w:rsid w:val="00972200"/>
    <w:rsid w:val="0097229C"/>
    <w:rsid w:val="009722BC"/>
    <w:rsid w:val="0097259D"/>
    <w:rsid w:val="009725AD"/>
    <w:rsid w:val="00973880"/>
    <w:rsid w:val="00973C12"/>
    <w:rsid w:val="00973E54"/>
    <w:rsid w:val="00973E6C"/>
    <w:rsid w:val="00973ECD"/>
    <w:rsid w:val="009740DD"/>
    <w:rsid w:val="00974855"/>
    <w:rsid w:val="009748E5"/>
    <w:rsid w:val="00974D52"/>
    <w:rsid w:val="0097533A"/>
    <w:rsid w:val="00975616"/>
    <w:rsid w:val="00975C8D"/>
    <w:rsid w:val="00975E3F"/>
    <w:rsid w:val="00976511"/>
    <w:rsid w:val="009770D0"/>
    <w:rsid w:val="00977147"/>
    <w:rsid w:val="00977774"/>
    <w:rsid w:val="009778BC"/>
    <w:rsid w:val="00977909"/>
    <w:rsid w:val="00977A22"/>
    <w:rsid w:val="00977B9A"/>
    <w:rsid w:val="00980588"/>
    <w:rsid w:val="00980598"/>
    <w:rsid w:val="00980EC2"/>
    <w:rsid w:val="00980FFA"/>
    <w:rsid w:val="009812EB"/>
    <w:rsid w:val="00981509"/>
    <w:rsid w:val="0098167B"/>
    <w:rsid w:val="009821C2"/>
    <w:rsid w:val="009822CA"/>
    <w:rsid w:val="00982611"/>
    <w:rsid w:val="009827BE"/>
    <w:rsid w:val="00982FA3"/>
    <w:rsid w:val="00983964"/>
    <w:rsid w:val="00983A25"/>
    <w:rsid w:val="00983AC8"/>
    <w:rsid w:val="00983B71"/>
    <w:rsid w:val="00983C27"/>
    <w:rsid w:val="00983CA5"/>
    <w:rsid w:val="00983D86"/>
    <w:rsid w:val="00983EC9"/>
    <w:rsid w:val="009840F3"/>
    <w:rsid w:val="0098428B"/>
    <w:rsid w:val="00984492"/>
    <w:rsid w:val="00984756"/>
    <w:rsid w:val="00984A88"/>
    <w:rsid w:val="00984BB9"/>
    <w:rsid w:val="00984E18"/>
    <w:rsid w:val="00984EA7"/>
    <w:rsid w:val="009859BA"/>
    <w:rsid w:val="00985A36"/>
    <w:rsid w:val="00985CB8"/>
    <w:rsid w:val="009860AE"/>
    <w:rsid w:val="0098628F"/>
    <w:rsid w:val="009864DA"/>
    <w:rsid w:val="00986C77"/>
    <w:rsid w:val="00986E3C"/>
    <w:rsid w:val="00986FB9"/>
    <w:rsid w:val="0098708A"/>
    <w:rsid w:val="00987194"/>
    <w:rsid w:val="009875FF"/>
    <w:rsid w:val="00987765"/>
    <w:rsid w:val="009877A2"/>
    <w:rsid w:val="00987A2C"/>
    <w:rsid w:val="00987D7D"/>
    <w:rsid w:val="00990063"/>
    <w:rsid w:val="009901D6"/>
    <w:rsid w:val="0099026B"/>
    <w:rsid w:val="009903DF"/>
    <w:rsid w:val="00990A72"/>
    <w:rsid w:val="00990A82"/>
    <w:rsid w:val="00990C7A"/>
    <w:rsid w:val="00991140"/>
    <w:rsid w:val="0099124F"/>
    <w:rsid w:val="00991256"/>
    <w:rsid w:val="00991278"/>
    <w:rsid w:val="0099128A"/>
    <w:rsid w:val="009918D8"/>
    <w:rsid w:val="0099190C"/>
    <w:rsid w:val="00991BAF"/>
    <w:rsid w:val="00991D9D"/>
    <w:rsid w:val="00991DD3"/>
    <w:rsid w:val="009923A7"/>
    <w:rsid w:val="00992A5A"/>
    <w:rsid w:val="00992EB0"/>
    <w:rsid w:val="009933C7"/>
    <w:rsid w:val="009940DE"/>
    <w:rsid w:val="00994303"/>
    <w:rsid w:val="009943CD"/>
    <w:rsid w:val="00994503"/>
    <w:rsid w:val="00994F50"/>
    <w:rsid w:val="009950C5"/>
    <w:rsid w:val="009951EA"/>
    <w:rsid w:val="0099555B"/>
    <w:rsid w:val="0099588C"/>
    <w:rsid w:val="00995CFB"/>
    <w:rsid w:val="00995E69"/>
    <w:rsid w:val="009960A4"/>
    <w:rsid w:val="00996214"/>
    <w:rsid w:val="00996338"/>
    <w:rsid w:val="009963C5"/>
    <w:rsid w:val="00996442"/>
    <w:rsid w:val="0099686F"/>
    <w:rsid w:val="00996BBD"/>
    <w:rsid w:val="00996C15"/>
    <w:rsid w:val="00996C40"/>
    <w:rsid w:val="00996FE8"/>
    <w:rsid w:val="009972A6"/>
    <w:rsid w:val="00997DB8"/>
    <w:rsid w:val="00997F3E"/>
    <w:rsid w:val="009A01CD"/>
    <w:rsid w:val="009A0239"/>
    <w:rsid w:val="009A0436"/>
    <w:rsid w:val="009A08C1"/>
    <w:rsid w:val="009A0D61"/>
    <w:rsid w:val="009A0D8A"/>
    <w:rsid w:val="009A0D8D"/>
    <w:rsid w:val="009A0E3A"/>
    <w:rsid w:val="009A106E"/>
    <w:rsid w:val="009A10D5"/>
    <w:rsid w:val="009A12BE"/>
    <w:rsid w:val="009A14D3"/>
    <w:rsid w:val="009A1A38"/>
    <w:rsid w:val="009A1BFA"/>
    <w:rsid w:val="009A1D0D"/>
    <w:rsid w:val="009A1E4C"/>
    <w:rsid w:val="009A211A"/>
    <w:rsid w:val="009A23E5"/>
    <w:rsid w:val="009A24B5"/>
    <w:rsid w:val="009A26A0"/>
    <w:rsid w:val="009A2A08"/>
    <w:rsid w:val="009A2DE5"/>
    <w:rsid w:val="009A3447"/>
    <w:rsid w:val="009A3D17"/>
    <w:rsid w:val="009A3D4A"/>
    <w:rsid w:val="009A3D72"/>
    <w:rsid w:val="009A3EC0"/>
    <w:rsid w:val="009A44DD"/>
    <w:rsid w:val="009A45C4"/>
    <w:rsid w:val="009A48B6"/>
    <w:rsid w:val="009A495E"/>
    <w:rsid w:val="009A4F7D"/>
    <w:rsid w:val="009A4FC0"/>
    <w:rsid w:val="009A5431"/>
    <w:rsid w:val="009A563C"/>
    <w:rsid w:val="009A5B99"/>
    <w:rsid w:val="009A655E"/>
    <w:rsid w:val="009A6603"/>
    <w:rsid w:val="009A6683"/>
    <w:rsid w:val="009A6725"/>
    <w:rsid w:val="009A6815"/>
    <w:rsid w:val="009A69F2"/>
    <w:rsid w:val="009A6BA2"/>
    <w:rsid w:val="009A6C7E"/>
    <w:rsid w:val="009A6D5B"/>
    <w:rsid w:val="009A6EE3"/>
    <w:rsid w:val="009A6F83"/>
    <w:rsid w:val="009A7025"/>
    <w:rsid w:val="009A720C"/>
    <w:rsid w:val="009A76AB"/>
    <w:rsid w:val="009A779C"/>
    <w:rsid w:val="009A7C09"/>
    <w:rsid w:val="009A7F96"/>
    <w:rsid w:val="009B033D"/>
    <w:rsid w:val="009B08D6"/>
    <w:rsid w:val="009B0949"/>
    <w:rsid w:val="009B0F80"/>
    <w:rsid w:val="009B12C4"/>
    <w:rsid w:val="009B1344"/>
    <w:rsid w:val="009B1357"/>
    <w:rsid w:val="009B1480"/>
    <w:rsid w:val="009B1505"/>
    <w:rsid w:val="009B165C"/>
    <w:rsid w:val="009B1686"/>
    <w:rsid w:val="009B1CBB"/>
    <w:rsid w:val="009B1D0C"/>
    <w:rsid w:val="009B1D2D"/>
    <w:rsid w:val="009B1E51"/>
    <w:rsid w:val="009B2188"/>
    <w:rsid w:val="009B262A"/>
    <w:rsid w:val="009B26C7"/>
    <w:rsid w:val="009B2756"/>
    <w:rsid w:val="009B28A3"/>
    <w:rsid w:val="009B28A6"/>
    <w:rsid w:val="009B2C8B"/>
    <w:rsid w:val="009B2FBA"/>
    <w:rsid w:val="009B35CD"/>
    <w:rsid w:val="009B38F5"/>
    <w:rsid w:val="009B3902"/>
    <w:rsid w:val="009B3AB2"/>
    <w:rsid w:val="009B3F2B"/>
    <w:rsid w:val="009B415A"/>
    <w:rsid w:val="009B4264"/>
    <w:rsid w:val="009B4303"/>
    <w:rsid w:val="009B4633"/>
    <w:rsid w:val="009B47F7"/>
    <w:rsid w:val="009B4856"/>
    <w:rsid w:val="009B4894"/>
    <w:rsid w:val="009B5092"/>
    <w:rsid w:val="009B54CB"/>
    <w:rsid w:val="009B5675"/>
    <w:rsid w:val="009B593C"/>
    <w:rsid w:val="009B5995"/>
    <w:rsid w:val="009B5AD7"/>
    <w:rsid w:val="009B5CBC"/>
    <w:rsid w:val="009B61F5"/>
    <w:rsid w:val="009B634B"/>
    <w:rsid w:val="009B6368"/>
    <w:rsid w:val="009B7052"/>
    <w:rsid w:val="009B7243"/>
    <w:rsid w:val="009B75DF"/>
    <w:rsid w:val="009B7958"/>
    <w:rsid w:val="009C01ED"/>
    <w:rsid w:val="009C026B"/>
    <w:rsid w:val="009C054F"/>
    <w:rsid w:val="009C0579"/>
    <w:rsid w:val="009C08A4"/>
    <w:rsid w:val="009C0BF9"/>
    <w:rsid w:val="009C0C37"/>
    <w:rsid w:val="009C0CC2"/>
    <w:rsid w:val="009C0D26"/>
    <w:rsid w:val="009C0D75"/>
    <w:rsid w:val="009C113C"/>
    <w:rsid w:val="009C137E"/>
    <w:rsid w:val="009C1404"/>
    <w:rsid w:val="009C157F"/>
    <w:rsid w:val="009C181D"/>
    <w:rsid w:val="009C18D0"/>
    <w:rsid w:val="009C1C11"/>
    <w:rsid w:val="009C1E6E"/>
    <w:rsid w:val="009C2256"/>
    <w:rsid w:val="009C259F"/>
    <w:rsid w:val="009C27D8"/>
    <w:rsid w:val="009C283C"/>
    <w:rsid w:val="009C2C96"/>
    <w:rsid w:val="009C2D94"/>
    <w:rsid w:val="009C302D"/>
    <w:rsid w:val="009C31D2"/>
    <w:rsid w:val="009C354F"/>
    <w:rsid w:val="009C368B"/>
    <w:rsid w:val="009C3699"/>
    <w:rsid w:val="009C38F2"/>
    <w:rsid w:val="009C3AE7"/>
    <w:rsid w:val="009C3DA8"/>
    <w:rsid w:val="009C3DDD"/>
    <w:rsid w:val="009C4471"/>
    <w:rsid w:val="009C45E0"/>
    <w:rsid w:val="009C47C6"/>
    <w:rsid w:val="009C482E"/>
    <w:rsid w:val="009C5215"/>
    <w:rsid w:val="009C52F8"/>
    <w:rsid w:val="009C5696"/>
    <w:rsid w:val="009C5A9A"/>
    <w:rsid w:val="009C5E59"/>
    <w:rsid w:val="009C6089"/>
    <w:rsid w:val="009C6258"/>
    <w:rsid w:val="009C6275"/>
    <w:rsid w:val="009C69DD"/>
    <w:rsid w:val="009C6B29"/>
    <w:rsid w:val="009C7726"/>
    <w:rsid w:val="009C7E2B"/>
    <w:rsid w:val="009D00F8"/>
    <w:rsid w:val="009D01F4"/>
    <w:rsid w:val="009D0907"/>
    <w:rsid w:val="009D0EF3"/>
    <w:rsid w:val="009D107A"/>
    <w:rsid w:val="009D171A"/>
    <w:rsid w:val="009D2314"/>
    <w:rsid w:val="009D24DC"/>
    <w:rsid w:val="009D27F9"/>
    <w:rsid w:val="009D2F64"/>
    <w:rsid w:val="009D2FD2"/>
    <w:rsid w:val="009D32C1"/>
    <w:rsid w:val="009D3431"/>
    <w:rsid w:val="009D3452"/>
    <w:rsid w:val="009D3552"/>
    <w:rsid w:val="009D3861"/>
    <w:rsid w:val="009D3DD1"/>
    <w:rsid w:val="009D4181"/>
    <w:rsid w:val="009D4459"/>
    <w:rsid w:val="009D4D0D"/>
    <w:rsid w:val="009D4FA2"/>
    <w:rsid w:val="009D4FE3"/>
    <w:rsid w:val="009D537C"/>
    <w:rsid w:val="009D56DB"/>
    <w:rsid w:val="009D59FB"/>
    <w:rsid w:val="009D5B00"/>
    <w:rsid w:val="009D5EBE"/>
    <w:rsid w:val="009D5F79"/>
    <w:rsid w:val="009D66D1"/>
    <w:rsid w:val="009D6A00"/>
    <w:rsid w:val="009D6B7F"/>
    <w:rsid w:val="009D7147"/>
    <w:rsid w:val="009D718B"/>
    <w:rsid w:val="009D7605"/>
    <w:rsid w:val="009D779E"/>
    <w:rsid w:val="009D7E1B"/>
    <w:rsid w:val="009D7EAD"/>
    <w:rsid w:val="009E002A"/>
    <w:rsid w:val="009E00B1"/>
    <w:rsid w:val="009E0482"/>
    <w:rsid w:val="009E07F2"/>
    <w:rsid w:val="009E08DE"/>
    <w:rsid w:val="009E0900"/>
    <w:rsid w:val="009E0964"/>
    <w:rsid w:val="009E0AD9"/>
    <w:rsid w:val="009E0CD3"/>
    <w:rsid w:val="009E0ECA"/>
    <w:rsid w:val="009E154D"/>
    <w:rsid w:val="009E164F"/>
    <w:rsid w:val="009E1804"/>
    <w:rsid w:val="009E1B1E"/>
    <w:rsid w:val="009E1D95"/>
    <w:rsid w:val="009E1DCE"/>
    <w:rsid w:val="009E1E89"/>
    <w:rsid w:val="009E1F21"/>
    <w:rsid w:val="009E2BAA"/>
    <w:rsid w:val="009E2BC1"/>
    <w:rsid w:val="009E2CA4"/>
    <w:rsid w:val="009E2E02"/>
    <w:rsid w:val="009E3385"/>
    <w:rsid w:val="009E35FD"/>
    <w:rsid w:val="009E392A"/>
    <w:rsid w:val="009E3ACC"/>
    <w:rsid w:val="009E3B35"/>
    <w:rsid w:val="009E3F87"/>
    <w:rsid w:val="009E40A9"/>
    <w:rsid w:val="009E4662"/>
    <w:rsid w:val="009E4771"/>
    <w:rsid w:val="009E4ABD"/>
    <w:rsid w:val="009E502D"/>
    <w:rsid w:val="009E53DA"/>
    <w:rsid w:val="009E557B"/>
    <w:rsid w:val="009E55D3"/>
    <w:rsid w:val="009E5FCA"/>
    <w:rsid w:val="009E6082"/>
    <w:rsid w:val="009E60DF"/>
    <w:rsid w:val="009E6277"/>
    <w:rsid w:val="009E64D4"/>
    <w:rsid w:val="009E6927"/>
    <w:rsid w:val="009E6B19"/>
    <w:rsid w:val="009E7039"/>
    <w:rsid w:val="009E756B"/>
    <w:rsid w:val="009E7627"/>
    <w:rsid w:val="009E78CA"/>
    <w:rsid w:val="009E7C17"/>
    <w:rsid w:val="009E7E6E"/>
    <w:rsid w:val="009E7F91"/>
    <w:rsid w:val="009F01EB"/>
    <w:rsid w:val="009F04B2"/>
    <w:rsid w:val="009F1574"/>
    <w:rsid w:val="009F15B8"/>
    <w:rsid w:val="009F15CC"/>
    <w:rsid w:val="009F1A1E"/>
    <w:rsid w:val="009F1ACB"/>
    <w:rsid w:val="009F1E68"/>
    <w:rsid w:val="009F1EF2"/>
    <w:rsid w:val="009F2120"/>
    <w:rsid w:val="009F2295"/>
    <w:rsid w:val="009F2382"/>
    <w:rsid w:val="009F2EA0"/>
    <w:rsid w:val="009F3270"/>
    <w:rsid w:val="009F33C2"/>
    <w:rsid w:val="009F3459"/>
    <w:rsid w:val="009F34A4"/>
    <w:rsid w:val="009F34E6"/>
    <w:rsid w:val="009F3593"/>
    <w:rsid w:val="009F375E"/>
    <w:rsid w:val="009F3F9C"/>
    <w:rsid w:val="009F42C5"/>
    <w:rsid w:val="009F433A"/>
    <w:rsid w:val="009F456A"/>
    <w:rsid w:val="009F4B12"/>
    <w:rsid w:val="009F4B90"/>
    <w:rsid w:val="009F4EB0"/>
    <w:rsid w:val="009F5170"/>
    <w:rsid w:val="009F5E75"/>
    <w:rsid w:val="009F5E79"/>
    <w:rsid w:val="009F6020"/>
    <w:rsid w:val="009F60AD"/>
    <w:rsid w:val="009F610E"/>
    <w:rsid w:val="009F6344"/>
    <w:rsid w:val="009F639D"/>
    <w:rsid w:val="009F6577"/>
    <w:rsid w:val="009F65C2"/>
    <w:rsid w:val="009F6885"/>
    <w:rsid w:val="009F6897"/>
    <w:rsid w:val="009F6A89"/>
    <w:rsid w:val="009F6BDA"/>
    <w:rsid w:val="009F6D44"/>
    <w:rsid w:val="009F6D8E"/>
    <w:rsid w:val="009F6E52"/>
    <w:rsid w:val="009F70E8"/>
    <w:rsid w:val="009F720D"/>
    <w:rsid w:val="009F726E"/>
    <w:rsid w:val="009F732A"/>
    <w:rsid w:val="009F73B1"/>
    <w:rsid w:val="009F75C4"/>
    <w:rsid w:val="009F79BE"/>
    <w:rsid w:val="009F7A71"/>
    <w:rsid w:val="009F7D97"/>
    <w:rsid w:val="00A00097"/>
    <w:rsid w:val="00A0070E"/>
    <w:rsid w:val="00A0077F"/>
    <w:rsid w:val="00A007E6"/>
    <w:rsid w:val="00A00FC5"/>
    <w:rsid w:val="00A01412"/>
    <w:rsid w:val="00A015F0"/>
    <w:rsid w:val="00A018D8"/>
    <w:rsid w:val="00A01E14"/>
    <w:rsid w:val="00A01F9D"/>
    <w:rsid w:val="00A01FA2"/>
    <w:rsid w:val="00A021A7"/>
    <w:rsid w:val="00A02534"/>
    <w:rsid w:val="00A02653"/>
    <w:rsid w:val="00A02BFD"/>
    <w:rsid w:val="00A0344A"/>
    <w:rsid w:val="00A0377B"/>
    <w:rsid w:val="00A03DE6"/>
    <w:rsid w:val="00A0404A"/>
    <w:rsid w:val="00A043E2"/>
    <w:rsid w:val="00A04777"/>
    <w:rsid w:val="00A047D4"/>
    <w:rsid w:val="00A047DC"/>
    <w:rsid w:val="00A04CE5"/>
    <w:rsid w:val="00A04E22"/>
    <w:rsid w:val="00A0534A"/>
    <w:rsid w:val="00A055EE"/>
    <w:rsid w:val="00A055F4"/>
    <w:rsid w:val="00A056D9"/>
    <w:rsid w:val="00A05E0E"/>
    <w:rsid w:val="00A05E50"/>
    <w:rsid w:val="00A06023"/>
    <w:rsid w:val="00A0654E"/>
    <w:rsid w:val="00A06764"/>
    <w:rsid w:val="00A06848"/>
    <w:rsid w:val="00A0690D"/>
    <w:rsid w:val="00A069EF"/>
    <w:rsid w:val="00A06A08"/>
    <w:rsid w:val="00A06AD0"/>
    <w:rsid w:val="00A06DB3"/>
    <w:rsid w:val="00A06ECB"/>
    <w:rsid w:val="00A07030"/>
    <w:rsid w:val="00A0705C"/>
    <w:rsid w:val="00A073B7"/>
    <w:rsid w:val="00A07440"/>
    <w:rsid w:val="00A0748E"/>
    <w:rsid w:val="00A076C8"/>
    <w:rsid w:val="00A07866"/>
    <w:rsid w:val="00A07BAC"/>
    <w:rsid w:val="00A07D3F"/>
    <w:rsid w:val="00A07F5B"/>
    <w:rsid w:val="00A07F6B"/>
    <w:rsid w:val="00A07F75"/>
    <w:rsid w:val="00A1004A"/>
    <w:rsid w:val="00A1021D"/>
    <w:rsid w:val="00A1037E"/>
    <w:rsid w:val="00A10BCF"/>
    <w:rsid w:val="00A10ECB"/>
    <w:rsid w:val="00A10F18"/>
    <w:rsid w:val="00A1138B"/>
    <w:rsid w:val="00A113C6"/>
    <w:rsid w:val="00A1178C"/>
    <w:rsid w:val="00A11828"/>
    <w:rsid w:val="00A11A76"/>
    <w:rsid w:val="00A11B54"/>
    <w:rsid w:val="00A11EC5"/>
    <w:rsid w:val="00A1239D"/>
    <w:rsid w:val="00A123BE"/>
    <w:rsid w:val="00A1284A"/>
    <w:rsid w:val="00A129AF"/>
    <w:rsid w:val="00A12AD8"/>
    <w:rsid w:val="00A12CBD"/>
    <w:rsid w:val="00A12EC7"/>
    <w:rsid w:val="00A131C1"/>
    <w:rsid w:val="00A13965"/>
    <w:rsid w:val="00A139BC"/>
    <w:rsid w:val="00A14877"/>
    <w:rsid w:val="00A14933"/>
    <w:rsid w:val="00A1493D"/>
    <w:rsid w:val="00A14BFB"/>
    <w:rsid w:val="00A14F45"/>
    <w:rsid w:val="00A151ED"/>
    <w:rsid w:val="00A15223"/>
    <w:rsid w:val="00A152B2"/>
    <w:rsid w:val="00A153B5"/>
    <w:rsid w:val="00A153ED"/>
    <w:rsid w:val="00A1555D"/>
    <w:rsid w:val="00A16653"/>
    <w:rsid w:val="00A166A1"/>
    <w:rsid w:val="00A166FE"/>
    <w:rsid w:val="00A167A6"/>
    <w:rsid w:val="00A167C6"/>
    <w:rsid w:val="00A16E0E"/>
    <w:rsid w:val="00A16FC7"/>
    <w:rsid w:val="00A16FCA"/>
    <w:rsid w:val="00A171B2"/>
    <w:rsid w:val="00A1723B"/>
    <w:rsid w:val="00A20075"/>
    <w:rsid w:val="00A205F8"/>
    <w:rsid w:val="00A20AC9"/>
    <w:rsid w:val="00A211EF"/>
    <w:rsid w:val="00A21F22"/>
    <w:rsid w:val="00A2205C"/>
    <w:rsid w:val="00A22571"/>
    <w:rsid w:val="00A227C1"/>
    <w:rsid w:val="00A22BB0"/>
    <w:rsid w:val="00A23002"/>
    <w:rsid w:val="00A23121"/>
    <w:rsid w:val="00A23538"/>
    <w:rsid w:val="00A23778"/>
    <w:rsid w:val="00A24463"/>
    <w:rsid w:val="00A2463C"/>
    <w:rsid w:val="00A2465E"/>
    <w:rsid w:val="00A24A96"/>
    <w:rsid w:val="00A24BAD"/>
    <w:rsid w:val="00A25006"/>
    <w:rsid w:val="00A2534B"/>
    <w:rsid w:val="00A25A5E"/>
    <w:rsid w:val="00A25B5E"/>
    <w:rsid w:val="00A25FDB"/>
    <w:rsid w:val="00A26053"/>
    <w:rsid w:val="00A2662F"/>
    <w:rsid w:val="00A2699D"/>
    <w:rsid w:val="00A26C6A"/>
    <w:rsid w:val="00A26E24"/>
    <w:rsid w:val="00A26F4C"/>
    <w:rsid w:val="00A27529"/>
    <w:rsid w:val="00A27544"/>
    <w:rsid w:val="00A27581"/>
    <w:rsid w:val="00A27766"/>
    <w:rsid w:val="00A27896"/>
    <w:rsid w:val="00A27898"/>
    <w:rsid w:val="00A278DE"/>
    <w:rsid w:val="00A279DF"/>
    <w:rsid w:val="00A27D48"/>
    <w:rsid w:val="00A30019"/>
    <w:rsid w:val="00A3001F"/>
    <w:rsid w:val="00A305EF"/>
    <w:rsid w:val="00A3093C"/>
    <w:rsid w:val="00A30DC9"/>
    <w:rsid w:val="00A310F1"/>
    <w:rsid w:val="00A310FF"/>
    <w:rsid w:val="00A3112F"/>
    <w:rsid w:val="00A3125A"/>
    <w:rsid w:val="00A3142B"/>
    <w:rsid w:val="00A31677"/>
    <w:rsid w:val="00A31782"/>
    <w:rsid w:val="00A317B6"/>
    <w:rsid w:val="00A3192C"/>
    <w:rsid w:val="00A319CA"/>
    <w:rsid w:val="00A319DC"/>
    <w:rsid w:val="00A32977"/>
    <w:rsid w:val="00A329F7"/>
    <w:rsid w:val="00A32E1F"/>
    <w:rsid w:val="00A3314A"/>
    <w:rsid w:val="00A33317"/>
    <w:rsid w:val="00A335C6"/>
    <w:rsid w:val="00A33B6B"/>
    <w:rsid w:val="00A33C27"/>
    <w:rsid w:val="00A33D68"/>
    <w:rsid w:val="00A33D80"/>
    <w:rsid w:val="00A34136"/>
    <w:rsid w:val="00A341AC"/>
    <w:rsid w:val="00A3434F"/>
    <w:rsid w:val="00A343B5"/>
    <w:rsid w:val="00A34505"/>
    <w:rsid w:val="00A34604"/>
    <w:rsid w:val="00A34AB9"/>
    <w:rsid w:val="00A34B48"/>
    <w:rsid w:val="00A34DD6"/>
    <w:rsid w:val="00A34F48"/>
    <w:rsid w:val="00A34F58"/>
    <w:rsid w:val="00A34FE5"/>
    <w:rsid w:val="00A35E42"/>
    <w:rsid w:val="00A36075"/>
    <w:rsid w:val="00A365B5"/>
    <w:rsid w:val="00A36796"/>
    <w:rsid w:val="00A36A8B"/>
    <w:rsid w:val="00A36BC3"/>
    <w:rsid w:val="00A36FE8"/>
    <w:rsid w:val="00A37138"/>
    <w:rsid w:val="00A37576"/>
    <w:rsid w:val="00A3777A"/>
    <w:rsid w:val="00A37A6B"/>
    <w:rsid w:val="00A4021A"/>
    <w:rsid w:val="00A4024B"/>
    <w:rsid w:val="00A405CC"/>
    <w:rsid w:val="00A40642"/>
    <w:rsid w:val="00A4094F"/>
    <w:rsid w:val="00A4104B"/>
    <w:rsid w:val="00A414FC"/>
    <w:rsid w:val="00A41F87"/>
    <w:rsid w:val="00A41FA0"/>
    <w:rsid w:val="00A4210D"/>
    <w:rsid w:val="00A42173"/>
    <w:rsid w:val="00A421C4"/>
    <w:rsid w:val="00A424EC"/>
    <w:rsid w:val="00A4261E"/>
    <w:rsid w:val="00A42A98"/>
    <w:rsid w:val="00A4314E"/>
    <w:rsid w:val="00A43523"/>
    <w:rsid w:val="00A435B3"/>
    <w:rsid w:val="00A43707"/>
    <w:rsid w:val="00A437B6"/>
    <w:rsid w:val="00A43C4C"/>
    <w:rsid w:val="00A43E44"/>
    <w:rsid w:val="00A44A7D"/>
    <w:rsid w:val="00A44C8E"/>
    <w:rsid w:val="00A45057"/>
    <w:rsid w:val="00A4517F"/>
    <w:rsid w:val="00A45B69"/>
    <w:rsid w:val="00A45DBE"/>
    <w:rsid w:val="00A46AAD"/>
    <w:rsid w:val="00A46BE8"/>
    <w:rsid w:val="00A470BE"/>
    <w:rsid w:val="00A47788"/>
    <w:rsid w:val="00A47BD7"/>
    <w:rsid w:val="00A47C29"/>
    <w:rsid w:val="00A47EE2"/>
    <w:rsid w:val="00A47FC2"/>
    <w:rsid w:val="00A50348"/>
    <w:rsid w:val="00A50625"/>
    <w:rsid w:val="00A50F63"/>
    <w:rsid w:val="00A5104C"/>
    <w:rsid w:val="00A5127A"/>
    <w:rsid w:val="00A51320"/>
    <w:rsid w:val="00A513D2"/>
    <w:rsid w:val="00A5150E"/>
    <w:rsid w:val="00A51E89"/>
    <w:rsid w:val="00A52096"/>
    <w:rsid w:val="00A52551"/>
    <w:rsid w:val="00A526A3"/>
    <w:rsid w:val="00A526B0"/>
    <w:rsid w:val="00A5275D"/>
    <w:rsid w:val="00A527B4"/>
    <w:rsid w:val="00A52C6C"/>
    <w:rsid w:val="00A52E02"/>
    <w:rsid w:val="00A52E60"/>
    <w:rsid w:val="00A53068"/>
    <w:rsid w:val="00A533CD"/>
    <w:rsid w:val="00A53636"/>
    <w:rsid w:val="00A5389F"/>
    <w:rsid w:val="00A53BA8"/>
    <w:rsid w:val="00A54660"/>
    <w:rsid w:val="00A547A7"/>
    <w:rsid w:val="00A54E91"/>
    <w:rsid w:val="00A54F00"/>
    <w:rsid w:val="00A54FC8"/>
    <w:rsid w:val="00A550DA"/>
    <w:rsid w:val="00A5561E"/>
    <w:rsid w:val="00A55A44"/>
    <w:rsid w:val="00A55C5A"/>
    <w:rsid w:val="00A55DF8"/>
    <w:rsid w:val="00A55FEE"/>
    <w:rsid w:val="00A56877"/>
    <w:rsid w:val="00A56ED8"/>
    <w:rsid w:val="00A5719C"/>
    <w:rsid w:val="00A576B4"/>
    <w:rsid w:val="00A57732"/>
    <w:rsid w:val="00A6005F"/>
    <w:rsid w:val="00A60410"/>
    <w:rsid w:val="00A606D2"/>
    <w:rsid w:val="00A60AC5"/>
    <w:rsid w:val="00A60B7E"/>
    <w:rsid w:val="00A60C09"/>
    <w:rsid w:val="00A60EE4"/>
    <w:rsid w:val="00A6100D"/>
    <w:rsid w:val="00A61127"/>
    <w:rsid w:val="00A612AC"/>
    <w:rsid w:val="00A617C5"/>
    <w:rsid w:val="00A61A29"/>
    <w:rsid w:val="00A61A93"/>
    <w:rsid w:val="00A61CAC"/>
    <w:rsid w:val="00A62385"/>
    <w:rsid w:val="00A625C3"/>
    <w:rsid w:val="00A62982"/>
    <w:rsid w:val="00A62C72"/>
    <w:rsid w:val="00A62E2C"/>
    <w:rsid w:val="00A630EA"/>
    <w:rsid w:val="00A63425"/>
    <w:rsid w:val="00A63515"/>
    <w:rsid w:val="00A636C9"/>
    <w:rsid w:val="00A637C0"/>
    <w:rsid w:val="00A6382D"/>
    <w:rsid w:val="00A63CA4"/>
    <w:rsid w:val="00A6418B"/>
    <w:rsid w:val="00A64465"/>
    <w:rsid w:val="00A646A0"/>
    <w:rsid w:val="00A6490D"/>
    <w:rsid w:val="00A64CB8"/>
    <w:rsid w:val="00A64F0E"/>
    <w:rsid w:val="00A65170"/>
    <w:rsid w:val="00A652F0"/>
    <w:rsid w:val="00A6559F"/>
    <w:rsid w:val="00A65871"/>
    <w:rsid w:val="00A658DD"/>
    <w:rsid w:val="00A6594D"/>
    <w:rsid w:val="00A65E44"/>
    <w:rsid w:val="00A65ED2"/>
    <w:rsid w:val="00A6636F"/>
    <w:rsid w:val="00A66423"/>
    <w:rsid w:val="00A666BF"/>
    <w:rsid w:val="00A6686E"/>
    <w:rsid w:val="00A67060"/>
    <w:rsid w:val="00A67245"/>
    <w:rsid w:val="00A67267"/>
    <w:rsid w:val="00A6743D"/>
    <w:rsid w:val="00A676B8"/>
    <w:rsid w:val="00A677A8"/>
    <w:rsid w:val="00A678E1"/>
    <w:rsid w:val="00A67D81"/>
    <w:rsid w:val="00A70C3A"/>
    <w:rsid w:val="00A70C4C"/>
    <w:rsid w:val="00A7224C"/>
    <w:rsid w:val="00A7229F"/>
    <w:rsid w:val="00A7324D"/>
    <w:rsid w:val="00A7335E"/>
    <w:rsid w:val="00A73E72"/>
    <w:rsid w:val="00A74051"/>
    <w:rsid w:val="00A74128"/>
    <w:rsid w:val="00A741A3"/>
    <w:rsid w:val="00A7434F"/>
    <w:rsid w:val="00A74538"/>
    <w:rsid w:val="00A746A7"/>
    <w:rsid w:val="00A74754"/>
    <w:rsid w:val="00A74961"/>
    <w:rsid w:val="00A751E9"/>
    <w:rsid w:val="00A754F2"/>
    <w:rsid w:val="00A7588B"/>
    <w:rsid w:val="00A75AB2"/>
    <w:rsid w:val="00A75D63"/>
    <w:rsid w:val="00A75E73"/>
    <w:rsid w:val="00A766C6"/>
    <w:rsid w:val="00A76950"/>
    <w:rsid w:val="00A7700C"/>
    <w:rsid w:val="00A77200"/>
    <w:rsid w:val="00A774BA"/>
    <w:rsid w:val="00A779D6"/>
    <w:rsid w:val="00A77BE1"/>
    <w:rsid w:val="00A77FE0"/>
    <w:rsid w:val="00A806A4"/>
    <w:rsid w:val="00A80994"/>
    <w:rsid w:val="00A80EEC"/>
    <w:rsid w:val="00A81064"/>
    <w:rsid w:val="00A810D7"/>
    <w:rsid w:val="00A81184"/>
    <w:rsid w:val="00A81231"/>
    <w:rsid w:val="00A814F9"/>
    <w:rsid w:val="00A81A5D"/>
    <w:rsid w:val="00A81AAE"/>
    <w:rsid w:val="00A81DD4"/>
    <w:rsid w:val="00A8215C"/>
    <w:rsid w:val="00A82302"/>
    <w:rsid w:val="00A82951"/>
    <w:rsid w:val="00A8298C"/>
    <w:rsid w:val="00A82D4D"/>
    <w:rsid w:val="00A833F6"/>
    <w:rsid w:val="00A834D7"/>
    <w:rsid w:val="00A83857"/>
    <w:rsid w:val="00A83887"/>
    <w:rsid w:val="00A83A05"/>
    <w:rsid w:val="00A83A92"/>
    <w:rsid w:val="00A841AE"/>
    <w:rsid w:val="00A8439A"/>
    <w:rsid w:val="00A8457E"/>
    <w:rsid w:val="00A8463A"/>
    <w:rsid w:val="00A846F1"/>
    <w:rsid w:val="00A84928"/>
    <w:rsid w:val="00A84D00"/>
    <w:rsid w:val="00A84EF0"/>
    <w:rsid w:val="00A85368"/>
    <w:rsid w:val="00A8536F"/>
    <w:rsid w:val="00A85695"/>
    <w:rsid w:val="00A856C3"/>
    <w:rsid w:val="00A85D39"/>
    <w:rsid w:val="00A85F29"/>
    <w:rsid w:val="00A86340"/>
    <w:rsid w:val="00A863DB"/>
    <w:rsid w:val="00A867A9"/>
    <w:rsid w:val="00A86EED"/>
    <w:rsid w:val="00A87064"/>
    <w:rsid w:val="00A8729F"/>
    <w:rsid w:val="00A8735F"/>
    <w:rsid w:val="00A87549"/>
    <w:rsid w:val="00A875EE"/>
    <w:rsid w:val="00A87911"/>
    <w:rsid w:val="00A879C4"/>
    <w:rsid w:val="00A87D11"/>
    <w:rsid w:val="00A87E98"/>
    <w:rsid w:val="00A87F2E"/>
    <w:rsid w:val="00A9006C"/>
    <w:rsid w:val="00A904E2"/>
    <w:rsid w:val="00A9092B"/>
    <w:rsid w:val="00A90B39"/>
    <w:rsid w:val="00A9148A"/>
    <w:rsid w:val="00A9160E"/>
    <w:rsid w:val="00A91964"/>
    <w:rsid w:val="00A920CF"/>
    <w:rsid w:val="00A92324"/>
    <w:rsid w:val="00A924EF"/>
    <w:rsid w:val="00A92CAF"/>
    <w:rsid w:val="00A92CE9"/>
    <w:rsid w:val="00A92D07"/>
    <w:rsid w:val="00A9338D"/>
    <w:rsid w:val="00A9395C"/>
    <w:rsid w:val="00A93D89"/>
    <w:rsid w:val="00A93DC2"/>
    <w:rsid w:val="00A9404C"/>
    <w:rsid w:val="00A942C5"/>
    <w:rsid w:val="00A942F0"/>
    <w:rsid w:val="00A9495E"/>
    <w:rsid w:val="00A94D28"/>
    <w:rsid w:val="00A94D32"/>
    <w:rsid w:val="00A94F5B"/>
    <w:rsid w:val="00A95197"/>
    <w:rsid w:val="00A95317"/>
    <w:rsid w:val="00A95399"/>
    <w:rsid w:val="00A95A64"/>
    <w:rsid w:val="00A9654E"/>
    <w:rsid w:val="00A96B83"/>
    <w:rsid w:val="00A96BCF"/>
    <w:rsid w:val="00A96DFB"/>
    <w:rsid w:val="00A96F1A"/>
    <w:rsid w:val="00A97360"/>
    <w:rsid w:val="00A97397"/>
    <w:rsid w:val="00A9753E"/>
    <w:rsid w:val="00A977A3"/>
    <w:rsid w:val="00A97964"/>
    <w:rsid w:val="00A97D39"/>
    <w:rsid w:val="00AA01BC"/>
    <w:rsid w:val="00AA0501"/>
    <w:rsid w:val="00AA06B8"/>
    <w:rsid w:val="00AA09C8"/>
    <w:rsid w:val="00AA12A2"/>
    <w:rsid w:val="00AA1885"/>
    <w:rsid w:val="00AA2059"/>
    <w:rsid w:val="00AA278E"/>
    <w:rsid w:val="00AA29A8"/>
    <w:rsid w:val="00AA29AB"/>
    <w:rsid w:val="00AA2BA3"/>
    <w:rsid w:val="00AA2FB3"/>
    <w:rsid w:val="00AA311B"/>
    <w:rsid w:val="00AA3540"/>
    <w:rsid w:val="00AA3552"/>
    <w:rsid w:val="00AA3CD2"/>
    <w:rsid w:val="00AA3EEB"/>
    <w:rsid w:val="00AA3FBA"/>
    <w:rsid w:val="00AA4094"/>
    <w:rsid w:val="00AA4208"/>
    <w:rsid w:val="00AA4521"/>
    <w:rsid w:val="00AA45F3"/>
    <w:rsid w:val="00AA4623"/>
    <w:rsid w:val="00AA4655"/>
    <w:rsid w:val="00AA46E1"/>
    <w:rsid w:val="00AA48B7"/>
    <w:rsid w:val="00AA5194"/>
    <w:rsid w:val="00AA5305"/>
    <w:rsid w:val="00AA5C00"/>
    <w:rsid w:val="00AA6155"/>
    <w:rsid w:val="00AA62BA"/>
    <w:rsid w:val="00AA62D2"/>
    <w:rsid w:val="00AA6F51"/>
    <w:rsid w:val="00AA705C"/>
    <w:rsid w:val="00AA7198"/>
    <w:rsid w:val="00AA73A2"/>
    <w:rsid w:val="00AA7B03"/>
    <w:rsid w:val="00AA7BF7"/>
    <w:rsid w:val="00AA7D40"/>
    <w:rsid w:val="00AB019B"/>
    <w:rsid w:val="00AB03A3"/>
    <w:rsid w:val="00AB0751"/>
    <w:rsid w:val="00AB0896"/>
    <w:rsid w:val="00AB08D6"/>
    <w:rsid w:val="00AB1573"/>
    <w:rsid w:val="00AB16D5"/>
    <w:rsid w:val="00AB16F6"/>
    <w:rsid w:val="00AB17CA"/>
    <w:rsid w:val="00AB1B5B"/>
    <w:rsid w:val="00AB1C76"/>
    <w:rsid w:val="00AB1EEB"/>
    <w:rsid w:val="00AB215E"/>
    <w:rsid w:val="00AB21FC"/>
    <w:rsid w:val="00AB2399"/>
    <w:rsid w:val="00AB2439"/>
    <w:rsid w:val="00AB2568"/>
    <w:rsid w:val="00AB29A7"/>
    <w:rsid w:val="00AB2A71"/>
    <w:rsid w:val="00AB2D37"/>
    <w:rsid w:val="00AB2DA2"/>
    <w:rsid w:val="00AB333E"/>
    <w:rsid w:val="00AB362C"/>
    <w:rsid w:val="00AB3751"/>
    <w:rsid w:val="00AB3835"/>
    <w:rsid w:val="00AB3B84"/>
    <w:rsid w:val="00AB3C42"/>
    <w:rsid w:val="00AB3C98"/>
    <w:rsid w:val="00AB42F7"/>
    <w:rsid w:val="00AB45C2"/>
    <w:rsid w:val="00AB47CE"/>
    <w:rsid w:val="00AB48E8"/>
    <w:rsid w:val="00AB4AE6"/>
    <w:rsid w:val="00AB4DEA"/>
    <w:rsid w:val="00AB4E76"/>
    <w:rsid w:val="00AB4E8D"/>
    <w:rsid w:val="00AB5234"/>
    <w:rsid w:val="00AB5383"/>
    <w:rsid w:val="00AB55A2"/>
    <w:rsid w:val="00AB5BEA"/>
    <w:rsid w:val="00AB5CD2"/>
    <w:rsid w:val="00AB5D9E"/>
    <w:rsid w:val="00AB5E8F"/>
    <w:rsid w:val="00AB5EC5"/>
    <w:rsid w:val="00AB5F48"/>
    <w:rsid w:val="00AB6167"/>
    <w:rsid w:val="00AB61B8"/>
    <w:rsid w:val="00AB61E9"/>
    <w:rsid w:val="00AB6381"/>
    <w:rsid w:val="00AB6890"/>
    <w:rsid w:val="00AB6960"/>
    <w:rsid w:val="00AB6A8F"/>
    <w:rsid w:val="00AB6A9A"/>
    <w:rsid w:val="00AB6AC2"/>
    <w:rsid w:val="00AB6EC0"/>
    <w:rsid w:val="00AB78DC"/>
    <w:rsid w:val="00AB7AB5"/>
    <w:rsid w:val="00AB7AE6"/>
    <w:rsid w:val="00AB7B89"/>
    <w:rsid w:val="00AB7DE2"/>
    <w:rsid w:val="00AB7FC8"/>
    <w:rsid w:val="00AC0270"/>
    <w:rsid w:val="00AC0BFD"/>
    <w:rsid w:val="00AC0CA8"/>
    <w:rsid w:val="00AC0F60"/>
    <w:rsid w:val="00AC15CF"/>
    <w:rsid w:val="00AC1AC3"/>
    <w:rsid w:val="00AC1B24"/>
    <w:rsid w:val="00AC1D7D"/>
    <w:rsid w:val="00AC1DBB"/>
    <w:rsid w:val="00AC23CE"/>
    <w:rsid w:val="00AC2FCD"/>
    <w:rsid w:val="00AC315D"/>
    <w:rsid w:val="00AC369C"/>
    <w:rsid w:val="00AC373B"/>
    <w:rsid w:val="00AC3756"/>
    <w:rsid w:val="00AC3893"/>
    <w:rsid w:val="00AC394C"/>
    <w:rsid w:val="00AC3FA7"/>
    <w:rsid w:val="00AC40F2"/>
    <w:rsid w:val="00AC4175"/>
    <w:rsid w:val="00AC51A4"/>
    <w:rsid w:val="00AC5241"/>
    <w:rsid w:val="00AC5393"/>
    <w:rsid w:val="00AC53FD"/>
    <w:rsid w:val="00AC5953"/>
    <w:rsid w:val="00AC5A53"/>
    <w:rsid w:val="00AC5C50"/>
    <w:rsid w:val="00AC6375"/>
    <w:rsid w:val="00AC6590"/>
    <w:rsid w:val="00AC669C"/>
    <w:rsid w:val="00AC66BD"/>
    <w:rsid w:val="00AC6F37"/>
    <w:rsid w:val="00AC754B"/>
    <w:rsid w:val="00AC7BA6"/>
    <w:rsid w:val="00AC7FDB"/>
    <w:rsid w:val="00AD03BB"/>
    <w:rsid w:val="00AD0BE5"/>
    <w:rsid w:val="00AD10F7"/>
    <w:rsid w:val="00AD141E"/>
    <w:rsid w:val="00AD149E"/>
    <w:rsid w:val="00AD15B0"/>
    <w:rsid w:val="00AD177E"/>
    <w:rsid w:val="00AD19FA"/>
    <w:rsid w:val="00AD1B07"/>
    <w:rsid w:val="00AD1BD1"/>
    <w:rsid w:val="00AD1C63"/>
    <w:rsid w:val="00AD2056"/>
    <w:rsid w:val="00AD228A"/>
    <w:rsid w:val="00AD2428"/>
    <w:rsid w:val="00AD25F0"/>
    <w:rsid w:val="00AD27C6"/>
    <w:rsid w:val="00AD2ABB"/>
    <w:rsid w:val="00AD2C06"/>
    <w:rsid w:val="00AD2CF3"/>
    <w:rsid w:val="00AD2D18"/>
    <w:rsid w:val="00AD2D86"/>
    <w:rsid w:val="00AD344E"/>
    <w:rsid w:val="00AD345F"/>
    <w:rsid w:val="00AD34FF"/>
    <w:rsid w:val="00AD35A7"/>
    <w:rsid w:val="00AD3C84"/>
    <w:rsid w:val="00AD3E6C"/>
    <w:rsid w:val="00AD3EFA"/>
    <w:rsid w:val="00AD4400"/>
    <w:rsid w:val="00AD4996"/>
    <w:rsid w:val="00AD542F"/>
    <w:rsid w:val="00AD5B7B"/>
    <w:rsid w:val="00AD5BD8"/>
    <w:rsid w:val="00AD5FA9"/>
    <w:rsid w:val="00AD610E"/>
    <w:rsid w:val="00AD6415"/>
    <w:rsid w:val="00AD6C97"/>
    <w:rsid w:val="00AD6DBA"/>
    <w:rsid w:val="00AD6FEC"/>
    <w:rsid w:val="00AD746F"/>
    <w:rsid w:val="00AD75E9"/>
    <w:rsid w:val="00AD7B25"/>
    <w:rsid w:val="00AE09E2"/>
    <w:rsid w:val="00AE0DF1"/>
    <w:rsid w:val="00AE1683"/>
    <w:rsid w:val="00AE18E0"/>
    <w:rsid w:val="00AE1C39"/>
    <w:rsid w:val="00AE2343"/>
    <w:rsid w:val="00AE2356"/>
    <w:rsid w:val="00AE235B"/>
    <w:rsid w:val="00AE25BE"/>
    <w:rsid w:val="00AE34D6"/>
    <w:rsid w:val="00AE3699"/>
    <w:rsid w:val="00AE371D"/>
    <w:rsid w:val="00AE38CA"/>
    <w:rsid w:val="00AE394F"/>
    <w:rsid w:val="00AE3AF1"/>
    <w:rsid w:val="00AE3C87"/>
    <w:rsid w:val="00AE3D2C"/>
    <w:rsid w:val="00AE4314"/>
    <w:rsid w:val="00AE43E3"/>
    <w:rsid w:val="00AE4562"/>
    <w:rsid w:val="00AE45D6"/>
    <w:rsid w:val="00AE4890"/>
    <w:rsid w:val="00AE497C"/>
    <w:rsid w:val="00AE4E58"/>
    <w:rsid w:val="00AE4EEB"/>
    <w:rsid w:val="00AE4FF5"/>
    <w:rsid w:val="00AE51EC"/>
    <w:rsid w:val="00AE60CA"/>
    <w:rsid w:val="00AE619E"/>
    <w:rsid w:val="00AE6269"/>
    <w:rsid w:val="00AE6541"/>
    <w:rsid w:val="00AE68D5"/>
    <w:rsid w:val="00AE69FC"/>
    <w:rsid w:val="00AE6C3A"/>
    <w:rsid w:val="00AE79FE"/>
    <w:rsid w:val="00AE7B0C"/>
    <w:rsid w:val="00AE7E06"/>
    <w:rsid w:val="00AE7E15"/>
    <w:rsid w:val="00AE7F7F"/>
    <w:rsid w:val="00AF0215"/>
    <w:rsid w:val="00AF0356"/>
    <w:rsid w:val="00AF0512"/>
    <w:rsid w:val="00AF0D69"/>
    <w:rsid w:val="00AF1058"/>
    <w:rsid w:val="00AF12A0"/>
    <w:rsid w:val="00AF1635"/>
    <w:rsid w:val="00AF19B2"/>
    <w:rsid w:val="00AF1D45"/>
    <w:rsid w:val="00AF20D0"/>
    <w:rsid w:val="00AF25B2"/>
    <w:rsid w:val="00AF280B"/>
    <w:rsid w:val="00AF2842"/>
    <w:rsid w:val="00AF2861"/>
    <w:rsid w:val="00AF2CF4"/>
    <w:rsid w:val="00AF2DA4"/>
    <w:rsid w:val="00AF2EB9"/>
    <w:rsid w:val="00AF2F20"/>
    <w:rsid w:val="00AF2F9A"/>
    <w:rsid w:val="00AF3D6C"/>
    <w:rsid w:val="00AF3E6E"/>
    <w:rsid w:val="00AF4000"/>
    <w:rsid w:val="00AF41EB"/>
    <w:rsid w:val="00AF4719"/>
    <w:rsid w:val="00AF4E4C"/>
    <w:rsid w:val="00AF4F11"/>
    <w:rsid w:val="00AF53BD"/>
    <w:rsid w:val="00AF5AC5"/>
    <w:rsid w:val="00AF5BFF"/>
    <w:rsid w:val="00AF5D10"/>
    <w:rsid w:val="00AF5E96"/>
    <w:rsid w:val="00AF6083"/>
    <w:rsid w:val="00AF6180"/>
    <w:rsid w:val="00AF6A81"/>
    <w:rsid w:val="00AF6B9F"/>
    <w:rsid w:val="00AF6D47"/>
    <w:rsid w:val="00AF7001"/>
    <w:rsid w:val="00AF72FE"/>
    <w:rsid w:val="00AF7D59"/>
    <w:rsid w:val="00B009CE"/>
    <w:rsid w:val="00B00B86"/>
    <w:rsid w:val="00B00BB5"/>
    <w:rsid w:val="00B00D4A"/>
    <w:rsid w:val="00B00DA6"/>
    <w:rsid w:val="00B01265"/>
    <w:rsid w:val="00B0197B"/>
    <w:rsid w:val="00B02196"/>
    <w:rsid w:val="00B02291"/>
    <w:rsid w:val="00B0231B"/>
    <w:rsid w:val="00B023E8"/>
    <w:rsid w:val="00B027DE"/>
    <w:rsid w:val="00B02953"/>
    <w:rsid w:val="00B0295B"/>
    <w:rsid w:val="00B02AFF"/>
    <w:rsid w:val="00B02BF1"/>
    <w:rsid w:val="00B02C11"/>
    <w:rsid w:val="00B02C5A"/>
    <w:rsid w:val="00B02FF7"/>
    <w:rsid w:val="00B03153"/>
    <w:rsid w:val="00B031C3"/>
    <w:rsid w:val="00B03672"/>
    <w:rsid w:val="00B03C74"/>
    <w:rsid w:val="00B03CF5"/>
    <w:rsid w:val="00B03DAE"/>
    <w:rsid w:val="00B0423E"/>
    <w:rsid w:val="00B046FE"/>
    <w:rsid w:val="00B04943"/>
    <w:rsid w:val="00B04949"/>
    <w:rsid w:val="00B04955"/>
    <w:rsid w:val="00B049C6"/>
    <w:rsid w:val="00B04E5F"/>
    <w:rsid w:val="00B04FE9"/>
    <w:rsid w:val="00B04FFF"/>
    <w:rsid w:val="00B055E7"/>
    <w:rsid w:val="00B059BE"/>
    <w:rsid w:val="00B05F08"/>
    <w:rsid w:val="00B06300"/>
    <w:rsid w:val="00B06463"/>
    <w:rsid w:val="00B06781"/>
    <w:rsid w:val="00B067BF"/>
    <w:rsid w:val="00B06962"/>
    <w:rsid w:val="00B06B2E"/>
    <w:rsid w:val="00B072C8"/>
    <w:rsid w:val="00B0732C"/>
    <w:rsid w:val="00B075B2"/>
    <w:rsid w:val="00B0769A"/>
    <w:rsid w:val="00B076CD"/>
    <w:rsid w:val="00B07832"/>
    <w:rsid w:val="00B0787E"/>
    <w:rsid w:val="00B10257"/>
    <w:rsid w:val="00B10DB6"/>
    <w:rsid w:val="00B11107"/>
    <w:rsid w:val="00B113F9"/>
    <w:rsid w:val="00B11518"/>
    <w:rsid w:val="00B1166C"/>
    <w:rsid w:val="00B118BB"/>
    <w:rsid w:val="00B1246A"/>
    <w:rsid w:val="00B12801"/>
    <w:rsid w:val="00B1297C"/>
    <w:rsid w:val="00B12FEE"/>
    <w:rsid w:val="00B131AA"/>
    <w:rsid w:val="00B132DE"/>
    <w:rsid w:val="00B1393D"/>
    <w:rsid w:val="00B13A14"/>
    <w:rsid w:val="00B13AFD"/>
    <w:rsid w:val="00B13E5C"/>
    <w:rsid w:val="00B142FC"/>
    <w:rsid w:val="00B144C2"/>
    <w:rsid w:val="00B146CA"/>
    <w:rsid w:val="00B146CF"/>
    <w:rsid w:val="00B14723"/>
    <w:rsid w:val="00B14928"/>
    <w:rsid w:val="00B14A28"/>
    <w:rsid w:val="00B14ADB"/>
    <w:rsid w:val="00B14DC7"/>
    <w:rsid w:val="00B14DEC"/>
    <w:rsid w:val="00B14FFB"/>
    <w:rsid w:val="00B152B3"/>
    <w:rsid w:val="00B1581E"/>
    <w:rsid w:val="00B15962"/>
    <w:rsid w:val="00B159E0"/>
    <w:rsid w:val="00B15B87"/>
    <w:rsid w:val="00B15D69"/>
    <w:rsid w:val="00B15F92"/>
    <w:rsid w:val="00B161AD"/>
    <w:rsid w:val="00B16885"/>
    <w:rsid w:val="00B16A51"/>
    <w:rsid w:val="00B16C4E"/>
    <w:rsid w:val="00B16F76"/>
    <w:rsid w:val="00B17710"/>
    <w:rsid w:val="00B1788D"/>
    <w:rsid w:val="00B202DB"/>
    <w:rsid w:val="00B20FA9"/>
    <w:rsid w:val="00B213E9"/>
    <w:rsid w:val="00B217A7"/>
    <w:rsid w:val="00B21B3C"/>
    <w:rsid w:val="00B2208B"/>
    <w:rsid w:val="00B22243"/>
    <w:rsid w:val="00B223F1"/>
    <w:rsid w:val="00B225B4"/>
    <w:rsid w:val="00B226E3"/>
    <w:rsid w:val="00B22C0A"/>
    <w:rsid w:val="00B22C28"/>
    <w:rsid w:val="00B2353B"/>
    <w:rsid w:val="00B236B4"/>
    <w:rsid w:val="00B24313"/>
    <w:rsid w:val="00B24335"/>
    <w:rsid w:val="00B24472"/>
    <w:rsid w:val="00B244AB"/>
    <w:rsid w:val="00B2461F"/>
    <w:rsid w:val="00B24D79"/>
    <w:rsid w:val="00B25085"/>
    <w:rsid w:val="00B252E1"/>
    <w:rsid w:val="00B255AE"/>
    <w:rsid w:val="00B25655"/>
    <w:rsid w:val="00B259DE"/>
    <w:rsid w:val="00B25D35"/>
    <w:rsid w:val="00B25DE1"/>
    <w:rsid w:val="00B25E64"/>
    <w:rsid w:val="00B25FA5"/>
    <w:rsid w:val="00B2634A"/>
    <w:rsid w:val="00B26913"/>
    <w:rsid w:val="00B26B77"/>
    <w:rsid w:val="00B26D6B"/>
    <w:rsid w:val="00B26F4E"/>
    <w:rsid w:val="00B270C5"/>
    <w:rsid w:val="00B27216"/>
    <w:rsid w:val="00B27512"/>
    <w:rsid w:val="00B27936"/>
    <w:rsid w:val="00B27FE6"/>
    <w:rsid w:val="00B303F8"/>
    <w:rsid w:val="00B3051C"/>
    <w:rsid w:val="00B30E2D"/>
    <w:rsid w:val="00B30FCE"/>
    <w:rsid w:val="00B31150"/>
    <w:rsid w:val="00B313A8"/>
    <w:rsid w:val="00B3174E"/>
    <w:rsid w:val="00B31789"/>
    <w:rsid w:val="00B319E9"/>
    <w:rsid w:val="00B31C49"/>
    <w:rsid w:val="00B31DCA"/>
    <w:rsid w:val="00B3206E"/>
    <w:rsid w:val="00B32222"/>
    <w:rsid w:val="00B3243E"/>
    <w:rsid w:val="00B3277B"/>
    <w:rsid w:val="00B32801"/>
    <w:rsid w:val="00B32DE1"/>
    <w:rsid w:val="00B32FB4"/>
    <w:rsid w:val="00B34259"/>
    <w:rsid w:val="00B3465F"/>
    <w:rsid w:val="00B34AB5"/>
    <w:rsid w:val="00B34BCA"/>
    <w:rsid w:val="00B34CD8"/>
    <w:rsid w:val="00B34DF1"/>
    <w:rsid w:val="00B35221"/>
    <w:rsid w:val="00B3563B"/>
    <w:rsid w:val="00B35A24"/>
    <w:rsid w:val="00B35C4D"/>
    <w:rsid w:val="00B36174"/>
    <w:rsid w:val="00B36444"/>
    <w:rsid w:val="00B365FE"/>
    <w:rsid w:val="00B36B72"/>
    <w:rsid w:val="00B36D73"/>
    <w:rsid w:val="00B37724"/>
    <w:rsid w:val="00B378D1"/>
    <w:rsid w:val="00B37E99"/>
    <w:rsid w:val="00B40289"/>
    <w:rsid w:val="00B40441"/>
    <w:rsid w:val="00B40679"/>
    <w:rsid w:val="00B4081E"/>
    <w:rsid w:val="00B4086A"/>
    <w:rsid w:val="00B40C75"/>
    <w:rsid w:val="00B40D8C"/>
    <w:rsid w:val="00B40FE4"/>
    <w:rsid w:val="00B413DF"/>
    <w:rsid w:val="00B4148E"/>
    <w:rsid w:val="00B41F33"/>
    <w:rsid w:val="00B4230B"/>
    <w:rsid w:val="00B42452"/>
    <w:rsid w:val="00B42473"/>
    <w:rsid w:val="00B4273D"/>
    <w:rsid w:val="00B427AA"/>
    <w:rsid w:val="00B42BD1"/>
    <w:rsid w:val="00B42C6A"/>
    <w:rsid w:val="00B433EB"/>
    <w:rsid w:val="00B43851"/>
    <w:rsid w:val="00B43AC3"/>
    <w:rsid w:val="00B43E29"/>
    <w:rsid w:val="00B4406D"/>
    <w:rsid w:val="00B44AC4"/>
    <w:rsid w:val="00B44AE7"/>
    <w:rsid w:val="00B45203"/>
    <w:rsid w:val="00B4548A"/>
    <w:rsid w:val="00B4572A"/>
    <w:rsid w:val="00B457D0"/>
    <w:rsid w:val="00B45B2D"/>
    <w:rsid w:val="00B45F67"/>
    <w:rsid w:val="00B46027"/>
    <w:rsid w:val="00B46814"/>
    <w:rsid w:val="00B47078"/>
    <w:rsid w:val="00B47232"/>
    <w:rsid w:val="00B47329"/>
    <w:rsid w:val="00B47597"/>
    <w:rsid w:val="00B47620"/>
    <w:rsid w:val="00B477A9"/>
    <w:rsid w:val="00B47C77"/>
    <w:rsid w:val="00B47D21"/>
    <w:rsid w:val="00B47F6F"/>
    <w:rsid w:val="00B50350"/>
    <w:rsid w:val="00B50B09"/>
    <w:rsid w:val="00B50B19"/>
    <w:rsid w:val="00B50C1A"/>
    <w:rsid w:val="00B512B0"/>
    <w:rsid w:val="00B51341"/>
    <w:rsid w:val="00B51942"/>
    <w:rsid w:val="00B51BE0"/>
    <w:rsid w:val="00B52074"/>
    <w:rsid w:val="00B521AD"/>
    <w:rsid w:val="00B52834"/>
    <w:rsid w:val="00B52F72"/>
    <w:rsid w:val="00B52FF3"/>
    <w:rsid w:val="00B530F4"/>
    <w:rsid w:val="00B533FD"/>
    <w:rsid w:val="00B53494"/>
    <w:rsid w:val="00B53814"/>
    <w:rsid w:val="00B539A5"/>
    <w:rsid w:val="00B53A35"/>
    <w:rsid w:val="00B53CA6"/>
    <w:rsid w:val="00B53D37"/>
    <w:rsid w:val="00B53F5A"/>
    <w:rsid w:val="00B54376"/>
    <w:rsid w:val="00B548DE"/>
    <w:rsid w:val="00B54907"/>
    <w:rsid w:val="00B54FB0"/>
    <w:rsid w:val="00B550E7"/>
    <w:rsid w:val="00B55148"/>
    <w:rsid w:val="00B55627"/>
    <w:rsid w:val="00B558B8"/>
    <w:rsid w:val="00B55F13"/>
    <w:rsid w:val="00B5623A"/>
    <w:rsid w:val="00B569C5"/>
    <w:rsid w:val="00B56D46"/>
    <w:rsid w:val="00B56DF3"/>
    <w:rsid w:val="00B56F76"/>
    <w:rsid w:val="00B56F9E"/>
    <w:rsid w:val="00B57117"/>
    <w:rsid w:val="00B574D7"/>
    <w:rsid w:val="00B575A8"/>
    <w:rsid w:val="00B575D4"/>
    <w:rsid w:val="00B576EC"/>
    <w:rsid w:val="00B579F5"/>
    <w:rsid w:val="00B57C13"/>
    <w:rsid w:val="00B605F5"/>
    <w:rsid w:val="00B606A8"/>
    <w:rsid w:val="00B60BEA"/>
    <w:rsid w:val="00B60F9D"/>
    <w:rsid w:val="00B6162F"/>
    <w:rsid w:val="00B61BB8"/>
    <w:rsid w:val="00B61CFC"/>
    <w:rsid w:val="00B61EB6"/>
    <w:rsid w:val="00B61F36"/>
    <w:rsid w:val="00B62472"/>
    <w:rsid w:val="00B62824"/>
    <w:rsid w:val="00B62A0C"/>
    <w:rsid w:val="00B6311E"/>
    <w:rsid w:val="00B63733"/>
    <w:rsid w:val="00B63F19"/>
    <w:rsid w:val="00B642CC"/>
    <w:rsid w:val="00B6439A"/>
    <w:rsid w:val="00B64469"/>
    <w:rsid w:val="00B64A2F"/>
    <w:rsid w:val="00B64A67"/>
    <w:rsid w:val="00B65179"/>
    <w:rsid w:val="00B653A9"/>
    <w:rsid w:val="00B65708"/>
    <w:rsid w:val="00B657DC"/>
    <w:rsid w:val="00B65920"/>
    <w:rsid w:val="00B65BB1"/>
    <w:rsid w:val="00B65FF9"/>
    <w:rsid w:val="00B66031"/>
    <w:rsid w:val="00B66116"/>
    <w:rsid w:val="00B663FB"/>
    <w:rsid w:val="00B66B09"/>
    <w:rsid w:val="00B66E79"/>
    <w:rsid w:val="00B67181"/>
    <w:rsid w:val="00B674D3"/>
    <w:rsid w:val="00B67518"/>
    <w:rsid w:val="00B6799F"/>
    <w:rsid w:val="00B67A60"/>
    <w:rsid w:val="00B67A70"/>
    <w:rsid w:val="00B7000B"/>
    <w:rsid w:val="00B7015D"/>
    <w:rsid w:val="00B70255"/>
    <w:rsid w:val="00B7062F"/>
    <w:rsid w:val="00B70807"/>
    <w:rsid w:val="00B708E5"/>
    <w:rsid w:val="00B7141A"/>
    <w:rsid w:val="00B71795"/>
    <w:rsid w:val="00B717C1"/>
    <w:rsid w:val="00B71900"/>
    <w:rsid w:val="00B71AAE"/>
    <w:rsid w:val="00B71BCE"/>
    <w:rsid w:val="00B71C8B"/>
    <w:rsid w:val="00B71DBB"/>
    <w:rsid w:val="00B71FC1"/>
    <w:rsid w:val="00B723FE"/>
    <w:rsid w:val="00B728B1"/>
    <w:rsid w:val="00B729BF"/>
    <w:rsid w:val="00B72A05"/>
    <w:rsid w:val="00B72B0B"/>
    <w:rsid w:val="00B72CC6"/>
    <w:rsid w:val="00B72DDE"/>
    <w:rsid w:val="00B72F11"/>
    <w:rsid w:val="00B732C5"/>
    <w:rsid w:val="00B734E9"/>
    <w:rsid w:val="00B73B77"/>
    <w:rsid w:val="00B73DF1"/>
    <w:rsid w:val="00B73EE1"/>
    <w:rsid w:val="00B7454B"/>
    <w:rsid w:val="00B7460D"/>
    <w:rsid w:val="00B7489E"/>
    <w:rsid w:val="00B74E14"/>
    <w:rsid w:val="00B74ED9"/>
    <w:rsid w:val="00B758DB"/>
    <w:rsid w:val="00B75A91"/>
    <w:rsid w:val="00B76233"/>
    <w:rsid w:val="00B7684B"/>
    <w:rsid w:val="00B768DC"/>
    <w:rsid w:val="00B76A21"/>
    <w:rsid w:val="00B76A82"/>
    <w:rsid w:val="00B76B20"/>
    <w:rsid w:val="00B76C1A"/>
    <w:rsid w:val="00B76C4D"/>
    <w:rsid w:val="00B76C65"/>
    <w:rsid w:val="00B77417"/>
    <w:rsid w:val="00B77508"/>
    <w:rsid w:val="00B77829"/>
    <w:rsid w:val="00B77A4E"/>
    <w:rsid w:val="00B77A89"/>
    <w:rsid w:val="00B77B04"/>
    <w:rsid w:val="00B77C13"/>
    <w:rsid w:val="00B77D40"/>
    <w:rsid w:val="00B77E58"/>
    <w:rsid w:val="00B77FD9"/>
    <w:rsid w:val="00B80283"/>
    <w:rsid w:val="00B80635"/>
    <w:rsid w:val="00B8076D"/>
    <w:rsid w:val="00B80959"/>
    <w:rsid w:val="00B80BAB"/>
    <w:rsid w:val="00B81135"/>
    <w:rsid w:val="00B8116A"/>
    <w:rsid w:val="00B811B9"/>
    <w:rsid w:val="00B81328"/>
    <w:rsid w:val="00B813D2"/>
    <w:rsid w:val="00B814D6"/>
    <w:rsid w:val="00B818DF"/>
    <w:rsid w:val="00B81ABE"/>
    <w:rsid w:val="00B81D54"/>
    <w:rsid w:val="00B81EE3"/>
    <w:rsid w:val="00B81F6A"/>
    <w:rsid w:val="00B82038"/>
    <w:rsid w:val="00B827C0"/>
    <w:rsid w:val="00B82E1C"/>
    <w:rsid w:val="00B82F61"/>
    <w:rsid w:val="00B83632"/>
    <w:rsid w:val="00B84041"/>
    <w:rsid w:val="00B84296"/>
    <w:rsid w:val="00B84332"/>
    <w:rsid w:val="00B84501"/>
    <w:rsid w:val="00B8457D"/>
    <w:rsid w:val="00B84C2E"/>
    <w:rsid w:val="00B84FF3"/>
    <w:rsid w:val="00B850C3"/>
    <w:rsid w:val="00B856EC"/>
    <w:rsid w:val="00B85BC7"/>
    <w:rsid w:val="00B8609D"/>
    <w:rsid w:val="00B86643"/>
    <w:rsid w:val="00B86DC0"/>
    <w:rsid w:val="00B8721A"/>
    <w:rsid w:val="00B873BF"/>
    <w:rsid w:val="00B874A4"/>
    <w:rsid w:val="00B874C9"/>
    <w:rsid w:val="00B8790B"/>
    <w:rsid w:val="00B87B7B"/>
    <w:rsid w:val="00B87BA2"/>
    <w:rsid w:val="00B87C03"/>
    <w:rsid w:val="00B87C11"/>
    <w:rsid w:val="00B87D79"/>
    <w:rsid w:val="00B90114"/>
    <w:rsid w:val="00B90584"/>
    <w:rsid w:val="00B90A8F"/>
    <w:rsid w:val="00B90BC7"/>
    <w:rsid w:val="00B90D2F"/>
    <w:rsid w:val="00B91078"/>
    <w:rsid w:val="00B9159C"/>
    <w:rsid w:val="00B917D1"/>
    <w:rsid w:val="00B91808"/>
    <w:rsid w:val="00B919F9"/>
    <w:rsid w:val="00B922F1"/>
    <w:rsid w:val="00B92B74"/>
    <w:rsid w:val="00B92C61"/>
    <w:rsid w:val="00B92D2B"/>
    <w:rsid w:val="00B9319B"/>
    <w:rsid w:val="00B93325"/>
    <w:rsid w:val="00B93375"/>
    <w:rsid w:val="00B9344B"/>
    <w:rsid w:val="00B93618"/>
    <w:rsid w:val="00B9362D"/>
    <w:rsid w:val="00B936F3"/>
    <w:rsid w:val="00B93FFA"/>
    <w:rsid w:val="00B941E5"/>
    <w:rsid w:val="00B944FE"/>
    <w:rsid w:val="00B946A4"/>
    <w:rsid w:val="00B94B2A"/>
    <w:rsid w:val="00B94EB3"/>
    <w:rsid w:val="00B94EFF"/>
    <w:rsid w:val="00B95010"/>
    <w:rsid w:val="00B956EA"/>
    <w:rsid w:val="00B95B3A"/>
    <w:rsid w:val="00B95E08"/>
    <w:rsid w:val="00B95F82"/>
    <w:rsid w:val="00B9611D"/>
    <w:rsid w:val="00B961AC"/>
    <w:rsid w:val="00B96224"/>
    <w:rsid w:val="00B96AEC"/>
    <w:rsid w:val="00B96CB6"/>
    <w:rsid w:val="00B96D94"/>
    <w:rsid w:val="00B96DAE"/>
    <w:rsid w:val="00B96DDE"/>
    <w:rsid w:val="00B9701B"/>
    <w:rsid w:val="00B97176"/>
    <w:rsid w:val="00B9746B"/>
    <w:rsid w:val="00B9749C"/>
    <w:rsid w:val="00B9767C"/>
    <w:rsid w:val="00B97CA9"/>
    <w:rsid w:val="00B97D57"/>
    <w:rsid w:val="00BA00C8"/>
    <w:rsid w:val="00BA0103"/>
    <w:rsid w:val="00BA031C"/>
    <w:rsid w:val="00BA048F"/>
    <w:rsid w:val="00BA0852"/>
    <w:rsid w:val="00BA0CA1"/>
    <w:rsid w:val="00BA0CB6"/>
    <w:rsid w:val="00BA0E93"/>
    <w:rsid w:val="00BA1C70"/>
    <w:rsid w:val="00BA1C95"/>
    <w:rsid w:val="00BA1E3C"/>
    <w:rsid w:val="00BA1ED7"/>
    <w:rsid w:val="00BA1F84"/>
    <w:rsid w:val="00BA2235"/>
    <w:rsid w:val="00BA2248"/>
    <w:rsid w:val="00BA244E"/>
    <w:rsid w:val="00BA2717"/>
    <w:rsid w:val="00BA279A"/>
    <w:rsid w:val="00BA2A4A"/>
    <w:rsid w:val="00BA2BE4"/>
    <w:rsid w:val="00BA30CC"/>
    <w:rsid w:val="00BA30FF"/>
    <w:rsid w:val="00BA3346"/>
    <w:rsid w:val="00BA37B1"/>
    <w:rsid w:val="00BA42B5"/>
    <w:rsid w:val="00BA4441"/>
    <w:rsid w:val="00BA473C"/>
    <w:rsid w:val="00BA49BC"/>
    <w:rsid w:val="00BA4C69"/>
    <w:rsid w:val="00BA4E40"/>
    <w:rsid w:val="00BA51CA"/>
    <w:rsid w:val="00BA5233"/>
    <w:rsid w:val="00BA5559"/>
    <w:rsid w:val="00BA55E6"/>
    <w:rsid w:val="00BA57C0"/>
    <w:rsid w:val="00BA6550"/>
    <w:rsid w:val="00BA7015"/>
    <w:rsid w:val="00BA7063"/>
    <w:rsid w:val="00BA7279"/>
    <w:rsid w:val="00BA74C3"/>
    <w:rsid w:val="00BA74CE"/>
    <w:rsid w:val="00BA75A2"/>
    <w:rsid w:val="00BA7D6E"/>
    <w:rsid w:val="00BB0003"/>
    <w:rsid w:val="00BB0370"/>
    <w:rsid w:val="00BB06CE"/>
    <w:rsid w:val="00BB0796"/>
    <w:rsid w:val="00BB0844"/>
    <w:rsid w:val="00BB0981"/>
    <w:rsid w:val="00BB0CA1"/>
    <w:rsid w:val="00BB0D42"/>
    <w:rsid w:val="00BB100A"/>
    <w:rsid w:val="00BB102B"/>
    <w:rsid w:val="00BB11DB"/>
    <w:rsid w:val="00BB16AE"/>
    <w:rsid w:val="00BB1BB5"/>
    <w:rsid w:val="00BB1FDC"/>
    <w:rsid w:val="00BB2250"/>
    <w:rsid w:val="00BB22FD"/>
    <w:rsid w:val="00BB27A9"/>
    <w:rsid w:val="00BB28F3"/>
    <w:rsid w:val="00BB2C4C"/>
    <w:rsid w:val="00BB2F36"/>
    <w:rsid w:val="00BB2FAA"/>
    <w:rsid w:val="00BB37C9"/>
    <w:rsid w:val="00BB384B"/>
    <w:rsid w:val="00BB3942"/>
    <w:rsid w:val="00BB399F"/>
    <w:rsid w:val="00BB39EC"/>
    <w:rsid w:val="00BB3CDB"/>
    <w:rsid w:val="00BB3F89"/>
    <w:rsid w:val="00BB3FA5"/>
    <w:rsid w:val="00BB43F5"/>
    <w:rsid w:val="00BB4912"/>
    <w:rsid w:val="00BB49BF"/>
    <w:rsid w:val="00BB65DD"/>
    <w:rsid w:val="00BB679D"/>
    <w:rsid w:val="00BB6E03"/>
    <w:rsid w:val="00BB6F55"/>
    <w:rsid w:val="00BB70FB"/>
    <w:rsid w:val="00BB7111"/>
    <w:rsid w:val="00BB773C"/>
    <w:rsid w:val="00BB782F"/>
    <w:rsid w:val="00BB7BE0"/>
    <w:rsid w:val="00BB7F2A"/>
    <w:rsid w:val="00BC03D2"/>
    <w:rsid w:val="00BC0589"/>
    <w:rsid w:val="00BC063C"/>
    <w:rsid w:val="00BC075F"/>
    <w:rsid w:val="00BC0C05"/>
    <w:rsid w:val="00BC0C16"/>
    <w:rsid w:val="00BC0EAF"/>
    <w:rsid w:val="00BC0F18"/>
    <w:rsid w:val="00BC145F"/>
    <w:rsid w:val="00BC173B"/>
    <w:rsid w:val="00BC1C55"/>
    <w:rsid w:val="00BC1D16"/>
    <w:rsid w:val="00BC1E02"/>
    <w:rsid w:val="00BC1F44"/>
    <w:rsid w:val="00BC200B"/>
    <w:rsid w:val="00BC2176"/>
    <w:rsid w:val="00BC21F0"/>
    <w:rsid w:val="00BC2401"/>
    <w:rsid w:val="00BC2685"/>
    <w:rsid w:val="00BC2703"/>
    <w:rsid w:val="00BC289D"/>
    <w:rsid w:val="00BC298E"/>
    <w:rsid w:val="00BC2C15"/>
    <w:rsid w:val="00BC3097"/>
    <w:rsid w:val="00BC31C1"/>
    <w:rsid w:val="00BC327A"/>
    <w:rsid w:val="00BC36DD"/>
    <w:rsid w:val="00BC392F"/>
    <w:rsid w:val="00BC3A67"/>
    <w:rsid w:val="00BC3BDA"/>
    <w:rsid w:val="00BC50A1"/>
    <w:rsid w:val="00BC51BF"/>
    <w:rsid w:val="00BC542E"/>
    <w:rsid w:val="00BC5468"/>
    <w:rsid w:val="00BC5CE3"/>
    <w:rsid w:val="00BC6167"/>
    <w:rsid w:val="00BC64A8"/>
    <w:rsid w:val="00BC67AF"/>
    <w:rsid w:val="00BC6926"/>
    <w:rsid w:val="00BC6B35"/>
    <w:rsid w:val="00BC71DA"/>
    <w:rsid w:val="00BC765C"/>
    <w:rsid w:val="00BC78B5"/>
    <w:rsid w:val="00BC7ACC"/>
    <w:rsid w:val="00BC7E35"/>
    <w:rsid w:val="00BC7E6E"/>
    <w:rsid w:val="00BC7E7F"/>
    <w:rsid w:val="00BC7F26"/>
    <w:rsid w:val="00BC7FE7"/>
    <w:rsid w:val="00BD1243"/>
    <w:rsid w:val="00BD13A9"/>
    <w:rsid w:val="00BD13EF"/>
    <w:rsid w:val="00BD14A8"/>
    <w:rsid w:val="00BD1992"/>
    <w:rsid w:val="00BD1C10"/>
    <w:rsid w:val="00BD1CAC"/>
    <w:rsid w:val="00BD2017"/>
    <w:rsid w:val="00BD2280"/>
    <w:rsid w:val="00BD231E"/>
    <w:rsid w:val="00BD2705"/>
    <w:rsid w:val="00BD2743"/>
    <w:rsid w:val="00BD2810"/>
    <w:rsid w:val="00BD307D"/>
    <w:rsid w:val="00BD4081"/>
    <w:rsid w:val="00BD4094"/>
    <w:rsid w:val="00BD411B"/>
    <w:rsid w:val="00BD4921"/>
    <w:rsid w:val="00BD4C96"/>
    <w:rsid w:val="00BD504D"/>
    <w:rsid w:val="00BD506B"/>
    <w:rsid w:val="00BD5726"/>
    <w:rsid w:val="00BD5BF2"/>
    <w:rsid w:val="00BD615E"/>
    <w:rsid w:val="00BD6189"/>
    <w:rsid w:val="00BD6674"/>
    <w:rsid w:val="00BD6F38"/>
    <w:rsid w:val="00BD713E"/>
    <w:rsid w:val="00BD776C"/>
    <w:rsid w:val="00BD7A55"/>
    <w:rsid w:val="00BD7BFD"/>
    <w:rsid w:val="00BD7ED2"/>
    <w:rsid w:val="00BD7FAD"/>
    <w:rsid w:val="00BE0016"/>
    <w:rsid w:val="00BE0A71"/>
    <w:rsid w:val="00BE0AA7"/>
    <w:rsid w:val="00BE0BA4"/>
    <w:rsid w:val="00BE0BB7"/>
    <w:rsid w:val="00BE0CC9"/>
    <w:rsid w:val="00BE0EF5"/>
    <w:rsid w:val="00BE0FAD"/>
    <w:rsid w:val="00BE1110"/>
    <w:rsid w:val="00BE12B3"/>
    <w:rsid w:val="00BE13F7"/>
    <w:rsid w:val="00BE14C4"/>
    <w:rsid w:val="00BE14E7"/>
    <w:rsid w:val="00BE16FD"/>
    <w:rsid w:val="00BE1887"/>
    <w:rsid w:val="00BE1C39"/>
    <w:rsid w:val="00BE1DE8"/>
    <w:rsid w:val="00BE1E8C"/>
    <w:rsid w:val="00BE2082"/>
    <w:rsid w:val="00BE20A5"/>
    <w:rsid w:val="00BE20E4"/>
    <w:rsid w:val="00BE22E7"/>
    <w:rsid w:val="00BE2680"/>
    <w:rsid w:val="00BE2BE6"/>
    <w:rsid w:val="00BE2DA8"/>
    <w:rsid w:val="00BE315B"/>
    <w:rsid w:val="00BE39AF"/>
    <w:rsid w:val="00BE3AEA"/>
    <w:rsid w:val="00BE3BFD"/>
    <w:rsid w:val="00BE3F66"/>
    <w:rsid w:val="00BE4462"/>
    <w:rsid w:val="00BE4463"/>
    <w:rsid w:val="00BE4515"/>
    <w:rsid w:val="00BE45CE"/>
    <w:rsid w:val="00BE4D90"/>
    <w:rsid w:val="00BE4DFA"/>
    <w:rsid w:val="00BE50B0"/>
    <w:rsid w:val="00BE553F"/>
    <w:rsid w:val="00BE58E8"/>
    <w:rsid w:val="00BE59BE"/>
    <w:rsid w:val="00BE5D28"/>
    <w:rsid w:val="00BE5FDF"/>
    <w:rsid w:val="00BE653B"/>
    <w:rsid w:val="00BE65B0"/>
    <w:rsid w:val="00BE6861"/>
    <w:rsid w:val="00BE688B"/>
    <w:rsid w:val="00BE697A"/>
    <w:rsid w:val="00BE7231"/>
    <w:rsid w:val="00BE73B8"/>
    <w:rsid w:val="00BE7724"/>
    <w:rsid w:val="00BE79DA"/>
    <w:rsid w:val="00BE7ED0"/>
    <w:rsid w:val="00BF005E"/>
    <w:rsid w:val="00BF06EB"/>
    <w:rsid w:val="00BF0ED3"/>
    <w:rsid w:val="00BF1118"/>
    <w:rsid w:val="00BF1240"/>
    <w:rsid w:val="00BF1AF7"/>
    <w:rsid w:val="00BF1D21"/>
    <w:rsid w:val="00BF1D41"/>
    <w:rsid w:val="00BF1D52"/>
    <w:rsid w:val="00BF1EFA"/>
    <w:rsid w:val="00BF2187"/>
    <w:rsid w:val="00BF2F86"/>
    <w:rsid w:val="00BF3156"/>
    <w:rsid w:val="00BF3300"/>
    <w:rsid w:val="00BF34FF"/>
    <w:rsid w:val="00BF3742"/>
    <w:rsid w:val="00BF37F6"/>
    <w:rsid w:val="00BF3A84"/>
    <w:rsid w:val="00BF3AD6"/>
    <w:rsid w:val="00BF3BCF"/>
    <w:rsid w:val="00BF3D98"/>
    <w:rsid w:val="00BF4298"/>
    <w:rsid w:val="00BF46B4"/>
    <w:rsid w:val="00BF4777"/>
    <w:rsid w:val="00BF4C61"/>
    <w:rsid w:val="00BF50BF"/>
    <w:rsid w:val="00BF5124"/>
    <w:rsid w:val="00BF53CB"/>
    <w:rsid w:val="00BF65B3"/>
    <w:rsid w:val="00BF6632"/>
    <w:rsid w:val="00BF66CB"/>
    <w:rsid w:val="00BF671E"/>
    <w:rsid w:val="00BF6B55"/>
    <w:rsid w:val="00BF6C23"/>
    <w:rsid w:val="00BF6CAF"/>
    <w:rsid w:val="00BF710E"/>
    <w:rsid w:val="00BF7389"/>
    <w:rsid w:val="00BF7396"/>
    <w:rsid w:val="00BF73C5"/>
    <w:rsid w:val="00BF7596"/>
    <w:rsid w:val="00BF799C"/>
    <w:rsid w:val="00BF7AE9"/>
    <w:rsid w:val="00BF7EC5"/>
    <w:rsid w:val="00C00308"/>
    <w:rsid w:val="00C003D8"/>
    <w:rsid w:val="00C004F3"/>
    <w:rsid w:val="00C00D2C"/>
    <w:rsid w:val="00C00F8B"/>
    <w:rsid w:val="00C01093"/>
    <w:rsid w:val="00C012B3"/>
    <w:rsid w:val="00C012DF"/>
    <w:rsid w:val="00C013D8"/>
    <w:rsid w:val="00C01415"/>
    <w:rsid w:val="00C017E3"/>
    <w:rsid w:val="00C01829"/>
    <w:rsid w:val="00C01A2A"/>
    <w:rsid w:val="00C01AC8"/>
    <w:rsid w:val="00C01C58"/>
    <w:rsid w:val="00C01FF5"/>
    <w:rsid w:val="00C022D7"/>
    <w:rsid w:val="00C02686"/>
    <w:rsid w:val="00C02756"/>
    <w:rsid w:val="00C02CA1"/>
    <w:rsid w:val="00C03218"/>
    <w:rsid w:val="00C0345B"/>
    <w:rsid w:val="00C03612"/>
    <w:rsid w:val="00C03997"/>
    <w:rsid w:val="00C039C0"/>
    <w:rsid w:val="00C03C8F"/>
    <w:rsid w:val="00C04542"/>
    <w:rsid w:val="00C04723"/>
    <w:rsid w:val="00C04803"/>
    <w:rsid w:val="00C04B45"/>
    <w:rsid w:val="00C04CA7"/>
    <w:rsid w:val="00C051DB"/>
    <w:rsid w:val="00C054D4"/>
    <w:rsid w:val="00C054F0"/>
    <w:rsid w:val="00C05514"/>
    <w:rsid w:val="00C05705"/>
    <w:rsid w:val="00C05751"/>
    <w:rsid w:val="00C05ED3"/>
    <w:rsid w:val="00C05F13"/>
    <w:rsid w:val="00C06288"/>
    <w:rsid w:val="00C06450"/>
    <w:rsid w:val="00C0663D"/>
    <w:rsid w:val="00C06814"/>
    <w:rsid w:val="00C06E51"/>
    <w:rsid w:val="00C06EE5"/>
    <w:rsid w:val="00C0702D"/>
    <w:rsid w:val="00C07159"/>
    <w:rsid w:val="00C07200"/>
    <w:rsid w:val="00C0732F"/>
    <w:rsid w:val="00C075AC"/>
    <w:rsid w:val="00C075F7"/>
    <w:rsid w:val="00C0785C"/>
    <w:rsid w:val="00C078BD"/>
    <w:rsid w:val="00C07C11"/>
    <w:rsid w:val="00C107F7"/>
    <w:rsid w:val="00C10CBB"/>
    <w:rsid w:val="00C10DD3"/>
    <w:rsid w:val="00C10F31"/>
    <w:rsid w:val="00C10F54"/>
    <w:rsid w:val="00C113C1"/>
    <w:rsid w:val="00C11577"/>
    <w:rsid w:val="00C1181E"/>
    <w:rsid w:val="00C11AAE"/>
    <w:rsid w:val="00C11C3C"/>
    <w:rsid w:val="00C11DF2"/>
    <w:rsid w:val="00C11FE8"/>
    <w:rsid w:val="00C12308"/>
    <w:rsid w:val="00C12423"/>
    <w:rsid w:val="00C12628"/>
    <w:rsid w:val="00C1281B"/>
    <w:rsid w:val="00C12BC1"/>
    <w:rsid w:val="00C12C2F"/>
    <w:rsid w:val="00C12F9D"/>
    <w:rsid w:val="00C13272"/>
    <w:rsid w:val="00C132D8"/>
    <w:rsid w:val="00C133E2"/>
    <w:rsid w:val="00C13811"/>
    <w:rsid w:val="00C138A3"/>
    <w:rsid w:val="00C138EF"/>
    <w:rsid w:val="00C139CE"/>
    <w:rsid w:val="00C13A15"/>
    <w:rsid w:val="00C13B38"/>
    <w:rsid w:val="00C13C80"/>
    <w:rsid w:val="00C1400C"/>
    <w:rsid w:val="00C140B0"/>
    <w:rsid w:val="00C14132"/>
    <w:rsid w:val="00C142D7"/>
    <w:rsid w:val="00C145BC"/>
    <w:rsid w:val="00C145EB"/>
    <w:rsid w:val="00C1463E"/>
    <w:rsid w:val="00C1469B"/>
    <w:rsid w:val="00C1490A"/>
    <w:rsid w:val="00C1492A"/>
    <w:rsid w:val="00C14A5A"/>
    <w:rsid w:val="00C14B97"/>
    <w:rsid w:val="00C14BED"/>
    <w:rsid w:val="00C14C8E"/>
    <w:rsid w:val="00C14FA8"/>
    <w:rsid w:val="00C1603E"/>
    <w:rsid w:val="00C1616D"/>
    <w:rsid w:val="00C16180"/>
    <w:rsid w:val="00C167F8"/>
    <w:rsid w:val="00C16A7E"/>
    <w:rsid w:val="00C17040"/>
    <w:rsid w:val="00C17353"/>
    <w:rsid w:val="00C177B7"/>
    <w:rsid w:val="00C17805"/>
    <w:rsid w:val="00C17AE9"/>
    <w:rsid w:val="00C202C7"/>
    <w:rsid w:val="00C2034E"/>
    <w:rsid w:val="00C2066D"/>
    <w:rsid w:val="00C20DE3"/>
    <w:rsid w:val="00C21042"/>
    <w:rsid w:val="00C219F2"/>
    <w:rsid w:val="00C2214D"/>
    <w:rsid w:val="00C2235E"/>
    <w:rsid w:val="00C22698"/>
    <w:rsid w:val="00C22A46"/>
    <w:rsid w:val="00C22FBF"/>
    <w:rsid w:val="00C23258"/>
    <w:rsid w:val="00C237EE"/>
    <w:rsid w:val="00C23868"/>
    <w:rsid w:val="00C23F6C"/>
    <w:rsid w:val="00C23F83"/>
    <w:rsid w:val="00C24238"/>
    <w:rsid w:val="00C242D9"/>
    <w:rsid w:val="00C243F7"/>
    <w:rsid w:val="00C24545"/>
    <w:rsid w:val="00C24637"/>
    <w:rsid w:val="00C2495B"/>
    <w:rsid w:val="00C24BC6"/>
    <w:rsid w:val="00C24C36"/>
    <w:rsid w:val="00C24EE7"/>
    <w:rsid w:val="00C25028"/>
    <w:rsid w:val="00C25135"/>
    <w:rsid w:val="00C25242"/>
    <w:rsid w:val="00C25339"/>
    <w:rsid w:val="00C2583B"/>
    <w:rsid w:val="00C25863"/>
    <w:rsid w:val="00C25E2C"/>
    <w:rsid w:val="00C25EF9"/>
    <w:rsid w:val="00C2606D"/>
    <w:rsid w:val="00C2618C"/>
    <w:rsid w:val="00C262BF"/>
    <w:rsid w:val="00C26469"/>
    <w:rsid w:val="00C26516"/>
    <w:rsid w:val="00C265F1"/>
    <w:rsid w:val="00C269D1"/>
    <w:rsid w:val="00C2700D"/>
    <w:rsid w:val="00C275AD"/>
    <w:rsid w:val="00C30245"/>
    <w:rsid w:val="00C304A2"/>
    <w:rsid w:val="00C30910"/>
    <w:rsid w:val="00C30BCD"/>
    <w:rsid w:val="00C31546"/>
    <w:rsid w:val="00C31595"/>
    <w:rsid w:val="00C31A85"/>
    <w:rsid w:val="00C31B28"/>
    <w:rsid w:val="00C3214B"/>
    <w:rsid w:val="00C32429"/>
    <w:rsid w:val="00C325EF"/>
    <w:rsid w:val="00C32A5F"/>
    <w:rsid w:val="00C32F4A"/>
    <w:rsid w:val="00C32F8C"/>
    <w:rsid w:val="00C33029"/>
    <w:rsid w:val="00C33122"/>
    <w:rsid w:val="00C333CE"/>
    <w:rsid w:val="00C334BD"/>
    <w:rsid w:val="00C3365D"/>
    <w:rsid w:val="00C341B5"/>
    <w:rsid w:val="00C3442A"/>
    <w:rsid w:val="00C34632"/>
    <w:rsid w:val="00C349D0"/>
    <w:rsid w:val="00C34C02"/>
    <w:rsid w:val="00C34D14"/>
    <w:rsid w:val="00C34FC5"/>
    <w:rsid w:val="00C35159"/>
    <w:rsid w:val="00C3549F"/>
    <w:rsid w:val="00C354F0"/>
    <w:rsid w:val="00C35936"/>
    <w:rsid w:val="00C3615C"/>
    <w:rsid w:val="00C36594"/>
    <w:rsid w:val="00C36617"/>
    <w:rsid w:val="00C36C08"/>
    <w:rsid w:val="00C372E1"/>
    <w:rsid w:val="00C376E9"/>
    <w:rsid w:val="00C3782D"/>
    <w:rsid w:val="00C37BF2"/>
    <w:rsid w:val="00C40318"/>
    <w:rsid w:val="00C40352"/>
    <w:rsid w:val="00C40ABA"/>
    <w:rsid w:val="00C40B74"/>
    <w:rsid w:val="00C416EA"/>
    <w:rsid w:val="00C41716"/>
    <w:rsid w:val="00C41DE7"/>
    <w:rsid w:val="00C424C5"/>
    <w:rsid w:val="00C42FD9"/>
    <w:rsid w:val="00C43351"/>
    <w:rsid w:val="00C4395F"/>
    <w:rsid w:val="00C439D4"/>
    <w:rsid w:val="00C439E7"/>
    <w:rsid w:val="00C43C54"/>
    <w:rsid w:val="00C43C6E"/>
    <w:rsid w:val="00C43CDD"/>
    <w:rsid w:val="00C43D6C"/>
    <w:rsid w:val="00C44341"/>
    <w:rsid w:val="00C44531"/>
    <w:rsid w:val="00C44953"/>
    <w:rsid w:val="00C44A6D"/>
    <w:rsid w:val="00C44D4E"/>
    <w:rsid w:val="00C44DDA"/>
    <w:rsid w:val="00C45082"/>
    <w:rsid w:val="00C4537E"/>
    <w:rsid w:val="00C453D2"/>
    <w:rsid w:val="00C45699"/>
    <w:rsid w:val="00C463EB"/>
    <w:rsid w:val="00C46448"/>
    <w:rsid w:val="00C46453"/>
    <w:rsid w:val="00C466E2"/>
    <w:rsid w:val="00C46716"/>
    <w:rsid w:val="00C46D1A"/>
    <w:rsid w:val="00C46DBC"/>
    <w:rsid w:val="00C46EA6"/>
    <w:rsid w:val="00C46FAC"/>
    <w:rsid w:val="00C47029"/>
    <w:rsid w:val="00C47368"/>
    <w:rsid w:val="00C47513"/>
    <w:rsid w:val="00C47522"/>
    <w:rsid w:val="00C47737"/>
    <w:rsid w:val="00C478B3"/>
    <w:rsid w:val="00C47BEF"/>
    <w:rsid w:val="00C47C52"/>
    <w:rsid w:val="00C503CB"/>
    <w:rsid w:val="00C5084F"/>
    <w:rsid w:val="00C50C9F"/>
    <w:rsid w:val="00C51553"/>
    <w:rsid w:val="00C51A6A"/>
    <w:rsid w:val="00C52348"/>
    <w:rsid w:val="00C52382"/>
    <w:rsid w:val="00C5239F"/>
    <w:rsid w:val="00C52408"/>
    <w:rsid w:val="00C52806"/>
    <w:rsid w:val="00C5280F"/>
    <w:rsid w:val="00C52932"/>
    <w:rsid w:val="00C52DBA"/>
    <w:rsid w:val="00C53095"/>
    <w:rsid w:val="00C530D0"/>
    <w:rsid w:val="00C5351E"/>
    <w:rsid w:val="00C536A3"/>
    <w:rsid w:val="00C5386D"/>
    <w:rsid w:val="00C539A3"/>
    <w:rsid w:val="00C53AFB"/>
    <w:rsid w:val="00C53F48"/>
    <w:rsid w:val="00C54279"/>
    <w:rsid w:val="00C54D00"/>
    <w:rsid w:val="00C54E87"/>
    <w:rsid w:val="00C5523A"/>
    <w:rsid w:val="00C5526A"/>
    <w:rsid w:val="00C554DB"/>
    <w:rsid w:val="00C55681"/>
    <w:rsid w:val="00C55E37"/>
    <w:rsid w:val="00C56149"/>
    <w:rsid w:val="00C5616E"/>
    <w:rsid w:val="00C56536"/>
    <w:rsid w:val="00C565E3"/>
    <w:rsid w:val="00C56BCE"/>
    <w:rsid w:val="00C571B7"/>
    <w:rsid w:val="00C57336"/>
    <w:rsid w:val="00C57590"/>
    <w:rsid w:val="00C60288"/>
    <w:rsid w:val="00C6045F"/>
    <w:rsid w:val="00C6049A"/>
    <w:rsid w:val="00C60CCF"/>
    <w:rsid w:val="00C60EDF"/>
    <w:rsid w:val="00C60F11"/>
    <w:rsid w:val="00C61366"/>
    <w:rsid w:val="00C61695"/>
    <w:rsid w:val="00C616FC"/>
    <w:rsid w:val="00C6193D"/>
    <w:rsid w:val="00C6222B"/>
    <w:rsid w:val="00C62502"/>
    <w:rsid w:val="00C6260D"/>
    <w:rsid w:val="00C62ADA"/>
    <w:rsid w:val="00C62E3F"/>
    <w:rsid w:val="00C62EEB"/>
    <w:rsid w:val="00C62F67"/>
    <w:rsid w:val="00C63036"/>
    <w:rsid w:val="00C63B76"/>
    <w:rsid w:val="00C64049"/>
    <w:rsid w:val="00C6429E"/>
    <w:rsid w:val="00C6442F"/>
    <w:rsid w:val="00C644DB"/>
    <w:rsid w:val="00C646D0"/>
    <w:rsid w:val="00C64721"/>
    <w:rsid w:val="00C64732"/>
    <w:rsid w:val="00C648E8"/>
    <w:rsid w:val="00C648F5"/>
    <w:rsid w:val="00C649A6"/>
    <w:rsid w:val="00C64AF7"/>
    <w:rsid w:val="00C64FB7"/>
    <w:rsid w:val="00C651F4"/>
    <w:rsid w:val="00C65219"/>
    <w:rsid w:val="00C652D1"/>
    <w:rsid w:val="00C6533C"/>
    <w:rsid w:val="00C65393"/>
    <w:rsid w:val="00C65F6C"/>
    <w:rsid w:val="00C66415"/>
    <w:rsid w:val="00C666E9"/>
    <w:rsid w:val="00C6732E"/>
    <w:rsid w:val="00C67631"/>
    <w:rsid w:val="00C679A0"/>
    <w:rsid w:val="00C67DC5"/>
    <w:rsid w:val="00C67DD0"/>
    <w:rsid w:val="00C67DF1"/>
    <w:rsid w:val="00C700AD"/>
    <w:rsid w:val="00C70215"/>
    <w:rsid w:val="00C702E3"/>
    <w:rsid w:val="00C703A9"/>
    <w:rsid w:val="00C70AA6"/>
    <w:rsid w:val="00C70AED"/>
    <w:rsid w:val="00C70D5E"/>
    <w:rsid w:val="00C70F14"/>
    <w:rsid w:val="00C7109A"/>
    <w:rsid w:val="00C715E2"/>
    <w:rsid w:val="00C71A07"/>
    <w:rsid w:val="00C71D26"/>
    <w:rsid w:val="00C7201E"/>
    <w:rsid w:val="00C72022"/>
    <w:rsid w:val="00C72D91"/>
    <w:rsid w:val="00C72FC3"/>
    <w:rsid w:val="00C73037"/>
    <w:rsid w:val="00C7367B"/>
    <w:rsid w:val="00C73BC2"/>
    <w:rsid w:val="00C73D0E"/>
    <w:rsid w:val="00C741F5"/>
    <w:rsid w:val="00C74206"/>
    <w:rsid w:val="00C74354"/>
    <w:rsid w:val="00C7439D"/>
    <w:rsid w:val="00C74879"/>
    <w:rsid w:val="00C748AA"/>
    <w:rsid w:val="00C74996"/>
    <w:rsid w:val="00C749F5"/>
    <w:rsid w:val="00C74E79"/>
    <w:rsid w:val="00C75325"/>
    <w:rsid w:val="00C757D1"/>
    <w:rsid w:val="00C75A14"/>
    <w:rsid w:val="00C75A19"/>
    <w:rsid w:val="00C75D18"/>
    <w:rsid w:val="00C75E0E"/>
    <w:rsid w:val="00C76863"/>
    <w:rsid w:val="00C7688A"/>
    <w:rsid w:val="00C769C7"/>
    <w:rsid w:val="00C76AF9"/>
    <w:rsid w:val="00C77158"/>
    <w:rsid w:val="00C7771F"/>
    <w:rsid w:val="00C77881"/>
    <w:rsid w:val="00C77E2A"/>
    <w:rsid w:val="00C77FA4"/>
    <w:rsid w:val="00C80324"/>
    <w:rsid w:val="00C805EE"/>
    <w:rsid w:val="00C80683"/>
    <w:rsid w:val="00C80757"/>
    <w:rsid w:val="00C809D9"/>
    <w:rsid w:val="00C80DFC"/>
    <w:rsid w:val="00C810D9"/>
    <w:rsid w:val="00C81633"/>
    <w:rsid w:val="00C81C75"/>
    <w:rsid w:val="00C81DED"/>
    <w:rsid w:val="00C81E42"/>
    <w:rsid w:val="00C82440"/>
    <w:rsid w:val="00C825BC"/>
    <w:rsid w:val="00C82809"/>
    <w:rsid w:val="00C82A69"/>
    <w:rsid w:val="00C831EA"/>
    <w:rsid w:val="00C8322D"/>
    <w:rsid w:val="00C83915"/>
    <w:rsid w:val="00C83F49"/>
    <w:rsid w:val="00C84463"/>
    <w:rsid w:val="00C85B17"/>
    <w:rsid w:val="00C85FF2"/>
    <w:rsid w:val="00C861E1"/>
    <w:rsid w:val="00C86818"/>
    <w:rsid w:val="00C8691C"/>
    <w:rsid w:val="00C869F1"/>
    <w:rsid w:val="00C86C43"/>
    <w:rsid w:val="00C86E5B"/>
    <w:rsid w:val="00C86F20"/>
    <w:rsid w:val="00C86F23"/>
    <w:rsid w:val="00C871A7"/>
    <w:rsid w:val="00C87349"/>
    <w:rsid w:val="00C8779F"/>
    <w:rsid w:val="00C87B5C"/>
    <w:rsid w:val="00C900C6"/>
    <w:rsid w:val="00C9022E"/>
    <w:rsid w:val="00C90917"/>
    <w:rsid w:val="00C90AE0"/>
    <w:rsid w:val="00C90D8D"/>
    <w:rsid w:val="00C90FF2"/>
    <w:rsid w:val="00C9121E"/>
    <w:rsid w:val="00C91279"/>
    <w:rsid w:val="00C912EF"/>
    <w:rsid w:val="00C91571"/>
    <w:rsid w:val="00C91A1B"/>
    <w:rsid w:val="00C91BEF"/>
    <w:rsid w:val="00C91FA6"/>
    <w:rsid w:val="00C921A6"/>
    <w:rsid w:val="00C9253E"/>
    <w:rsid w:val="00C92637"/>
    <w:rsid w:val="00C927B9"/>
    <w:rsid w:val="00C92D77"/>
    <w:rsid w:val="00C93351"/>
    <w:rsid w:val="00C93951"/>
    <w:rsid w:val="00C9396D"/>
    <w:rsid w:val="00C93A9C"/>
    <w:rsid w:val="00C93B98"/>
    <w:rsid w:val="00C93F41"/>
    <w:rsid w:val="00C941C2"/>
    <w:rsid w:val="00C9433A"/>
    <w:rsid w:val="00C94850"/>
    <w:rsid w:val="00C94C3A"/>
    <w:rsid w:val="00C94CD5"/>
    <w:rsid w:val="00C955D1"/>
    <w:rsid w:val="00C9582B"/>
    <w:rsid w:val="00C95D30"/>
    <w:rsid w:val="00C95E5E"/>
    <w:rsid w:val="00C96482"/>
    <w:rsid w:val="00C96C7F"/>
    <w:rsid w:val="00C96C8C"/>
    <w:rsid w:val="00C97242"/>
    <w:rsid w:val="00C972AC"/>
    <w:rsid w:val="00C97D48"/>
    <w:rsid w:val="00C97E4A"/>
    <w:rsid w:val="00CA00E7"/>
    <w:rsid w:val="00CA0B56"/>
    <w:rsid w:val="00CA0BA2"/>
    <w:rsid w:val="00CA0D90"/>
    <w:rsid w:val="00CA11C3"/>
    <w:rsid w:val="00CA138F"/>
    <w:rsid w:val="00CA149E"/>
    <w:rsid w:val="00CA159F"/>
    <w:rsid w:val="00CA17B2"/>
    <w:rsid w:val="00CA18B5"/>
    <w:rsid w:val="00CA1B76"/>
    <w:rsid w:val="00CA1BE0"/>
    <w:rsid w:val="00CA1C80"/>
    <w:rsid w:val="00CA1E5D"/>
    <w:rsid w:val="00CA269C"/>
    <w:rsid w:val="00CA2888"/>
    <w:rsid w:val="00CA2DC5"/>
    <w:rsid w:val="00CA2F21"/>
    <w:rsid w:val="00CA2F63"/>
    <w:rsid w:val="00CA3455"/>
    <w:rsid w:val="00CA35A4"/>
    <w:rsid w:val="00CA385C"/>
    <w:rsid w:val="00CA3AF0"/>
    <w:rsid w:val="00CA4050"/>
    <w:rsid w:val="00CA42A4"/>
    <w:rsid w:val="00CA434D"/>
    <w:rsid w:val="00CA4485"/>
    <w:rsid w:val="00CA4637"/>
    <w:rsid w:val="00CA49A2"/>
    <w:rsid w:val="00CA4B4F"/>
    <w:rsid w:val="00CA5190"/>
    <w:rsid w:val="00CA5460"/>
    <w:rsid w:val="00CA5514"/>
    <w:rsid w:val="00CA5792"/>
    <w:rsid w:val="00CA58DC"/>
    <w:rsid w:val="00CA5900"/>
    <w:rsid w:val="00CA5D9A"/>
    <w:rsid w:val="00CA5FBE"/>
    <w:rsid w:val="00CA60CD"/>
    <w:rsid w:val="00CA626F"/>
    <w:rsid w:val="00CA6604"/>
    <w:rsid w:val="00CA68D4"/>
    <w:rsid w:val="00CA6994"/>
    <w:rsid w:val="00CA6A36"/>
    <w:rsid w:val="00CA6B3B"/>
    <w:rsid w:val="00CA6D8E"/>
    <w:rsid w:val="00CA744C"/>
    <w:rsid w:val="00CA75B7"/>
    <w:rsid w:val="00CA763B"/>
    <w:rsid w:val="00CA7804"/>
    <w:rsid w:val="00CA7848"/>
    <w:rsid w:val="00CA78DD"/>
    <w:rsid w:val="00CA7965"/>
    <w:rsid w:val="00CA7C26"/>
    <w:rsid w:val="00CA7DDF"/>
    <w:rsid w:val="00CA7E3C"/>
    <w:rsid w:val="00CB002F"/>
    <w:rsid w:val="00CB0978"/>
    <w:rsid w:val="00CB0988"/>
    <w:rsid w:val="00CB0A69"/>
    <w:rsid w:val="00CB0B10"/>
    <w:rsid w:val="00CB0E2A"/>
    <w:rsid w:val="00CB0EE4"/>
    <w:rsid w:val="00CB10FD"/>
    <w:rsid w:val="00CB13CE"/>
    <w:rsid w:val="00CB15FF"/>
    <w:rsid w:val="00CB19AD"/>
    <w:rsid w:val="00CB200B"/>
    <w:rsid w:val="00CB22CC"/>
    <w:rsid w:val="00CB24CD"/>
    <w:rsid w:val="00CB289A"/>
    <w:rsid w:val="00CB2B21"/>
    <w:rsid w:val="00CB303F"/>
    <w:rsid w:val="00CB3089"/>
    <w:rsid w:val="00CB3465"/>
    <w:rsid w:val="00CB3524"/>
    <w:rsid w:val="00CB37AC"/>
    <w:rsid w:val="00CB3BE2"/>
    <w:rsid w:val="00CB3D95"/>
    <w:rsid w:val="00CB4269"/>
    <w:rsid w:val="00CB44A8"/>
    <w:rsid w:val="00CB4561"/>
    <w:rsid w:val="00CB4F7C"/>
    <w:rsid w:val="00CB4FC6"/>
    <w:rsid w:val="00CB5561"/>
    <w:rsid w:val="00CB58E9"/>
    <w:rsid w:val="00CB5C74"/>
    <w:rsid w:val="00CB5E65"/>
    <w:rsid w:val="00CB62CF"/>
    <w:rsid w:val="00CB6315"/>
    <w:rsid w:val="00CB682A"/>
    <w:rsid w:val="00CB693E"/>
    <w:rsid w:val="00CB6B88"/>
    <w:rsid w:val="00CB6BAC"/>
    <w:rsid w:val="00CB6D6A"/>
    <w:rsid w:val="00CB6DCA"/>
    <w:rsid w:val="00CB70FB"/>
    <w:rsid w:val="00CB7766"/>
    <w:rsid w:val="00CB79C3"/>
    <w:rsid w:val="00CB7B4B"/>
    <w:rsid w:val="00CB7CD6"/>
    <w:rsid w:val="00CB7D46"/>
    <w:rsid w:val="00CC0476"/>
    <w:rsid w:val="00CC09E4"/>
    <w:rsid w:val="00CC0B09"/>
    <w:rsid w:val="00CC0C61"/>
    <w:rsid w:val="00CC0DCE"/>
    <w:rsid w:val="00CC11C1"/>
    <w:rsid w:val="00CC12E0"/>
    <w:rsid w:val="00CC1425"/>
    <w:rsid w:val="00CC1722"/>
    <w:rsid w:val="00CC20CA"/>
    <w:rsid w:val="00CC2356"/>
    <w:rsid w:val="00CC2F8D"/>
    <w:rsid w:val="00CC2FE9"/>
    <w:rsid w:val="00CC355B"/>
    <w:rsid w:val="00CC37A9"/>
    <w:rsid w:val="00CC397D"/>
    <w:rsid w:val="00CC3CA3"/>
    <w:rsid w:val="00CC428F"/>
    <w:rsid w:val="00CC462C"/>
    <w:rsid w:val="00CC4A56"/>
    <w:rsid w:val="00CC4AA1"/>
    <w:rsid w:val="00CC4F40"/>
    <w:rsid w:val="00CC530E"/>
    <w:rsid w:val="00CC57E0"/>
    <w:rsid w:val="00CC5B9A"/>
    <w:rsid w:val="00CC5D7A"/>
    <w:rsid w:val="00CC5E9D"/>
    <w:rsid w:val="00CC5F01"/>
    <w:rsid w:val="00CC5FB0"/>
    <w:rsid w:val="00CC5FEA"/>
    <w:rsid w:val="00CC6120"/>
    <w:rsid w:val="00CC6223"/>
    <w:rsid w:val="00CC6B69"/>
    <w:rsid w:val="00CC6BFE"/>
    <w:rsid w:val="00CC6E09"/>
    <w:rsid w:val="00CC71AA"/>
    <w:rsid w:val="00CC7293"/>
    <w:rsid w:val="00CC7369"/>
    <w:rsid w:val="00CC7ACB"/>
    <w:rsid w:val="00CC7D7B"/>
    <w:rsid w:val="00CC7F20"/>
    <w:rsid w:val="00CD04E7"/>
    <w:rsid w:val="00CD08D8"/>
    <w:rsid w:val="00CD0ACC"/>
    <w:rsid w:val="00CD0B42"/>
    <w:rsid w:val="00CD0CAF"/>
    <w:rsid w:val="00CD0CCD"/>
    <w:rsid w:val="00CD110D"/>
    <w:rsid w:val="00CD17C9"/>
    <w:rsid w:val="00CD1844"/>
    <w:rsid w:val="00CD1A4B"/>
    <w:rsid w:val="00CD1C9E"/>
    <w:rsid w:val="00CD22A4"/>
    <w:rsid w:val="00CD23D2"/>
    <w:rsid w:val="00CD24B1"/>
    <w:rsid w:val="00CD24E1"/>
    <w:rsid w:val="00CD27A6"/>
    <w:rsid w:val="00CD27FE"/>
    <w:rsid w:val="00CD2EB4"/>
    <w:rsid w:val="00CD31A8"/>
    <w:rsid w:val="00CD34C5"/>
    <w:rsid w:val="00CD3525"/>
    <w:rsid w:val="00CD35EA"/>
    <w:rsid w:val="00CD3AA3"/>
    <w:rsid w:val="00CD434E"/>
    <w:rsid w:val="00CD4597"/>
    <w:rsid w:val="00CD4CD0"/>
    <w:rsid w:val="00CD4DFC"/>
    <w:rsid w:val="00CD507F"/>
    <w:rsid w:val="00CD51C7"/>
    <w:rsid w:val="00CD563C"/>
    <w:rsid w:val="00CD576C"/>
    <w:rsid w:val="00CD583C"/>
    <w:rsid w:val="00CD5851"/>
    <w:rsid w:val="00CD5897"/>
    <w:rsid w:val="00CD5A23"/>
    <w:rsid w:val="00CD5B41"/>
    <w:rsid w:val="00CD62D1"/>
    <w:rsid w:val="00CD63E7"/>
    <w:rsid w:val="00CD69E0"/>
    <w:rsid w:val="00CD6C78"/>
    <w:rsid w:val="00CD6CD1"/>
    <w:rsid w:val="00CD6E45"/>
    <w:rsid w:val="00CD6E56"/>
    <w:rsid w:val="00CD715E"/>
    <w:rsid w:val="00CD72F1"/>
    <w:rsid w:val="00CD75AC"/>
    <w:rsid w:val="00CE02FD"/>
    <w:rsid w:val="00CE05C3"/>
    <w:rsid w:val="00CE0804"/>
    <w:rsid w:val="00CE088D"/>
    <w:rsid w:val="00CE090B"/>
    <w:rsid w:val="00CE0A69"/>
    <w:rsid w:val="00CE0E56"/>
    <w:rsid w:val="00CE104B"/>
    <w:rsid w:val="00CE110E"/>
    <w:rsid w:val="00CE15EC"/>
    <w:rsid w:val="00CE1B1B"/>
    <w:rsid w:val="00CE1BF3"/>
    <w:rsid w:val="00CE1F63"/>
    <w:rsid w:val="00CE2009"/>
    <w:rsid w:val="00CE20BC"/>
    <w:rsid w:val="00CE2128"/>
    <w:rsid w:val="00CE213D"/>
    <w:rsid w:val="00CE219A"/>
    <w:rsid w:val="00CE2221"/>
    <w:rsid w:val="00CE23AC"/>
    <w:rsid w:val="00CE2433"/>
    <w:rsid w:val="00CE2595"/>
    <w:rsid w:val="00CE25F7"/>
    <w:rsid w:val="00CE2607"/>
    <w:rsid w:val="00CE26D9"/>
    <w:rsid w:val="00CE2A61"/>
    <w:rsid w:val="00CE2E06"/>
    <w:rsid w:val="00CE2E23"/>
    <w:rsid w:val="00CE300F"/>
    <w:rsid w:val="00CE30FE"/>
    <w:rsid w:val="00CE32C0"/>
    <w:rsid w:val="00CE398D"/>
    <w:rsid w:val="00CE39BC"/>
    <w:rsid w:val="00CE39BE"/>
    <w:rsid w:val="00CE39D9"/>
    <w:rsid w:val="00CE3CED"/>
    <w:rsid w:val="00CE3E7F"/>
    <w:rsid w:val="00CE3E97"/>
    <w:rsid w:val="00CE3FF9"/>
    <w:rsid w:val="00CE48D7"/>
    <w:rsid w:val="00CE4C34"/>
    <w:rsid w:val="00CE4EF3"/>
    <w:rsid w:val="00CE4F86"/>
    <w:rsid w:val="00CE5581"/>
    <w:rsid w:val="00CE5713"/>
    <w:rsid w:val="00CE58A5"/>
    <w:rsid w:val="00CE5D91"/>
    <w:rsid w:val="00CE5E3A"/>
    <w:rsid w:val="00CE6289"/>
    <w:rsid w:val="00CE6356"/>
    <w:rsid w:val="00CE6376"/>
    <w:rsid w:val="00CE655E"/>
    <w:rsid w:val="00CE65B6"/>
    <w:rsid w:val="00CE6606"/>
    <w:rsid w:val="00CE67E9"/>
    <w:rsid w:val="00CE6B99"/>
    <w:rsid w:val="00CE6C9F"/>
    <w:rsid w:val="00CE6DA8"/>
    <w:rsid w:val="00CE7149"/>
    <w:rsid w:val="00CE7642"/>
    <w:rsid w:val="00CE769B"/>
    <w:rsid w:val="00CE77F2"/>
    <w:rsid w:val="00CE7A6D"/>
    <w:rsid w:val="00CE7FEE"/>
    <w:rsid w:val="00CF005F"/>
    <w:rsid w:val="00CF0334"/>
    <w:rsid w:val="00CF03A1"/>
    <w:rsid w:val="00CF0474"/>
    <w:rsid w:val="00CF0515"/>
    <w:rsid w:val="00CF06BB"/>
    <w:rsid w:val="00CF0B99"/>
    <w:rsid w:val="00CF0D9F"/>
    <w:rsid w:val="00CF0F04"/>
    <w:rsid w:val="00CF0F84"/>
    <w:rsid w:val="00CF154C"/>
    <w:rsid w:val="00CF1563"/>
    <w:rsid w:val="00CF15AF"/>
    <w:rsid w:val="00CF1670"/>
    <w:rsid w:val="00CF17C8"/>
    <w:rsid w:val="00CF1D21"/>
    <w:rsid w:val="00CF1EA5"/>
    <w:rsid w:val="00CF1EA9"/>
    <w:rsid w:val="00CF2243"/>
    <w:rsid w:val="00CF26BD"/>
    <w:rsid w:val="00CF350E"/>
    <w:rsid w:val="00CF3629"/>
    <w:rsid w:val="00CF37AE"/>
    <w:rsid w:val="00CF3C9E"/>
    <w:rsid w:val="00CF4222"/>
    <w:rsid w:val="00CF4452"/>
    <w:rsid w:val="00CF4A34"/>
    <w:rsid w:val="00CF4C70"/>
    <w:rsid w:val="00CF4CE5"/>
    <w:rsid w:val="00CF4E0C"/>
    <w:rsid w:val="00CF5308"/>
    <w:rsid w:val="00CF5311"/>
    <w:rsid w:val="00CF5B7F"/>
    <w:rsid w:val="00CF5F8E"/>
    <w:rsid w:val="00CF5FD8"/>
    <w:rsid w:val="00CF6280"/>
    <w:rsid w:val="00CF6909"/>
    <w:rsid w:val="00CF6926"/>
    <w:rsid w:val="00CF69C3"/>
    <w:rsid w:val="00CF69EA"/>
    <w:rsid w:val="00CF6EDC"/>
    <w:rsid w:val="00CF739B"/>
    <w:rsid w:val="00CF75BE"/>
    <w:rsid w:val="00CF76A4"/>
    <w:rsid w:val="00CF785D"/>
    <w:rsid w:val="00CF78EE"/>
    <w:rsid w:val="00CF79A6"/>
    <w:rsid w:val="00D0007E"/>
    <w:rsid w:val="00D0057C"/>
    <w:rsid w:val="00D0104F"/>
    <w:rsid w:val="00D0110A"/>
    <w:rsid w:val="00D01133"/>
    <w:rsid w:val="00D0134D"/>
    <w:rsid w:val="00D01386"/>
    <w:rsid w:val="00D018CC"/>
    <w:rsid w:val="00D01C2A"/>
    <w:rsid w:val="00D0209A"/>
    <w:rsid w:val="00D0223E"/>
    <w:rsid w:val="00D023A3"/>
    <w:rsid w:val="00D02702"/>
    <w:rsid w:val="00D0278A"/>
    <w:rsid w:val="00D02DF2"/>
    <w:rsid w:val="00D03428"/>
    <w:rsid w:val="00D03647"/>
    <w:rsid w:val="00D038D2"/>
    <w:rsid w:val="00D04301"/>
    <w:rsid w:val="00D045F6"/>
    <w:rsid w:val="00D048C4"/>
    <w:rsid w:val="00D04CF7"/>
    <w:rsid w:val="00D05358"/>
    <w:rsid w:val="00D05474"/>
    <w:rsid w:val="00D05558"/>
    <w:rsid w:val="00D057A1"/>
    <w:rsid w:val="00D0584D"/>
    <w:rsid w:val="00D05AD5"/>
    <w:rsid w:val="00D06278"/>
    <w:rsid w:val="00D06C92"/>
    <w:rsid w:val="00D06FA9"/>
    <w:rsid w:val="00D073F7"/>
    <w:rsid w:val="00D074EA"/>
    <w:rsid w:val="00D075F4"/>
    <w:rsid w:val="00D077C2"/>
    <w:rsid w:val="00D07965"/>
    <w:rsid w:val="00D079A9"/>
    <w:rsid w:val="00D101B6"/>
    <w:rsid w:val="00D101D9"/>
    <w:rsid w:val="00D10508"/>
    <w:rsid w:val="00D105CE"/>
    <w:rsid w:val="00D10752"/>
    <w:rsid w:val="00D109E7"/>
    <w:rsid w:val="00D10C9B"/>
    <w:rsid w:val="00D11455"/>
    <w:rsid w:val="00D118FF"/>
    <w:rsid w:val="00D11954"/>
    <w:rsid w:val="00D11D0A"/>
    <w:rsid w:val="00D11EA0"/>
    <w:rsid w:val="00D120CF"/>
    <w:rsid w:val="00D12297"/>
    <w:rsid w:val="00D12469"/>
    <w:rsid w:val="00D12490"/>
    <w:rsid w:val="00D1265C"/>
    <w:rsid w:val="00D1267B"/>
    <w:rsid w:val="00D12C7A"/>
    <w:rsid w:val="00D12F0E"/>
    <w:rsid w:val="00D1373A"/>
    <w:rsid w:val="00D14146"/>
    <w:rsid w:val="00D142EB"/>
    <w:rsid w:val="00D148DE"/>
    <w:rsid w:val="00D149D8"/>
    <w:rsid w:val="00D14B39"/>
    <w:rsid w:val="00D14C47"/>
    <w:rsid w:val="00D14EEB"/>
    <w:rsid w:val="00D152B1"/>
    <w:rsid w:val="00D15467"/>
    <w:rsid w:val="00D15516"/>
    <w:rsid w:val="00D1575D"/>
    <w:rsid w:val="00D15863"/>
    <w:rsid w:val="00D1613D"/>
    <w:rsid w:val="00D167DC"/>
    <w:rsid w:val="00D16EC7"/>
    <w:rsid w:val="00D17131"/>
    <w:rsid w:val="00D1743A"/>
    <w:rsid w:val="00D17B27"/>
    <w:rsid w:val="00D17FB7"/>
    <w:rsid w:val="00D2042A"/>
    <w:rsid w:val="00D208B4"/>
    <w:rsid w:val="00D20ED0"/>
    <w:rsid w:val="00D21046"/>
    <w:rsid w:val="00D211CD"/>
    <w:rsid w:val="00D2147C"/>
    <w:rsid w:val="00D21672"/>
    <w:rsid w:val="00D21C95"/>
    <w:rsid w:val="00D22320"/>
    <w:rsid w:val="00D22767"/>
    <w:rsid w:val="00D22C74"/>
    <w:rsid w:val="00D23511"/>
    <w:rsid w:val="00D23930"/>
    <w:rsid w:val="00D23A5C"/>
    <w:rsid w:val="00D23BA8"/>
    <w:rsid w:val="00D23D6A"/>
    <w:rsid w:val="00D23E5E"/>
    <w:rsid w:val="00D23F23"/>
    <w:rsid w:val="00D24553"/>
    <w:rsid w:val="00D24591"/>
    <w:rsid w:val="00D245A3"/>
    <w:rsid w:val="00D248A1"/>
    <w:rsid w:val="00D248BE"/>
    <w:rsid w:val="00D24A69"/>
    <w:rsid w:val="00D24BD4"/>
    <w:rsid w:val="00D252FE"/>
    <w:rsid w:val="00D25630"/>
    <w:rsid w:val="00D258B3"/>
    <w:rsid w:val="00D25B42"/>
    <w:rsid w:val="00D25E8E"/>
    <w:rsid w:val="00D26033"/>
    <w:rsid w:val="00D26056"/>
    <w:rsid w:val="00D26A15"/>
    <w:rsid w:val="00D26A96"/>
    <w:rsid w:val="00D26CD9"/>
    <w:rsid w:val="00D26FAE"/>
    <w:rsid w:val="00D27132"/>
    <w:rsid w:val="00D27428"/>
    <w:rsid w:val="00D274B2"/>
    <w:rsid w:val="00D274B6"/>
    <w:rsid w:val="00D27B2D"/>
    <w:rsid w:val="00D301B1"/>
    <w:rsid w:val="00D3095D"/>
    <w:rsid w:val="00D30DD4"/>
    <w:rsid w:val="00D30FD3"/>
    <w:rsid w:val="00D3112C"/>
    <w:rsid w:val="00D31249"/>
    <w:rsid w:val="00D3156C"/>
    <w:rsid w:val="00D31685"/>
    <w:rsid w:val="00D31C5C"/>
    <w:rsid w:val="00D3250D"/>
    <w:rsid w:val="00D325F4"/>
    <w:rsid w:val="00D328BA"/>
    <w:rsid w:val="00D32FF4"/>
    <w:rsid w:val="00D334AF"/>
    <w:rsid w:val="00D33553"/>
    <w:rsid w:val="00D338BE"/>
    <w:rsid w:val="00D339D9"/>
    <w:rsid w:val="00D33CF5"/>
    <w:rsid w:val="00D33D45"/>
    <w:rsid w:val="00D34169"/>
    <w:rsid w:val="00D341F3"/>
    <w:rsid w:val="00D343AC"/>
    <w:rsid w:val="00D343CB"/>
    <w:rsid w:val="00D345E4"/>
    <w:rsid w:val="00D346DD"/>
    <w:rsid w:val="00D3509D"/>
    <w:rsid w:val="00D354E3"/>
    <w:rsid w:val="00D356BB"/>
    <w:rsid w:val="00D35882"/>
    <w:rsid w:val="00D3593C"/>
    <w:rsid w:val="00D35AA8"/>
    <w:rsid w:val="00D35C2B"/>
    <w:rsid w:val="00D360B4"/>
    <w:rsid w:val="00D361E6"/>
    <w:rsid w:val="00D3632A"/>
    <w:rsid w:val="00D36748"/>
    <w:rsid w:val="00D36CC1"/>
    <w:rsid w:val="00D36D40"/>
    <w:rsid w:val="00D374A8"/>
    <w:rsid w:val="00D37A19"/>
    <w:rsid w:val="00D37A21"/>
    <w:rsid w:val="00D37C1E"/>
    <w:rsid w:val="00D37C2F"/>
    <w:rsid w:val="00D37E1F"/>
    <w:rsid w:val="00D37E4C"/>
    <w:rsid w:val="00D40A2B"/>
    <w:rsid w:val="00D40C11"/>
    <w:rsid w:val="00D40FF6"/>
    <w:rsid w:val="00D41544"/>
    <w:rsid w:val="00D415C3"/>
    <w:rsid w:val="00D41A13"/>
    <w:rsid w:val="00D41D47"/>
    <w:rsid w:val="00D41F06"/>
    <w:rsid w:val="00D42240"/>
    <w:rsid w:val="00D42907"/>
    <w:rsid w:val="00D42EBD"/>
    <w:rsid w:val="00D42F82"/>
    <w:rsid w:val="00D44358"/>
    <w:rsid w:val="00D4435C"/>
    <w:rsid w:val="00D44CDD"/>
    <w:rsid w:val="00D44D69"/>
    <w:rsid w:val="00D452C0"/>
    <w:rsid w:val="00D45310"/>
    <w:rsid w:val="00D46188"/>
    <w:rsid w:val="00D46206"/>
    <w:rsid w:val="00D462EC"/>
    <w:rsid w:val="00D46577"/>
    <w:rsid w:val="00D47210"/>
    <w:rsid w:val="00D4783B"/>
    <w:rsid w:val="00D478C9"/>
    <w:rsid w:val="00D479B5"/>
    <w:rsid w:val="00D47A0D"/>
    <w:rsid w:val="00D47A28"/>
    <w:rsid w:val="00D47C4C"/>
    <w:rsid w:val="00D47F83"/>
    <w:rsid w:val="00D50020"/>
    <w:rsid w:val="00D502CB"/>
    <w:rsid w:val="00D5085D"/>
    <w:rsid w:val="00D509D5"/>
    <w:rsid w:val="00D50B4D"/>
    <w:rsid w:val="00D50C25"/>
    <w:rsid w:val="00D50CD2"/>
    <w:rsid w:val="00D50D19"/>
    <w:rsid w:val="00D50EE9"/>
    <w:rsid w:val="00D511B3"/>
    <w:rsid w:val="00D51A3B"/>
    <w:rsid w:val="00D51B2A"/>
    <w:rsid w:val="00D51DAD"/>
    <w:rsid w:val="00D51EF0"/>
    <w:rsid w:val="00D5203B"/>
    <w:rsid w:val="00D5264C"/>
    <w:rsid w:val="00D526C4"/>
    <w:rsid w:val="00D52867"/>
    <w:rsid w:val="00D52CEA"/>
    <w:rsid w:val="00D52D7A"/>
    <w:rsid w:val="00D52DE0"/>
    <w:rsid w:val="00D52F17"/>
    <w:rsid w:val="00D52FF8"/>
    <w:rsid w:val="00D53098"/>
    <w:rsid w:val="00D53336"/>
    <w:rsid w:val="00D53701"/>
    <w:rsid w:val="00D538CF"/>
    <w:rsid w:val="00D5398F"/>
    <w:rsid w:val="00D54139"/>
    <w:rsid w:val="00D5437E"/>
    <w:rsid w:val="00D544F9"/>
    <w:rsid w:val="00D54EE7"/>
    <w:rsid w:val="00D55032"/>
    <w:rsid w:val="00D551C3"/>
    <w:rsid w:val="00D55593"/>
    <w:rsid w:val="00D55615"/>
    <w:rsid w:val="00D55685"/>
    <w:rsid w:val="00D55767"/>
    <w:rsid w:val="00D55D2D"/>
    <w:rsid w:val="00D55ECE"/>
    <w:rsid w:val="00D5620B"/>
    <w:rsid w:val="00D5620F"/>
    <w:rsid w:val="00D5669D"/>
    <w:rsid w:val="00D5678E"/>
    <w:rsid w:val="00D567C8"/>
    <w:rsid w:val="00D567D0"/>
    <w:rsid w:val="00D57584"/>
    <w:rsid w:val="00D5795D"/>
    <w:rsid w:val="00D5799D"/>
    <w:rsid w:val="00D57F1F"/>
    <w:rsid w:val="00D60515"/>
    <w:rsid w:val="00D60667"/>
    <w:rsid w:val="00D60A34"/>
    <w:rsid w:val="00D60B47"/>
    <w:rsid w:val="00D60F0C"/>
    <w:rsid w:val="00D61044"/>
    <w:rsid w:val="00D612F8"/>
    <w:rsid w:val="00D61810"/>
    <w:rsid w:val="00D61906"/>
    <w:rsid w:val="00D61C6C"/>
    <w:rsid w:val="00D61FC2"/>
    <w:rsid w:val="00D62313"/>
    <w:rsid w:val="00D623BD"/>
    <w:rsid w:val="00D62886"/>
    <w:rsid w:val="00D62922"/>
    <w:rsid w:val="00D62A6F"/>
    <w:rsid w:val="00D62BC8"/>
    <w:rsid w:val="00D62CA0"/>
    <w:rsid w:val="00D62E90"/>
    <w:rsid w:val="00D62E96"/>
    <w:rsid w:val="00D632A6"/>
    <w:rsid w:val="00D63432"/>
    <w:rsid w:val="00D636F7"/>
    <w:rsid w:val="00D6381A"/>
    <w:rsid w:val="00D63A64"/>
    <w:rsid w:val="00D644B5"/>
    <w:rsid w:val="00D64BDF"/>
    <w:rsid w:val="00D64C83"/>
    <w:rsid w:val="00D64DA3"/>
    <w:rsid w:val="00D64F18"/>
    <w:rsid w:val="00D6576F"/>
    <w:rsid w:val="00D659B9"/>
    <w:rsid w:val="00D659C7"/>
    <w:rsid w:val="00D65B8A"/>
    <w:rsid w:val="00D65E28"/>
    <w:rsid w:val="00D6624A"/>
    <w:rsid w:val="00D6631B"/>
    <w:rsid w:val="00D66532"/>
    <w:rsid w:val="00D66591"/>
    <w:rsid w:val="00D667FA"/>
    <w:rsid w:val="00D6686E"/>
    <w:rsid w:val="00D66973"/>
    <w:rsid w:val="00D66C35"/>
    <w:rsid w:val="00D67284"/>
    <w:rsid w:val="00D701AB"/>
    <w:rsid w:val="00D701C4"/>
    <w:rsid w:val="00D7034D"/>
    <w:rsid w:val="00D70AA8"/>
    <w:rsid w:val="00D70C93"/>
    <w:rsid w:val="00D70D61"/>
    <w:rsid w:val="00D70E8B"/>
    <w:rsid w:val="00D7104D"/>
    <w:rsid w:val="00D719AC"/>
    <w:rsid w:val="00D71B18"/>
    <w:rsid w:val="00D71C46"/>
    <w:rsid w:val="00D71D95"/>
    <w:rsid w:val="00D71E10"/>
    <w:rsid w:val="00D71F2F"/>
    <w:rsid w:val="00D72212"/>
    <w:rsid w:val="00D72672"/>
    <w:rsid w:val="00D7294F"/>
    <w:rsid w:val="00D731BB"/>
    <w:rsid w:val="00D7335C"/>
    <w:rsid w:val="00D73426"/>
    <w:rsid w:val="00D73BA2"/>
    <w:rsid w:val="00D73FC2"/>
    <w:rsid w:val="00D740DC"/>
    <w:rsid w:val="00D7412E"/>
    <w:rsid w:val="00D742DA"/>
    <w:rsid w:val="00D74371"/>
    <w:rsid w:val="00D74498"/>
    <w:rsid w:val="00D74C67"/>
    <w:rsid w:val="00D74CE3"/>
    <w:rsid w:val="00D75105"/>
    <w:rsid w:val="00D7569C"/>
    <w:rsid w:val="00D75C2C"/>
    <w:rsid w:val="00D76450"/>
    <w:rsid w:val="00D765B1"/>
    <w:rsid w:val="00D76B80"/>
    <w:rsid w:val="00D76CC9"/>
    <w:rsid w:val="00D76DAA"/>
    <w:rsid w:val="00D76DB5"/>
    <w:rsid w:val="00D76E37"/>
    <w:rsid w:val="00D7702E"/>
    <w:rsid w:val="00D77366"/>
    <w:rsid w:val="00D779D2"/>
    <w:rsid w:val="00D77FE9"/>
    <w:rsid w:val="00D80219"/>
    <w:rsid w:val="00D808E7"/>
    <w:rsid w:val="00D80B1F"/>
    <w:rsid w:val="00D80C6E"/>
    <w:rsid w:val="00D8105F"/>
    <w:rsid w:val="00D810F3"/>
    <w:rsid w:val="00D815F1"/>
    <w:rsid w:val="00D81655"/>
    <w:rsid w:val="00D81BF8"/>
    <w:rsid w:val="00D825ED"/>
    <w:rsid w:val="00D82BA1"/>
    <w:rsid w:val="00D82C89"/>
    <w:rsid w:val="00D82F98"/>
    <w:rsid w:val="00D832C4"/>
    <w:rsid w:val="00D8331C"/>
    <w:rsid w:val="00D83600"/>
    <w:rsid w:val="00D8364C"/>
    <w:rsid w:val="00D8378B"/>
    <w:rsid w:val="00D83EBB"/>
    <w:rsid w:val="00D83F1B"/>
    <w:rsid w:val="00D84288"/>
    <w:rsid w:val="00D84658"/>
    <w:rsid w:val="00D84B48"/>
    <w:rsid w:val="00D84CFC"/>
    <w:rsid w:val="00D84F3D"/>
    <w:rsid w:val="00D853E4"/>
    <w:rsid w:val="00D8568F"/>
    <w:rsid w:val="00D857EE"/>
    <w:rsid w:val="00D85D90"/>
    <w:rsid w:val="00D85E70"/>
    <w:rsid w:val="00D8601B"/>
    <w:rsid w:val="00D86105"/>
    <w:rsid w:val="00D869A5"/>
    <w:rsid w:val="00D86C7E"/>
    <w:rsid w:val="00D86C93"/>
    <w:rsid w:val="00D8715A"/>
    <w:rsid w:val="00D87550"/>
    <w:rsid w:val="00D8776B"/>
    <w:rsid w:val="00D877F2"/>
    <w:rsid w:val="00D8799E"/>
    <w:rsid w:val="00D9020F"/>
    <w:rsid w:val="00D90513"/>
    <w:rsid w:val="00D906BC"/>
    <w:rsid w:val="00D909AA"/>
    <w:rsid w:val="00D90AA1"/>
    <w:rsid w:val="00D90C9E"/>
    <w:rsid w:val="00D90F25"/>
    <w:rsid w:val="00D90FEB"/>
    <w:rsid w:val="00D91091"/>
    <w:rsid w:val="00D910ED"/>
    <w:rsid w:val="00D91892"/>
    <w:rsid w:val="00D91E6F"/>
    <w:rsid w:val="00D91F31"/>
    <w:rsid w:val="00D9212B"/>
    <w:rsid w:val="00D92660"/>
    <w:rsid w:val="00D928EB"/>
    <w:rsid w:val="00D92A10"/>
    <w:rsid w:val="00D92BFC"/>
    <w:rsid w:val="00D92C11"/>
    <w:rsid w:val="00D92D6B"/>
    <w:rsid w:val="00D92E13"/>
    <w:rsid w:val="00D92F80"/>
    <w:rsid w:val="00D92FFA"/>
    <w:rsid w:val="00D932EC"/>
    <w:rsid w:val="00D93308"/>
    <w:rsid w:val="00D933D0"/>
    <w:rsid w:val="00D938C8"/>
    <w:rsid w:val="00D93DDA"/>
    <w:rsid w:val="00D93FCF"/>
    <w:rsid w:val="00D940A7"/>
    <w:rsid w:val="00D94111"/>
    <w:rsid w:val="00D94207"/>
    <w:rsid w:val="00D94360"/>
    <w:rsid w:val="00D9468B"/>
    <w:rsid w:val="00D94950"/>
    <w:rsid w:val="00D94AC0"/>
    <w:rsid w:val="00D94E88"/>
    <w:rsid w:val="00D950ED"/>
    <w:rsid w:val="00D9531C"/>
    <w:rsid w:val="00D95335"/>
    <w:rsid w:val="00D953EC"/>
    <w:rsid w:val="00D9553B"/>
    <w:rsid w:val="00D95669"/>
    <w:rsid w:val="00D95798"/>
    <w:rsid w:val="00D95AFD"/>
    <w:rsid w:val="00D95C2C"/>
    <w:rsid w:val="00D95E24"/>
    <w:rsid w:val="00D95EAD"/>
    <w:rsid w:val="00D96585"/>
    <w:rsid w:val="00D96810"/>
    <w:rsid w:val="00D96C3C"/>
    <w:rsid w:val="00D9706D"/>
    <w:rsid w:val="00D973AD"/>
    <w:rsid w:val="00D9778B"/>
    <w:rsid w:val="00D97981"/>
    <w:rsid w:val="00D979DC"/>
    <w:rsid w:val="00D97B9F"/>
    <w:rsid w:val="00DA0482"/>
    <w:rsid w:val="00DA0805"/>
    <w:rsid w:val="00DA0866"/>
    <w:rsid w:val="00DA0BB1"/>
    <w:rsid w:val="00DA0F1F"/>
    <w:rsid w:val="00DA109B"/>
    <w:rsid w:val="00DA18DD"/>
    <w:rsid w:val="00DA1C63"/>
    <w:rsid w:val="00DA1E5A"/>
    <w:rsid w:val="00DA2040"/>
    <w:rsid w:val="00DA228B"/>
    <w:rsid w:val="00DA251D"/>
    <w:rsid w:val="00DA25C4"/>
    <w:rsid w:val="00DA26F3"/>
    <w:rsid w:val="00DA27DF"/>
    <w:rsid w:val="00DA2D4F"/>
    <w:rsid w:val="00DA2FF6"/>
    <w:rsid w:val="00DA3224"/>
    <w:rsid w:val="00DA3493"/>
    <w:rsid w:val="00DA3BAF"/>
    <w:rsid w:val="00DA3DE6"/>
    <w:rsid w:val="00DA3DFC"/>
    <w:rsid w:val="00DA3F91"/>
    <w:rsid w:val="00DA43A3"/>
    <w:rsid w:val="00DA4990"/>
    <w:rsid w:val="00DA4A21"/>
    <w:rsid w:val="00DA4AB1"/>
    <w:rsid w:val="00DA4BA3"/>
    <w:rsid w:val="00DA4CB2"/>
    <w:rsid w:val="00DA4DA2"/>
    <w:rsid w:val="00DA5863"/>
    <w:rsid w:val="00DA5A14"/>
    <w:rsid w:val="00DA5B59"/>
    <w:rsid w:val="00DA6270"/>
    <w:rsid w:val="00DA6431"/>
    <w:rsid w:val="00DA6A6C"/>
    <w:rsid w:val="00DA6B99"/>
    <w:rsid w:val="00DA6BF3"/>
    <w:rsid w:val="00DA6D7B"/>
    <w:rsid w:val="00DA6FD3"/>
    <w:rsid w:val="00DA70AC"/>
    <w:rsid w:val="00DA735A"/>
    <w:rsid w:val="00DA7830"/>
    <w:rsid w:val="00DA7AA8"/>
    <w:rsid w:val="00DA7C57"/>
    <w:rsid w:val="00DA7FD0"/>
    <w:rsid w:val="00DB04D3"/>
    <w:rsid w:val="00DB0536"/>
    <w:rsid w:val="00DB09FE"/>
    <w:rsid w:val="00DB0A99"/>
    <w:rsid w:val="00DB0B93"/>
    <w:rsid w:val="00DB0BCB"/>
    <w:rsid w:val="00DB0D49"/>
    <w:rsid w:val="00DB0F98"/>
    <w:rsid w:val="00DB1118"/>
    <w:rsid w:val="00DB1138"/>
    <w:rsid w:val="00DB1416"/>
    <w:rsid w:val="00DB19FA"/>
    <w:rsid w:val="00DB1E61"/>
    <w:rsid w:val="00DB2255"/>
    <w:rsid w:val="00DB23F0"/>
    <w:rsid w:val="00DB2A00"/>
    <w:rsid w:val="00DB2AF8"/>
    <w:rsid w:val="00DB2B86"/>
    <w:rsid w:val="00DB2BE8"/>
    <w:rsid w:val="00DB2C9E"/>
    <w:rsid w:val="00DB2F55"/>
    <w:rsid w:val="00DB345F"/>
    <w:rsid w:val="00DB36E5"/>
    <w:rsid w:val="00DB381F"/>
    <w:rsid w:val="00DB4097"/>
    <w:rsid w:val="00DB4507"/>
    <w:rsid w:val="00DB48EF"/>
    <w:rsid w:val="00DB4D72"/>
    <w:rsid w:val="00DB54F9"/>
    <w:rsid w:val="00DB55C0"/>
    <w:rsid w:val="00DB57BA"/>
    <w:rsid w:val="00DB5A22"/>
    <w:rsid w:val="00DB5A6D"/>
    <w:rsid w:val="00DB5C38"/>
    <w:rsid w:val="00DB5DC9"/>
    <w:rsid w:val="00DB637B"/>
    <w:rsid w:val="00DB65A2"/>
    <w:rsid w:val="00DB6638"/>
    <w:rsid w:val="00DB676B"/>
    <w:rsid w:val="00DB6850"/>
    <w:rsid w:val="00DB6E3E"/>
    <w:rsid w:val="00DB6F29"/>
    <w:rsid w:val="00DB7131"/>
    <w:rsid w:val="00DB72F7"/>
    <w:rsid w:val="00DB7431"/>
    <w:rsid w:val="00DB781C"/>
    <w:rsid w:val="00DB7962"/>
    <w:rsid w:val="00DB7A60"/>
    <w:rsid w:val="00DB7B7F"/>
    <w:rsid w:val="00DB7BB8"/>
    <w:rsid w:val="00DC00F2"/>
    <w:rsid w:val="00DC0637"/>
    <w:rsid w:val="00DC0733"/>
    <w:rsid w:val="00DC1198"/>
    <w:rsid w:val="00DC12E8"/>
    <w:rsid w:val="00DC169D"/>
    <w:rsid w:val="00DC16A3"/>
    <w:rsid w:val="00DC1714"/>
    <w:rsid w:val="00DC19AC"/>
    <w:rsid w:val="00DC1ABF"/>
    <w:rsid w:val="00DC1BC7"/>
    <w:rsid w:val="00DC2666"/>
    <w:rsid w:val="00DC2A13"/>
    <w:rsid w:val="00DC349D"/>
    <w:rsid w:val="00DC356B"/>
    <w:rsid w:val="00DC363F"/>
    <w:rsid w:val="00DC3871"/>
    <w:rsid w:val="00DC398B"/>
    <w:rsid w:val="00DC431B"/>
    <w:rsid w:val="00DC46AC"/>
    <w:rsid w:val="00DC478D"/>
    <w:rsid w:val="00DC48AE"/>
    <w:rsid w:val="00DC4E9E"/>
    <w:rsid w:val="00DC5394"/>
    <w:rsid w:val="00DC5450"/>
    <w:rsid w:val="00DC5AB7"/>
    <w:rsid w:val="00DC5BAB"/>
    <w:rsid w:val="00DC5BC4"/>
    <w:rsid w:val="00DC647D"/>
    <w:rsid w:val="00DC6ADE"/>
    <w:rsid w:val="00DC6C6D"/>
    <w:rsid w:val="00DC6EAE"/>
    <w:rsid w:val="00DC70AD"/>
    <w:rsid w:val="00DC7628"/>
    <w:rsid w:val="00DC7A5A"/>
    <w:rsid w:val="00DC7D49"/>
    <w:rsid w:val="00DD013E"/>
    <w:rsid w:val="00DD0340"/>
    <w:rsid w:val="00DD075D"/>
    <w:rsid w:val="00DD07ED"/>
    <w:rsid w:val="00DD0829"/>
    <w:rsid w:val="00DD0E5F"/>
    <w:rsid w:val="00DD12E6"/>
    <w:rsid w:val="00DD13BF"/>
    <w:rsid w:val="00DD154F"/>
    <w:rsid w:val="00DD15B1"/>
    <w:rsid w:val="00DD1659"/>
    <w:rsid w:val="00DD1988"/>
    <w:rsid w:val="00DD1F12"/>
    <w:rsid w:val="00DD2112"/>
    <w:rsid w:val="00DD216C"/>
    <w:rsid w:val="00DD2488"/>
    <w:rsid w:val="00DD24C5"/>
    <w:rsid w:val="00DD2510"/>
    <w:rsid w:val="00DD2959"/>
    <w:rsid w:val="00DD2C70"/>
    <w:rsid w:val="00DD2FCC"/>
    <w:rsid w:val="00DD3359"/>
    <w:rsid w:val="00DD356E"/>
    <w:rsid w:val="00DD3BB7"/>
    <w:rsid w:val="00DD4074"/>
    <w:rsid w:val="00DD42B0"/>
    <w:rsid w:val="00DD436E"/>
    <w:rsid w:val="00DD467A"/>
    <w:rsid w:val="00DD476D"/>
    <w:rsid w:val="00DD47E5"/>
    <w:rsid w:val="00DD4ABC"/>
    <w:rsid w:val="00DD4FBA"/>
    <w:rsid w:val="00DD5526"/>
    <w:rsid w:val="00DD587C"/>
    <w:rsid w:val="00DD597D"/>
    <w:rsid w:val="00DD5AB7"/>
    <w:rsid w:val="00DD5B70"/>
    <w:rsid w:val="00DD5BF9"/>
    <w:rsid w:val="00DD5E93"/>
    <w:rsid w:val="00DD64E8"/>
    <w:rsid w:val="00DD650A"/>
    <w:rsid w:val="00DD6535"/>
    <w:rsid w:val="00DD6B71"/>
    <w:rsid w:val="00DD6D97"/>
    <w:rsid w:val="00DD6E41"/>
    <w:rsid w:val="00DD6EDC"/>
    <w:rsid w:val="00DD7274"/>
    <w:rsid w:val="00DD767C"/>
    <w:rsid w:val="00DD77B9"/>
    <w:rsid w:val="00DD78EA"/>
    <w:rsid w:val="00DD7CCB"/>
    <w:rsid w:val="00DD7DE1"/>
    <w:rsid w:val="00DD7E52"/>
    <w:rsid w:val="00DD7FAD"/>
    <w:rsid w:val="00DE0029"/>
    <w:rsid w:val="00DE0188"/>
    <w:rsid w:val="00DE01DD"/>
    <w:rsid w:val="00DE030B"/>
    <w:rsid w:val="00DE0498"/>
    <w:rsid w:val="00DE059C"/>
    <w:rsid w:val="00DE0ACB"/>
    <w:rsid w:val="00DE0BCF"/>
    <w:rsid w:val="00DE0DA7"/>
    <w:rsid w:val="00DE0E2B"/>
    <w:rsid w:val="00DE1004"/>
    <w:rsid w:val="00DE2600"/>
    <w:rsid w:val="00DE26B9"/>
    <w:rsid w:val="00DE2A04"/>
    <w:rsid w:val="00DE2AAC"/>
    <w:rsid w:val="00DE2B4A"/>
    <w:rsid w:val="00DE2DB2"/>
    <w:rsid w:val="00DE2E73"/>
    <w:rsid w:val="00DE2EAE"/>
    <w:rsid w:val="00DE3261"/>
    <w:rsid w:val="00DE3510"/>
    <w:rsid w:val="00DE37DE"/>
    <w:rsid w:val="00DE3D0C"/>
    <w:rsid w:val="00DE413D"/>
    <w:rsid w:val="00DE4437"/>
    <w:rsid w:val="00DE461D"/>
    <w:rsid w:val="00DE477A"/>
    <w:rsid w:val="00DE4A69"/>
    <w:rsid w:val="00DE4B2E"/>
    <w:rsid w:val="00DE4C7C"/>
    <w:rsid w:val="00DE4E8C"/>
    <w:rsid w:val="00DE4ECE"/>
    <w:rsid w:val="00DE4F3A"/>
    <w:rsid w:val="00DE5097"/>
    <w:rsid w:val="00DE51C9"/>
    <w:rsid w:val="00DE54E6"/>
    <w:rsid w:val="00DE5657"/>
    <w:rsid w:val="00DE5718"/>
    <w:rsid w:val="00DE5849"/>
    <w:rsid w:val="00DE5A0F"/>
    <w:rsid w:val="00DE5A28"/>
    <w:rsid w:val="00DE5B48"/>
    <w:rsid w:val="00DE5E89"/>
    <w:rsid w:val="00DE647E"/>
    <w:rsid w:val="00DE66E6"/>
    <w:rsid w:val="00DE69E5"/>
    <w:rsid w:val="00DE6C0D"/>
    <w:rsid w:val="00DE6FA7"/>
    <w:rsid w:val="00DE72B0"/>
    <w:rsid w:val="00DE75ED"/>
    <w:rsid w:val="00DE7B3C"/>
    <w:rsid w:val="00DE7E63"/>
    <w:rsid w:val="00DF0250"/>
    <w:rsid w:val="00DF0537"/>
    <w:rsid w:val="00DF079E"/>
    <w:rsid w:val="00DF07E9"/>
    <w:rsid w:val="00DF083B"/>
    <w:rsid w:val="00DF0BD6"/>
    <w:rsid w:val="00DF1050"/>
    <w:rsid w:val="00DF1171"/>
    <w:rsid w:val="00DF1266"/>
    <w:rsid w:val="00DF1619"/>
    <w:rsid w:val="00DF1E05"/>
    <w:rsid w:val="00DF205B"/>
    <w:rsid w:val="00DF249C"/>
    <w:rsid w:val="00DF2DBB"/>
    <w:rsid w:val="00DF2E2B"/>
    <w:rsid w:val="00DF3059"/>
    <w:rsid w:val="00DF3821"/>
    <w:rsid w:val="00DF387C"/>
    <w:rsid w:val="00DF3E7E"/>
    <w:rsid w:val="00DF49AC"/>
    <w:rsid w:val="00DF4A97"/>
    <w:rsid w:val="00DF4AE5"/>
    <w:rsid w:val="00DF4EF6"/>
    <w:rsid w:val="00DF53C0"/>
    <w:rsid w:val="00DF5453"/>
    <w:rsid w:val="00DF54DF"/>
    <w:rsid w:val="00DF56FC"/>
    <w:rsid w:val="00DF5934"/>
    <w:rsid w:val="00DF5AC4"/>
    <w:rsid w:val="00DF5C13"/>
    <w:rsid w:val="00DF6057"/>
    <w:rsid w:val="00DF60AB"/>
    <w:rsid w:val="00DF668C"/>
    <w:rsid w:val="00DF6747"/>
    <w:rsid w:val="00DF71F1"/>
    <w:rsid w:val="00DF749B"/>
    <w:rsid w:val="00DF76AD"/>
    <w:rsid w:val="00DF78A7"/>
    <w:rsid w:val="00DF7C53"/>
    <w:rsid w:val="00DF7E2D"/>
    <w:rsid w:val="00E00313"/>
    <w:rsid w:val="00E00483"/>
    <w:rsid w:val="00E0053A"/>
    <w:rsid w:val="00E00671"/>
    <w:rsid w:val="00E00856"/>
    <w:rsid w:val="00E0085F"/>
    <w:rsid w:val="00E01689"/>
    <w:rsid w:val="00E0169F"/>
    <w:rsid w:val="00E016AC"/>
    <w:rsid w:val="00E018C6"/>
    <w:rsid w:val="00E01B0E"/>
    <w:rsid w:val="00E01CB4"/>
    <w:rsid w:val="00E01F0E"/>
    <w:rsid w:val="00E0206B"/>
    <w:rsid w:val="00E0231F"/>
    <w:rsid w:val="00E0245A"/>
    <w:rsid w:val="00E024A4"/>
    <w:rsid w:val="00E024CC"/>
    <w:rsid w:val="00E02665"/>
    <w:rsid w:val="00E02AC8"/>
    <w:rsid w:val="00E02D0A"/>
    <w:rsid w:val="00E02DB3"/>
    <w:rsid w:val="00E0302E"/>
    <w:rsid w:val="00E030A4"/>
    <w:rsid w:val="00E0360E"/>
    <w:rsid w:val="00E03982"/>
    <w:rsid w:val="00E03B64"/>
    <w:rsid w:val="00E03D75"/>
    <w:rsid w:val="00E03E1D"/>
    <w:rsid w:val="00E0409C"/>
    <w:rsid w:val="00E042A4"/>
    <w:rsid w:val="00E042EC"/>
    <w:rsid w:val="00E04358"/>
    <w:rsid w:val="00E0464F"/>
    <w:rsid w:val="00E048AF"/>
    <w:rsid w:val="00E049F2"/>
    <w:rsid w:val="00E04E87"/>
    <w:rsid w:val="00E05087"/>
    <w:rsid w:val="00E0533C"/>
    <w:rsid w:val="00E0538E"/>
    <w:rsid w:val="00E0569D"/>
    <w:rsid w:val="00E056A4"/>
    <w:rsid w:val="00E056C5"/>
    <w:rsid w:val="00E05DDC"/>
    <w:rsid w:val="00E06039"/>
    <w:rsid w:val="00E0660A"/>
    <w:rsid w:val="00E0676A"/>
    <w:rsid w:val="00E069A2"/>
    <w:rsid w:val="00E06A1A"/>
    <w:rsid w:val="00E06BE1"/>
    <w:rsid w:val="00E06D88"/>
    <w:rsid w:val="00E10179"/>
    <w:rsid w:val="00E10205"/>
    <w:rsid w:val="00E1070B"/>
    <w:rsid w:val="00E1089F"/>
    <w:rsid w:val="00E10A33"/>
    <w:rsid w:val="00E10E67"/>
    <w:rsid w:val="00E10EA5"/>
    <w:rsid w:val="00E1132F"/>
    <w:rsid w:val="00E11A16"/>
    <w:rsid w:val="00E11D1B"/>
    <w:rsid w:val="00E11FD4"/>
    <w:rsid w:val="00E12027"/>
    <w:rsid w:val="00E12368"/>
    <w:rsid w:val="00E12492"/>
    <w:rsid w:val="00E128BC"/>
    <w:rsid w:val="00E128F8"/>
    <w:rsid w:val="00E13137"/>
    <w:rsid w:val="00E13283"/>
    <w:rsid w:val="00E132A3"/>
    <w:rsid w:val="00E135DE"/>
    <w:rsid w:val="00E13865"/>
    <w:rsid w:val="00E138F1"/>
    <w:rsid w:val="00E13AAC"/>
    <w:rsid w:val="00E13C9B"/>
    <w:rsid w:val="00E13DC5"/>
    <w:rsid w:val="00E13EDE"/>
    <w:rsid w:val="00E13F5B"/>
    <w:rsid w:val="00E14013"/>
    <w:rsid w:val="00E14226"/>
    <w:rsid w:val="00E14252"/>
    <w:rsid w:val="00E14669"/>
    <w:rsid w:val="00E1478A"/>
    <w:rsid w:val="00E147AA"/>
    <w:rsid w:val="00E14DFD"/>
    <w:rsid w:val="00E152DA"/>
    <w:rsid w:val="00E1594D"/>
    <w:rsid w:val="00E15F82"/>
    <w:rsid w:val="00E16243"/>
    <w:rsid w:val="00E16D52"/>
    <w:rsid w:val="00E16EDA"/>
    <w:rsid w:val="00E16F79"/>
    <w:rsid w:val="00E16F90"/>
    <w:rsid w:val="00E16FFF"/>
    <w:rsid w:val="00E17047"/>
    <w:rsid w:val="00E173A7"/>
    <w:rsid w:val="00E174AB"/>
    <w:rsid w:val="00E175E6"/>
    <w:rsid w:val="00E17717"/>
    <w:rsid w:val="00E17881"/>
    <w:rsid w:val="00E17E6C"/>
    <w:rsid w:val="00E203E4"/>
    <w:rsid w:val="00E203EA"/>
    <w:rsid w:val="00E2066D"/>
    <w:rsid w:val="00E20727"/>
    <w:rsid w:val="00E20FF8"/>
    <w:rsid w:val="00E2102D"/>
    <w:rsid w:val="00E21397"/>
    <w:rsid w:val="00E2154C"/>
    <w:rsid w:val="00E21593"/>
    <w:rsid w:val="00E2178E"/>
    <w:rsid w:val="00E22310"/>
    <w:rsid w:val="00E22511"/>
    <w:rsid w:val="00E226A7"/>
    <w:rsid w:val="00E22B37"/>
    <w:rsid w:val="00E22BCC"/>
    <w:rsid w:val="00E22CAB"/>
    <w:rsid w:val="00E22F1C"/>
    <w:rsid w:val="00E22F29"/>
    <w:rsid w:val="00E2320C"/>
    <w:rsid w:val="00E232A0"/>
    <w:rsid w:val="00E23667"/>
    <w:rsid w:val="00E2368E"/>
    <w:rsid w:val="00E23759"/>
    <w:rsid w:val="00E237A6"/>
    <w:rsid w:val="00E24609"/>
    <w:rsid w:val="00E24710"/>
    <w:rsid w:val="00E24761"/>
    <w:rsid w:val="00E249E0"/>
    <w:rsid w:val="00E24BA9"/>
    <w:rsid w:val="00E24E2D"/>
    <w:rsid w:val="00E2508C"/>
    <w:rsid w:val="00E25133"/>
    <w:rsid w:val="00E255B8"/>
    <w:rsid w:val="00E255D2"/>
    <w:rsid w:val="00E25DF5"/>
    <w:rsid w:val="00E261F2"/>
    <w:rsid w:val="00E26224"/>
    <w:rsid w:val="00E266B5"/>
    <w:rsid w:val="00E2676D"/>
    <w:rsid w:val="00E26903"/>
    <w:rsid w:val="00E26B5C"/>
    <w:rsid w:val="00E26DBD"/>
    <w:rsid w:val="00E26E0E"/>
    <w:rsid w:val="00E27CB9"/>
    <w:rsid w:val="00E30044"/>
    <w:rsid w:val="00E30137"/>
    <w:rsid w:val="00E3014F"/>
    <w:rsid w:val="00E30368"/>
    <w:rsid w:val="00E3038E"/>
    <w:rsid w:val="00E30457"/>
    <w:rsid w:val="00E305AE"/>
    <w:rsid w:val="00E3065F"/>
    <w:rsid w:val="00E30661"/>
    <w:rsid w:val="00E30BE2"/>
    <w:rsid w:val="00E3103A"/>
    <w:rsid w:val="00E316FF"/>
    <w:rsid w:val="00E318E9"/>
    <w:rsid w:val="00E31A99"/>
    <w:rsid w:val="00E31D61"/>
    <w:rsid w:val="00E321DB"/>
    <w:rsid w:val="00E32228"/>
    <w:rsid w:val="00E32D12"/>
    <w:rsid w:val="00E32EAB"/>
    <w:rsid w:val="00E330E7"/>
    <w:rsid w:val="00E334B5"/>
    <w:rsid w:val="00E33821"/>
    <w:rsid w:val="00E33B9E"/>
    <w:rsid w:val="00E346D5"/>
    <w:rsid w:val="00E34BFC"/>
    <w:rsid w:val="00E34CA7"/>
    <w:rsid w:val="00E35380"/>
    <w:rsid w:val="00E35899"/>
    <w:rsid w:val="00E35A72"/>
    <w:rsid w:val="00E35B33"/>
    <w:rsid w:val="00E35C6A"/>
    <w:rsid w:val="00E35D65"/>
    <w:rsid w:val="00E36131"/>
    <w:rsid w:val="00E361CC"/>
    <w:rsid w:val="00E366E1"/>
    <w:rsid w:val="00E36A78"/>
    <w:rsid w:val="00E370DC"/>
    <w:rsid w:val="00E37289"/>
    <w:rsid w:val="00E378D3"/>
    <w:rsid w:val="00E37A02"/>
    <w:rsid w:val="00E40417"/>
    <w:rsid w:val="00E4059A"/>
    <w:rsid w:val="00E4066F"/>
    <w:rsid w:val="00E40F5F"/>
    <w:rsid w:val="00E413D8"/>
    <w:rsid w:val="00E41DCC"/>
    <w:rsid w:val="00E41E8E"/>
    <w:rsid w:val="00E42591"/>
    <w:rsid w:val="00E42700"/>
    <w:rsid w:val="00E42789"/>
    <w:rsid w:val="00E42CBC"/>
    <w:rsid w:val="00E42D7F"/>
    <w:rsid w:val="00E4309A"/>
    <w:rsid w:val="00E43323"/>
    <w:rsid w:val="00E4353C"/>
    <w:rsid w:val="00E43666"/>
    <w:rsid w:val="00E4384D"/>
    <w:rsid w:val="00E439CE"/>
    <w:rsid w:val="00E43FDA"/>
    <w:rsid w:val="00E445B5"/>
    <w:rsid w:val="00E445E7"/>
    <w:rsid w:val="00E4492E"/>
    <w:rsid w:val="00E44A77"/>
    <w:rsid w:val="00E44B6C"/>
    <w:rsid w:val="00E44D9C"/>
    <w:rsid w:val="00E44FF0"/>
    <w:rsid w:val="00E45CFF"/>
    <w:rsid w:val="00E45FC3"/>
    <w:rsid w:val="00E46105"/>
    <w:rsid w:val="00E46382"/>
    <w:rsid w:val="00E4681B"/>
    <w:rsid w:val="00E468C3"/>
    <w:rsid w:val="00E469BB"/>
    <w:rsid w:val="00E46A13"/>
    <w:rsid w:val="00E46C0C"/>
    <w:rsid w:val="00E46D66"/>
    <w:rsid w:val="00E46E73"/>
    <w:rsid w:val="00E4742E"/>
    <w:rsid w:val="00E47504"/>
    <w:rsid w:val="00E47B21"/>
    <w:rsid w:val="00E47BC6"/>
    <w:rsid w:val="00E47F80"/>
    <w:rsid w:val="00E50022"/>
    <w:rsid w:val="00E50097"/>
    <w:rsid w:val="00E508A3"/>
    <w:rsid w:val="00E50AF8"/>
    <w:rsid w:val="00E50C07"/>
    <w:rsid w:val="00E50CD1"/>
    <w:rsid w:val="00E51102"/>
    <w:rsid w:val="00E5110F"/>
    <w:rsid w:val="00E5121F"/>
    <w:rsid w:val="00E516A2"/>
    <w:rsid w:val="00E51EA3"/>
    <w:rsid w:val="00E51F15"/>
    <w:rsid w:val="00E52192"/>
    <w:rsid w:val="00E523B3"/>
    <w:rsid w:val="00E52410"/>
    <w:rsid w:val="00E52960"/>
    <w:rsid w:val="00E529BE"/>
    <w:rsid w:val="00E52CC9"/>
    <w:rsid w:val="00E53364"/>
    <w:rsid w:val="00E53A5B"/>
    <w:rsid w:val="00E53B2B"/>
    <w:rsid w:val="00E53F2C"/>
    <w:rsid w:val="00E53FD9"/>
    <w:rsid w:val="00E5426E"/>
    <w:rsid w:val="00E54581"/>
    <w:rsid w:val="00E547E5"/>
    <w:rsid w:val="00E549BB"/>
    <w:rsid w:val="00E54E61"/>
    <w:rsid w:val="00E5512F"/>
    <w:rsid w:val="00E55BE7"/>
    <w:rsid w:val="00E55DE1"/>
    <w:rsid w:val="00E5622C"/>
    <w:rsid w:val="00E5636D"/>
    <w:rsid w:val="00E564B0"/>
    <w:rsid w:val="00E56597"/>
    <w:rsid w:val="00E568D8"/>
    <w:rsid w:val="00E568EA"/>
    <w:rsid w:val="00E56947"/>
    <w:rsid w:val="00E56BB5"/>
    <w:rsid w:val="00E575D0"/>
    <w:rsid w:val="00E57A4A"/>
    <w:rsid w:val="00E57F50"/>
    <w:rsid w:val="00E60488"/>
    <w:rsid w:val="00E60599"/>
    <w:rsid w:val="00E60D34"/>
    <w:rsid w:val="00E60DED"/>
    <w:rsid w:val="00E61036"/>
    <w:rsid w:val="00E6108F"/>
    <w:rsid w:val="00E6131B"/>
    <w:rsid w:val="00E61438"/>
    <w:rsid w:val="00E6158D"/>
    <w:rsid w:val="00E619DA"/>
    <w:rsid w:val="00E61A03"/>
    <w:rsid w:val="00E61A24"/>
    <w:rsid w:val="00E61A34"/>
    <w:rsid w:val="00E61B3D"/>
    <w:rsid w:val="00E61D6D"/>
    <w:rsid w:val="00E61D74"/>
    <w:rsid w:val="00E61E5B"/>
    <w:rsid w:val="00E62264"/>
    <w:rsid w:val="00E6294C"/>
    <w:rsid w:val="00E62DB0"/>
    <w:rsid w:val="00E630C9"/>
    <w:rsid w:val="00E632D7"/>
    <w:rsid w:val="00E6344E"/>
    <w:rsid w:val="00E6347E"/>
    <w:rsid w:val="00E6361A"/>
    <w:rsid w:val="00E638B1"/>
    <w:rsid w:val="00E63BF7"/>
    <w:rsid w:val="00E63D4C"/>
    <w:rsid w:val="00E63DAD"/>
    <w:rsid w:val="00E644A2"/>
    <w:rsid w:val="00E647E3"/>
    <w:rsid w:val="00E64849"/>
    <w:rsid w:val="00E64A8A"/>
    <w:rsid w:val="00E64C09"/>
    <w:rsid w:val="00E64D86"/>
    <w:rsid w:val="00E65530"/>
    <w:rsid w:val="00E6574F"/>
    <w:rsid w:val="00E6587B"/>
    <w:rsid w:val="00E65AAF"/>
    <w:rsid w:val="00E65B02"/>
    <w:rsid w:val="00E65C09"/>
    <w:rsid w:val="00E65CDC"/>
    <w:rsid w:val="00E661FE"/>
    <w:rsid w:val="00E6638C"/>
    <w:rsid w:val="00E663AA"/>
    <w:rsid w:val="00E66451"/>
    <w:rsid w:val="00E6664E"/>
    <w:rsid w:val="00E667BE"/>
    <w:rsid w:val="00E66928"/>
    <w:rsid w:val="00E6693E"/>
    <w:rsid w:val="00E6694A"/>
    <w:rsid w:val="00E6746C"/>
    <w:rsid w:val="00E67AF4"/>
    <w:rsid w:val="00E67DC2"/>
    <w:rsid w:val="00E67F3F"/>
    <w:rsid w:val="00E7042B"/>
    <w:rsid w:val="00E70847"/>
    <w:rsid w:val="00E70B9F"/>
    <w:rsid w:val="00E7166F"/>
    <w:rsid w:val="00E71BAD"/>
    <w:rsid w:val="00E7211C"/>
    <w:rsid w:val="00E72124"/>
    <w:rsid w:val="00E72168"/>
    <w:rsid w:val="00E72291"/>
    <w:rsid w:val="00E7293E"/>
    <w:rsid w:val="00E72B58"/>
    <w:rsid w:val="00E72B72"/>
    <w:rsid w:val="00E72C2E"/>
    <w:rsid w:val="00E72CEA"/>
    <w:rsid w:val="00E72D48"/>
    <w:rsid w:val="00E72DEE"/>
    <w:rsid w:val="00E7355A"/>
    <w:rsid w:val="00E737E5"/>
    <w:rsid w:val="00E74017"/>
    <w:rsid w:val="00E74049"/>
    <w:rsid w:val="00E74076"/>
    <w:rsid w:val="00E7418D"/>
    <w:rsid w:val="00E745A4"/>
    <w:rsid w:val="00E75732"/>
    <w:rsid w:val="00E759A0"/>
    <w:rsid w:val="00E759D4"/>
    <w:rsid w:val="00E75AB2"/>
    <w:rsid w:val="00E75C65"/>
    <w:rsid w:val="00E75ECC"/>
    <w:rsid w:val="00E76045"/>
    <w:rsid w:val="00E76941"/>
    <w:rsid w:val="00E7730B"/>
    <w:rsid w:val="00E7749D"/>
    <w:rsid w:val="00E77749"/>
    <w:rsid w:val="00E779EB"/>
    <w:rsid w:val="00E77C56"/>
    <w:rsid w:val="00E77FF0"/>
    <w:rsid w:val="00E80646"/>
    <w:rsid w:val="00E80A98"/>
    <w:rsid w:val="00E80D2C"/>
    <w:rsid w:val="00E81535"/>
    <w:rsid w:val="00E81938"/>
    <w:rsid w:val="00E81C0D"/>
    <w:rsid w:val="00E82A4B"/>
    <w:rsid w:val="00E82C6A"/>
    <w:rsid w:val="00E82D76"/>
    <w:rsid w:val="00E83900"/>
    <w:rsid w:val="00E83D9F"/>
    <w:rsid w:val="00E84226"/>
    <w:rsid w:val="00E84515"/>
    <w:rsid w:val="00E84624"/>
    <w:rsid w:val="00E846C5"/>
    <w:rsid w:val="00E84755"/>
    <w:rsid w:val="00E84780"/>
    <w:rsid w:val="00E84808"/>
    <w:rsid w:val="00E848A2"/>
    <w:rsid w:val="00E84946"/>
    <w:rsid w:val="00E84A5B"/>
    <w:rsid w:val="00E84C7C"/>
    <w:rsid w:val="00E85046"/>
    <w:rsid w:val="00E853CD"/>
    <w:rsid w:val="00E85465"/>
    <w:rsid w:val="00E854F8"/>
    <w:rsid w:val="00E855D2"/>
    <w:rsid w:val="00E85951"/>
    <w:rsid w:val="00E863A4"/>
    <w:rsid w:val="00E86A93"/>
    <w:rsid w:val="00E86BF6"/>
    <w:rsid w:val="00E870DC"/>
    <w:rsid w:val="00E87620"/>
    <w:rsid w:val="00E87C94"/>
    <w:rsid w:val="00E87CB6"/>
    <w:rsid w:val="00E87F3F"/>
    <w:rsid w:val="00E87FE8"/>
    <w:rsid w:val="00E90545"/>
    <w:rsid w:val="00E909C3"/>
    <w:rsid w:val="00E911E0"/>
    <w:rsid w:val="00E9127C"/>
    <w:rsid w:val="00E912E5"/>
    <w:rsid w:val="00E91514"/>
    <w:rsid w:val="00E916EB"/>
    <w:rsid w:val="00E919AA"/>
    <w:rsid w:val="00E91EB5"/>
    <w:rsid w:val="00E92055"/>
    <w:rsid w:val="00E9211B"/>
    <w:rsid w:val="00E92723"/>
    <w:rsid w:val="00E92B53"/>
    <w:rsid w:val="00E92B59"/>
    <w:rsid w:val="00E92E27"/>
    <w:rsid w:val="00E92ED4"/>
    <w:rsid w:val="00E93042"/>
    <w:rsid w:val="00E930BE"/>
    <w:rsid w:val="00E93590"/>
    <w:rsid w:val="00E937D6"/>
    <w:rsid w:val="00E938E4"/>
    <w:rsid w:val="00E93ADE"/>
    <w:rsid w:val="00E93E31"/>
    <w:rsid w:val="00E94228"/>
    <w:rsid w:val="00E942E3"/>
    <w:rsid w:val="00E94B96"/>
    <w:rsid w:val="00E94E6C"/>
    <w:rsid w:val="00E950BE"/>
    <w:rsid w:val="00E958B4"/>
    <w:rsid w:val="00E95995"/>
    <w:rsid w:val="00E95AF8"/>
    <w:rsid w:val="00E95D43"/>
    <w:rsid w:val="00E965B2"/>
    <w:rsid w:val="00E96B66"/>
    <w:rsid w:val="00E96BE4"/>
    <w:rsid w:val="00E97140"/>
    <w:rsid w:val="00E97664"/>
    <w:rsid w:val="00E97811"/>
    <w:rsid w:val="00E97A3E"/>
    <w:rsid w:val="00E97D4F"/>
    <w:rsid w:val="00E97F17"/>
    <w:rsid w:val="00EA0031"/>
    <w:rsid w:val="00EA031B"/>
    <w:rsid w:val="00EA0362"/>
    <w:rsid w:val="00EA0BA6"/>
    <w:rsid w:val="00EA0E40"/>
    <w:rsid w:val="00EA0F97"/>
    <w:rsid w:val="00EA119E"/>
    <w:rsid w:val="00EA154C"/>
    <w:rsid w:val="00EA1688"/>
    <w:rsid w:val="00EA17D7"/>
    <w:rsid w:val="00EA1BC3"/>
    <w:rsid w:val="00EA2A77"/>
    <w:rsid w:val="00EA2A88"/>
    <w:rsid w:val="00EA3075"/>
    <w:rsid w:val="00EA3595"/>
    <w:rsid w:val="00EA36D4"/>
    <w:rsid w:val="00EA37A2"/>
    <w:rsid w:val="00EA396D"/>
    <w:rsid w:val="00EA3A8E"/>
    <w:rsid w:val="00EA3ACB"/>
    <w:rsid w:val="00EA3BF7"/>
    <w:rsid w:val="00EA3DF4"/>
    <w:rsid w:val="00EA43F0"/>
    <w:rsid w:val="00EA469C"/>
    <w:rsid w:val="00EA4A3D"/>
    <w:rsid w:val="00EA4D07"/>
    <w:rsid w:val="00EA5097"/>
    <w:rsid w:val="00EA50D1"/>
    <w:rsid w:val="00EA5339"/>
    <w:rsid w:val="00EA55E9"/>
    <w:rsid w:val="00EA60FE"/>
    <w:rsid w:val="00EA6384"/>
    <w:rsid w:val="00EA6660"/>
    <w:rsid w:val="00EA6A1B"/>
    <w:rsid w:val="00EA6ACB"/>
    <w:rsid w:val="00EA6AFF"/>
    <w:rsid w:val="00EA6BDC"/>
    <w:rsid w:val="00EA6BEB"/>
    <w:rsid w:val="00EA715E"/>
    <w:rsid w:val="00EA74E5"/>
    <w:rsid w:val="00EA7813"/>
    <w:rsid w:val="00EA7936"/>
    <w:rsid w:val="00EA798E"/>
    <w:rsid w:val="00EA79B3"/>
    <w:rsid w:val="00EA7B1A"/>
    <w:rsid w:val="00EA7E49"/>
    <w:rsid w:val="00EA7FB3"/>
    <w:rsid w:val="00EB005D"/>
    <w:rsid w:val="00EB00E8"/>
    <w:rsid w:val="00EB0242"/>
    <w:rsid w:val="00EB0683"/>
    <w:rsid w:val="00EB0812"/>
    <w:rsid w:val="00EB08A8"/>
    <w:rsid w:val="00EB0D2C"/>
    <w:rsid w:val="00EB11EF"/>
    <w:rsid w:val="00EB16F4"/>
    <w:rsid w:val="00EB2088"/>
    <w:rsid w:val="00EB20A1"/>
    <w:rsid w:val="00EB22D0"/>
    <w:rsid w:val="00EB22FD"/>
    <w:rsid w:val="00EB2BED"/>
    <w:rsid w:val="00EB3001"/>
    <w:rsid w:val="00EB365E"/>
    <w:rsid w:val="00EB372A"/>
    <w:rsid w:val="00EB38E8"/>
    <w:rsid w:val="00EB3EEE"/>
    <w:rsid w:val="00EB42A9"/>
    <w:rsid w:val="00EB42F1"/>
    <w:rsid w:val="00EB4440"/>
    <w:rsid w:val="00EB457A"/>
    <w:rsid w:val="00EB459D"/>
    <w:rsid w:val="00EB4847"/>
    <w:rsid w:val="00EB494D"/>
    <w:rsid w:val="00EB4DD6"/>
    <w:rsid w:val="00EB5843"/>
    <w:rsid w:val="00EB5B9B"/>
    <w:rsid w:val="00EB6583"/>
    <w:rsid w:val="00EB6832"/>
    <w:rsid w:val="00EB68A1"/>
    <w:rsid w:val="00EB68F9"/>
    <w:rsid w:val="00EB6A6F"/>
    <w:rsid w:val="00EB6AC3"/>
    <w:rsid w:val="00EB6C05"/>
    <w:rsid w:val="00EB6C5B"/>
    <w:rsid w:val="00EB6D0B"/>
    <w:rsid w:val="00EB6DFD"/>
    <w:rsid w:val="00EB6F09"/>
    <w:rsid w:val="00EB6F59"/>
    <w:rsid w:val="00EB700D"/>
    <w:rsid w:val="00EB7624"/>
    <w:rsid w:val="00EB76A1"/>
    <w:rsid w:val="00EB76D9"/>
    <w:rsid w:val="00EB7776"/>
    <w:rsid w:val="00EB77B7"/>
    <w:rsid w:val="00EB796F"/>
    <w:rsid w:val="00EB7C4E"/>
    <w:rsid w:val="00EC0282"/>
    <w:rsid w:val="00EC0307"/>
    <w:rsid w:val="00EC0562"/>
    <w:rsid w:val="00EC0590"/>
    <w:rsid w:val="00EC07A3"/>
    <w:rsid w:val="00EC0844"/>
    <w:rsid w:val="00EC0F8F"/>
    <w:rsid w:val="00EC1206"/>
    <w:rsid w:val="00EC12A0"/>
    <w:rsid w:val="00EC184F"/>
    <w:rsid w:val="00EC18E8"/>
    <w:rsid w:val="00EC1B09"/>
    <w:rsid w:val="00EC1D5E"/>
    <w:rsid w:val="00EC204F"/>
    <w:rsid w:val="00EC2266"/>
    <w:rsid w:val="00EC2797"/>
    <w:rsid w:val="00EC2999"/>
    <w:rsid w:val="00EC2C7B"/>
    <w:rsid w:val="00EC3751"/>
    <w:rsid w:val="00EC3A89"/>
    <w:rsid w:val="00EC3B1D"/>
    <w:rsid w:val="00EC3B6C"/>
    <w:rsid w:val="00EC3CF7"/>
    <w:rsid w:val="00EC3EB7"/>
    <w:rsid w:val="00EC436C"/>
    <w:rsid w:val="00EC45E4"/>
    <w:rsid w:val="00EC4A68"/>
    <w:rsid w:val="00EC4AB1"/>
    <w:rsid w:val="00EC50FF"/>
    <w:rsid w:val="00EC5723"/>
    <w:rsid w:val="00EC61CD"/>
    <w:rsid w:val="00EC6413"/>
    <w:rsid w:val="00EC6774"/>
    <w:rsid w:val="00EC68A3"/>
    <w:rsid w:val="00EC6E79"/>
    <w:rsid w:val="00EC7855"/>
    <w:rsid w:val="00EC7F2A"/>
    <w:rsid w:val="00EC7FC2"/>
    <w:rsid w:val="00ED0144"/>
    <w:rsid w:val="00ED028B"/>
    <w:rsid w:val="00ED06E9"/>
    <w:rsid w:val="00ED093C"/>
    <w:rsid w:val="00ED0A74"/>
    <w:rsid w:val="00ED0D76"/>
    <w:rsid w:val="00ED1453"/>
    <w:rsid w:val="00ED15D2"/>
    <w:rsid w:val="00ED1990"/>
    <w:rsid w:val="00ED1B82"/>
    <w:rsid w:val="00ED1BDB"/>
    <w:rsid w:val="00ED1CF9"/>
    <w:rsid w:val="00ED1D1A"/>
    <w:rsid w:val="00ED1D1B"/>
    <w:rsid w:val="00ED1E06"/>
    <w:rsid w:val="00ED2560"/>
    <w:rsid w:val="00ED28FA"/>
    <w:rsid w:val="00ED2ABA"/>
    <w:rsid w:val="00ED31FA"/>
    <w:rsid w:val="00ED32DB"/>
    <w:rsid w:val="00ED33B0"/>
    <w:rsid w:val="00ED35A6"/>
    <w:rsid w:val="00ED3701"/>
    <w:rsid w:val="00ED3BE3"/>
    <w:rsid w:val="00ED4049"/>
    <w:rsid w:val="00ED437E"/>
    <w:rsid w:val="00ED4A5D"/>
    <w:rsid w:val="00ED4B2C"/>
    <w:rsid w:val="00ED4CEB"/>
    <w:rsid w:val="00ED4F67"/>
    <w:rsid w:val="00ED542E"/>
    <w:rsid w:val="00ED58B8"/>
    <w:rsid w:val="00ED5A29"/>
    <w:rsid w:val="00ED5A69"/>
    <w:rsid w:val="00ED6726"/>
    <w:rsid w:val="00ED6A4A"/>
    <w:rsid w:val="00ED6EFC"/>
    <w:rsid w:val="00ED77A6"/>
    <w:rsid w:val="00ED7988"/>
    <w:rsid w:val="00EE0661"/>
    <w:rsid w:val="00EE0851"/>
    <w:rsid w:val="00EE135A"/>
    <w:rsid w:val="00EE1366"/>
    <w:rsid w:val="00EE136E"/>
    <w:rsid w:val="00EE17D8"/>
    <w:rsid w:val="00EE1A89"/>
    <w:rsid w:val="00EE1AEC"/>
    <w:rsid w:val="00EE1C3E"/>
    <w:rsid w:val="00EE2066"/>
    <w:rsid w:val="00EE20F0"/>
    <w:rsid w:val="00EE258E"/>
    <w:rsid w:val="00EE25BA"/>
    <w:rsid w:val="00EE2600"/>
    <w:rsid w:val="00EE2734"/>
    <w:rsid w:val="00EE3297"/>
    <w:rsid w:val="00EE338B"/>
    <w:rsid w:val="00EE40F9"/>
    <w:rsid w:val="00EE41EF"/>
    <w:rsid w:val="00EE4750"/>
    <w:rsid w:val="00EE49A5"/>
    <w:rsid w:val="00EE49CF"/>
    <w:rsid w:val="00EE4A6E"/>
    <w:rsid w:val="00EE4A71"/>
    <w:rsid w:val="00EE4DC1"/>
    <w:rsid w:val="00EE4FD4"/>
    <w:rsid w:val="00EE515D"/>
    <w:rsid w:val="00EE5269"/>
    <w:rsid w:val="00EE532F"/>
    <w:rsid w:val="00EE564A"/>
    <w:rsid w:val="00EE5BCC"/>
    <w:rsid w:val="00EE5E89"/>
    <w:rsid w:val="00EE60BD"/>
    <w:rsid w:val="00EE60DC"/>
    <w:rsid w:val="00EE61C6"/>
    <w:rsid w:val="00EE6474"/>
    <w:rsid w:val="00EE67FD"/>
    <w:rsid w:val="00EE6976"/>
    <w:rsid w:val="00EE6A66"/>
    <w:rsid w:val="00EE6D20"/>
    <w:rsid w:val="00EE72F5"/>
    <w:rsid w:val="00EE745F"/>
    <w:rsid w:val="00EE753A"/>
    <w:rsid w:val="00EE79F2"/>
    <w:rsid w:val="00EE7A28"/>
    <w:rsid w:val="00EE7A87"/>
    <w:rsid w:val="00EE7A9E"/>
    <w:rsid w:val="00EE7E0B"/>
    <w:rsid w:val="00EF01D2"/>
    <w:rsid w:val="00EF06AE"/>
    <w:rsid w:val="00EF0C52"/>
    <w:rsid w:val="00EF0E38"/>
    <w:rsid w:val="00EF10FF"/>
    <w:rsid w:val="00EF113B"/>
    <w:rsid w:val="00EF121B"/>
    <w:rsid w:val="00EF13D9"/>
    <w:rsid w:val="00EF1487"/>
    <w:rsid w:val="00EF168A"/>
    <w:rsid w:val="00EF192A"/>
    <w:rsid w:val="00EF19B1"/>
    <w:rsid w:val="00EF1E73"/>
    <w:rsid w:val="00EF21D1"/>
    <w:rsid w:val="00EF2504"/>
    <w:rsid w:val="00EF257F"/>
    <w:rsid w:val="00EF27D1"/>
    <w:rsid w:val="00EF28E9"/>
    <w:rsid w:val="00EF2A47"/>
    <w:rsid w:val="00EF32EA"/>
    <w:rsid w:val="00EF3725"/>
    <w:rsid w:val="00EF3CF2"/>
    <w:rsid w:val="00EF3DD4"/>
    <w:rsid w:val="00EF44D1"/>
    <w:rsid w:val="00EF48C3"/>
    <w:rsid w:val="00EF4A94"/>
    <w:rsid w:val="00EF4B31"/>
    <w:rsid w:val="00EF4C0F"/>
    <w:rsid w:val="00EF4E4C"/>
    <w:rsid w:val="00EF518F"/>
    <w:rsid w:val="00EF51CB"/>
    <w:rsid w:val="00EF5285"/>
    <w:rsid w:val="00EF5544"/>
    <w:rsid w:val="00EF57AF"/>
    <w:rsid w:val="00EF5E78"/>
    <w:rsid w:val="00EF60E0"/>
    <w:rsid w:val="00EF613C"/>
    <w:rsid w:val="00EF659A"/>
    <w:rsid w:val="00EF665D"/>
    <w:rsid w:val="00EF6729"/>
    <w:rsid w:val="00EF673F"/>
    <w:rsid w:val="00EF68A5"/>
    <w:rsid w:val="00EF6AA8"/>
    <w:rsid w:val="00EF6BA3"/>
    <w:rsid w:val="00EF6FB1"/>
    <w:rsid w:val="00EF705E"/>
    <w:rsid w:val="00EF758D"/>
    <w:rsid w:val="00EF7936"/>
    <w:rsid w:val="00EF7D26"/>
    <w:rsid w:val="00EF7DB5"/>
    <w:rsid w:val="00F00229"/>
    <w:rsid w:val="00F003F9"/>
    <w:rsid w:val="00F0115F"/>
    <w:rsid w:val="00F01693"/>
    <w:rsid w:val="00F0192D"/>
    <w:rsid w:val="00F01A90"/>
    <w:rsid w:val="00F01CD5"/>
    <w:rsid w:val="00F0259A"/>
    <w:rsid w:val="00F0268F"/>
    <w:rsid w:val="00F02806"/>
    <w:rsid w:val="00F02BC9"/>
    <w:rsid w:val="00F02C3C"/>
    <w:rsid w:val="00F02E6E"/>
    <w:rsid w:val="00F031FA"/>
    <w:rsid w:val="00F032FE"/>
    <w:rsid w:val="00F03586"/>
    <w:rsid w:val="00F03A8D"/>
    <w:rsid w:val="00F03B90"/>
    <w:rsid w:val="00F03DD7"/>
    <w:rsid w:val="00F03EAB"/>
    <w:rsid w:val="00F0420A"/>
    <w:rsid w:val="00F04213"/>
    <w:rsid w:val="00F04469"/>
    <w:rsid w:val="00F044C3"/>
    <w:rsid w:val="00F04819"/>
    <w:rsid w:val="00F048F2"/>
    <w:rsid w:val="00F04C88"/>
    <w:rsid w:val="00F05309"/>
    <w:rsid w:val="00F053C3"/>
    <w:rsid w:val="00F05529"/>
    <w:rsid w:val="00F0597B"/>
    <w:rsid w:val="00F05EBC"/>
    <w:rsid w:val="00F063D2"/>
    <w:rsid w:val="00F06727"/>
    <w:rsid w:val="00F06A3E"/>
    <w:rsid w:val="00F06AC3"/>
    <w:rsid w:val="00F06CD5"/>
    <w:rsid w:val="00F06E88"/>
    <w:rsid w:val="00F06FD1"/>
    <w:rsid w:val="00F06FED"/>
    <w:rsid w:val="00F073D7"/>
    <w:rsid w:val="00F07662"/>
    <w:rsid w:val="00F079F9"/>
    <w:rsid w:val="00F07C49"/>
    <w:rsid w:val="00F10012"/>
    <w:rsid w:val="00F1052B"/>
    <w:rsid w:val="00F10B47"/>
    <w:rsid w:val="00F10E40"/>
    <w:rsid w:val="00F10F9B"/>
    <w:rsid w:val="00F11824"/>
    <w:rsid w:val="00F13103"/>
    <w:rsid w:val="00F13279"/>
    <w:rsid w:val="00F1327E"/>
    <w:rsid w:val="00F13389"/>
    <w:rsid w:val="00F133C8"/>
    <w:rsid w:val="00F134D8"/>
    <w:rsid w:val="00F134E4"/>
    <w:rsid w:val="00F13FB0"/>
    <w:rsid w:val="00F14300"/>
    <w:rsid w:val="00F14440"/>
    <w:rsid w:val="00F14545"/>
    <w:rsid w:val="00F1468A"/>
    <w:rsid w:val="00F14A47"/>
    <w:rsid w:val="00F1530A"/>
    <w:rsid w:val="00F1588D"/>
    <w:rsid w:val="00F15A65"/>
    <w:rsid w:val="00F163F2"/>
    <w:rsid w:val="00F166A8"/>
    <w:rsid w:val="00F1674B"/>
    <w:rsid w:val="00F167CD"/>
    <w:rsid w:val="00F169CA"/>
    <w:rsid w:val="00F16E9D"/>
    <w:rsid w:val="00F17123"/>
    <w:rsid w:val="00F17186"/>
    <w:rsid w:val="00F17451"/>
    <w:rsid w:val="00F17527"/>
    <w:rsid w:val="00F200F3"/>
    <w:rsid w:val="00F2024F"/>
    <w:rsid w:val="00F207C5"/>
    <w:rsid w:val="00F20C14"/>
    <w:rsid w:val="00F20D1D"/>
    <w:rsid w:val="00F20D24"/>
    <w:rsid w:val="00F20D3E"/>
    <w:rsid w:val="00F20E35"/>
    <w:rsid w:val="00F20FCB"/>
    <w:rsid w:val="00F210ED"/>
    <w:rsid w:val="00F21149"/>
    <w:rsid w:val="00F21219"/>
    <w:rsid w:val="00F21330"/>
    <w:rsid w:val="00F21377"/>
    <w:rsid w:val="00F21677"/>
    <w:rsid w:val="00F21A1A"/>
    <w:rsid w:val="00F21A63"/>
    <w:rsid w:val="00F22355"/>
    <w:rsid w:val="00F2239A"/>
    <w:rsid w:val="00F223A3"/>
    <w:rsid w:val="00F2276B"/>
    <w:rsid w:val="00F22899"/>
    <w:rsid w:val="00F229BE"/>
    <w:rsid w:val="00F22D9F"/>
    <w:rsid w:val="00F23181"/>
    <w:rsid w:val="00F233FF"/>
    <w:rsid w:val="00F23512"/>
    <w:rsid w:val="00F23E80"/>
    <w:rsid w:val="00F23F81"/>
    <w:rsid w:val="00F23FA9"/>
    <w:rsid w:val="00F24014"/>
    <w:rsid w:val="00F2423E"/>
    <w:rsid w:val="00F24DD0"/>
    <w:rsid w:val="00F2500E"/>
    <w:rsid w:val="00F25101"/>
    <w:rsid w:val="00F255EC"/>
    <w:rsid w:val="00F25AEA"/>
    <w:rsid w:val="00F25DEE"/>
    <w:rsid w:val="00F2607C"/>
    <w:rsid w:val="00F261D6"/>
    <w:rsid w:val="00F2621B"/>
    <w:rsid w:val="00F263AC"/>
    <w:rsid w:val="00F265C7"/>
    <w:rsid w:val="00F266C6"/>
    <w:rsid w:val="00F267DD"/>
    <w:rsid w:val="00F26B96"/>
    <w:rsid w:val="00F2713F"/>
    <w:rsid w:val="00F27432"/>
    <w:rsid w:val="00F274C0"/>
    <w:rsid w:val="00F2765F"/>
    <w:rsid w:val="00F2790C"/>
    <w:rsid w:val="00F279D1"/>
    <w:rsid w:val="00F27BDB"/>
    <w:rsid w:val="00F27CAE"/>
    <w:rsid w:val="00F27EB4"/>
    <w:rsid w:val="00F300A7"/>
    <w:rsid w:val="00F30120"/>
    <w:rsid w:val="00F3024D"/>
    <w:rsid w:val="00F305B6"/>
    <w:rsid w:val="00F306E1"/>
    <w:rsid w:val="00F30758"/>
    <w:rsid w:val="00F307F4"/>
    <w:rsid w:val="00F30C0F"/>
    <w:rsid w:val="00F30E32"/>
    <w:rsid w:val="00F30E60"/>
    <w:rsid w:val="00F31123"/>
    <w:rsid w:val="00F313F7"/>
    <w:rsid w:val="00F315BB"/>
    <w:rsid w:val="00F31958"/>
    <w:rsid w:val="00F321C6"/>
    <w:rsid w:val="00F3221C"/>
    <w:rsid w:val="00F323B2"/>
    <w:rsid w:val="00F32AAE"/>
    <w:rsid w:val="00F337F0"/>
    <w:rsid w:val="00F338AE"/>
    <w:rsid w:val="00F3399C"/>
    <w:rsid w:val="00F33A26"/>
    <w:rsid w:val="00F34072"/>
    <w:rsid w:val="00F3419A"/>
    <w:rsid w:val="00F3420E"/>
    <w:rsid w:val="00F342FC"/>
    <w:rsid w:val="00F344E5"/>
    <w:rsid w:val="00F346E8"/>
    <w:rsid w:val="00F346F9"/>
    <w:rsid w:val="00F3483F"/>
    <w:rsid w:val="00F348A0"/>
    <w:rsid w:val="00F34D71"/>
    <w:rsid w:val="00F34DAE"/>
    <w:rsid w:val="00F34E76"/>
    <w:rsid w:val="00F34FAE"/>
    <w:rsid w:val="00F3520D"/>
    <w:rsid w:val="00F35770"/>
    <w:rsid w:val="00F35B26"/>
    <w:rsid w:val="00F35EDE"/>
    <w:rsid w:val="00F35F1B"/>
    <w:rsid w:val="00F36284"/>
    <w:rsid w:val="00F36349"/>
    <w:rsid w:val="00F366B9"/>
    <w:rsid w:val="00F369A2"/>
    <w:rsid w:val="00F36D53"/>
    <w:rsid w:val="00F3770F"/>
    <w:rsid w:val="00F37778"/>
    <w:rsid w:val="00F37BD6"/>
    <w:rsid w:val="00F37EB4"/>
    <w:rsid w:val="00F40508"/>
    <w:rsid w:val="00F405AF"/>
    <w:rsid w:val="00F40BD3"/>
    <w:rsid w:val="00F40C27"/>
    <w:rsid w:val="00F41025"/>
    <w:rsid w:val="00F4106E"/>
    <w:rsid w:val="00F4125E"/>
    <w:rsid w:val="00F41620"/>
    <w:rsid w:val="00F416CE"/>
    <w:rsid w:val="00F4182A"/>
    <w:rsid w:val="00F41931"/>
    <w:rsid w:val="00F41C84"/>
    <w:rsid w:val="00F42087"/>
    <w:rsid w:val="00F42142"/>
    <w:rsid w:val="00F42459"/>
    <w:rsid w:val="00F42819"/>
    <w:rsid w:val="00F42C23"/>
    <w:rsid w:val="00F43710"/>
    <w:rsid w:val="00F43D6D"/>
    <w:rsid w:val="00F43DBC"/>
    <w:rsid w:val="00F43F9B"/>
    <w:rsid w:val="00F4408F"/>
    <w:rsid w:val="00F44671"/>
    <w:rsid w:val="00F44763"/>
    <w:rsid w:val="00F44B40"/>
    <w:rsid w:val="00F45256"/>
    <w:rsid w:val="00F45393"/>
    <w:rsid w:val="00F454B6"/>
    <w:rsid w:val="00F4578E"/>
    <w:rsid w:val="00F458A4"/>
    <w:rsid w:val="00F45B9E"/>
    <w:rsid w:val="00F45C1F"/>
    <w:rsid w:val="00F45D13"/>
    <w:rsid w:val="00F46798"/>
    <w:rsid w:val="00F47129"/>
    <w:rsid w:val="00F471D4"/>
    <w:rsid w:val="00F47767"/>
    <w:rsid w:val="00F47992"/>
    <w:rsid w:val="00F47B9C"/>
    <w:rsid w:val="00F47E41"/>
    <w:rsid w:val="00F47FC3"/>
    <w:rsid w:val="00F50333"/>
    <w:rsid w:val="00F50348"/>
    <w:rsid w:val="00F5050C"/>
    <w:rsid w:val="00F50F43"/>
    <w:rsid w:val="00F51537"/>
    <w:rsid w:val="00F5158B"/>
    <w:rsid w:val="00F51851"/>
    <w:rsid w:val="00F51EC3"/>
    <w:rsid w:val="00F5231D"/>
    <w:rsid w:val="00F5237E"/>
    <w:rsid w:val="00F525DE"/>
    <w:rsid w:val="00F527D1"/>
    <w:rsid w:val="00F5285C"/>
    <w:rsid w:val="00F52C95"/>
    <w:rsid w:val="00F52E30"/>
    <w:rsid w:val="00F53656"/>
    <w:rsid w:val="00F53A37"/>
    <w:rsid w:val="00F53F95"/>
    <w:rsid w:val="00F5423A"/>
    <w:rsid w:val="00F545AC"/>
    <w:rsid w:val="00F549C5"/>
    <w:rsid w:val="00F54A04"/>
    <w:rsid w:val="00F553AB"/>
    <w:rsid w:val="00F554A2"/>
    <w:rsid w:val="00F556AF"/>
    <w:rsid w:val="00F556D2"/>
    <w:rsid w:val="00F55B9C"/>
    <w:rsid w:val="00F55D0B"/>
    <w:rsid w:val="00F55EBC"/>
    <w:rsid w:val="00F563A8"/>
    <w:rsid w:val="00F564EA"/>
    <w:rsid w:val="00F5664C"/>
    <w:rsid w:val="00F56882"/>
    <w:rsid w:val="00F56B6F"/>
    <w:rsid w:val="00F56BB9"/>
    <w:rsid w:val="00F56CCB"/>
    <w:rsid w:val="00F56FC9"/>
    <w:rsid w:val="00F57344"/>
    <w:rsid w:val="00F5746A"/>
    <w:rsid w:val="00F57585"/>
    <w:rsid w:val="00F57811"/>
    <w:rsid w:val="00F6084E"/>
    <w:rsid w:val="00F608FC"/>
    <w:rsid w:val="00F609B3"/>
    <w:rsid w:val="00F60BCB"/>
    <w:rsid w:val="00F60FD9"/>
    <w:rsid w:val="00F61071"/>
    <w:rsid w:val="00F615E4"/>
    <w:rsid w:val="00F61750"/>
    <w:rsid w:val="00F619A9"/>
    <w:rsid w:val="00F61BB0"/>
    <w:rsid w:val="00F61FAB"/>
    <w:rsid w:val="00F62063"/>
    <w:rsid w:val="00F627A7"/>
    <w:rsid w:val="00F62BFC"/>
    <w:rsid w:val="00F62E6C"/>
    <w:rsid w:val="00F6337E"/>
    <w:rsid w:val="00F63584"/>
    <w:rsid w:val="00F6383D"/>
    <w:rsid w:val="00F639D2"/>
    <w:rsid w:val="00F63B31"/>
    <w:rsid w:val="00F63ECC"/>
    <w:rsid w:val="00F64620"/>
    <w:rsid w:val="00F64C57"/>
    <w:rsid w:val="00F65130"/>
    <w:rsid w:val="00F65224"/>
    <w:rsid w:val="00F65408"/>
    <w:rsid w:val="00F65DDE"/>
    <w:rsid w:val="00F66043"/>
    <w:rsid w:val="00F66271"/>
    <w:rsid w:val="00F66917"/>
    <w:rsid w:val="00F66AD4"/>
    <w:rsid w:val="00F66C8D"/>
    <w:rsid w:val="00F66D6C"/>
    <w:rsid w:val="00F66E4F"/>
    <w:rsid w:val="00F67141"/>
    <w:rsid w:val="00F67259"/>
    <w:rsid w:val="00F67328"/>
    <w:rsid w:val="00F67A99"/>
    <w:rsid w:val="00F67F9D"/>
    <w:rsid w:val="00F70459"/>
    <w:rsid w:val="00F7087B"/>
    <w:rsid w:val="00F7092E"/>
    <w:rsid w:val="00F70ECE"/>
    <w:rsid w:val="00F70FF6"/>
    <w:rsid w:val="00F7147A"/>
    <w:rsid w:val="00F7163B"/>
    <w:rsid w:val="00F71663"/>
    <w:rsid w:val="00F71828"/>
    <w:rsid w:val="00F71988"/>
    <w:rsid w:val="00F71A7A"/>
    <w:rsid w:val="00F71BF3"/>
    <w:rsid w:val="00F71D01"/>
    <w:rsid w:val="00F71D94"/>
    <w:rsid w:val="00F71F72"/>
    <w:rsid w:val="00F72315"/>
    <w:rsid w:val="00F723F0"/>
    <w:rsid w:val="00F72623"/>
    <w:rsid w:val="00F72911"/>
    <w:rsid w:val="00F73250"/>
    <w:rsid w:val="00F734E4"/>
    <w:rsid w:val="00F7397C"/>
    <w:rsid w:val="00F739E3"/>
    <w:rsid w:val="00F739F7"/>
    <w:rsid w:val="00F73CE6"/>
    <w:rsid w:val="00F73E01"/>
    <w:rsid w:val="00F740BB"/>
    <w:rsid w:val="00F747F6"/>
    <w:rsid w:val="00F74B22"/>
    <w:rsid w:val="00F759FE"/>
    <w:rsid w:val="00F75CE1"/>
    <w:rsid w:val="00F76131"/>
    <w:rsid w:val="00F763A6"/>
    <w:rsid w:val="00F7642A"/>
    <w:rsid w:val="00F7644F"/>
    <w:rsid w:val="00F7661C"/>
    <w:rsid w:val="00F76B78"/>
    <w:rsid w:val="00F76DE5"/>
    <w:rsid w:val="00F76F6A"/>
    <w:rsid w:val="00F770F4"/>
    <w:rsid w:val="00F7737B"/>
    <w:rsid w:val="00F77BA4"/>
    <w:rsid w:val="00F8013E"/>
    <w:rsid w:val="00F8014B"/>
    <w:rsid w:val="00F801B2"/>
    <w:rsid w:val="00F801CA"/>
    <w:rsid w:val="00F803C5"/>
    <w:rsid w:val="00F804EB"/>
    <w:rsid w:val="00F80A56"/>
    <w:rsid w:val="00F80CAD"/>
    <w:rsid w:val="00F80EED"/>
    <w:rsid w:val="00F81605"/>
    <w:rsid w:val="00F8164B"/>
    <w:rsid w:val="00F817CC"/>
    <w:rsid w:val="00F81800"/>
    <w:rsid w:val="00F81B0F"/>
    <w:rsid w:val="00F81EDF"/>
    <w:rsid w:val="00F821C2"/>
    <w:rsid w:val="00F824C0"/>
    <w:rsid w:val="00F8253C"/>
    <w:rsid w:val="00F8254F"/>
    <w:rsid w:val="00F82D85"/>
    <w:rsid w:val="00F82E29"/>
    <w:rsid w:val="00F83012"/>
    <w:rsid w:val="00F832D0"/>
    <w:rsid w:val="00F83B49"/>
    <w:rsid w:val="00F83C4C"/>
    <w:rsid w:val="00F83E28"/>
    <w:rsid w:val="00F83ECA"/>
    <w:rsid w:val="00F841FC"/>
    <w:rsid w:val="00F8425A"/>
    <w:rsid w:val="00F84609"/>
    <w:rsid w:val="00F84A36"/>
    <w:rsid w:val="00F85053"/>
    <w:rsid w:val="00F8577D"/>
    <w:rsid w:val="00F85990"/>
    <w:rsid w:val="00F85A46"/>
    <w:rsid w:val="00F8640D"/>
    <w:rsid w:val="00F86825"/>
    <w:rsid w:val="00F86B01"/>
    <w:rsid w:val="00F86EAA"/>
    <w:rsid w:val="00F86F96"/>
    <w:rsid w:val="00F871B3"/>
    <w:rsid w:val="00F87D43"/>
    <w:rsid w:val="00F87F8B"/>
    <w:rsid w:val="00F901A4"/>
    <w:rsid w:val="00F904C2"/>
    <w:rsid w:val="00F9050C"/>
    <w:rsid w:val="00F9077C"/>
    <w:rsid w:val="00F910E0"/>
    <w:rsid w:val="00F9110B"/>
    <w:rsid w:val="00F9122A"/>
    <w:rsid w:val="00F91739"/>
    <w:rsid w:val="00F9199E"/>
    <w:rsid w:val="00F91D07"/>
    <w:rsid w:val="00F91DB9"/>
    <w:rsid w:val="00F9218B"/>
    <w:rsid w:val="00F9243C"/>
    <w:rsid w:val="00F9244C"/>
    <w:rsid w:val="00F9248E"/>
    <w:rsid w:val="00F92880"/>
    <w:rsid w:val="00F928D3"/>
    <w:rsid w:val="00F92C20"/>
    <w:rsid w:val="00F92C92"/>
    <w:rsid w:val="00F930E5"/>
    <w:rsid w:val="00F93285"/>
    <w:rsid w:val="00F93420"/>
    <w:rsid w:val="00F93511"/>
    <w:rsid w:val="00F935BE"/>
    <w:rsid w:val="00F935D3"/>
    <w:rsid w:val="00F935D8"/>
    <w:rsid w:val="00F93EAE"/>
    <w:rsid w:val="00F942AF"/>
    <w:rsid w:val="00F943FC"/>
    <w:rsid w:val="00F94492"/>
    <w:rsid w:val="00F94535"/>
    <w:rsid w:val="00F94792"/>
    <w:rsid w:val="00F947F0"/>
    <w:rsid w:val="00F948F5"/>
    <w:rsid w:val="00F94C4D"/>
    <w:rsid w:val="00F94CF9"/>
    <w:rsid w:val="00F94D7F"/>
    <w:rsid w:val="00F94F54"/>
    <w:rsid w:val="00F95092"/>
    <w:rsid w:val="00F951A5"/>
    <w:rsid w:val="00F9523F"/>
    <w:rsid w:val="00F9540E"/>
    <w:rsid w:val="00F95494"/>
    <w:rsid w:val="00F954E8"/>
    <w:rsid w:val="00F95508"/>
    <w:rsid w:val="00F9578A"/>
    <w:rsid w:val="00F957E3"/>
    <w:rsid w:val="00F95B60"/>
    <w:rsid w:val="00F9629B"/>
    <w:rsid w:val="00F9630D"/>
    <w:rsid w:val="00F9647A"/>
    <w:rsid w:val="00F96515"/>
    <w:rsid w:val="00F96924"/>
    <w:rsid w:val="00F969D7"/>
    <w:rsid w:val="00F96A2E"/>
    <w:rsid w:val="00F9724A"/>
    <w:rsid w:val="00F9738D"/>
    <w:rsid w:val="00F97624"/>
    <w:rsid w:val="00F977EF"/>
    <w:rsid w:val="00F97CD3"/>
    <w:rsid w:val="00F97DB3"/>
    <w:rsid w:val="00FA0329"/>
    <w:rsid w:val="00FA0393"/>
    <w:rsid w:val="00FA0DB5"/>
    <w:rsid w:val="00FA114B"/>
    <w:rsid w:val="00FA11B8"/>
    <w:rsid w:val="00FA1511"/>
    <w:rsid w:val="00FA183A"/>
    <w:rsid w:val="00FA1897"/>
    <w:rsid w:val="00FA1C4E"/>
    <w:rsid w:val="00FA1DEB"/>
    <w:rsid w:val="00FA1E63"/>
    <w:rsid w:val="00FA2357"/>
    <w:rsid w:val="00FA2482"/>
    <w:rsid w:val="00FA28C6"/>
    <w:rsid w:val="00FA2D8F"/>
    <w:rsid w:val="00FA2DF3"/>
    <w:rsid w:val="00FA305D"/>
    <w:rsid w:val="00FA3587"/>
    <w:rsid w:val="00FA3848"/>
    <w:rsid w:val="00FA39D4"/>
    <w:rsid w:val="00FA3A58"/>
    <w:rsid w:val="00FA3CFE"/>
    <w:rsid w:val="00FA3D15"/>
    <w:rsid w:val="00FA3D73"/>
    <w:rsid w:val="00FA4012"/>
    <w:rsid w:val="00FA4056"/>
    <w:rsid w:val="00FA41A0"/>
    <w:rsid w:val="00FA457E"/>
    <w:rsid w:val="00FA45B8"/>
    <w:rsid w:val="00FA4820"/>
    <w:rsid w:val="00FA4B9F"/>
    <w:rsid w:val="00FA4C96"/>
    <w:rsid w:val="00FA4D54"/>
    <w:rsid w:val="00FA4E11"/>
    <w:rsid w:val="00FA528E"/>
    <w:rsid w:val="00FA5424"/>
    <w:rsid w:val="00FA59A3"/>
    <w:rsid w:val="00FA59E2"/>
    <w:rsid w:val="00FA5FA9"/>
    <w:rsid w:val="00FA63A6"/>
    <w:rsid w:val="00FA6874"/>
    <w:rsid w:val="00FA6A3B"/>
    <w:rsid w:val="00FA6D17"/>
    <w:rsid w:val="00FA6E9C"/>
    <w:rsid w:val="00FA6FFD"/>
    <w:rsid w:val="00FA73B8"/>
    <w:rsid w:val="00FA7576"/>
    <w:rsid w:val="00FA75F2"/>
    <w:rsid w:val="00FA777B"/>
    <w:rsid w:val="00FA7A2C"/>
    <w:rsid w:val="00FA7C87"/>
    <w:rsid w:val="00FB019A"/>
    <w:rsid w:val="00FB036C"/>
    <w:rsid w:val="00FB05F2"/>
    <w:rsid w:val="00FB0672"/>
    <w:rsid w:val="00FB0704"/>
    <w:rsid w:val="00FB10DC"/>
    <w:rsid w:val="00FB1686"/>
    <w:rsid w:val="00FB19C3"/>
    <w:rsid w:val="00FB1B1E"/>
    <w:rsid w:val="00FB1BAF"/>
    <w:rsid w:val="00FB1BCF"/>
    <w:rsid w:val="00FB1F44"/>
    <w:rsid w:val="00FB1F93"/>
    <w:rsid w:val="00FB214C"/>
    <w:rsid w:val="00FB22D0"/>
    <w:rsid w:val="00FB23D1"/>
    <w:rsid w:val="00FB26C7"/>
    <w:rsid w:val="00FB2858"/>
    <w:rsid w:val="00FB303F"/>
    <w:rsid w:val="00FB311F"/>
    <w:rsid w:val="00FB319D"/>
    <w:rsid w:val="00FB3430"/>
    <w:rsid w:val="00FB3442"/>
    <w:rsid w:val="00FB3481"/>
    <w:rsid w:val="00FB352A"/>
    <w:rsid w:val="00FB3AB0"/>
    <w:rsid w:val="00FB4232"/>
    <w:rsid w:val="00FB4652"/>
    <w:rsid w:val="00FB4D40"/>
    <w:rsid w:val="00FB4D82"/>
    <w:rsid w:val="00FB5409"/>
    <w:rsid w:val="00FB5490"/>
    <w:rsid w:val="00FB5798"/>
    <w:rsid w:val="00FB5C3F"/>
    <w:rsid w:val="00FB600D"/>
    <w:rsid w:val="00FB6053"/>
    <w:rsid w:val="00FB611F"/>
    <w:rsid w:val="00FB6674"/>
    <w:rsid w:val="00FB68D2"/>
    <w:rsid w:val="00FB68DB"/>
    <w:rsid w:val="00FB6AE0"/>
    <w:rsid w:val="00FB6DF1"/>
    <w:rsid w:val="00FB6FE2"/>
    <w:rsid w:val="00FB7038"/>
    <w:rsid w:val="00FB74D0"/>
    <w:rsid w:val="00FB758A"/>
    <w:rsid w:val="00FB75CD"/>
    <w:rsid w:val="00FB7881"/>
    <w:rsid w:val="00FB7926"/>
    <w:rsid w:val="00FB7F02"/>
    <w:rsid w:val="00FB7F08"/>
    <w:rsid w:val="00FC0C2C"/>
    <w:rsid w:val="00FC0E4A"/>
    <w:rsid w:val="00FC1951"/>
    <w:rsid w:val="00FC1B2B"/>
    <w:rsid w:val="00FC1F57"/>
    <w:rsid w:val="00FC22EB"/>
    <w:rsid w:val="00FC239C"/>
    <w:rsid w:val="00FC247E"/>
    <w:rsid w:val="00FC2697"/>
    <w:rsid w:val="00FC27AC"/>
    <w:rsid w:val="00FC2F7C"/>
    <w:rsid w:val="00FC3506"/>
    <w:rsid w:val="00FC3B60"/>
    <w:rsid w:val="00FC3E6F"/>
    <w:rsid w:val="00FC3EC8"/>
    <w:rsid w:val="00FC430F"/>
    <w:rsid w:val="00FC4531"/>
    <w:rsid w:val="00FC4885"/>
    <w:rsid w:val="00FC4B27"/>
    <w:rsid w:val="00FC4E47"/>
    <w:rsid w:val="00FC51D3"/>
    <w:rsid w:val="00FC5353"/>
    <w:rsid w:val="00FC5664"/>
    <w:rsid w:val="00FC5B60"/>
    <w:rsid w:val="00FC5D81"/>
    <w:rsid w:val="00FC5EED"/>
    <w:rsid w:val="00FC65D6"/>
    <w:rsid w:val="00FC7413"/>
    <w:rsid w:val="00FC7425"/>
    <w:rsid w:val="00FC752F"/>
    <w:rsid w:val="00FC769B"/>
    <w:rsid w:val="00FC7854"/>
    <w:rsid w:val="00FC7B11"/>
    <w:rsid w:val="00FC7E80"/>
    <w:rsid w:val="00FD0560"/>
    <w:rsid w:val="00FD0CA4"/>
    <w:rsid w:val="00FD10CC"/>
    <w:rsid w:val="00FD1339"/>
    <w:rsid w:val="00FD1840"/>
    <w:rsid w:val="00FD187D"/>
    <w:rsid w:val="00FD1BDB"/>
    <w:rsid w:val="00FD1F6E"/>
    <w:rsid w:val="00FD2003"/>
    <w:rsid w:val="00FD2171"/>
    <w:rsid w:val="00FD21C0"/>
    <w:rsid w:val="00FD2513"/>
    <w:rsid w:val="00FD25CA"/>
    <w:rsid w:val="00FD2772"/>
    <w:rsid w:val="00FD2B32"/>
    <w:rsid w:val="00FD2C04"/>
    <w:rsid w:val="00FD2C58"/>
    <w:rsid w:val="00FD2C7A"/>
    <w:rsid w:val="00FD2E42"/>
    <w:rsid w:val="00FD2E58"/>
    <w:rsid w:val="00FD2F1D"/>
    <w:rsid w:val="00FD2F1E"/>
    <w:rsid w:val="00FD310F"/>
    <w:rsid w:val="00FD3191"/>
    <w:rsid w:val="00FD31B3"/>
    <w:rsid w:val="00FD32FD"/>
    <w:rsid w:val="00FD393C"/>
    <w:rsid w:val="00FD4100"/>
    <w:rsid w:val="00FD41DF"/>
    <w:rsid w:val="00FD4638"/>
    <w:rsid w:val="00FD46F1"/>
    <w:rsid w:val="00FD47DE"/>
    <w:rsid w:val="00FD4A05"/>
    <w:rsid w:val="00FD4A07"/>
    <w:rsid w:val="00FD4CC0"/>
    <w:rsid w:val="00FD4E4E"/>
    <w:rsid w:val="00FD54CC"/>
    <w:rsid w:val="00FD5684"/>
    <w:rsid w:val="00FD5972"/>
    <w:rsid w:val="00FD6009"/>
    <w:rsid w:val="00FD60A9"/>
    <w:rsid w:val="00FD612A"/>
    <w:rsid w:val="00FD614B"/>
    <w:rsid w:val="00FD6292"/>
    <w:rsid w:val="00FD62D9"/>
    <w:rsid w:val="00FD6BBF"/>
    <w:rsid w:val="00FD6C06"/>
    <w:rsid w:val="00FD7125"/>
    <w:rsid w:val="00FD7650"/>
    <w:rsid w:val="00FD781D"/>
    <w:rsid w:val="00FD7932"/>
    <w:rsid w:val="00FD7A22"/>
    <w:rsid w:val="00FD7F23"/>
    <w:rsid w:val="00FE00E9"/>
    <w:rsid w:val="00FE00FB"/>
    <w:rsid w:val="00FE012A"/>
    <w:rsid w:val="00FE017F"/>
    <w:rsid w:val="00FE0235"/>
    <w:rsid w:val="00FE03F7"/>
    <w:rsid w:val="00FE075B"/>
    <w:rsid w:val="00FE079F"/>
    <w:rsid w:val="00FE0ACE"/>
    <w:rsid w:val="00FE104D"/>
    <w:rsid w:val="00FE1746"/>
    <w:rsid w:val="00FE1773"/>
    <w:rsid w:val="00FE1940"/>
    <w:rsid w:val="00FE1B5E"/>
    <w:rsid w:val="00FE1DE2"/>
    <w:rsid w:val="00FE253D"/>
    <w:rsid w:val="00FE275C"/>
    <w:rsid w:val="00FE27ED"/>
    <w:rsid w:val="00FE2946"/>
    <w:rsid w:val="00FE29F7"/>
    <w:rsid w:val="00FE2CA2"/>
    <w:rsid w:val="00FE2E8F"/>
    <w:rsid w:val="00FE2EBB"/>
    <w:rsid w:val="00FE32D0"/>
    <w:rsid w:val="00FE3325"/>
    <w:rsid w:val="00FE3335"/>
    <w:rsid w:val="00FE39D8"/>
    <w:rsid w:val="00FE3A9A"/>
    <w:rsid w:val="00FE3B1D"/>
    <w:rsid w:val="00FE3B41"/>
    <w:rsid w:val="00FE3FAB"/>
    <w:rsid w:val="00FE41FE"/>
    <w:rsid w:val="00FE422D"/>
    <w:rsid w:val="00FE4BBC"/>
    <w:rsid w:val="00FE4EED"/>
    <w:rsid w:val="00FE512F"/>
    <w:rsid w:val="00FE5254"/>
    <w:rsid w:val="00FE534F"/>
    <w:rsid w:val="00FE5358"/>
    <w:rsid w:val="00FE5378"/>
    <w:rsid w:val="00FE54FA"/>
    <w:rsid w:val="00FE562A"/>
    <w:rsid w:val="00FE5631"/>
    <w:rsid w:val="00FE579E"/>
    <w:rsid w:val="00FE5941"/>
    <w:rsid w:val="00FE5A1C"/>
    <w:rsid w:val="00FE5B62"/>
    <w:rsid w:val="00FE5E9B"/>
    <w:rsid w:val="00FE5EB1"/>
    <w:rsid w:val="00FE5F5E"/>
    <w:rsid w:val="00FE635D"/>
    <w:rsid w:val="00FE6446"/>
    <w:rsid w:val="00FE646D"/>
    <w:rsid w:val="00FE654F"/>
    <w:rsid w:val="00FE67BC"/>
    <w:rsid w:val="00FE6B56"/>
    <w:rsid w:val="00FE6EFD"/>
    <w:rsid w:val="00FE6F55"/>
    <w:rsid w:val="00FE6F8D"/>
    <w:rsid w:val="00FE7032"/>
    <w:rsid w:val="00FE735B"/>
    <w:rsid w:val="00FE7406"/>
    <w:rsid w:val="00FE7572"/>
    <w:rsid w:val="00FE7591"/>
    <w:rsid w:val="00FE7A87"/>
    <w:rsid w:val="00FE7F30"/>
    <w:rsid w:val="00FF01BE"/>
    <w:rsid w:val="00FF03E8"/>
    <w:rsid w:val="00FF0A8C"/>
    <w:rsid w:val="00FF0C08"/>
    <w:rsid w:val="00FF0DF5"/>
    <w:rsid w:val="00FF11DA"/>
    <w:rsid w:val="00FF12BF"/>
    <w:rsid w:val="00FF184F"/>
    <w:rsid w:val="00FF19A3"/>
    <w:rsid w:val="00FF1D13"/>
    <w:rsid w:val="00FF1FC5"/>
    <w:rsid w:val="00FF20BC"/>
    <w:rsid w:val="00FF2196"/>
    <w:rsid w:val="00FF21AD"/>
    <w:rsid w:val="00FF22EE"/>
    <w:rsid w:val="00FF255C"/>
    <w:rsid w:val="00FF273A"/>
    <w:rsid w:val="00FF2B87"/>
    <w:rsid w:val="00FF2B88"/>
    <w:rsid w:val="00FF2CB5"/>
    <w:rsid w:val="00FF2F74"/>
    <w:rsid w:val="00FF3055"/>
    <w:rsid w:val="00FF332F"/>
    <w:rsid w:val="00FF34A4"/>
    <w:rsid w:val="00FF3617"/>
    <w:rsid w:val="00FF3900"/>
    <w:rsid w:val="00FF3A83"/>
    <w:rsid w:val="00FF3C39"/>
    <w:rsid w:val="00FF3CFC"/>
    <w:rsid w:val="00FF42D5"/>
    <w:rsid w:val="00FF4433"/>
    <w:rsid w:val="00FF475C"/>
    <w:rsid w:val="00FF48B0"/>
    <w:rsid w:val="00FF4BB3"/>
    <w:rsid w:val="00FF4C1A"/>
    <w:rsid w:val="00FF4FEF"/>
    <w:rsid w:val="00FF53E7"/>
    <w:rsid w:val="00FF5563"/>
    <w:rsid w:val="00FF5741"/>
    <w:rsid w:val="00FF577B"/>
    <w:rsid w:val="00FF578B"/>
    <w:rsid w:val="00FF609B"/>
    <w:rsid w:val="00FF628C"/>
    <w:rsid w:val="00FF63A1"/>
    <w:rsid w:val="00FF645C"/>
    <w:rsid w:val="00FF6559"/>
    <w:rsid w:val="00FF66F5"/>
    <w:rsid w:val="00FF68D0"/>
    <w:rsid w:val="00FF71E2"/>
    <w:rsid w:val="00FF76D4"/>
    <w:rsid w:val="00FF774E"/>
    <w:rsid w:val="00FF7B31"/>
    <w:rsid w:val="00FF7BBD"/>
    <w:rsid w:val="00FF7B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49569"/>
    <o:shapelayout v:ext="edit">
      <o:idmap v:ext="edit" data="1"/>
    </o:shapelayout>
  </w:shapeDefaults>
  <w:decimalSymbol w:val="."/>
  <w:listSeparator w:val=";"/>
  <w14:docId w14:val="4AF48738"/>
  <w15:docId w15:val="{7E574C88-805E-4611-9BD7-88F5B4A5F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475C"/>
    <w:rPr>
      <w:rFonts w:ascii="Times New Roman" w:hAnsi="Times New Roman"/>
      <w:sz w:val="24"/>
    </w:rPr>
  </w:style>
  <w:style w:type="paragraph" w:styleId="Heading1">
    <w:name w:val="heading 1"/>
    <w:basedOn w:val="Normal"/>
    <w:next w:val="Normal"/>
    <w:link w:val="Heading1Char"/>
    <w:qFormat/>
    <w:rsid w:val="002B196D"/>
    <w:pPr>
      <w:keepNext/>
      <w:keepLines/>
      <w:spacing w:after="120" w:line="240" w:lineRule="auto"/>
      <w:jc w:val="center"/>
      <w:outlineLvl w:val="0"/>
    </w:pPr>
    <w:rPr>
      <w:rFonts w:eastAsiaTheme="majorEastAsia" w:cs="Times New Roman"/>
      <w:b/>
      <w:bCs/>
      <w:color w:val="244061" w:themeColor="accent1" w:themeShade="80"/>
      <w:sz w:val="28"/>
      <w:szCs w:val="28"/>
    </w:rPr>
  </w:style>
  <w:style w:type="paragraph" w:styleId="Heading2">
    <w:name w:val="heading 2"/>
    <w:basedOn w:val="Normal"/>
    <w:next w:val="Normal"/>
    <w:link w:val="Heading2Char"/>
    <w:uiPriority w:val="9"/>
    <w:unhideWhenUsed/>
    <w:qFormat/>
    <w:rsid w:val="00C60CCF"/>
    <w:pPr>
      <w:keepNext/>
      <w:keepLines/>
      <w:spacing w:before="360"/>
      <w:ind w:firstLine="284"/>
      <w:outlineLvl w:val="1"/>
    </w:pPr>
    <w:rPr>
      <w:rFonts w:eastAsiaTheme="majorEastAsia" w:cstheme="majorBidi"/>
      <w:b/>
      <w:bCs/>
      <w:color w:val="17365D"/>
      <w:szCs w:val="26"/>
      <w:u w:val="single"/>
    </w:rPr>
  </w:style>
  <w:style w:type="paragraph" w:styleId="Heading3">
    <w:name w:val="heading 3"/>
    <w:basedOn w:val="Heading2"/>
    <w:next w:val="Normal"/>
    <w:link w:val="Heading3Char"/>
    <w:qFormat/>
    <w:rsid w:val="00FD10CC"/>
    <w:pPr>
      <w:keepNext w:val="0"/>
      <w:keepLines w:val="0"/>
      <w:spacing w:before="240"/>
      <w:ind w:left="284" w:firstLine="0"/>
      <w:outlineLvl w:val="2"/>
    </w:pPr>
    <w:rPr>
      <w:rFonts w:eastAsiaTheme="minorHAnsi" w:cs="Times New Roman"/>
      <w:iCs/>
      <w:szCs w:val="24"/>
      <w:u w:val="none"/>
    </w:rPr>
  </w:style>
  <w:style w:type="paragraph" w:styleId="Heading4">
    <w:name w:val="heading 4"/>
    <w:aliases w:val="4piezīme_bold"/>
    <w:basedOn w:val="Normal"/>
    <w:next w:val="Normal"/>
    <w:link w:val="Heading4Char"/>
    <w:unhideWhenUsed/>
    <w:qFormat/>
    <w:rsid w:val="005A3758"/>
    <w:pPr>
      <w:keepNext/>
      <w:keepLines/>
      <w:spacing w:before="240"/>
      <w:ind w:left="284"/>
      <w:outlineLvl w:val="3"/>
    </w:pPr>
    <w:rPr>
      <w:rFonts w:cstheme="majorBidi"/>
      <w:b/>
      <w:bCs/>
      <w:i/>
      <w:iCs/>
      <w:color w:val="17365D"/>
    </w:rPr>
  </w:style>
  <w:style w:type="paragraph" w:styleId="Heading5">
    <w:name w:val="heading 5"/>
    <w:aliases w:val="5piezīme"/>
    <w:basedOn w:val="Normal"/>
    <w:next w:val="Normal"/>
    <w:link w:val="Heading5Char"/>
    <w:unhideWhenUsed/>
    <w:qFormat/>
    <w:rsid w:val="00514C3E"/>
    <w:pPr>
      <w:keepNext/>
      <w:keepLines/>
      <w:spacing w:before="120" w:after="120" w:line="240" w:lineRule="auto"/>
      <w:ind w:left="284"/>
      <w:outlineLvl w:val="4"/>
    </w:pPr>
    <w:rPr>
      <w:i/>
      <w:color w:val="17365D"/>
    </w:rPr>
  </w:style>
  <w:style w:type="paragraph" w:styleId="Heading6">
    <w:name w:val="heading 6"/>
    <w:basedOn w:val="Normal"/>
    <w:next w:val="Normal"/>
    <w:link w:val="Heading6Char"/>
    <w:qFormat/>
    <w:rsid w:val="00423745"/>
    <w:pPr>
      <w:keepNext/>
      <w:spacing w:after="0" w:line="240" w:lineRule="auto"/>
      <w:jc w:val="center"/>
      <w:outlineLvl w:val="5"/>
    </w:pPr>
    <w:rPr>
      <w:rFonts w:eastAsia="Times New Roman" w:cs="Times New Roman"/>
      <w:b/>
      <w:bCs/>
      <w:szCs w:val="24"/>
    </w:rPr>
  </w:style>
  <w:style w:type="paragraph" w:styleId="Heading7">
    <w:name w:val="heading 7"/>
    <w:basedOn w:val="Normal"/>
    <w:next w:val="Normal"/>
    <w:link w:val="Heading7Char"/>
    <w:unhideWhenUsed/>
    <w:qFormat/>
    <w:rsid w:val="00D41F06"/>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qFormat/>
    <w:rsid w:val="00423745"/>
    <w:p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423745"/>
    <w:pPr>
      <w:spacing w:before="240" w:after="60" w:line="240" w:lineRule="auto"/>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E2CA4"/>
    <w:rPr>
      <w:sz w:val="16"/>
      <w:szCs w:val="16"/>
    </w:rPr>
  </w:style>
  <w:style w:type="paragraph" w:styleId="CommentText">
    <w:name w:val="annotation text"/>
    <w:basedOn w:val="Normal"/>
    <w:link w:val="CommentTextChar"/>
    <w:uiPriority w:val="99"/>
    <w:unhideWhenUsed/>
    <w:rsid w:val="009E2CA4"/>
    <w:rPr>
      <w:sz w:val="20"/>
      <w:szCs w:val="20"/>
    </w:rPr>
  </w:style>
  <w:style w:type="character" w:customStyle="1" w:styleId="CommentTextChar">
    <w:name w:val="Comment Text Char"/>
    <w:basedOn w:val="DefaultParagraphFont"/>
    <w:link w:val="CommentText"/>
    <w:uiPriority w:val="99"/>
    <w:rsid w:val="009E2CA4"/>
    <w:rPr>
      <w:sz w:val="20"/>
      <w:szCs w:val="20"/>
    </w:rPr>
  </w:style>
  <w:style w:type="paragraph" w:styleId="CommentSubject">
    <w:name w:val="annotation subject"/>
    <w:basedOn w:val="CommentText"/>
    <w:next w:val="CommentText"/>
    <w:link w:val="CommentSubjectChar"/>
    <w:uiPriority w:val="99"/>
    <w:semiHidden/>
    <w:unhideWhenUsed/>
    <w:rsid w:val="009E2CA4"/>
    <w:rPr>
      <w:b/>
      <w:bCs/>
    </w:rPr>
  </w:style>
  <w:style w:type="character" w:customStyle="1" w:styleId="CommentSubjectChar">
    <w:name w:val="Comment Subject Char"/>
    <w:basedOn w:val="CommentTextChar"/>
    <w:link w:val="CommentSubject"/>
    <w:uiPriority w:val="99"/>
    <w:semiHidden/>
    <w:rsid w:val="009E2CA4"/>
    <w:rPr>
      <w:b/>
      <w:bCs/>
      <w:sz w:val="20"/>
      <w:szCs w:val="20"/>
    </w:rPr>
  </w:style>
  <w:style w:type="paragraph" w:styleId="BalloonText">
    <w:name w:val="Balloon Text"/>
    <w:basedOn w:val="Normal"/>
    <w:link w:val="BalloonTextChar"/>
    <w:uiPriority w:val="99"/>
    <w:semiHidden/>
    <w:unhideWhenUsed/>
    <w:rsid w:val="009E2CA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CA4"/>
    <w:rPr>
      <w:rFonts w:ascii="Tahoma" w:hAnsi="Tahoma" w:cs="Tahoma"/>
      <w:sz w:val="16"/>
      <w:szCs w:val="16"/>
    </w:rPr>
  </w:style>
  <w:style w:type="paragraph" w:customStyle="1" w:styleId="Lielievirsraksti">
    <w:name w:val="Lielie virsraksti"/>
    <w:basedOn w:val="Normal"/>
    <w:rsid w:val="004A2B38"/>
    <w:pPr>
      <w:numPr>
        <w:numId w:val="1"/>
      </w:numPr>
      <w:spacing w:before="120"/>
    </w:pPr>
    <w:rPr>
      <w:rFonts w:eastAsia="Times New Roman" w:cs="Times New Roman"/>
      <w:b/>
      <w:szCs w:val="24"/>
    </w:rPr>
  </w:style>
  <w:style w:type="paragraph" w:customStyle="1" w:styleId="Apakvirsraksti">
    <w:name w:val="Apakšvirsraksti"/>
    <w:basedOn w:val="Normal"/>
    <w:rsid w:val="004A2B38"/>
    <w:pPr>
      <w:numPr>
        <w:ilvl w:val="1"/>
        <w:numId w:val="1"/>
      </w:numPr>
      <w:spacing w:before="120"/>
    </w:pPr>
    <w:rPr>
      <w:rFonts w:eastAsia="Times New Roman" w:cs="Times New Roman"/>
      <w:b/>
      <w:szCs w:val="24"/>
    </w:rPr>
  </w:style>
  <w:style w:type="paragraph" w:styleId="BodyText2">
    <w:name w:val="Body Text 2"/>
    <w:basedOn w:val="Normal"/>
    <w:link w:val="BodyText2Char"/>
    <w:unhideWhenUsed/>
    <w:rsid w:val="00081748"/>
    <w:pPr>
      <w:spacing w:line="480" w:lineRule="auto"/>
    </w:pPr>
  </w:style>
  <w:style w:type="character" w:customStyle="1" w:styleId="BodyText2Char">
    <w:name w:val="Body Text 2 Char"/>
    <w:basedOn w:val="DefaultParagraphFont"/>
    <w:link w:val="BodyText2"/>
    <w:rsid w:val="00081748"/>
  </w:style>
  <w:style w:type="paragraph" w:styleId="BodyTextIndent">
    <w:name w:val="Body Text Indent"/>
    <w:basedOn w:val="Normal"/>
    <w:link w:val="BodyTextIndentChar"/>
    <w:unhideWhenUsed/>
    <w:rsid w:val="00933EE3"/>
    <w:pPr>
      <w:ind w:left="283"/>
    </w:pPr>
  </w:style>
  <w:style w:type="character" w:customStyle="1" w:styleId="BodyTextIndentChar">
    <w:name w:val="Body Text Indent Char"/>
    <w:basedOn w:val="DefaultParagraphFont"/>
    <w:link w:val="BodyTextIndent"/>
    <w:rsid w:val="00933EE3"/>
  </w:style>
  <w:style w:type="paragraph" w:styleId="Header">
    <w:name w:val="header"/>
    <w:basedOn w:val="Normal"/>
    <w:link w:val="HeaderChar"/>
    <w:uiPriority w:val="99"/>
    <w:unhideWhenUsed/>
    <w:rsid w:val="00C25339"/>
    <w:pPr>
      <w:tabs>
        <w:tab w:val="center" w:pos="4153"/>
        <w:tab w:val="right" w:pos="8306"/>
      </w:tabs>
      <w:spacing w:after="0"/>
    </w:pPr>
  </w:style>
  <w:style w:type="character" w:customStyle="1" w:styleId="HeaderChar">
    <w:name w:val="Header Char"/>
    <w:basedOn w:val="DefaultParagraphFont"/>
    <w:link w:val="Header"/>
    <w:uiPriority w:val="99"/>
    <w:rsid w:val="00C25339"/>
  </w:style>
  <w:style w:type="paragraph" w:styleId="Footer">
    <w:name w:val="footer"/>
    <w:basedOn w:val="Normal"/>
    <w:link w:val="FooterChar"/>
    <w:uiPriority w:val="99"/>
    <w:unhideWhenUsed/>
    <w:rsid w:val="00C25339"/>
    <w:pPr>
      <w:tabs>
        <w:tab w:val="center" w:pos="4153"/>
        <w:tab w:val="right" w:pos="8306"/>
      </w:tabs>
      <w:spacing w:after="0"/>
    </w:pPr>
  </w:style>
  <w:style w:type="character" w:customStyle="1" w:styleId="FooterChar">
    <w:name w:val="Footer Char"/>
    <w:basedOn w:val="DefaultParagraphFont"/>
    <w:link w:val="Footer"/>
    <w:uiPriority w:val="99"/>
    <w:rsid w:val="00C25339"/>
  </w:style>
  <w:style w:type="paragraph" w:customStyle="1" w:styleId="tv2131">
    <w:name w:val="tv2131"/>
    <w:basedOn w:val="Normal"/>
    <w:rsid w:val="00B161AD"/>
    <w:pPr>
      <w:spacing w:after="0" w:line="360" w:lineRule="auto"/>
      <w:ind w:firstLine="300"/>
    </w:pPr>
    <w:rPr>
      <w:rFonts w:eastAsia="Times New Roman" w:cs="Times New Roman"/>
      <w:color w:val="414142"/>
      <w:sz w:val="20"/>
      <w:szCs w:val="20"/>
      <w:lang w:eastAsia="lv-LV"/>
    </w:rPr>
  </w:style>
  <w:style w:type="paragraph" w:customStyle="1" w:styleId="labojumupamats1">
    <w:name w:val="labojumu_pamats1"/>
    <w:basedOn w:val="Normal"/>
    <w:rsid w:val="008B79DC"/>
    <w:pPr>
      <w:spacing w:before="45" w:after="0" w:line="360" w:lineRule="auto"/>
      <w:ind w:firstLine="300"/>
    </w:pPr>
    <w:rPr>
      <w:rFonts w:eastAsia="Times New Roman" w:cs="Times New Roman"/>
      <w:i/>
      <w:iCs/>
      <w:color w:val="414142"/>
      <w:sz w:val="20"/>
      <w:szCs w:val="20"/>
      <w:lang w:eastAsia="lv-LV"/>
    </w:rPr>
  </w:style>
  <w:style w:type="paragraph" w:styleId="Revision">
    <w:name w:val="Revision"/>
    <w:hidden/>
    <w:uiPriority w:val="99"/>
    <w:semiHidden/>
    <w:rsid w:val="00533296"/>
    <w:pPr>
      <w:spacing w:after="0" w:line="240" w:lineRule="auto"/>
    </w:pPr>
  </w:style>
  <w:style w:type="paragraph" w:customStyle="1" w:styleId="tv2133">
    <w:name w:val="tv2133"/>
    <w:basedOn w:val="Normal"/>
    <w:rsid w:val="009F5E79"/>
    <w:pPr>
      <w:spacing w:after="0" w:line="360" w:lineRule="auto"/>
      <w:ind w:firstLine="300"/>
    </w:pPr>
    <w:rPr>
      <w:rFonts w:eastAsia="Times New Roman" w:cs="Times New Roman"/>
      <w:color w:val="414142"/>
      <w:sz w:val="20"/>
      <w:szCs w:val="20"/>
      <w:lang w:eastAsia="lv-LV"/>
    </w:rPr>
  </w:style>
  <w:style w:type="paragraph" w:styleId="ListParagraph">
    <w:name w:val="List Paragraph"/>
    <w:aliases w:val="2,Akapit z listą BS,H&amp;P List Paragraph,Strip,Syle 1,virsraksts3,Numbered Para 1,Dot pt,No Spacing1,List Paragraph Char Char Char,Indicator Text,Bullet 1,Bullet Points,MAIN CONTENT,IFCL - List Paragraph,List Paragraph12,OBC Bullet,リスト段"/>
    <w:basedOn w:val="Normal"/>
    <w:link w:val="ListParagraphChar"/>
    <w:uiPriority w:val="34"/>
    <w:qFormat/>
    <w:rsid w:val="001E6F63"/>
    <w:pPr>
      <w:ind w:left="720"/>
      <w:contextualSpacing/>
    </w:pPr>
  </w:style>
  <w:style w:type="character" w:customStyle="1" w:styleId="Heading3Char">
    <w:name w:val="Heading 3 Char"/>
    <w:basedOn w:val="DefaultParagraphFont"/>
    <w:link w:val="Heading3"/>
    <w:rsid w:val="00FD10CC"/>
    <w:rPr>
      <w:rFonts w:ascii="Times New Roman" w:hAnsi="Times New Roman" w:cs="Times New Roman"/>
      <w:b/>
      <w:bCs/>
      <w:iCs/>
      <w:color w:val="17365D"/>
      <w:sz w:val="24"/>
      <w:szCs w:val="24"/>
    </w:rPr>
  </w:style>
  <w:style w:type="character" w:customStyle="1" w:styleId="Heading2Char">
    <w:name w:val="Heading 2 Char"/>
    <w:basedOn w:val="DefaultParagraphFont"/>
    <w:link w:val="Heading2"/>
    <w:uiPriority w:val="9"/>
    <w:rsid w:val="00C60CCF"/>
    <w:rPr>
      <w:rFonts w:ascii="Times New Roman" w:eastAsiaTheme="majorEastAsia" w:hAnsi="Times New Roman" w:cstheme="majorBidi"/>
      <w:b/>
      <w:bCs/>
      <w:color w:val="17365D"/>
      <w:sz w:val="24"/>
      <w:szCs w:val="26"/>
      <w:u w:val="single"/>
    </w:rPr>
  </w:style>
  <w:style w:type="paragraph" w:styleId="ListBullet">
    <w:name w:val="List Bullet"/>
    <w:basedOn w:val="Normal"/>
    <w:uiPriority w:val="99"/>
    <w:unhideWhenUsed/>
    <w:rsid w:val="004F3003"/>
    <w:pPr>
      <w:spacing w:before="60" w:after="60"/>
      <w:ind w:left="1701" w:hanging="357"/>
    </w:pPr>
    <w:rPr>
      <w:rFonts w:cs="Times New Roman"/>
    </w:rPr>
  </w:style>
  <w:style w:type="paragraph" w:styleId="NormalWeb">
    <w:name w:val="Normal (Web)"/>
    <w:aliases w:val="Parastais (Web)"/>
    <w:basedOn w:val="Normal"/>
    <w:uiPriority w:val="99"/>
    <w:unhideWhenUsed/>
    <w:rsid w:val="00576D71"/>
    <w:pPr>
      <w:spacing w:before="100" w:beforeAutospacing="1" w:after="100" w:afterAutospacing="1"/>
    </w:pPr>
    <w:rPr>
      <w:rFonts w:eastAsia="Times New Roman" w:cs="Times New Roman"/>
      <w:szCs w:val="24"/>
      <w:lang w:eastAsia="lv-LV"/>
    </w:rPr>
  </w:style>
  <w:style w:type="character" w:styleId="Hyperlink">
    <w:name w:val="Hyperlink"/>
    <w:basedOn w:val="DefaultParagraphFont"/>
    <w:uiPriority w:val="99"/>
    <w:unhideWhenUsed/>
    <w:rsid w:val="00801297"/>
    <w:rPr>
      <w:color w:val="0000FF" w:themeColor="hyperlink"/>
      <w:u w:val="single"/>
    </w:rPr>
  </w:style>
  <w:style w:type="character" w:customStyle="1" w:styleId="Heading1Char">
    <w:name w:val="Heading 1 Char"/>
    <w:basedOn w:val="DefaultParagraphFont"/>
    <w:link w:val="Heading1"/>
    <w:rsid w:val="002B196D"/>
    <w:rPr>
      <w:rFonts w:ascii="Times New Roman" w:eastAsiaTheme="majorEastAsia" w:hAnsi="Times New Roman" w:cs="Times New Roman"/>
      <w:b/>
      <w:bCs/>
      <w:color w:val="244061" w:themeColor="accent1" w:themeShade="80"/>
      <w:sz w:val="28"/>
      <w:szCs w:val="28"/>
    </w:rPr>
  </w:style>
  <w:style w:type="paragraph" w:customStyle="1" w:styleId="Tabulasnosaukums1">
    <w:name w:val="Tabulas nosaukums1"/>
    <w:basedOn w:val="Normal"/>
    <w:link w:val="Tabulasnosaukums1Char"/>
    <w:qFormat/>
    <w:rsid w:val="00A1037E"/>
    <w:pPr>
      <w:spacing w:before="240" w:after="0"/>
      <w:jc w:val="right"/>
    </w:pPr>
    <w:rPr>
      <w:sz w:val="20"/>
      <w:szCs w:val="24"/>
    </w:rPr>
  </w:style>
  <w:style w:type="paragraph" w:customStyle="1" w:styleId="Tabulasvirsraksts">
    <w:name w:val="Tabulas virsraksts"/>
    <w:basedOn w:val="Normal"/>
    <w:link w:val="TabulasvirsrakstsChar"/>
    <w:qFormat/>
    <w:rsid w:val="00A1037E"/>
    <w:pPr>
      <w:spacing w:before="240" w:after="0"/>
      <w:jc w:val="center"/>
    </w:pPr>
    <w:rPr>
      <w:b/>
      <w:sz w:val="20"/>
      <w:szCs w:val="24"/>
    </w:rPr>
  </w:style>
  <w:style w:type="character" w:customStyle="1" w:styleId="Tabulasnosaukums1Char">
    <w:name w:val="Tabulas nosaukums1 Char"/>
    <w:basedOn w:val="DefaultParagraphFont"/>
    <w:link w:val="Tabulasnosaukums1"/>
    <w:rsid w:val="00A1037E"/>
    <w:rPr>
      <w:rFonts w:ascii="Times New Roman" w:hAnsi="Times New Roman"/>
      <w:sz w:val="20"/>
      <w:szCs w:val="24"/>
    </w:rPr>
  </w:style>
  <w:style w:type="character" w:customStyle="1" w:styleId="Heading7Char">
    <w:name w:val="Heading 7 Char"/>
    <w:basedOn w:val="DefaultParagraphFont"/>
    <w:link w:val="Heading7"/>
    <w:rsid w:val="00D41F06"/>
    <w:rPr>
      <w:rFonts w:asciiTheme="majorHAnsi" w:eastAsiaTheme="majorEastAsia" w:hAnsiTheme="majorHAnsi" w:cstheme="majorBidi"/>
      <w:i/>
      <w:iCs/>
      <w:color w:val="404040" w:themeColor="text1" w:themeTint="BF"/>
    </w:rPr>
  </w:style>
  <w:style w:type="character" w:customStyle="1" w:styleId="TabulasvirsrakstsChar">
    <w:name w:val="Tabulas virsraksts Char"/>
    <w:basedOn w:val="DefaultParagraphFont"/>
    <w:link w:val="Tabulasvirsraksts"/>
    <w:rsid w:val="00A1037E"/>
    <w:rPr>
      <w:rFonts w:ascii="Times New Roman" w:hAnsi="Times New Roman"/>
      <w:b/>
      <w:sz w:val="20"/>
      <w:szCs w:val="24"/>
    </w:rPr>
  </w:style>
  <w:style w:type="paragraph" w:styleId="BodyText">
    <w:name w:val="Body Text"/>
    <w:basedOn w:val="Normal"/>
    <w:link w:val="BodyTextChar"/>
    <w:uiPriority w:val="99"/>
    <w:unhideWhenUsed/>
    <w:rsid w:val="00D41F06"/>
    <w:rPr>
      <w:rFonts w:asciiTheme="minorHAnsi" w:hAnsiTheme="minorHAnsi"/>
      <w:sz w:val="22"/>
    </w:rPr>
  </w:style>
  <w:style w:type="character" w:customStyle="1" w:styleId="BodyTextChar">
    <w:name w:val="Body Text Char"/>
    <w:basedOn w:val="DefaultParagraphFont"/>
    <w:link w:val="BodyText"/>
    <w:uiPriority w:val="99"/>
    <w:rsid w:val="00D41F06"/>
  </w:style>
  <w:style w:type="paragraph" w:styleId="Title">
    <w:name w:val="Title"/>
    <w:basedOn w:val="Normal"/>
    <w:link w:val="TitleChar"/>
    <w:uiPriority w:val="10"/>
    <w:qFormat/>
    <w:rsid w:val="00D41F06"/>
    <w:pPr>
      <w:spacing w:after="0"/>
      <w:jc w:val="center"/>
    </w:pPr>
    <w:rPr>
      <w:rFonts w:eastAsia="Times New Roman" w:cs="Times New Roman"/>
      <w:szCs w:val="20"/>
    </w:rPr>
  </w:style>
  <w:style w:type="character" w:customStyle="1" w:styleId="TitleChar">
    <w:name w:val="Title Char"/>
    <w:basedOn w:val="DefaultParagraphFont"/>
    <w:link w:val="Title"/>
    <w:uiPriority w:val="10"/>
    <w:rsid w:val="00D41F06"/>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D41F06"/>
    <w:pPr>
      <w:spacing w:line="480" w:lineRule="auto"/>
      <w:ind w:left="283"/>
    </w:pPr>
    <w:rPr>
      <w:rFonts w:asciiTheme="minorHAnsi" w:hAnsiTheme="minorHAnsi"/>
      <w:sz w:val="22"/>
    </w:rPr>
  </w:style>
  <w:style w:type="character" w:customStyle="1" w:styleId="BodyTextIndent2Char">
    <w:name w:val="Body Text Indent 2 Char"/>
    <w:basedOn w:val="DefaultParagraphFont"/>
    <w:link w:val="BodyTextIndent2"/>
    <w:rsid w:val="00D41F06"/>
  </w:style>
  <w:style w:type="character" w:customStyle="1" w:styleId="Heading4Char">
    <w:name w:val="Heading 4 Char"/>
    <w:aliases w:val="4piezīme_bold Char"/>
    <w:basedOn w:val="DefaultParagraphFont"/>
    <w:link w:val="Heading4"/>
    <w:rsid w:val="005A3758"/>
    <w:rPr>
      <w:rFonts w:ascii="Times New Roman" w:hAnsi="Times New Roman" w:cstheme="majorBidi"/>
      <w:b/>
      <w:bCs/>
      <w:i/>
      <w:iCs/>
      <w:color w:val="17365D"/>
      <w:sz w:val="24"/>
    </w:rPr>
  </w:style>
  <w:style w:type="character" w:customStyle="1" w:styleId="Heading5Char">
    <w:name w:val="Heading 5 Char"/>
    <w:aliases w:val="5piezīme Char"/>
    <w:basedOn w:val="DefaultParagraphFont"/>
    <w:link w:val="Heading5"/>
    <w:rsid w:val="00514C3E"/>
    <w:rPr>
      <w:rFonts w:ascii="Times New Roman" w:hAnsi="Times New Roman"/>
      <w:i/>
      <w:color w:val="17365D"/>
      <w:sz w:val="24"/>
    </w:rPr>
  </w:style>
  <w:style w:type="character" w:customStyle="1" w:styleId="tvhtml">
    <w:name w:val="tv_html"/>
    <w:basedOn w:val="DefaultParagraphFont"/>
    <w:rsid w:val="004726F6"/>
  </w:style>
  <w:style w:type="character" w:styleId="FollowedHyperlink">
    <w:name w:val="FollowedHyperlink"/>
    <w:basedOn w:val="DefaultParagraphFont"/>
    <w:uiPriority w:val="99"/>
    <w:semiHidden/>
    <w:unhideWhenUsed/>
    <w:rsid w:val="00624421"/>
    <w:rPr>
      <w:color w:val="800080" w:themeColor="followedHyperlink"/>
      <w:u w:val="single"/>
    </w:rPr>
  </w:style>
  <w:style w:type="paragraph" w:customStyle="1" w:styleId="tv2132">
    <w:name w:val="tv2132"/>
    <w:basedOn w:val="Normal"/>
    <w:rsid w:val="00A2465E"/>
    <w:pPr>
      <w:spacing w:after="0" w:line="360" w:lineRule="auto"/>
      <w:ind w:firstLine="300"/>
    </w:pPr>
    <w:rPr>
      <w:rFonts w:eastAsia="Times New Roman" w:cs="Times New Roman"/>
      <w:color w:val="414142"/>
      <w:sz w:val="20"/>
      <w:szCs w:val="20"/>
      <w:lang w:eastAsia="lv-LV"/>
    </w:rPr>
  </w:style>
  <w:style w:type="paragraph" w:styleId="FootnoteText">
    <w:name w:val="footnote text"/>
    <w:aliases w:val="Footnote,Fußnote,Fußnote Rakstz.,Char,Char Rakstz. Rakstz. Rakstz.,Footnote Text Char2,Footnote Text Char1 Char,Footnote Text Char1 Char Char Char,Footnote Text Char1 Char Char Char Rakstz. Rakstz.,Fußnote Char Char Char Char Char Char, Ch"/>
    <w:basedOn w:val="Normal"/>
    <w:link w:val="FootnoteTextChar"/>
    <w:unhideWhenUsed/>
    <w:qFormat/>
    <w:rsid w:val="002B72EF"/>
    <w:pPr>
      <w:spacing w:after="0"/>
    </w:pPr>
    <w:rPr>
      <w:sz w:val="20"/>
      <w:szCs w:val="20"/>
    </w:rPr>
  </w:style>
  <w:style w:type="character" w:customStyle="1" w:styleId="FootnoteTextChar">
    <w:name w:val="Footnote Text Char"/>
    <w:aliases w:val="Footnote Char,Fußnote Char,Fußnote Rakstz. Char,Char Char,Char Rakstz. Rakstz. Rakstz. Char,Footnote Text Char2 Char,Footnote Text Char1 Char Char,Footnote Text Char1 Char Char Char Char,Fußnote Char Char Char Char Char Char Char"/>
    <w:basedOn w:val="DefaultParagraphFont"/>
    <w:link w:val="FootnoteText"/>
    <w:rsid w:val="002B72EF"/>
    <w:rPr>
      <w:rFonts w:ascii="Times New Roman" w:hAnsi="Times New Roman"/>
      <w:sz w:val="20"/>
      <w:szCs w:val="20"/>
    </w:rPr>
  </w:style>
  <w:style w:type="character" w:styleId="FootnoteReference">
    <w:name w:val="footnote reference"/>
    <w:aliases w:val="Footnote Reference Number,Footnote symbol,SUPERS,Footnote Reference Superscript,Footnote Refernece,ftref,Odwołanie przypisu,BVI fnr,Footnotes refss,Ref,de nota al pie,-E Fußnotenzeichen,Footnote reference number,E,E FNZ,number"/>
    <w:basedOn w:val="DefaultParagraphFont"/>
    <w:unhideWhenUsed/>
    <w:qFormat/>
    <w:rsid w:val="002B72EF"/>
    <w:rPr>
      <w:vertAlign w:val="superscript"/>
    </w:rPr>
  </w:style>
  <w:style w:type="character" w:styleId="Emphasis">
    <w:name w:val="Emphasis"/>
    <w:basedOn w:val="DefaultParagraphFont"/>
    <w:uiPriority w:val="20"/>
    <w:qFormat/>
    <w:rsid w:val="000D277E"/>
    <w:rPr>
      <w:i/>
      <w:iCs/>
    </w:rPr>
  </w:style>
  <w:style w:type="table" w:styleId="TableGrid">
    <w:name w:val="Table Grid"/>
    <w:basedOn w:val="TableNormal"/>
    <w:uiPriority w:val="39"/>
    <w:rsid w:val="00D74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sts">
    <w:name w:val="parasts"/>
    <w:basedOn w:val="Normal"/>
    <w:rsid w:val="002C5730"/>
    <w:pPr>
      <w:tabs>
        <w:tab w:val="num" w:pos="360"/>
      </w:tabs>
      <w:spacing w:after="0"/>
      <w:ind w:left="1154" w:hanging="794"/>
    </w:pPr>
    <w:rPr>
      <w:rFonts w:eastAsia="Times New Roman" w:cs="Times New Roman"/>
      <w:szCs w:val="24"/>
      <w:lang w:eastAsia="lv-LV"/>
    </w:rPr>
  </w:style>
  <w:style w:type="paragraph" w:styleId="NormalIndent">
    <w:name w:val="Normal Indent"/>
    <w:basedOn w:val="Normal"/>
    <w:rsid w:val="002C5730"/>
    <w:pPr>
      <w:tabs>
        <w:tab w:val="num" w:pos="1739"/>
      </w:tabs>
      <w:spacing w:after="0"/>
      <w:ind w:left="1739" w:hanging="839"/>
    </w:pPr>
    <w:rPr>
      <w:rFonts w:eastAsia="Times New Roman" w:cs="Times New Roman"/>
      <w:szCs w:val="24"/>
      <w:lang w:eastAsia="lv-LV"/>
    </w:rPr>
  </w:style>
  <w:style w:type="paragraph" w:styleId="List">
    <w:name w:val="List"/>
    <w:basedOn w:val="Normal"/>
    <w:rsid w:val="002C5730"/>
    <w:pPr>
      <w:tabs>
        <w:tab w:val="num" w:pos="3686"/>
      </w:tabs>
      <w:spacing w:after="0"/>
      <w:ind w:left="3686" w:hanging="1134"/>
    </w:pPr>
    <w:rPr>
      <w:rFonts w:eastAsia="Times New Roman" w:cs="Times New Roman"/>
      <w:szCs w:val="24"/>
      <w:lang w:eastAsia="lv-LV"/>
    </w:rPr>
  </w:style>
  <w:style w:type="paragraph" w:styleId="EndnoteText">
    <w:name w:val="endnote text"/>
    <w:basedOn w:val="Normal"/>
    <w:link w:val="EndnoteTextChar"/>
    <w:uiPriority w:val="99"/>
    <w:semiHidden/>
    <w:unhideWhenUsed/>
    <w:rsid w:val="00B82F61"/>
    <w:pPr>
      <w:spacing w:after="0"/>
    </w:pPr>
    <w:rPr>
      <w:sz w:val="20"/>
      <w:szCs w:val="20"/>
    </w:rPr>
  </w:style>
  <w:style w:type="character" w:customStyle="1" w:styleId="EndnoteTextChar">
    <w:name w:val="Endnote Text Char"/>
    <w:basedOn w:val="DefaultParagraphFont"/>
    <w:link w:val="EndnoteText"/>
    <w:uiPriority w:val="99"/>
    <w:semiHidden/>
    <w:rsid w:val="00B82F61"/>
    <w:rPr>
      <w:rFonts w:ascii="Times New Roman" w:hAnsi="Times New Roman"/>
      <w:sz w:val="20"/>
      <w:szCs w:val="20"/>
    </w:rPr>
  </w:style>
  <w:style w:type="character" w:styleId="EndnoteReference">
    <w:name w:val="endnote reference"/>
    <w:basedOn w:val="DefaultParagraphFont"/>
    <w:uiPriority w:val="99"/>
    <w:semiHidden/>
    <w:unhideWhenUsed/>
    <w:rsid w:val="00B82F61"/>
    <w:rPr>
      <w:vertAlign w:val="superscript"/>
    </w:rPr>
  </w:style>
  <w:style w:type="paragraph" w:customStyle="1" w:styleId="tv213">
    <w:name w:val="tv213"/>
    <w:basedOn w:val="Normal"/>
    <w:rsid w:val="00CE15EC"/>
    <w:pPr>
      <w:spacing w:before="100" w:beforeAutospacing="1" w:after="100" w:afterAutospacing="1" w:line="240" w:lineRule="auto"/>
    </w:pPr>
    <w:rPr>
      <w:rFonts w:eastAsia="Times New Roman" w:cs="Times New Roman"/>
      <w:szCs w:val="24"/>
      <w:lang w:eastAsia="lv-LV"/>
    </w:rPr>
  </w:style>
  <w:style w:type="paragraph" w:customStyle="1" w:styleId="msonormal0">
    <w:name w:val="msonormal"/>
    <w:basedOn w:val="Normal"/>
    <w:rsid w:val="003E7CEB"/>
    <w:pPr>
      <w:spacing w:before="100" w:beforeAutospacing="1" w:after="100" w:afterAutospacing="1" w:line="240" w:lineRule="auto"/>
    </w:pPr>
    <w:rPr>
      <w:rFonts w:eastAsia="Times New Roman" w:cs="Times New Roman"/>
      <w:szCs w:val="24"/>
      <w:lang w:eastAsia="lv-LV"/>
    </w:rPr>
  </w:style>
  <w:style w:type="paragraph" w:customStyle="1" w:styleId="xl67">
    <w:name w:val="xl67"/>
    <w:basedOn w:val="Normal"/>
    <w:rsid w:val="003E7CEB"/>
    <w:pPr>
      <w:spacing w:before="100" w:beforeAutospacing="1" w:after="100" w:afterAutospacing="1" w:line="240" w:lineRule="auto"/>
    </w:pPr>
    <w:rPr>
      <w:rFonts w:eastAsia="Times New Roman" w:cs="Times New Roman"/>
      <w:sz w:val="22"/>
      <w:lang w:eastAsia="lv-LV"/>
    </w:rPr>
  </w:style>
  <w:style w:type="paragraph" w:customStyle="1" w:styleId="xl68">
    <w:name w:val="xl68"/>
    <w:basedOn w:val="Normal"/>
    <w:rsid w:val="003E7CEB"/>
    <w:pPr>
      <w:pBdr>
        <w:top w:val="single" w:sz="4" w:space="0" w:color="000000"/>
        <w:left w:val="single" w:sz="4" w:space="0" w:color="000000"/>
        <w:bottom w:val="single" w:sz="4" w:space="0" w:color="000000"/>
        <w:right w:val="single" w:sz="4" w:space="0" w:color="000000"/>
      </w:pBdr>
      <w:shd w:val="clear" w:color="FFFFFF" w:fill="F2F2F2"/>
      <w:spacing w:before="100" w:beforeAutospacing="1" w:after="100" w:afterAutospacing="1" w:line="240" w:lineRule="auto"/>
      <w:jc w:val="center"/>
      <w:textAlignment w:val="center"/>
    </w:pPr>
    <w:rPr>
      <w:rFonts w:eastAsia="Times New Roman" w:cs="Times New Roman"/>
      <w:szCs w:val="24"/>
      <w:lang w:eastAsia="lv-LV"/>
    </w:rPr>
  </w:style>
  <w:style w:type="paragraph" w:customStyle="1" w:styleId="xl69">
    <w:name w:val="xl69"/>
    <w:basedOn w:val="Normal"/>
    <w:rsid w:val="003E7CEB"/>
    <w:pPr>
      <w:pBdr>
        <w:top w:val="single" w:sz="4" w:space="0" w:color="000000"/>
        <w:left w:val="single" w:sz="4" w:space="0" w:color="000000"/>
        <w:right w:val="single" w:sz="4" w:space="0" w:color="000000"/>
      </w:pBdr>
      <w:shd w:val="clear" w:color="FFFFFF" w:fill="F2F2F2"/>
      <w:spacing w:before="100" w:beforeAutospacing="1" w:after="100" w:afterAutospacing="1" w:line="240" w:lineRule="auto"/>
      <w:jc w:val="center"/>
      <w:textAlignment w:val="center"/>
    </w:pPr>
    <w:rPr>
      <w:rFonts w:eastAsia="Times New Roman" w:cs="Times New Roman"/>
      <w:szCs w:val="24"/>
      <w:lang w:eastAsia="lv-LV"/>
    </w:rPr>
  </w:style>
  <w:style w:type="paragraph" w:customStyle="1" w:styleId="xl70">
    <w:name w:val="xl70"/>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szCs w:val="24"/>
      <w:lang w:eastAsia="lv-LV"/>
    </w:rPr>
  </w:style>
  <w:style w:type="paragraph" w:customStyle="1" w:styleId="xl71">
    <w:name w:val="xl71"/>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szCs w:val="24"/>
      <w:lang w:eastAsia="lv-LV"/>
    </w:rPr>
  </w:style>
  <w:style w:type="paragraph" w:customStyle="1" w:styleId="xl72">
    <w:name w:val="xl72"/>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szCs w:val="24"/>
      <w:lang w:eastAsia="lv-LV"/>
    </w:rPr>
  </w:style>
  <w:style w:type="paragraph" w:customStyle="1" w:styleId="xl73">
    <w:name w:val="xl73"/>
    <w:basedOn w:val="Normal"/>
    <w:rsid w:val="003E7CEB"/>
    <w:pPr>
      <w:pBdr>
        <w:top w:val="single" w:sz="4" w:space="0" w:color="000000"/>
        <w:left w:val="single" w:sz="4" w:space="9" w:color="000000"/>
        <w:bottom w:val="single" w:sz="4" w:space="0" w:color="000000"/>
        <w:right w:val="single" w:sz="4" w:space="0" w:color="000000"/>
      </w:pBdr>
      <w:spacing w:before="100" w:beforeAutospacing="1" w:after="100" w:afterAutospacing="1" w:line="240" w:lineRule="auto"/>
      <w:ind w:firstLineChars="100" w:firstLine="100"/>
      <w:textAlignment w:val="center"/>
    </w:pPr>
    <w:rPr>
      <w:rFonts w:eastAsia="Times New Roman" w:cs="Times New Roman"/>
      <w:szCs w:val="24"/>
      <w:lang w:eastAsia="lv-LV"/>
    </w:rPr>
  </w:style>
  <w:style w:type="paragraph" w:customStyle="1" w:styleId="xl74">
    <w:name w:val="xl74"/>
    <w:basedOn w:val="Normal"/>
    <w:rsid w:val="003E7CEB"/>
    <w:pPr>
      <w:spacing w:before="100" w:beforeAutospacing="1" w:after="100" w:afterAutospacing="1" w:line="240" w:lineRule="auto"/>
    </w:pPr>
    <w:rPr>
      <w:rFonts w:ascii="Calibri" w:eastAsia="Times New Roman" w:hAnsi="Calibri" w:cs="Calibri"/>
      <w:sz w:val="22"/>
      <w:lang w:eastAsia="lv-LV"/>
    </w:rPr>
  </w:style>
  <w:style w:type="paragraph" w:customStyle="1" w:styleId="xl75">
    <w:name w:val="xl75"/>
    <w:basedOn w:val="Normal"/>
    <w:rsid w:val="003E7CEB"/>
    <w:pPr>
      <w:pBdr>
        <w:top w:val="single" w:sz="4" w:space="0" w:color="000000"/>
        <w:left w:val="single" w:sz="4" w:space="0" w:color="000000"/>
        <w:bottom w:val="single" w:sz="4" w:space="0" w:color="000000"/>
        <w:right w:val="single" w:sz="4" w:space="0" w:color="000000"/>
      </w:pBdr>
      <w:shd w:val="clear" w:color="F2F2F2" w:fill="FFFFFF"/>
      <w:spacing w:before="100" w:beforeAutospacing="1" w:after="100" w:afterAutospacing="1" w:line="240" w:lineRule="auto"/>
      <w:jc w:val="right"/>
      <w:textAlignment w:val="center"/>
    </w:pPr>
    <w:rPr>
      <w:rFonts w:eastAsia="Times New Roman" w:cs="Times New Roman"/>
      <w:b/>
      <w:bCs/>
      <w:szCs w:val="24"/>
      <w:lang w:eastAsia="lv-LV"/>
    </w:rPr>
  </w:style>
  <w:style w:type="paragraph" w:customStyle="1" w:styleId="xl76">
    <w:name w:val="xl76"/>
    <w:basedOn w:val="Normal"/>
    <w:rsid w:val="003E7CEB"/>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b/>
      <w:bCs/>
      <w:szCs w:val="24"/>
      <w:lang w:eastAsia="lv-LV"/>
    </w:rPr>
  </w:style>
  <w:style w:type="paragraph" w:customStyle="1" w:styleId="Default">
    <w:name w:val="Default"/>
    <w:rsid w:val="00AB2439"/>
    <w:pPr>
      <w:autoSpaceDE w:val="0"/>
      <w:autoSpaceDN w:val="0"/>
      <w:adjustRightInd w:val="0"/>
      <w:spacing w:after="0" w:line="240" w:lineRule="auto"/>
    </w:pPr>
    <w:rPr>
      <w:rFonts w:ascii="Times New Roman" w:hAnsi="Times New Roman" w:cs="Times New Roman"/>
      <w:color w:val="000000"/>
      <w:sz w:val="24"/>
      <w:szCs w:val="24"/>
    </w:rPr>
  </w:style>
  <w:style w:type="paragraph" w:styleId="TOCHeading">
    <w:name w:val="TOC Heading"/>
    <w:basedOn w:val="Heading1"/>
    <w:next w:val="Normal"/>
    <w:uiPriority w:val="39"/>
    <w:unhideWhenUsed/>
    <w:qFormat/>
    <w:rsid w:val="00954F0C"/>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954F0C"/>
    <w:pPr>
      <w:spacing w:after="100"/>
    </w:pPr>
  </w:style>
  <w:style w:type="paragraph" w:styleId="TOC2">
    <w:name w:val="toc 2"/>
    <w:basedOn w:val="Normal"/>
    <w:next w:val="Normal"/>
    <w:autoRedefine/>
    <w:uiPriority w:val="39"/>
    <w:unhideWhenUsed/>
    <w:rsid w:val="00954F0C"/>
    <w:pPr>
      <w:spacing w:after="100"/>
      <w:ind w:left="240"/>
    </w:pPr>
  </w:style>
  <w:style w:type="paragraph" w:styleId="TOC3">
    <w:name w:val="toc 3"/>
    <w:basedOn w:val="Normal"/>
    <w:next w:val="Normal"/>
    <w:autoRedefine/>
    <w:uiPriority w:val="39"/>
    <w:unhideWhenUsed/>
    <w:rsid w:val="00954F0C"/>
    <w:pPr>
      <w:spacing w:after="100"/>
      <w:ind w:left="480"/>
    </w:pPr>
  </w:style>
  <w:style w:type="paragraph" w:customStyle="1" w:styleId="Pamatteksts1">
    <w:name w:val="Pamatteksts1"/>
    <w:qFormat/>
    <w:rsid w:val="00954F0C"/>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character" w:customStyle="1" w:styleId="ListParagraphChar">
    <w:name w:val="List Paragraph Char"/>
    <w:aliases w:val="2 Char,Akapit z listą BS Char,H&amp;P List Paragraph Char,Strip Char,Syle 1 Char,virsraksts3 Char,Numbered Para 1 Char,Dot pt Char,No Spacing1 Char,List Paragraph Char Char Char Char,Indicator Text Char,Bullet 1 Char,Bullet Points Char"/>
    <w:link w:val="ListParagraph"/>
    <w:uiPriority w:val="34"/>
    <w:qFormat/>
    <w:locked/>
    <w:rsid w:val="00954F0C"/>
    <w:rPr>
      <w:rFonts w:ascii="Times New Roman" w:hAnsi="Times New Roman"/>
      <w:sz w:val="24"/>
    </w:rPr>
  </w:style>
  <w:style w:type="character" w:customStyle="1" w:styleId="Heading6Char">
    <w:name w:val="Heading 6 Char"/>
    <w:basedOn w:val="DefaultParagraphFont"/>
    <w:link w:val="Heading6"/>
    <w:rsid w:val="00423745"/>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rsid w:val="00423745"/>
    <w:rPr>
      <w:rFonts w:ascii="Arial" w:eastAsia="Times New Roman" w:hAnsi="Arial" w:cs="Times New Roman"/>
      <w:i/>
      <w:sz w:val="20"/>
      <w:szCs w:val="20"/>
    </w:rPr>
  </w:style>
  <w:style w:type="character" w:customStyle="1" w:styleId="Heading9Char">
    <w:name w:val="Heading 9 Char"/>
    <w:basedOn w:val="DefaultParagraphFont"/>
    <w:link w:val="Heading9"/>
    <w:rsid w:val="00423745"/>
    <w:rPr>
      <w:rFonts w:ascii="Arial" w:eastAsia="Times New Roman" w:hAnsi="Arial" w:cs="Times New Roman"/>
      <w:b/>
      <w:i/>
      <w:sz w:val="18"/>
      <w:szCs w:val="20"/>
    </w:rPr>
  </w:style>
  <w:style w:type="character" w:customStyle="1" w:styleId="AdreseProgramm">
    <w:name w:val="Adrese Programmā"/>
    <w:basedOn w:val="DefaultParagraphFont"/>
    <w:uiPriority w:val="1"/>
    <w:qFormat/>
    <w:rsid w:val="00423745"/>
    <w:rPr>
      <w:rFonts w:ascii="Times New Roman" w:hAnsi="Times New Roman"/>
      <w:b/>
      <w:i w:val="0"/>
      <w:color w:val="auto"/>
      <w:sz w:val="20"/>
      <w:u w:val="none"/>
    </w:rPr>
  </w:style>
  <w:style w:type="numbering" w:customStyle="1" w:styleId="Secganumercija">
    <w:name w:val="Secīga numerācija"/>
    <w:basedOn w:val="NoList"/>
    <w:rsid w:val="00423745"/>
    <w:pPr>
      <w:numPr>
        <w:numId w:val="13"/>
      </w:numPr>
    </w:pPr>
  </w:style>
  <w:style w:type="character" w:customStyle="1" w:styleId="Izceltsteksts">
    <w:name w:val="Izcelts teksts"/>
    <w:basedOn w:val="DefaultParagraphFont"/>
    <w:uiPriority w:val="1"/>
    <w:qFormat/>
    <w:rsid w:val="00423745"/>
    <w:rPr>
      <w:b/>
      <w:i/>
      <w:u w:val="single"/>
    </w:rPr>
  </w:style>
  <w:style w:type="character" w:customStyle="1" w:styleId="Piemrstxt">
    <w:name w:val="Piemērs txt"/>
    <w:basedOn w:val="DefaultParagraphFont"/>
    <w:uiPriority w:val="1"/>
    <w:qFormat/>
    <w:rsid w:val="00423745"/>
    <w:rPr>
      <w:rFonts w:ascii="Courier New" w:hAnsi="Courier New"/>
      <w:w w:val="100"/>
      <w:sz w:val="20"/>
    </w:rPr>
  </w:style>
  <w:style w:type="numbering" w:customStyle="1" w:styleId="Numercija">
    <w:name w:val="Numerācija"/>
    <w:basedOn w:val="NoList"/>
    <w:uiPriority w:val="99"/>
    <w:rsid w:val="00423745"/>
    <w:pPr>
      <w:numPr>
        <w:numId w:val="14"/>
      </w:numPr>
    </w:pPr>
  </w:style>
  <w:style w:type="numbering" w:customStyle="1" w:styleId="StyleOutlinenumberedLeft0cmHanging063cm">
    <w:name w:val="Style Outline numbered Left:  0 cm Hanging:  0.63 cm"/>
    <w:basedOn w:val="NoList"/>
    <w:rsid w:val="00423745"/>
    <w:pPr>
      <w:numPr>
        <w:numId w:val="15"/>
      </w:numPr>
    </w:pPr>
  </w:style>
  <w:style w:type="numbering" w:customStyle="1" w:styleId="StyleOutlinenumberedLeft0cmHanging063cm1">
    <w:name w:val="Style Outline numbered Left:  0 cm Hanging:  0.63 cm1"/>
    <w:basedOn w:val="NoList"/>
    <w:rsid w:val="00423745"/>
    <w:pPr>
      <w:numPr>
        <w:numId w:val="16"/>
      </w:numPr>
    </w:pPr>
  </w:style>
  <w:style w:type="paragraph" w:customStyle="1" w:styleId="Tabulasgalvene">
    <w:name w:val="Tabulas galvene"/>
    <w:basedOn w:val="Pamatteksts1"/>
    <w:rsid w:val="00423745"/>
    <w:pPr>
      <w:spacing w:after="0"/>
      <w:ind w:firstLine="0"/>
      <w:jc w:val="center"/>
    </w:pPr>
    <w:rPr>
      <w:b/>
      <w:sz w:val="20"/>
      <w:szCs w:val="20"/>
    </w:rPr>
  </w:style>
  <w:style w:type="paragraph" w:customStyle="1" w:styleId="Tabulasteksts">
    <w:name w:val="Tabulas teksts"/>
    <w:basedOn w:val="Normal"/>
    <w:qFormat/>
    <w:rsid w:val="00423745"/>
    <w:pPr>
      <w:spacing w:after="0" w:line="240" w:lineRule="auto"/>
    </w:pPr>
    <w:rPr>
      <w:rFonts w:eastAsia="Times New Roman" w:cs="Times New Roman"/>
      <w:sz w:val="20"/>
      <w:szCs w:val="24"/>
    </w:rPr>
  </w:style>
  <w:style w:type="paragraph" w:customStyle="1" w:styleId="Tabulasnosaukums">
    <w:name w:val="Tabulas nosaukums"/>
    <w:basedOn w:val="Pamatteksts1"/>
    <w:next w:val="Pamatteksts1"/>
    <w:qFormat/>
    <w:rsid w:val="00423745"/>
    <w:pPr>
      <w:spacing w:before="240" w:after="0"/>
      <w:ind w:firstLine="0"/>
      <w:jc w:val="right"/>
    </w:pPr>
    <w:rPr>
      <w:i/>
      <w:sz w:val="20"/>
    </w:rPr>
  </w:style>
  <w:style w:type="character" w:styleId="IntenseReference">
    <w:name w:val="Intense Reference"/>
    <w:basedOn w:val="DefaultParagraphFont"/>
    <w:uiPriority w:val="32"/>
    <w:qFormat/>
    <w:rsid w:val="00423745"/>
    <w:rPr>
      <w:b/>
      <w:bCs/>
      <w:smallCaps/>
      <w:color w:val="C0504D" w:themeColor="accent2"/>
      <w:spacing w:val="5"/>
      <w:u w:val="single"/>
    </w:rPr>
  </w:style>
  <w:style w:type="paragraph" w:customStyle="1" w:styleId="Attlanosaukums">
    <w:name w:val="Attēla nosaukums"/>
    <w:basedOn w:val="Pamatteksts1"/>
    <w:next w:val="Pamatteksts1"/>
    <w:qFormat/>
    <w:rsid w:val="00423745"/>
    <w:pPr>
      <w:jc w:val="center"/>
    </w:pPr>
    <w:rPr>
      <w:i/>
    </w:rPr>
  </w:style>
  <w:style w:type="table" w:customStyle="1" w:styleId="Noformtatabula1">
    <w:name w:val="Noformēta tabula1"/>
    <w:basedOn w:val="TableGrid"/>
    <w:uiPriority w:val="99"/>
    <w:rsid w:val="00423745"/>
    <w:pPr>
      <w:jc w:val="both"/>
    </w:pPr>
    <w:rPr>
      <w:rFonts w:ascii="Times New Roman" w:eastAsia="Times New Roman" w:hAnsi="Times New Roman" w:cs="Times New Roman"/>
      <w:color w:val="000000" w:themeColor="text1"/>
      <w:sz w:val="20"/>
      <w:szCs w:val="20"/>
      <w:lang w:eastAsia="lv-LV"/>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LightShading-Accent3">
    <w:name w:val="Light Shading Accent 3"/>
    <w:basedOn w:val="TableNormal"/>
    <w:uiPriority w:val="60"/>
    <w:rsid w:val="0042374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List1">
    <w:name w:val="Light List1"/>
    <w:basedOn w:val="TableNormal"/>
    <w:uiPriority w:val="61"/>
    <w:rsid w:val="0042374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2">
    <w:name w:val="Light Shading Accent 2"/>
    <w:basedOn w:val="TableNormal"/>
    <w:uiPriority w:val="60"/>
    <w:rsid w:val="0042374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styleId="PageNumber">
    <w:name w:val="page number"/>
    <w:basedOn w:val="DefaultParagraphFont"/>
    <w:rsid w:val="00423745"/>
  </w:style>
  <w:style w:type="paragraph" w:customStyle="1" w:styleId="Balonteksts1">
    <w:name w:val="Balonteksts1"/>
    <w:basedOn w:val="Normal"/>
    <w:semiHidden/>
    <w:rsid w:val="00423745"/>
    <w:pPr>
      <w:spacing w:after="0" w:line="240" w:lineRule="auto"/>
    </w:pPr>
    <w:rPr>
      <w:rFonts w:ascii="Tahoma" w:eastAsia="Times New Roman" w:hAnsi="Tahoma" w:cs="Tahoma"/>
      <w:sz w:val="16"/>
      <w:szCs w:val="16"/>
    </w:rPr>
  </w:style>
  <w:style w:type="paragraph" w:styleId="BodyTextIndent3">
    <w:name w:val="Body Text Indent 3"/>
    <w:basedOn w:val="Normal"/>
    <w:link w:val="BodyTextIndent3Char"/>
    <w:rsid w:val="00423745"/>
    <w:pPr>
      <w:spacing w:after="0" w:line="240" w:lineRule="auto"/>
      <w:ind w:firstLine="540"/>
    </w:pPr>
    <w:rPr>
      <w:rFonts w:eastAsia="Times New Roman" w:cs="Times New Roman"/>
      <w:szCs w:val="24"/>
    </w:rPr>
  </w:style>
  <w:style w:type="character" w:customStyle="1" w:styleId="BodyTextIndent3Char">
    <w:name w:val="Body Text Indent 3 Char"/>
    <w:basedOn w:val="DefaultParagraphFont"/>
    <w:link w:val="BodyTextIndent3"/>
    <w:rsid w:val="00423745"/>
    <w:rPr>
      <w:rFonts w:ascii="Times New Roman" w:eastAsia="Times New Roman" w:hAnsi="Times New Roman" w:cs="Times New Roman"/>
      <w:sz w:val="24"/>
      <w:szCs w:val="24"/>
    </w:rPr>
  </w:style>
  <w:style w:type="paragraph" w:styleId="BodyText3">
    <w:name w:val="Body Text 3"/>
    <w:basedOn w:val="BodyText"/>
    <w:link w:val="BodyText3Char"/>
    <w:rsid w:val="00423745"/>
    <w:pPr>
      <w:numPr>
        <w:ilvl w:val="5"/>
        <w:numId w:val="17"/>
      </w:numPr>
      <w:tabs>
        <w:tab w:val="left" w:pos="227"/>
        <w:tab w:val="right" w:pos="9214"/>
      </w:tabs>
      <w:spacing w:before="60" w:after="120" w:line="240" w:lineRule="atLeast"/>
    </w:pPr>
    <w:rPr>
      <w:rFonts w:ascii="Times New Roman" w:eastAsia="Times New Roman" w:hAnsi="Times New Roman" w:cs="Times New Roman"/>
      <w:szCs w:val="20"/>
    </w:rPr>
  </w:style>
  <w:style w:type="character" w:customStyle="1" w:styleId="BodyText3Char">
    <w:name w:val="Body Text 3 Char"/>
    <w:basedOn w:val="DefaultParagraphFont"/>
    <w:link w:val="BodyText3"/>
    <w:rsid w:val="00423745"/>
    <w:rPr>
      <w:rFonts w:ascii="Times New Roman" w:eastAsia="Times New Roman" w:hAnsi="Times New Roman" w:cs="Times New Roman"/>
      <w:szCs w:val="20"/>
    </w:rPr>
  </w:style>
  <w:style w:type="paragraph" w:customStyle="1" w:styleId="Bodytext4">
    <w:name w:val="Body text 4"/>
    <w:basedOn w:val="Normal"/>
    <w:rsid w:val="00423745"/>
    <w:pPr>
      <w:tabs>
        <w:tab w:val="num" w:pos="720"/>
        <w:tab w:val="right" w:pos="9214"/>
      </w:tabs>
      <w:spacing w:before="60" w:after="60" w:line="240" w:lineRule="atLeast"/>
      <w:ind w:left="720" w:hanging="720"/>
    </w:pPr>
    <w:rPr>
      <w:rFonts w:eastAsia="Times New Roman" w:cs="Times New Roman"/>
      <w:sz w:val="22"/>
      <w:szCs w:val="20"/>
    </w:rPr>
  </w:style>
  <w:style w:type="paragraph" w:customStyle="1" w:styleId="StyleFirstline063cm">
    <w:name w:val="Style First line:  0.63 cm"/>
    <w:basedOn w:val="Normal"/>
    <w:rsid w:val="00423745"/>
    <w:pPr>
      <w:spacing w:after="0" w:line="360" w:lineRule="auto"/>
      <w:ind w:firstLine="357"/>
      <w:jc w:val="both"/>
    </w:pPr>
    <w:rPr>
      <w:rFonts w:eastAsia="Times New Roman" w:cs="Times New Roman"/>
      <w:szCs w:val="20"/>
    </w:rPr>
  </w:style>
  <w:style w:type="paragraph" w:styleId="Subtitle">
    <w:name w:val="Subtitle"/>
    <w:basedOn w:val="Normal"/>
    <w:link w:val="SubtitleChar"/>
    <w:uiPriority w:val="11"/>
    <w:qFormat/>
    <w:rsid w:val="00423745"/>
    <w:pPr>
      <w:spacing w:after="0" w:line="240" w:lineRule="auto"/>
      <w:jc w:val="both"/>
    </w:pPr>
    <w:rPr>
      <w:rFonts w:eastAsia="Times New Roman" w:cs="Times New Roman"/>
      <w:b/>
      <w:bCs/>
      <w:i/>
      <w:iCs/>
      <w:szCs w:val="24"/>
    </w:rPr>
  </w:style>
  <w:style w:type="character" w:customStyle="1" w:styleId="SubtitleChar">
    <w:name w:val="Subtitle Char"/>
    <w:basedOn w:val="DefaultParagraphFont"/>
    <w:link w:val="Subtitle"/>
    <w:uiPriority w:val="11"/>
    <w:rsid w:val="00423745"/>
    <w:rPr>
      <w:rFonts w:ascii="Times New Roman" w:eastAsia="Times New Roman" w:hAnsi="Times New Roman" w:cs="Times New Roman"/>
      <w:b/>
      <w:bCs/>
      <w:i/>
      <w:iCs/>
      <w:sz w:val="24"/>
      <w:szCs w:val="24"/>
    </w:rPr>
  </w:style>
  <w:style w:type="paragraph" w:customStyle="1" w:styleId="xl29">
    <w:name w:val="xl29"/>
    <w:basedOn w:val="Normal"/>
    <w:rsid w:val="00423745"/>
    <w:pPr>
      <w:spacing w:before="100" w:beforeAutospacing="1" w:after="100" w:afterAutospacing="1" w:line="240" w:lineRule="auto"/>
    </w:pPr>
    <w:rPr>
      <w:rFonts w:eastAsia="Arial Unicode MS" w:cs="Times New Roman"/>
      <w:sz w:val="22"/>
      <w:lang w:val="en-GB"/>
    </w:rPr>
  </w:style>
  <w:style w:type="paragraph" w:customStyle="1" w:styleId="xl30">
    <w:name w:val="xl30"/>
    <w:basedOn w:val="Normal"/>
    <w:rsid w:val="00423745"/>
    <w:pPr>
      <w:spacing w:before="100" w:beforeAutospacing="1" w:after="100" w:afterAutospacing="1" w:line="240" w:lineRule="auto"/>
      <w:jc w:val="center"/>
    </w:pPr>
    <w:rPr>
      <w:rFonts w:eastAsia="Arial Unicode MS" w:cs="Times New Roman"/>
      <w:i/>
      <w:iCs/>
      <w:szCs w:val="24"/>
      <w:lang w:val="en-GB"/>
    </w:rPr>
  </w:style>
  <w:style w:type="paragraph" w:customStyle="1" w:styleId="xl31">
    <w:name w:val="xl31"/>
    <w:basedOn w:val="Normal"/>
    <w:rsid w:val="00423745"/>
    <w:pPr>
      <w:spacing w:before="100" w:beforeAutospacing="1" w:after="100" w:afterAutospacing="1" w:line="240" w:lineRule="auto"/>
    </w:pPr>
    <w:rPr>
      <w:rFonts w:eastAsia="Arial Unicode MS" w:cs="Times New Roman"/>
      <w:szCs w:val="24"/>
      <w:lang w:val="en-GB"/>
    </w:rPr>
  </w:style>
  <w:style w:type="paragraph" w:customStyle="1" w:styleId="xl32">
    <w:name w:val="xl32"/>
    <w:basedOn w:val="Normal"/>
    <w:rsid w:val="00423745"/>
    <w:pPr>
      <w:spacing w:before="100" w:beforeAutospacing="1" w:after="100" w:afterAutospacing="1" w:line="240" w:lineRule="auto"/>
      <w:jc w:val="right"/>
    </w:pPr>
    <w:rPr>
      <w:rFonts w:eastAsia="Arial Unicode MS" w:cs="Times New Roman"/>
      <w:szCs w:val="24"/>
      <w:lang w:val="en-GB"/>
    </w:rPr>
  </w:style>
  <w:style w:type="paragraph" w:customStyle="1" w:styleId="xl33">
    <w:name w:val="xl33"/>
    <w:basedOn w:val="Normal"/>
    <w:rsid w:val="00423745"/>
    <w:pPr>
      <w:spacing w:before="100" w:beforeAutospacing="1" w:after="100" w:afterAutospacing="1" w:line="240" w:lineRule="auto"/>
    </w:pPr>
    <w:rPr>
      <w:rFonts w:eastAsia="Arial Unicode MS" w:cs="Times New Roman"/>
      <w:b/>
      <w:bCs/>
      <w:sz w:val="22"/>
      <w:lang w:val="en-GB"/>
    </w:rPr>
  </w:style>
  <w:style w:type="paragraph" w:customStyle="1" w:styleId="xl34">
    <w:name w:val="xl34"/>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Times New Roman"/>
      <w:szCs w:val="24"/>
      <w:lang w:val="en-GB"/>
    </w:rPr>
  </w:style>
  <w:style w:type="paragraph" w:customStyle="1" w:styleId="xl35">
    <w:name w:val="xl35"/>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Arial Unicode MS" w:cs="Times New Roman"/>
      <w:szCs w:val="24"/>
      <w:lang w:val="en-GB"/>
    </w:rPr>
  </w:style>
  <w:style w:type="paragraph" w:customStyle="1" w:styleId="xl36">
    <w:name w:val="xl36"/>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b/>
      <w:bCs/>
      <w:szCs w:val="24"/>
      <w:lang w:val="en-GB"/>
    </w:rPr>
  </w:style>
  <w:style w:type="paragraph" w:customStyle="1" w:styleId="xl37">
    <w:name w:val="xl37"/>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szCs w:val="24"/>
      <w:lang w:val="en-GB"/>
    </w:rPr>
  </w:style>
  <w:style w:type="paragraph" w:customStyle="1" w:styleId="xl38">
    <w:name w:val="xl38"/>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Cs w:val="24"/>
      <w:lang w:val="en-GB"/>
    </w:rPr>
  </w:style>
  <w:style w:type="paragraph" w:customStyle="1" w:styleId="xl39">
    <w:name w:val="xl39"/>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Arial Unicode MS" w:cs="Times New Roman"/>
      <w:szCs w:val="24"/>
      <w:lang w:val="en-GB"/>
    </w:rPr>
  </w:style>
  <w:style w:type="paragraph" w:customStyle="1" w:styleId="xl40">
    <w:name w:val="xl40"/>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Cs w:val="24"/>
      <w:lang w:val="en-GB"/>
    </w:rPr>
  </w:style>
  <w:style w:type="paragraph" w:customStyle="1" w:styleId="xl41">
    <w:name w:val="xl41"/>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Arial Unicode MS" w:cs="Times New Roman"/>
      <w:szCs w:val="24"/>
      <w:lang w:val="en-GB"/>
    </w:rPr>
  </w:style>
  <w:style w:type="paragraph" w:customStyle="1" w:styleId="xl42">
    <w:name w:val="xl42"/>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szCs w:val="24"/>
      <w:lang w:val="en-GB"/>
    </w:rPr>
  </w:style>
  <w:style w:type="paragraph" w:customStyle="1" w:styleId="xl43">
    <w:name w:val="xl43"/>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i/>
      <w:iCs/>
      <w:szCs w:val="24"/>
      <w:lang w:val="en-GB"/>
    </w:rPr>
  </w:style>
  <w:style w:type="paragraph" w:customStyle="1" w:styleId="xl44">
    <w:name w:val="xl44"/>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 w:val="16"/>
      <w:szCs w:val="16"/>
      <w:lang w:val="en-GB"/>
    </w:rPr>
  </w:style>
  <w:style w:type="paragraph" w:customStyle="1" w:styleId="xl45">
    <w:name w:val="xl45"/>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Arial Unicode MS" w:cs="Times New Roman"/>
      <w:sz w:val="16"/>
      <w:szCs w:val="16"/>
      <w:lang w:val="en-GB"/>
    </w:rPr>
  </w:style>
  <w:style w:type="paragraph" w:customStyle="1" w:styleId="xl46">
    <w:name w:val="xl46"/>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b/>
      <w:bCs/>
      <w:sz w:val="16"/>
      <w:szCs w:val="16"/>
      <w:lang w:val="en-GB"/>
    </w:rPr>
  </w:style>
  <w:style w:type="paragraph" w:customStyle="1" w:styleId="xl47">
    <w:name w:val="xl47"/>
    <w:basedOn w:val="Normal"/>
    <w:rsid w:val="0042374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 w:val="16"/>
      <w:szCs w:val="16"/>
      <w:lang w:val="en-GB"/>
    </w:rPr>
  </w:style>
  <w:style w:type="character" w:styleId="Strong">
    <w:name w:val="Strong"/>
    <w:aliases w:val="Bold"/>
    <w:uiPriority w:val="22"/>
    <w:qFormat/>
    <w:rsid w:val="00423745"/>
    <w:rPr>
      <w:b/>
      <w:bCs/>
    </w:rPr>
  </w:style>
  <w:style w:type="character" w:styleId="PlaceholderText">
    <w:name w:val="Placeholder Text"/>
    <w:uiPriority w:val="99"/>
    <w:semiHidden/>
    <w:rsid w:val="00423745"/>
    <w:rPr>
      <w:color w:val="808080"/>
    </w:rPr>
  </w:style>
  <w:style w:type="paragraph" w:customStyle="1" w:styleId="ListParagraph1">
    <w:name w:val="List Paragraph1"/>
    <w:basedOn w:val="Normal"/>
    <w:qFormat/>
    <w:rsid w:val="00423745"/>
    <w:pPr>
      <w:spacing w:after="0" w:line="240" w:lineRule="auto"/>
      <w:ind w:left="720"/>
      <w:contextualSpacing/>
    </w:pPr>
    <w:rPr>
      <w:rFonts w:eastAsia="Times New Roman" w:cs="Times New Roman"/>
      <w:szCs w:val="24"/>
      <w:lang w:eastAsia="lv-LV"/>
    </w:rPr>
  </w:style>
  <w:style w:type="character" w:styleId="SubtleEmphasis">
    <w:name w:val="Subtle Emphasis"/>
    <w:basedOn w:val="DefaultParagraphFont"/>
    <w:uiPriority w:val="19"/>
    <w:qFormat/>
    <w:rsid w:val="00423745"/>
    <w:rPr>
      <w:i/>
      <w:iCs/>
      <w:color w:val="808080" w:themeColor="text1" w:themeTint="7F"/>
    </w:rPr>
  </w:style>
  <w:style w:type="paragraph" w:customStyle="1" w:styleId="CharChar3CharCharCharCharCharChar">
    <w:name w:val="Char Char3 Char Char Char Char Char Char"/>
    <w:basedOn w:val="Normal"/>
    <w:semiHidden/>
    <w:rsid w:val="00423745"/>
    <w:pPr>
      <w:spacing w:after="160" w:line="240" w:lineRule="exact"/>
      <w:ind w:firstLine="720"/>
      <w:jc w:val="both"/>
    </w:pPr>
    <w:rPr>
      <w:rFonts w:ascii="Verdana" w:eastAsia="Times New Roman" w:hAnsi="Verdana" w:cs="Times New Roman"/>
      <w:sz w:val="20"/>
      <w:szCs w:val="20"/>
    </w:rPr>
  </w:style>
  <w:style w:type="paragraph" w:customStyle="1" w:styleId="CharChar3CharCharCharCharCharCharCharCharCharCharCharChar">
    <w:name w:val="Char Char3 Char Char Char Char Char Char Char Char Char Char Char Char"/>
    <w:basedOn w:val="Normal"/>
    <w:semiHidden/>
    <w:rsid w:val="00423745"/>
    <w:pPr>
      <w:spacing w:after="160" w:line="240" w:lineRule="exact"/>
      <w:ind w:firstLine="720"/>
      <w:jc w:val="both"/>
    </w:pPr>
    <w:rPr>
      <w:rFonts w:ascii="Verdana" w:eastAsia="Times New Roman" w:hAnsi="Verdana" w:cs="Times New Roman"/>
      <w:sz w:val="20"/>
      <w:szCs w:val="20"/>
    </w:rPr>
  </w:style>
  <w:style w:type="character" w:customStyle="1" w:styleId="apple-converted-space">
    <w:name w:val="apple-converted-space"/>
    <w:basedOn w:val="DefaultParagraphFont"/>
    <w:rsid w:val="00423745"/>
  </w:style>
  <w:style w:type="paragraph" w:styleId="PlainText">
    <w:name w:val="Plain Text"/>
    <w:basedOn w:val="Normal"/>
    <w:link w:val="PlainTextChar"/>
    <w:uiPriority w:val="99"/>
    <w:unhideWhenUsed/>
    <w:rsid w:val="00423745"/>
    <w:pPr>
      <w:spacing w:after="0" w:line="240" w:lineRule="auto"/>
    </w:pPr>
    <w:rPr>
      <w:rFonts w:ascii="Calibri" w:eastAsia="Calibri" w:hAnsi="Calibri" w:cs="Times New Roman"/>
      <w:sz w:val="22"/>
      <w:szCs w:val="21"/>
    </w:rPr>
  </w:style>
  <w:style w:type="character" w:customStyle="1" w:styleId="PlainTextChar">
    <w:name w:val="Plain Text Char"/>
    <w:basedOn w:val="DefaultParagraphFont"/>
    <w:link w:val="PlainText"/>
    <w:uiPriority w:val="99"/>
    <w:rsid w:val="00423745"/>
    <w:rPr>
      <w:rFonts w:ascii="Calibri" w:eastAsia="Calibri" w:hAnsi="Calibri" w:cs="Times New Roman"/>
      <w:szCs w:val="21"/>
    </w:rPr>
  </w:style>
  <w:style w:type="paragraph" w:customStyle="1" w:styleId="Italic">
    <w:name w:val="Italic"/>
    <w:basedOn w:val="Normal"/>
    <w:link w:val="ItalicChar"/>
    <w:qFormat/>
    <w:rsid w:val="00720CDA"/>
    <w:pPr>
      <w:spacing w:after="120" w:line="240" w:lineRule="auto"/>
    </w:pPr>
    <w:rPr>
      <w:rFonts w:ascii="Georgia" w:eastAsia="Arial" w:hAnsi="Georgia" w:cs="Arial"/>
      <w:i/>
      <w:sz w:val="20"/>
      <w:szCs w:val="20"/>
      <w:lang w:val="en-GB"/>
    </w:rPr>
  </w:style>
  <w:style w:type="character" w:customStyle="1" w:styleId="ItalicChar">
    <w:name w:val="Italic Char"/>
    <w:basedOn w:val="DefaultParagraphFont"/>
    <w:link w:val="Italic"/>
    <w:rsid w:val="00720CDA"/>
    <w:rPr>
      <w:rFonts w:ascii="Georgia" w:eastAsia="Arial" w:hAnsi="Georgia" w:cs="Arial"/>
      <w:i/>
      <w:sz w:val="20"/>
      <w:szCs w:val="20"/>
      <w:lang w:val="en-GB"/>
    </w:rPr>
  </w:style>
  <w:style w:type="paragraph" w:customStyle="1" w:styleId="Heading">
    <w:name w:val="Heading"/>
    <w:basedOn w:val="ListParagraph"/>
    <w:link w:val="HeadingChar"/>
    <w:qFormat/>
    <w:rsid w:val="004D7F66"/>
    <w:pPr>
      <w:keepNext/>
      <w:keepLines/>
      <w:spacing w:after="120" w:line="240" w:lineRule="auto"/>
      <w:ind w:hanging="360"/>
      <w:outlineLvl w:val="3"/>
    </w:pPr>
    <w:rPr>
      <w:rFonts w:ascii="Georgia" w:eastAsia="Times New Roman" w:hAnsi="Georgia" w:cs="Times New Roman"/>
      <w:b/>
      <w:i/>
      <w:szCs w:val="20"/>
      <w:lang w:val="en-GB"/>
    </w:rPr>
  </w:style>
  <w:style w:type="character" w:customStyle="1" w:styleId="HeadingChar">
    <w:name w:val="Heading Char"/>
    <w:basedOn w:val="DefaultParagraphFont"/>
    <w:link w:val="Heading"/>
    <w:rsid w:val="004D7F66"/>
    <w:rPr>
      <w:rFonts w:ascii="Georgia" w:eastAsia="Times New Roman" w:hAnsi="Georgia" w:cs="Times New Roman"/>
      <w:b/>
      <w:i/>
      <w:sz w:val="24"/>
      <w:szCs w:val="20"/>
      <w:lang w:val="en-GB"/>
    </w:rPr>
  </w:style>
  <w:style w:type="paragraph" w:customStyle="1" w:styleId="font5">
    <w:name w:val="font5"/>
    <w:basedOn w:val="Normal"/>
    <w:rsid w:val="00B02C11"/>
    <w:pPr>
      <w:spacing w:before="100" w:beforeAutospacing="1" w:after="100" w:afterAutospacing="1" w:line="240" w:lineRule="auto"/>
    </w:pPr>
    <w:rPr>
      <w:rFonts w:eastAsia="Times New Roman" w:cs="Times New Roman"/>
      <w:color w:val="203764"/>
      <w:sz w:val="18"/>
      <w:szCs w:val="18"/>
      <w:lang w:eastAsia="lv-LV"/>
    </w:rPr>
  </w:style>
  <w:style w:type="paragraph" w:customStyle="1" w:styleId="font6">
    <w:name w:val="font6"/>
    <w:basedOn w:val="Normal"/>
    <w:rsid w:val="00B02C11"/>
    <w:pPr>
      <w:spacing w:before="100" w:beforeAutospacing="1" w:after="100" w:afterAutospacing="1" w:line="240" w:lineRule="auto"/>
    </w:pPr>
    <w:rPr>
      <w:rFonts w:eastAsia="Times New Roman" w:cs="Times New Roman"/>
      <w:color w:val="203764"/>
      <w:sz w:val="18"/>
      <w:szCs w:val="18"/>
      <w:lang w:eastAsia="lv-LV"/>
    </w:rPr>
  </w:style>
  <w:style w:type="paragraph" w:customStyle="1" w:styleId="font7">
    <w:name w:val="font7"/>
    <w:basedOn w:val="Normal"/>
    <w:rsid w:val="00B02C11"/>
    <w:pPr>
      <w:spacing w:before="100" w:beforeAutospacing="1" w:after="100" w:afterAutospacing="1" w:line="240" w:lineRule="auto"/>
    </w:pPr>
    <w:rPr>
      <w:rFonts w:ascii="Calibri" w:eastAsia="Times New Roman" w:hAnsi="Calibri" w:cs="Calibri"/>
      <w:color w:val="203764"/>
      <w:sz w:val="18"/>
      <w:szCs w:val="18"/>
      <w:lang w:eastAsia="lv-LV"/>
    </w:rPr>
  </w:style>
  <w:style w:type="paragraph" w:customStyle="1" w:styleId="xl128">
    <w:name w:val="xl128"/>
    <w:basedOn w:val="Normal"/>
    <w:rsid w:val="00B02C11"/>
    <w:pPr>
      <w:spacing w:before="100" w:beforeAutospacing="1" w:after="100" w:afterAutospacing="1" w:line="240" w:lineRule="auto"/>
    </w:pPr>
    <w:rPr>
      <w:rFonts w:eastAsia="Times New Roman" w:cs="Times New Roman"/>
      <w:color w:val="203764"/>
      <w:sz w:val="18"/>
      <w:szCs w:val="18"/>
      <w:lang w:eastAsia="lv-LV"/>
    </w:rPr>
  </w:style>
  <w:style w:type="paragraph" w:customStyle="1" w:styleId="xl129">
    <w:name w:val="xl129"/>
    <w:basedOn w:val="Normal"/>
    <w:rsid w:val="00B02C11"/>
    <w:pPr>
      <w:spacing w:before="100" w:beforeAutospacing="1" w:after="100" w:afterAutospacing="1" w:line="240" w:lineRule="auto"/>
      <w:jc w:val="both"/>
      <w:textAlignment w:val="top"/>
    </w:pPr>
    <w:rPr>
      <w:rFonts w:eastAsia="Times New Roman" w:cs="Times New Roman"/>
      <w:color w:val="203764"/>
      <w:sz w:val="18"/>
      <w:szCs w:val="18"/>
      <w:lang w:eastAsia="lv-LV"/>
    </w:rPr>
  </w:style>
  <w:style w:type="paragraph" w:customStyle="1" w:styleId="xl130">
    <w:name w:val="xl130"/>
    <w:basedOn w:val="Normal"/>
    <w:rsid w:val="00B02C1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1">
    <w:name w:val="xl131"/>
    <w:basedOn w:val="Normal"/>
    <w:rsid w:val="00B02C11"/>
    <w:pP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2">
    <w:name w:val="xl132"/>
    <w:basedOn w:val="Normal"/>
    <w:rsid w:val="00B02C11"/>
    <w:pPr>
      <w:pBdr>
        <w:left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3">
    <w:name w:val="xl133"/>
    <w:basedOn w:val="Normal"/>
    <w:rsid w:val="00B02C11"/>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4">
    <w:name w:val="xl134"/>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35">
    <w:name w:val="xl135"/>
    <w:basedOn w:val="Normal"/>
    <w:rsid w:val="00B02C11"/>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36">
    <w:name w:val="xl136"/>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color w:val="203764"/>
      <w:sz w:val="18"/>
      <w:szCs w:val="18"/>
      <w:lang w:eastAsia="lv-LV"/>
    </w:rPr>
  </w:style>
  <w:style w:type="paragraph" w:customStyle="1" w:styleId="xl137">
    <w:name w:val="xl137"/>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38">
    <w:name w:val="xl138"/>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39">
    <w:name w:val="xl139"/>
    <w:basedOn w:val="Normal"/>
    <w:rsid w:val="00B02C11"/>
    <w:pPr>
      <w:spacing w:before="100" w:beforeAutospacing="1" w:after="100" w:afterAutospacing="1" w:line="240" w:lineRule="auto"/>
    </w:pPr>
    <w:rPr>
      <w:rFonts w:eastAsia="Times New Roman" w:cs="Times New Roman"/>
      <w:b/>
      <w:bCs/>
      <w:color w:val="203764"/>
      <w:sz w:val="18"/>
      <w:szCs w:val="18"/>
      <w:lang w:eastAsia="lv-LV"/>
    </w:rPr>
  </w:style>
  <w:style w:type="paragraph" w:customStyle="1" w:styleId="xl140">
    <w:name w:val="xl140"/>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41">
    <w:name w:val="xl141"/>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42">
    <w:name w:val="xl142"/>
    <w:basedOn w:val="Normal"/>
    <w:rsid w:val="00B02C11"/>
    <w:pPr>
      <w:pBdr>
        <w:top w:val="single" w:sz="4" w:space="0" w:color="000000"/>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43">
    <w:name w:val="xl143"/>
    <w:basedOn w:val="Normal"/>
    <w:rsid w:val="00B02C11"/>
    <w:pPr>
      <w:spacing w:before="100" w:beforeAutospacing="1" w:after="100" w:afterAutospacing="1" w:line="240" w:lineRule="auto"/>
      <w:jc w:val="both"/>
      <w:textAlignment w:val="top"/>
    </w:pPr>
    <w:rPr>
      <w:rFonts w:eastAsia="Times New Roman" w:cs="Times New Roman"/>
      <w:b/>
      <w:bCs/>
      <w:color w:val="203764"/>
      <w:sz w:val="18"/>
      <w:szCs w:val="18"/>
      <w:lang w:eastAsia="lv-LV"/>
    </w:rPr>
  </w:style>
  <w:style w:type="paragraph" w:customStyle="1" w:styleId="xl144">
    <w:name w:val="xl144"/>
    <w:basedOn w:val="Normal"/>
    <w:rsid w:val="00B02C11"/>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45">
    <w:name w:val="xl145"/>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46">
    <w:name w:val="xl146"/>
    <w:basedOn w:val="Normal"/>
    <w:rsid w:val="00B02C11"/>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47">
    <w:name w:val="xl147"/>
    <w:basedOn w:val="Normal"/>
    <w:rsid w:val="00B02C1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48">
    <w:name w:val="xl148"/>
    <w:basedOn w:val="Normal"/>
    <w:rsid w:val="00B02C11"/>
    <w:pPr>
      <w:pBdr>
        <w:top w:val="single" w:sz="4" w:space="0" w:color="000000"/>
        <w:left w:val="single" w:sz="4" w:space="11" w:color="000000"/>
        <w:bottom w:val="single" w:sz="4" w:space="0" w:color="000000"/>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49">
    <w:name w:val="xl149"/>
    <w:basedOn w:val="Normal"/>
    <w:rsid w:val="00B02C11"/>
    <w:pPr>
      <w:pBdr>
        <w:top w:val="single" w:sz="4" w:space="0" w:color="000000"/>
        <w:left w:val="single" w:sz="4" w:space="11" w:color="000000"/>
        <w:bottom w:val="single" w:sz="4" w:space="0" w:color="auto"/>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50">
    <w:name w:val="xl150"/>
    <w:basedOn w:val="Normal"/>
    <w:rsid w:val="00B02C11"/>
    <w:pP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51">
    <w:name w:val="xl151"/>
    <w:basedOn w:val="Normal"/>
    <w:rsid w:val="00B02C11"/>
    <w:pP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52">
    <w:name w:val="xl152"/>
    <w:basedOn w:val="Normal"/>
    <w:rsid w:val="00B02C11"/>
    <w:pPr>
      <w:spacing w:before="100" w:beforeAutospacing="1" w:after="100" w:afterAutospacing="1" w:line="240" w:lineRule="auto"/>
      <w:textAlignment w:val="center"/>
    </w:pPr>
    <w:rPr>
      <w:rFonts w:eastAsia="Times New Roman" w:cs="Times New Roman"/>
      <w:color w:val="203764"/>
      <w:sz w:val="18"/>
      <w:szCs w:val="18"/>
      <w:lang w:eastAsia="lv-LV"/>
    </w:rPr>
  </w:style>
  <w:style w:type="paragraph" w:customStyle="1" w:styleId="xl153">
    <w:name w:val="xl153"/>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54">
    <w:name w:val="xl154"/>
    <w:basedOn w:val="Normal"/>
    <w:rsid w:val="00B02C11"/>
    <w:pPr>
      <w:pBdr>
        <w:top w:val="single" w:sz="4" w:space="0" w:color="000000"/>
        <w:left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55">
    <w:name w:val="xl155"/>
    <w:basedOn w:val="Normal"/>
    <w:rsid w:val="00B02C11"/>
    <w:pPr>
      <w:pBdr>
        <w:left w:val="single" w:sz="4" w:space="0" w:color="000000"/>
        <w:bottom w:val="single" w:sz="4" w:space="0" w:color="000000"/>
      </w:pBdr>
      <w:spacing w:before="100" w:beforeAutospacing="1" w:after="100" w:afterAutospacing="1" w:line="240" w:lineRule="auto"/>
      <w:jc w:val="center"/>
      <w:textAlignment w:val="center"/>
    </w:pPr>
    <w:rPr>
      <w:rFonts w:eastAsia="Times New Roman" w:cs="Times New Roman"/>
      <w:b/>
      <w:bCs/>
      <w:color w:val="203764"/>
      <w:sz w:val="18"/>
      <w:szCs w:val="18"/>
      <w:lang w:eastAsia="lv-LV"/>
    </w:rPr>
  </w:style>
  <w:style w:type="paragraph" w:customStyle="1" w:styleId="xl156">
    <w:name w:val="xl156"/>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57">
    <w:name w:val="xl157"/>
    <w:basedOn w:val="Normal"/>
    <w:rsid w:val="00B02C11"/>
    <w:pPr>
      <w:pBdr>
        <w:left w:val="single" w:sz="4" w:space="0" w:color="000000"/>
        <w:bottom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58">
    <w:name w:val="xl158"/>
    <w:basedOn w:val="Normal"/>
    <w:rsid w:val="00B02C11"/>
    <w:pPr>
      <w:pBdr>
        <w:top w:val="single" w:sz="4" w:space="0" w:color="000000"/>
        <w:left w:val="single" w:sz="4" w:space="23" w:color="000000"/>
        <w:bottom w:val="single" w:sz="4" w:space="0" w:color="000000"/>
      </w:pBdr>
      <w:spacing w:before="100" w:beforeAutospacing="1" w:after="100" w:afterAutospacing="1" w:line="240" w:lineRule="auto"/>
      <w:ind w:firstLineChars="200" w:firstLine="200"/>
      <w:textAlignment w:val="center"/>
    </w:pPr>
    <w:rPr>
      <w:rFonts w:eastAsia="Times New Roman" w:cs="Times New Roman"/>
      <w:color w:val="203764"/>
      <w:sz w:val="18"/>
      <w:szCs w:val="18"/>
      <w:lang w:eastAsia="lv-LV"/>
    </w:rPr>
  </w:style>
  <w:style w:type="paragraph" w:customStyle="1" w:styleId="xl159">
    <w:name w:val="xl159"/>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60">
    <w:name w:val="xl160"/>
    <w:basedOn w:val="Normal"/>
    <w:rsid w:val="00B02C11"/>
    <w:pPr>
      <w:pBdr>
        <w:top w:val="single" w:sz="4" w:space="0" w:color="000000"/>
        <w:left w:val="single" w:sz="4" w:space="0" w:color="000000"/>
        <w:bottom w:val="single" w:sz="4" w:space="0" w:color="auto"/>
      </w:pBdr>
      <w:spacing w:before="100" w:beforeAutospacing="1" w:after="100" w:afterAutospacing="1" w:line="240" w:lineRule="auto"/>
      <w:jc w:val="both"/>
      <w:textAlignment w:val="center"/>
    </w:pPr>
    <w:rPr>
      <w:rFonts w:eastAsia="Times New Roman" w:cs="Times New Roman"/>
      <w:b/>
      <w:bCs/>
      <w:color w:val="203764"/>
      <w:sz w:val="18"/>
      <w:szCs w:val="18"/>
      <w:lang w:eastAsia="lv-LV"/>
    </w:rPr>
  </w:style>
  <w:style w:type="paragraph" w:customStyle="1" w:styleId="xl161">
    <w:name w:val="xl161"/>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62">
    <w:name w:val="xl162"/>
    <w:basedOn w:val="Normal"/>
    <w:rsid w:val="00B02C11"/>
    <w:pPr>
      <w:pBdr>
        <w:top w:val="single" w:sz="4" w:space="0" w:color="000000"/>
        <w:left w:val="single" w:sz="4" w:space="0" w:color="000000"/>
      </w:pBdr>
      <w:spacing w:before="100" w:beforeAutospacing="1" w:after="100" w:afterAutospacing="1" w:line="240" w:lineRule="auto"/>
      <w:textAlignment w:val="center"/>
    </w:pPr>
    <w:rPr>
      <w:rFonts w:eastAsia="Times New Roman" w:cs="Times New Roman"/>
      <w:b/>
      <w:bCs/>
      <w:color w:val="203764"/>
      <w:sz w:val="18"/>
      <w:szCs w:val="18"/>
      <w:lang w:eastAsia="lv-LV"/>
    </w:rPr>
  </w:style>
  <w:style w:type="paragraph" w:customStyle="1" w:styleId="xl163">
    <w:name w:val="xl163"/>
    <w:basedOn w:val="Normal"/>
    <w:rsid w:val="00B02C11"/>
    <w:pPr>
      <w:pBdr>
        <w:top w:val="single" w:sz="4" w:space="0" w:color="000000"/>
        <w:left w:val="single" w:sz="4" w:space="0" w:color="000000"/>
        <w:bottom w:val="single" w:sz="4" w:space="0" w:color="000000"/>
      </w:pBdr>
      <w:spacing w:before="100" w:beforeAutospacing="1" w:after="100" w:afterAutospacing="1" w:line="240" w:lineRule="auto"/>
      <w:jc w:val="both"/>
      <w:textAlignment w:val="center"/>
    </w:pPr>
    <w:rPr>
      <w:rFonts w:eastAsia="Times New Roman" w:cs="Times New Roman"/>
      <w:b/>
      <w:bCs/>
      <w:color w:val="203764"/>
      <w:sz w:val="18"/>
      <w:szCs w:val="18"/>
      <w:lang w:eastAsia="lv-LV"/>
    </w:rPr>
  </w:style>
  <w:style w:type="paragraph" w:customStyle="1" w:styleId="xl164">
    <w:name w:val="xl164"/>
    <w:basedOn w:val="Normal"/>
    <w:rsid w:val="00B02C11"/>
    <w:pPr>
      <w:pBdr>
        <w:top w:val="single" w:sz="4" w:space="0" w:color="000000"/>
        <w:left w:val="single" w:sz="4" w:space="11" w:color="000000"/>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65">
    <w:name w:val="xl165"/>
    <w:basedOn w:val="Normal"/>
    <w:rsid w:val="00B02C11"/>
    <w:pPr>
      <w:pBdr>
        <w:top w:val="single" w:sz="4" w:space="0" w:color="000000"/>
        <w:left w:val="single" w:sz="4" w:space="11" w:color="000000"/>
        <w:bottom w:val="single" w:sz="4" w:space="0" w:color="000000"/>
      </w:pBdr>
      <w:spacing w:before="100" w:beforeAutospacing="1" w:after="100" w:afterAutospacing="1" w:line="240" w:lineRule="auto"/>
      <w:ind w:firstLineChars="100" w:firstLine="100"/>
      <w:textAlignment w:val="center"/>
    </w:pPr>
    <w:rPr>
      <w:rFonts w:eastAsia="Times New Roman" w:cs="Times New Roman"/>
      <w:color w:val="203764"/>
      <w:sz w:val="18"/>
      <w:szCs w:val="18"/>
      <w:lang w:eastAsia="lv-LV"/>
    </w:rPr>
  </w:style>
  <w:style w:type="paragraph" w:customStyle="1" w:styleId="xl166">
    <w:name w:val="xl166"/>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color w:val="203764"/>
      <w:sz w:val="18"/>
      <w:szCs w:val="18"/>
      <w:lang w:eastAsia="lv-LV"/>
    </w:rPr>
  </w:style>
  <w:style w:type="paragraph" w:customStyle="1" w:styleId="xl167">
    <w:name w:val="xl167"/>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color w:val="203764"/>
      <w:sz w:val="18"/>
      <w:szCs w:val="18"/>
      <w:lang w:eastAsia="lv-LV"/>
    </w:rPr>
  </w:style>
  <w:style w:type="paragraph" w:customStyle="1" w:styleId="xl168">
    <w:name w:val="xl168"/>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69">
    <w:name w:val="xl169"/>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203764"/>
      <w:sz w:val="18"/>
      <w:szCs w:val="18"/>
      <w:lang w:eastAsia="lv-LV"/>
    </w:rPr>
  </w:style>
  <w:style w:type="paragraph" w:customStyle="1" w:styleId="xl170">
    <w:name w:val="xl170"/>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color w:val="203764"/>
      <w:sz w:val="18"/>
      <w:szCs w:val="18"/>
      <w:lang w:eastAsia="lv-LV"/>
    </w:rPr>
  </w:style>
  <w:style w:type="paragraph" w:customStyle="1" w:styleId="xl171">
    <w:name w:val="xl171"/>
    <w:basedOn w:val="Normal"/>
    <w:rsid w:val="00B02C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i/>
      <w:iCs/>
      <w:color w:val="203764"/>
      <w:sz w:val="18"/>
      <w:szCs w:val="18"/>
      <w:lang w:eastAsia="lv-LV"/>
    </w:rPr>
  </w:style>
  <w:style w:type="character" w:customStyle="1" w:styleId="ui-provider">
    <w:name w:val="ui-provider"/>
    <w:basedOn w:val="DefaultParagraphFont"/>
    <w:rsid w:val="005B15DD"/>
  </w:style>
  <w:style w:type="paragraph" w:customStyle="1" w:styleId="Pamatteksts2">
    <w:name w:val="Pamatteksts2"/>
    <w:qFormat/>
    <w:rsid w:val="006B0E02"/>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3143">
      <w:bodyDiv w:val="1"/>
      <w:marLeft w:val="0"/>
      <w:marRight w:val="0"/>
      <w:marTop w:val="0"/>
      <w:marBottom w:val="0"/>
      <w:divBdr>
        <w:top w:val="none" w:sz="0" w:space="0" w:color="auto"/>
        <w:left w:val="none" w:sz="0" w:space="0" w:color="auto"/>
        <w:bottom w:val="none" w:sz="0" w:space="0" w:color="auto"/>
        <w:right w:val="none" w:sz="0" w:space="0" w:color="auto"/>
      </w:divBdr>
    </w:div>
    <w:div w:id="8725621">
      <w:bodyDiv w:val="1"/>
      <w:marLeft w:val="0"/>
      <w:marRight w:val="0"/>
      <w:marTop w:val="0"/>
      <w:marBottom w:val="0"/>
      <w:divBdr>
        <w:top w:val="none" w:sz="0" w:space="0" w:color="auto"/>
        <w:left w:val="none" w:sz="0" w:space="0" w:color="auto"/>
        <w:bottom w:val="none" w:sz="0" w:space="0" w:color="auto"/>
        <w:right w:val="none" w:sz="0" w:space="0" w:color="auto"/>
      </w:divBdr>
    </w:div>
    <w:div w:id="8799550">
      <w:bodyDiv w:val="1"/>
      <w:marLeft w:val="0"/>
      <w:marRight w:val="0"/>
      <w:marTop w:val="0"/>
      <w:marBottom w:val="0"/>
      <w:divBdr>
        <w:top w:val="none" w:sz="0" w:space="0" w:color="auto"/>
        <w:left w:val="none" w:sz="0" w:space="0" w:color="auto"/>
        <w:bottom w:val="none" w:sz="0" w:space="0" w:color="auto"/>
        <w:right w:val="none" w:sz="0" w:space="0" w:color="auto"/>
      </w:divBdr>
    </w:div>
    <w:div w:id="9069035">
      <w:bodyDiv w:val="1"/>
      <w:marLeft w:val="0"/>
      <w:marRight w:val="0"/>
      <w:marTop w:val="0"/>
      <w:marBottom w:val="0"/>
      <w:divBdr>
        <w:top w:val="none" w:sz="0" w:space="0" w:color="auto"/>
        <w:left w:val="none" w:sz="0" w:space="0" w:color="auto"/>
        <w:bottom w:val="none" w:sz="0" w:space="0" w:color="auto"/>
        <w:right w:val="none" w:sz="0" w:space="0" w:color="auto"/>
      </w:divBdr>
    </w:div>
    <w:div w:id="10686358">
      <w:bodyDiv w:val="1"/>
      <w:marLeft w:val="0"/>
      <w:marRight w:val="0"/>
      <w:marTop w:val="0"/>
      <w:marBottom w:val="0"/>
      <w:divBdr>
        <w:top w:val="none" w:sz="0" w:space="0" w:color="auto"/>
        <w:left w:val="none" w:sz="0" w:space="0" w:color="auto"/>
        <w:bottom w:val="none" w:sz="0" w:space="0" w:color="auto"/>
        <w:right w:val="none" w:sz="0" w:space="0" w:color="auto"/>
      </w:divBdr>
    </w:div>
    <w:div w:id="13725477">
      <w:bodyDiv w:val="1"/>
      <w:marLeft w:val="0"/>
      <w:marRight w:val="0"/>
      <w:marTop w:val="0"/>
      <w:marBottom w:val="0"/>
      <w:divBdr>
        <w:top w:val="none" w:sz="0" w:space="0" w:color="auto"/>
        <w:left w:val="none" w:sz="0" w:space="0" w:color="auto"/>
        <w:bottom w:val="none" w:sz="0" w:space="0" w:color="auto"/>
        <w:right w:val="none" w:sz="0" w:space="0" w:color="auto"/>
      </w:divBdr>
    </w:div>
    <w:div w:id="17005750">
      <w:bodyDiv w:val="1"/>
      <w:marLeft w:val="0"/>
      <w:marRight w:val="0"/>
      <w:marTop w:val="0"/>
      <w:marBottom w:val="0"/>
      <w:divBdr>
        <w:top w:val="none" w:sz="0" w:space="0" w:color="auto"/>
        <w:left w:val="none" w:sz="0" w:space="0" w:color="auto"/>
        <w:bottom w:val="none" w:sz="0" w:space="0" w:color="auto"/>
        <w:right w:val="none" w:sz="0" w:space="0" w:color="auto"/>
      </w:divBdr>
    </w:div>
    <w:div w:id="17974056">
      <w:bodyDiv w:val="1"/>
      <w:marLeft w:val="0"/>
      <w:marRight w:val="0"/>
      <w:marTop w:val="0"/>
      <w:marBottom w:val="0"/>
      <w:divBdr>
        <w:top w:val="none" w:sz="0" w:space="0" w:color="auto"/>
        <w:left w:val="none" w:sz="0" w:space="0" w:color="auto"/>
        <w:bottom w:val="none" w:sz="0" w:space="0" w:color="auto"/>
        <w:right w:val="none" w:sz="0" w:space="0" w:color="auto"/>
      </w:divBdr>
    </w:div>
    <w:div w:id="18242644">
      <w:bodyDiv w:val="1"/>
      <w:marLeft w:val="0"/>
      <w:marRight w:val="0"/>
      <w:marTop w:val="0"/>
      <w:marBottom w:val="0"/>
      <w:divBdr>
        <w:top w:val="none" w:sz="0" w:space="0" w:color="auto"/>
        <w:left w:val="none" w:sz="0" w:space="0" w:color="auto"/>
        <w:bottom w:val="none" w:sz="0" w:space="0" w:color="auto"/>
        <w:right w:val="none" w:sz="0" w:space="0" w:color="auto"/>
      </w:divBdr>
    </w:div>
    <w:div w:id="27341617">
      <w:bodyDiv w:val="1"/>
      <w:marLeft w:val="0"/>
      <w:marRight w:val="0"/>
      <w:marTop w:val="0"/>
      <w:marBottom w:val="0"/>
      <w:divBdr>
        <w:top w:val="none" w:sz="0" w:space="0" w:color="auto"/>
        <w:left w:val="none" w:sz="0" w:space="0" w:color="auto"/>
        <w:bottom w:val="none" w:sz="0" w:space="0" w:color="auto"/>
        <w:right w:val="none" w:sz="0" w:space="0" w:color="auto"/>
      </w:divBdr>
    </w:div>
    <w:div w:id="30038219">
      <w:bodyDiv w:val="1"/>
      <w:marLeft w:val="0"/>
      <w:marRight w:val="0"/>
      <w:marTop w:val="0"/>
      <w:marBottom w:val="0"/>
      <w:divBdr>
        <w:top w:val="none" w:sz="0" w:space="0" w:color="auto"/>
        <w:left w:val="none" w:sz="0" w:space="0" w:color="auto"/>
        <w:bottom w:val="none" w:sz="0" w:space="0" w:color="auto"/>
        <w:right w:val="none" w:sz="0" w:space="0" w:color="auto"/>
      </w:divBdr>
    </w:div>
    <w:div w:id="30737107">
      <w:bodyDiv w:val="1"/>
      <w:marLeft w:val="0"/>
      <w:marRight w:val="0"/>
      <w:marTop w:val="0"/>
      <w:marBottom w:val="0"/>
      <w:divBdr>
        <w:top w:val="none" w:sz="0" w:space="0" w:color="auto"/>
        <w:left w:val="none" w:sz="0" w:space="0" w:color="auto"/>
        <w:bottom w:val="none" w:sz="0" w:space="0" w:color="auto"/>
        <w:right w:val="none" w:sz="0" w:space="0" w:color="auto"/>
      </w:divBdr>
    </w:div>
    <w:div w:id="32004053">
      <w:bodyDiv w:val="1"/>
      <w:marLeft w:val="0"/>
      <w:marRight w:val="0"/>
      <w:marTop w:val="0"/>
      <w:marBottom w:val="0"/>
      <w:divBdr>
        <w:top w:val="none" w:sz="0" w:space="0" w:color="auto"/>
        <w:left w:val="none" w:sz="0" w:space="0" w:color="auto"/>
        <w:bottom w:val="none" w:sz="0" w:space="0" w:color="auto"/>
        <w:right w:val="none" w:sz="0" w:space="0" w:color="auto"/>
      </w:divBdr>
    </w:div>
    <w:div w:id="34696778">
      <w:bodyDiv w:val="1"/>
      <w:marLeft w:val="0"/>
      <w:marRight w:val="0"/>
      <w:marTop w:val="0"/>
      <w:marBottom w:val="0"/>
      <w:divBdr>
        <w:top w:val="none" w:sz="0" w:space="0" w:color="auto"/>
        <w:left w:val="none" w:sz="0" w:space="0" w:color="auto"/>
        <w:bottom w:val="none" w:sz="0" w:space="0" w:color="auto"/>
        <w:right w:val="none" w:sz="0" w:space="0" w:color="auto"/>
      </w:divBdr>
    </w:div>
    <w:div w:id="35277919">
      <w:bodyDiv w:val="1"/>
      <w:marLeft w:val="0"/>
      <w:marRight w:val="0"/>
      <w:marTop w:val="0"/>
      <w:marBottom w:val="0"/>
      <w:divBdr>
        <w:top w:val="none" w:sz="0" w:space="0" w:color="auto"/>
        <w:left w:val="none" w:sz="0" w:space="0" w:color="auto"/>
        <w:bottom w:val="none" w:sz="0" w:space="0" w:color="auto"/>
        <w:right w:val="none" w:sz="0" w:space="0" w:color="auto"/>
      </w:divBdr>
    </w:div>
    <w:div w:id="35398195">
      <w:bodyDiv w:val="1"/>
      <w:marLeft w:val="0"/>
      <w:marRight w:val="0"/>
      <w:marTop w:val="0"/>
      <w:marBottom w:val="0"/>
      <w:divBdr>
        <w:top w:val="none" w:sz="0" w:space="0" w:color="auto"/>
        <w:left w:val="none" w:sz="0" w:space="0" w:color="auto"/>
        <w:bottom w:val="none" w:sz="0" w:space="0" w:color="auto"/>
        <w:right w:val="none" w:sz="0" w:space="0" w:color="auto"/>
      </w:divBdr>
    </w:div>
    <w:div w:id="38627610">
      <w:bodyDiv w:val="1"/>
      <w:marLeft w:val="0"/>
      <w:marRight w:val="0"/>
      <w:marTop w:val="0"/>
      <w:marBottom w:val="0"/>
      <w:divBdr>
        <w:top w:val="none" w:sz="0" w:space="0" w:color="auto"/>
        <w:left w:val="none" w:sz="0" w:space="0" w:color="auto"/>
        <w:bottom w:val="none" w:sz="0" w:space="0" w:color="auto"/>
        <w:right w:val="none" w:sz="0" w:space="0" w:color="auto"/>
      </w:divBdr>
    </w:div>
    <w:div w:id="43529850">
      <w:bodyDiv w:val="1"/>
      <w:marLeft w:val="0"/>
      <w:marRight w:val="0"/>
      <w:marTop w:val="0"/>
      <w:marBottom w:val="0"/>
      <w:divBdr>
        <w:top w:val="none" w:sz="0" w:space="0" w:color="auto"/>
        <w:left w:val="none" w:sz="0" w:space="0" w:color="auto"/>
        <w:bottom w:val="none" w:sz="0" w:space="0" w:color="auto"/>
        <w:right w:val="none" w:sz="0" w:space="0" w:color="auto"/>
      </w:divBdr>
    </w:div>
    <w:div w:id="59445851">
      <w:bodyDiv w:val="1"/>
      <w:marLeft w:val="0"/>
      <w:marRight w:val="0"/>
      <w:marTop w:val="0"/>
      <w:marBottom w:val="0"/>
      <w:divBdr>
        <w:top w:val="none" w:sz="0" w:space="0" w:color="auto"/>
        <w:left w:val="none" w:sz="0" w:space="0" w:color="auto"/>
        <w:bottom w:val="none" w:sz="0" w:space="0" w:color="auto"/>
        <w:right w:val="none" w:sz="0" w:space="0" w:color="auto"/>
      </w:divBdr>
    </w:div>
    <w:div w:id="60372223">
      <w:bodyDiv w:val="1"/>
      <w:marLeft w:val="0"/>
      <w:marRight w:val="0"/>
      <w:marTop w:val="0"/>
      <w:marBottom w:val="0"/>
      <w:divBdr>
        <w:top w:val="none" w:sz="0" w:space="0" w:color="auto"/>
        <w:left w:val="none" w:sz="0" w:space="0" w:color="auto"/>
        <w:bottom w:val="none" w:sz="0" w:space="0" w:color="auto"/>
        <w:right w:val="none" w:sz="0" w:space="0" w:color="auto"/>
      </w:divBdr>
    </w:div>
    <w:div w:id="74669320">
      <w:bodyDiv w:val="1"/>
      <w:marLeft w:val="0"/>
      <w:marRight w:val="0"/>
      <w:marTop w:val="0"/>
      <w:marBottom w:val="0"/>
      <w:divBdr>
        <w:top w:val="none" w:sz="0" w:space="0" w:color="auto"/>
        <w:left w:val="none" w:sz="0" w:space="0" w:color="auto"/>
        <w:bottom w:val="none" w:sz="0" w:space="0" w:color="auto"/>
        <w:right w:val="none" w:sz="0" w:space="0" w:color="auto"/>
      </w:divBdr>
    </w:div>
    <w:div w:id="79958264">
      <w:bodyDiv w:val="1"/>
      <w:marLeft w:val="0"/>
      <w:marRight w:val="0"/>
      <w:marTop w:val="0"/>
      <w:marBottom w:val="0"/>
      <w:divBdr>
        <w:top w:val="none" w:sz="0" w:space="0" w:color="auto"/>
        <w:left w:val="none" w:sz="0" w:space="0" w:color="auto"/>
        <w:bottom w:val="none" w:sz="0" w:space="0" w:color="auto"/>
        <w:right w:val="none" w:sz="0" w:space="0" w:color="auto"/>
      </w:divBdr>
    </w:div>
    <w:div w:id="81685250">
      <w:bodyDiv w:val="1"/>
      <w:marLeft w:val="0"/>
      <w:marRight w:val="0"/>
      <w:marTop w:val="0"/>
      <w:marBottom w:val="0"/>
      <w:divBdr>
        <w:top w:val="none" w:sz="0" w:space="0" w:color="auto"/>
        <w:left w:val="none" w:sz="0" w:space="0" w:color="auto"/>
        <w:bottom w:val="none" w:sz="0" w:space="0" w:color="auto"/>
        <w:right w:val="none" w:sz="0" w:space="0" w:color="auto"/>
      </w:divBdr>
    </w:div>
    <w:div w:id="86662650">
      <w:bodyDiv w:val="1"/>
      <w:marLeft w:val="0"/>
      <w:marRight w:val="0"/>
      <w:marTop w:val="0"/>
      <w:marBottom w:val="0"/>
      <w:divBdr>
        <w:top w:val="none" w:sz="0" w:space="0" w:color="auto"/>
        <w:left w:val="none" w:sz="0" w:space="0" w:color="auto"/>
        <w:bottom w:val="none" w:sz="0" w:space="0" w:color="auto"/>
        <w:right w:val="none" w:sz="0" w:space="0" w:color="auto"/>
      </w:divBdr>
    </w:div>
    <w:div w:id="87507186">
      <w:bodyDiv w:val="1"/>
      <w:marLeft w:val="0"/>
      <w:marRight w:val="0"/>
      <w:marTop w:val="0"/>
      <w:marBottom w:val="0"/>
      <w:divBdr>
        <w:top w:val="none" w:sz="0" w:space="0" w:color="auto"/>
        <w:left w:val="none" w:sz="0" w:space="0" w:color="auto"/>
        <w:bottom w:val="none" w:sz="0" w:space="0" w:color="auto"/>
        <w:right w:val="none" w:sz="0" w:space="0" w:color="auto"/>
      </w:divBdr>
    </w:div>
    <w:div w:id="88619850">
      <w:bodyDiv w:val="1"/>
      <w:marLeft w:val="0"/>
      <w:marRight w:val="0"/>
      <w:marTop w:val="0"/>
      <w:marBottom w:val="0"/>
      <w:divBdr>
        <w:top w:val="none" w:sz="0" w:space="0" w:color="auto"/>
        <w:left w:val="none" w:sz="0" w:space="0" w:color="auto"/>
        <w:bottom w:val="none" w:sz="0" w:space="0" w:color="auto"/>
        <w:right w:val="none" w:sz="0" w:space="0" w:color="auto"/>
      </w:divBdr>
    </w:div>
    <w:div w:id="98137826">
      <w:bodyDiv w:val="1"/>
      <w:marLeft w:val="0"/>
      <w:marRight w:val="0"/>
      <w:marTop w:val="0"/>
      <w:marBottom w:val="0"/>
      <w:divBdr>
        <w:top w:val="none" w:sz="0" w:space="0" w:color="auto"/>
        <w:left w:val="none" w:sz="0" w:space="0" w:color="auto"/>
        <w:bottom w:val="none" w:sz="0" w:space="0" w:color="auto"/>
        <w:right w:val="none" w:sz="0" w:space="0" w:color="auto"/>
      </w:divBdr>
    </w:div>
    <w:div w:id="105125448">
      <w:bodyDiv w:val="1"/>
      <w:marLeft w:val="0"/>
      <w:marRight w:val="0"/>
      <w:marTop w:val="0"/>
      <w:marBottom w:val="0"/>
      <w:divBdr>
        <w:top w:val="none" w:sz="0" w:space="0" w:color="auto"/>
        <w:left w:val="none" w:sz="0" w:space="0" w:color="auto"/>
        <w:bottom w:val="none" w:sz="0" w:space="0" w:color="auto"/>
        <w:right w:val="none" w:sz="0" w:space="0" w:color="auto"/>
      </w:divBdr>
    </w:div>
    <w:div w:id="109665567">
      <w:bodyDiv w:val="1"/>
      <w:marLeft w:val="0"/>
      <w:marRight w:val="0"/>
      <w:marTop w:val="0"/>
      <w:marBottom w:val="0"/>
      <w:divBdr>
        <w:top w:val="none" w:sz="0" w:space="0" w:color="auto"/>
        <w:left w:val="none" w:sz="0" w:space="0" w:color="auto"/>
        <w:bottom w:val="none" w:sz="0" w:space="0" w:color="auto"/>
        <w:right w:val="none" w:sz="0" w:space="0" w:color="auto"/>
      </w:divBdr>
    </w:div>
    <w:div w:id="110561627">
      <w:bodyDiv w:val="1"/>
      <w:marLeft w:val="0"/>
      <w:marRight w:val="0"/>
      <w:marTop w:val="0"/>
      <w:marBottom w:val="0"/>
      <w:divBdr>
        <w:top w:val="none" w:sz="0" w:space="0" w:color="auto"/>
        <w:left w:val="none" w:sz="0" w:space="0" w:color="auto"/>
        <w:bottom w:val="none" w:sz="0" w:space="0" w:color="auto"/>
        <w:right w:val="none" w:sz="0" w:space="0" w:color="auto"/>
      </w:divBdr>
    </w:div>
    <w:div w:id="114757590">
      <w:bodyDiv w:val="1"/>
      <w:marLeft w:val="0"/>
      <w:marRight w:val="0"/>
      <w:marTop w:val="0"/>
      <w:marBottom w:val="0"/>
      <w:divBdr>
        <w:top w:val="none" w:sz="0" w:space="0" w:color="auto"/>
        <w:left w:val="none" w:sz="0" w:space="0" w:color="auto"/>
        <w:bottom w:val="none" w:sz="0" w:space="0" w:color="auto"/>
        <w:right w:val="none" w:sz="0" w:space="0" w:color="auto"/>
      </w:divBdr>
    </w:div>
    <w:div w:id="115802872">
      <w:bodyDiv w:val="1"/>
      <w:marLeft w:val="0"/>
      <w:marRight w:val="0"/>
      <w:marTop w:val="0"/>
      <w:marBottom w:val="0"/>
      <w:divBdr>
        <w:top w:val="none" w:sz="0" w:space="0" w:color="auto"/>
        <w:left w:val="none" w:sz="0" w:space="0" w:color="auto"/>
        <w:bottom w:val="none" w:sz="0" w:space="0" w:color="auto"/>
        <w:right w:val="none" w:sz="0" w:space="0" w:color="auto"/>
      </w:divBdr>
      <w:divsChild>
        <w:div w:id="633219979">
          <w:marLeft w:val="0"/>
          <w:marRight w:val="0"/>
          <w:marTop w:val="0"/>
          <w:marBottom w:val="0"/>
          <w:divBdr>
            <w:top w:val="none" w:sz="0" w:space="0" w:color="auto"/>
            <w:left w:val="none" w:sz="0" w:space="0" w:color="auto"/>
            <w:bottom w:val="none" w:sz="0" w:space="0" w:color="auto"/>
            <w:right w:val="none" w:sz="0" w:space="0" w:color="auto"/>
          </w:divBdr>
          <w:divsChild>
            <w:div w:id="1411344779">
              <w:marLeft w:val="0"/>
              <w:marRight w:val="0"/>
              <w:marTop w:val="0"/>
              <w:marBottom w:val="0"/>
              <w:divBdr>
                <w:top w:val="none" w:sz="0" w:space="0" w:color="auto"/>
                <w:left w:val="none" w:sz="0" w:space="0" w:color="auto"/>
                <w:bottom w:val="none" w:sz="0" w:space="0" w:color="auto"/>
                <w:right w:val="none" w:sz="0" w:space="0" w:color="auto"/>
              </w:divBdr>
              <w:divsChild>
                <w:div w:id="2060082408">
                  <w:marLeft w:val="0"/>
                  <w:marRight w:val="0"/>
                  <w:marTop w:val="0"/>
                  <w:marBottom w:val="0"/>
                  <w:divBdr>
                    <w:top w:val="none" w:sz="0" w:space="0" w:color="auto"/>
                    <w:left w:val="none" w:sz="0" w:space="0" w:color="auto"/>
                    <w:bottom w:val="none" w:sz="0" w:space="0" w:color="auto"/>
                    <w:right w:val="none" w:sz="0" w:space="0" w:color="auto"/>
                  </w:divBdr>
                  <w:divsChild>
                    <w:div w:id="909315870">
                      <w:marLeft w:val="0"/>
                      <w:marRight w:val="0"/>
                      <w:marTop w:val="0"/>
                      <w:marBottom w:val="0"/>
                      <w:divBdr>
                        <w:top w:val="none" w:sz="0" w:space="0" w:color="auto"/>
                        <w:left w:val="none" w:sz="0" w:space="0" w:color="auto"/>
                        <w:bottom w:val="none" w:sz="0" w:space="0" w:color="auto"/>
                        <w:right w:val="none" w:sz="0" w:space="0" w:color="auto"/>
                      </w:divBdr>
                      <w:divsChild>
                        <w:div w:id="1917858855">
                          <w:marLeft w:val="0"/>
                          <w:marRight w:val="0"/>
                          <w:marTop w:val="300"/>
                          <w:marBottom w:val="0"/>
                          <w:divBdr>
                            <w:top w:val="none" w:sz="0" w:space="0" w:color="auto"/>
                            <w:left w:val="none" w:sz="0" w:space="0" w:color="auto"/>
                            <w:bottom w:val="none" w:sz="0" w:space="0" w:color="auto"/>
                            <w:right w:val="none" w:sz="0" w:space="0" w:color="auto"/>
                          </w:divBdr>
                          <w:divsChild>
                            <w:div w:id="186112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76980">
      <w:bodyDiv w:val="1"/>
      <w:marLeft w:val="0"/>
      <w:marRight w:val="0"/>
      <w:marTop w:val="0"/>
      <w:marBottom w:val="0"/>
      <w:divBdr>
        <w:top w:val="none" w:sz="0" w:space="0" w:color="auto"/>
        <w:left w:val="none" w:sz="0" w:space="0" w:color="auto"/>
        <w:bottom w:val="none" w:sz="0" w:space="0" w:color="auto"/>
        <w:right w:val="none" w:sz="0" w:space="0" w:color="auto"/>
      </w:divBdr>
    </w:div>
    <w:div w:id="131482052">
      <w:bodyDiv w:val="1"/>
      <w:marLeft w:val="0"/>
      <w:marRight w:val="0"/>
      <w:marTop w:val="0"/>
      <w:marBottom w:val="0"/>
      <w:divBdr>
        <w:top w:val="none" w:sz="0" w:space="0" w:color="auto"/>
        <w:left w:val="none" w:sz="0" w:space="0" w:color="auto"/>
        <w:bottom w:val="none" w:sz="0" w:space="0" w:color="auto"/>
        <w:right w:val="none" w:sz="0" w:space="0" w:color="auto"/>
      </w:divBdr>
    </w:div>
    <w:div w:id="132723401">
      <w:bodyDiv w:val="1"/>
      <w:marLeft w:val="0"/>
      <w:marRight w:val="0"/>
      <w:marTop w:val="0"/>
      <w:marBottom w:val="0"/>
      <w:divBdr>
        <w:top w:val="none" w:sz="0" w:space="0" w:color="auto"/>
        <w:left w:val="none" w:sz="0" w:space="0" w:color="auto"/>
        <w:bottom w:val="none" w:sz="0" w:space="0" w:color="auto"/>
        <w:right w:val="none" w:sz="0" w:space="0" w:color="auto"/>
      </w:divBdr>
    </w:div>
    <w:div w:id="136147104">
      <w:bodyDiv w:val="1"/>
      <w:marLeft w:val="0"/>
      <w:marRight w:val="0"/>
      <w:marTop w:val="0"/>
      <w:marBottom w:val="0"/>
      <w:divBdr>
        <w:top w:val="none" w:sz="0" w:space="0" w:color="auto"/>
        <w:left w:val="none" w:sz="0" w:space="0" w:color="auto"/>
        <w:bottom w:val="none" w:sz="0" w:space="0" w:color="auto"/>
        <w:right w:val="none" w:sz="0" w:space="0" w:color="auto"/>
      </w:divBdr>
    </w:div>
    <w:div w:id="137649026">
      <w:bodyDiv w:val="1"/>
      <w:marLeft w:val="0"/>
      <w:marRight w:val="0"/>
      <w:marTop w:val="0"/>
      <w:marBottom w:val="0"/>
      <w:divBdr>
        <w:top w:val="none" w:sz="0" w:space="0" w:color="auto"/>
        <w:left w:val="none" w:sz="0" w:space="0" w:color="auto"/>
        <w:bottom w:val="none" w:sz="0" w:space="0" w:color="auto"/>
        <w:right w:val="none" w:sz="0" w:space="0" w:color="auto"/>
      </w:divBdr>
      <w:divsChild>
        <w:div w:id="879512374">
          <w:marLeft w:val="0"/>
          <w:marRight w:val="0"/>
          <w:marTop w:val="0"/>
          <w:marBottom w:val="0"/>
          <w:divBdr>
            <w:top w:val="none" w:sz="0" w:space="0" w:color="auto"/>
            <w:left w:val="none" w:sz="0" w:space="0" w:color="auto"/>
            <w:bottom w:val="none" w:sz="0" w:space="0" w:color="auto"/>
            <w:right w:val="none" w:sz="0" w:space="0" w:color="auto"/>
          </w:divBdr>
          <w:divsChild>
            <w:div w:id="1379552473">
              <w:marLeft w:val="0"/>
              <w:marRight w:val="0"/>
              <w:marTop w:val="0"/>
              <w:marBottom w:val="0"/>
              <w:divBdr>
                <w:top w:val="none" w:sz="0" w:space="0" w:color="auto"/>
                <w:left w:val="none" w:sz="0" w:space="0" w:color="auto"/>
                <w:bottom w:val="none" w:sz="0" w:space="0" w:color="auto"/>
                <w:right w:val="none" w:sz="0" w:space="0" w:color="auto"/>
              </w:divBdr>
              <w:divsChild>
                <w:div w:id="966083994">
                  <w:marLeft w:val="0"/>
                  <w:marRight w:val="0"/>
                  <w:marTop w:val="0"/>
                  <w:marBottom w:val="0"/>
                  <w:divBdr>
                    <w:top w:val="none" w:sz="0" w:space="0" w:color="auto"/>
                    <w:left w:val="none" w:sz="0" w:space="0" w:color="auto"/>
                    <w:bottom w:val="none" w:sz="0" w:space="0" w:color="auto"/>
                    <w:right w:val="none" w:sz="0" w:space="0" w:color="auto"/>
                  </w:divBdr>
                  <w:divsChild>
                    <w:div w:id="1213343795">
                      <w:marLeft w:val="0"/>
                      <w:marRight w:val="0"/>
                      <w:marTop w:val="0"/>
                      <w:marBottom w:val="0"/>
                      <w:divBdr>
                        <w:top w:val="none" w:sz="0" w:space="0" w:color="auto"/>
                        <w:left w:val="none" w:sz="0" w:space="0" w:color="auto"/>
                        <w:bottom w:val="none" w:sz="0" w:space="0" w:color="auto"/>
                        <w:right w:val="none" w:sz="0" w:space="0" w:color="auto"/>
                      </w:divBdr>
                      <w:divsChild>
                        <w:div w:id="1217089760">
                          <w:marLeft w:val="0"/>
                          <w:marRight w:val="0"/>
                          <w:marTop w:val="300"/>
                          <w:marBottom w:val="0"/>
                          <w:divBdr>
                            <w:top w:val="none" w:sz="0" w:space="0" w:color="auto"/>
                            <w:left w:val="none" w:sz="0" w:space="0" w:color="auto"/>
                            <w:bottom w:val="none" w:sz="0" w:space="0" w:color="auto"/>
                            <w:right w:val="none" w:sz="0" w:space="0" w:color="auto"/>
                          </w:divBdr>
                          <w:divsChild>
                            <w:div w:id="158356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76389">
      <w:bodyDiv w:val="1"/>
      <w:marLeft w:val="0"/>
      <w:marRight w:val="0"/>
      <w:marTop w:val="0"/>
      <w:marBottom w:val="0"/>
      <w:divBdr>
        <w:top w:val="none" w:sz="0" w:space="0" w:color="auto"/>
        <w:left w:val="none" w:sz="0" w:space="0" w:color="auto"/>
        <w:bottom w:val="none" w:sz="0" w:space="0" w:color="auto"/>
        <w:right w:val="none" w:sz="0" w:space="0" w:color="auto"/>
      </w:divBdr>
    </w:div>
    <w:div w:id="150222858">
      <w:bodyDiv w:val="1"/>
      <w:marLeft w:val="0"/>
      <w:marRight w:val="0"/>
      <w:marTop w:val="0"/>
      <w:marBottom w:val="0"/>
      <w:divBdr>
        <w:top w:val="none" w:sz="0" w:space="0" w:color="auto"/>
        <w:left w:val="none" w:sz="0" w:space="0" w:color="auto"/>
        <w:bottom w:val="none" w:sz="0" w:space="0" w:color="auto"/>
        <w:right w:val="none" w:sz="0" w:space="0" w:color="auto"/>
      </w:divBdr>
    </w:div>
    <w:div w:id="165095162">
      <w:bodyDiv w:val="1"/>
      <w:marLeft w:val="0"/>
      <w:marRight w:val="0"/>
      <w:marTop w:val="0"/>
      <w:marBottom w:val="0"/>
      <w:divBdr>
        <w:top w:val="none" w:sz="0" w:space="0" w:color="auto"/>
        <w:left w:val="none" w:sz="0" w:space="0" w:color="auto"/>
        <w:bottom w:val="none" w:sz="0" w:space="0" w:color="auto"/>
        <w:right w:val="none" w:sz="0" w:space="0" w:color="auto"/>
      </w:divBdr>
    </w:div>
    <w:div w:id="171729950">
      <w:bodyDiv w:val="1"/>
      <w:marLeft w:val="0"/>
      <w:marRight w:val="0"/>
      <w:marTop w:val="0"/>
      <w:marBottom w:val="0"/>
      <w:divBdr>
        <w:top w:val="none" w:sz="0" w:space="0" w:color="auto"/>
        <w:left w:val="none" w:sz="0" w:space="0" w:color="auto"/>
        <w:bottom w:val="none" w:sz="0" w:space="0" w:color="auto"/>
        <w:right w:val="none" w:sz="0" w:space="0" w:color="auto"/>
      </w:divBdr>
      <w:divsChild>
        <w:div w:id="572356376">
          <w:marLeft w:val="0"/>
          <w:marRight w:val="0"/>
          <w:marTop w:val="0"/>
          <w:marBottom w:val="0"/>
          <w:divBdr>
            <w:top w:val="none" w:sz="0" w:space="0" w:color="auto"/>
            <w:left w:val="none" w:sz="0" w:space="0" w:color="auto"/>
            <w:bottom w:val="none" w:sz="0" w:space="0" w:color="auto"/>
            <w:right w:val="none" w:sz="0" w:space="0" w:color="auto"/>
          </w:divBdr>
          <w:divsChild>
            <w:div w:id="1799569323">
              <w:marLeft w:val="0"/>
              <w:marRight w:val="0"/>
              <w:marTop w:val="0"/>
              <w:marBottom w:val="0"/>
              <w:divBdr>
                <w:top w:val="none" w:sz="0" w:space="0" w:color="auto"/>
                <w:left w:val="none" w:sz="0" w:space="0" w:color="auto"/>
                <w:bottom w:val="none" w:sz="0" w:space="0" w:color="auto"/>
                <w:right w:val="none" w:sz="0" w:space="0" w:color="auto"/>
              </w:divBdr>
              <w:divsChild>
                <w:div w:id="2131318009">
                  <w:marLeft w:val="0"/>
                  <w:marRight w:val="0"/>
                  <w:marTop w:val="0"/>
                  <w:marBottom w:val="0"/>
                  <w:divBdr>
                    <w:top w:val="none" w:sz="0" w:space="0" w:color="auto"/>
                    <w:left w:val="none" w:sz="0" w:space="0" w:color="auto"/>
                    <w:bottom w:val="none" w:sz="0" w:space="0" w:color="auto"/>
                    <w:right w:val="none" w:sz="0" w:space="0" w:color="auto"/>
                  </w:divBdr>
                  <w:divsChild>
                    <w:div w:id="1854299226">
                      <w:marLeft w:val="0"/>
                      <w:marRight w:val="0"/>
                      <w:marTop w:val="0"/>
                      <w:marBottom w:val="0"/>
                      <w:divBdr>
                        <w:top w:val="none" w:sz="0" w:space="0" w:color="auto"/>
                        <w:left w:val="none" w:sz="0" w:space="0" w:color="auto"/>
                        <w:bottom w:val="none" w:sz="0" w:space="0" w:color="auto"/>
                        <w:right w:val="none" w:sz="0" w:space="0" w:color="auto"/>
                      </w:divBdr>
                      <w:divsChild>
                        <w:div w:id="1165393015">
                          <w:marLeft w:val="0"/>
                          <w:marRight w:val="0"/>
                          <w:marTop w:val="300"/>
                          <w:marBottom w:val="0"/>
                          <w:divBdr>
                            <w:top w:val="none" w:sz="0" w:space="0" w:color="auto"/>
                            <w:left w:val="none" w:sz="0" w:space="0" w:color="auto"/>
                            <w:bottom w:val="none" w:sz="0" w:space="0" w:color="auto"/>
                            <w:right w:val="none" w:sz="0" w:space="0" w:color="auto"/>
                          </w:divBdr>
                          <w:divsChild>
                            <w:div w:id="186987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398518">
      <w:bodyDiv w:val="1"/>
      <w:marLeft w:val="0"/>
      <w:marRight w:val="0"/>
      <w:marTop w:val="0"/>
      <w:marBottom w:val="0"/>
      <w:divBdr>
        <w:top w:val="none" w:sz="0" w:space="0" w:color="auto"/>
        <w:left w:val="none" w:sz="0" w:space="0" w:color="auto"/>
        <w:bottom w:val="none" w:sz="0" w:space="0" w:color="auto"/>
        <w:right w:val="none" w:sz="0" w:space="0" w:color="auto"/>
      </w:divBdr>
    </w:div>
    <w:div w:id="187068668">
      <w:bodyDiv w:val="1"/>
      <w:marLeft w:val="0"/>
      <w:marRight w:val="0"/>
      <w:marTop w:val="0"/>
      <w:marBottom w:val="0"/>
      <w:divBdr>
        <w:top w:val="none" w:sz="0" w:space="0" w:color="auto"/>
        <w:left w:val="none" w:sz="0" w:space="0" w:color="auto"/>
        <w:bottom w:val="none" w:sz="0" w:space="0" w:color="auto"/>
        <w:right w:val="none" w:sz="0" w:space="0" w:color="auto"/>
      </w:divBdr>
    </w:div>
    <w:div w:id="188954224">
      <w:bodyDiv w:val="1"/>
      <w:marLeft w:val="0"/>
      <w:marRight w:val="0"/>
      <w:marTop w:val="0"/>
      <w:marBottom w:val="0"/>
      <w:divBdr>
        <w:top w:val="none" w:sz="0" w:space="0" w:color="auto"/>
        <w:left w:val="none" w:sz="0" w:space="0" w:color="auto"/>
        <w:bottom w:val="none" w:sz="0" w:space="0" w:color="auto"/>
        <w:right w:val="none" w:sz="0" w:space="0" w:color="auto"/>
      </w:divBdr>
    </w:div>
    <w:div w:id="191067789">
      <w:bodyDiv w:val="1"/>
      <w:marLeft w:val="0"/>
      <w:marRight w:val="0"/>
      <w:marTop w:val="0"/>
      <w:marBottom w:val="0"/>
      <w:divBdr>
        <w:top w:val="none" w:sz="0" w:space="0" w:color="auto"/>
        <w:left w:val="none" w:sz="0" w:space="0" w:color="auto"/>
        <w:bottom w:val="none" w:sz="0" w:space="0" w:color="auto"/>
        <w:right w:val="none" w:sz="0" w:space="0" w:color="auto"/>
      </w:divBdr>
    </w:div>
    <w:div w:id="192769380">
      <w:bodyDiv w:val="1"/>
      <w:marLeft w:val="0"/>
      <w:marRight w:val="0"/>
      <w:marTop w:val="0"/>
      <w:marBottom w:val="0"/>
      <w:divBdr>
        <w:top w:val="none" w:sz="0" w:space="0" w:color="auto"/>
        <w:left w:val="none" w:sz="0" w:space="0" w:color="auto"/>
        <w:bottom w:val="none" w:sz="0" w:space="0" w:color="auto"/>
        <w:right w:val="none" w:sz="0" w:space="0" w:color="auto"/>
      </w:divBdr>
    </w:div>
    <w:div w:id="201207582">
      <w:bodyDiv w:val="1"/>
      <w:marLeft w:val="0"/>
      <w:marRight w:val="0"/>
      <w:marTop w:val="0"/>
      <w:marBottom w:val="0"/>
      <w:divBdr>
        <w:top w:val="none" w:sz="0" w:space="0" w:color="auto"/>
        <w:left w:val="none" w:sz="0" w:space="0" w:color="auto"/>
        <w:bottom w:val="none" w:sz="0" w:space="0" w:color="auto"/>
        <w:right w:val="none" w:sz="0" w:space="0" w:color="auto"/>
      </w:divBdr>
    </w:div>
    <w:div w:id="202451835">
      <w:bodyDiv w:val="1"/>
      <w:marLeft w:val="0"/>
      <w:marRight w:val="0"/>
      <w:marTop w:val="0"/>
      <w:marBottom w:val="0"/>
      <w:divBdr>
        <w:top w:val="none" w:sz="0" w:space="0" w:color="auto"/>
        <w:left w:val="none" w:sz="0" w:space="0" w:color="auto"/>
        <w:bottom w:val="none" w:sz="0" w:space="0" w:color="auto"/>
        <w:right w:val="none" w:sz="0" w:space="0" w:color="auto"/>
      </w:divBdr>
    </w:div>
    <w:div w:id="202838071">
      <w:bodyDiv w:val="1"/>
      <w:marLeft w:val="0"/>
      <w:marRight w:val="0"/>
      <w:marTop w:val="0"/>
      <w:marBottom w:val="0"/>
      <w:divBdr>
        <w:top w:val="none" w:sz="0" w:space="0" w:color="auto"/>
        <w:left w:val="none" w:sz="0" w:space="0" w:color="auto"/>
        <w:bottom w:val="none" w:sz="0" w:space="0" w:color="auto"/>
        <w:right w:val="none" w:sz="0" w:space="0" w:color="auto"/>
      </w:divBdr>
    </w:div>
    <w:div w:id="207493639">
      <w:bodyDiv w:val="1"/>
      <w:marLeft w:val="0"/>
      <w:marRight w:val="0"/>
      <w:marTop w:val="0"/>
      <w:marBottom w:val="0"/>
      <w:divBdr>
        <w:top w:val="none" w:sz="0" w:space="0" w:color="auto"/>
        <w:left w:val="none" w:sz="0" w:space="0" w:color="auto"/>
        <w:bottom w:val="none" w:sz="0" w:space="0" w:color="auto"/>
        <w:right w:val="none" w:sz="0" w:space="0" w:color="auto"/>
      </w:divBdr>
    </w:div>
    <w:div w:id="209535659">
      <w:bodyDiv w:val="1"/>
      <w:marLeft w:val="0"/>
      <w:marRight w:val="0"/>
      <w:marTop w:val="0"/>
      <w:marBottom w:val="0"/>
      <w:divBdr>
        <w:top w:val="none" w:sz="0" w:space="0" w:color="auto"/>
        <w:left w:val="none" w:sz="0" w:space="0" w:color="auto"/>
        <w:bottom w:val="none" w:sz="0" w:space="0" w:color="auto"/>
        <w:right w:val="none" w:sz="0" w:space="0" w:color="auto"/>
      </w:divBdr>
    </w:div>
    <w:div w:id="215313337">
      <w:bodyDiv w:val="1"/>
      <w:marLeft w:val="0"/>
      <w:marRight w:val="0"/>
      <w:marTop w:val="0"/>
      <w:marBottom w:val="0"/>
      <w:divBdr>
        <w:top w:val="none" w:sz="0" w:space="0" w:color="auto"/>
        <w:left w:val="none" w:sz="0" w:space="0" w:color="auto"/>
        <w:bottom w:val="none" w:sz="0" w:space="0" w:color="auto"/>
        <w:right w:val="none" w:sz="0" w:space="0" w:color="auto"/>
      </w:divBdr>
    </w:div>
    <w:div w:id="215776059">
      <w:bodyDiv w:val="1"/>
      <w:marLeft w:val="0"/>
      <w:marRight w:val="0"/>
      <w:marTop w:val="0"/>
      <w:marBottom w:val="0"/>
      <w:divBdr>
        <w:top w:val="none" w:sz="0" w:space="0" w:color="auto"/>
        <w:left w:val="none" w:sz="0" w:space="0" w:color="auto"/>
        <w:bottom w:val="none" w:sz="0" w:space="0" w:color="auto"/>
        <w:right w:val="none" w:sz="0" w:space="0" w:color="auto"/>
      </w:divBdr>
    </w:div>
    <w:div w:id="223875955">
      <w:bodyDiv w:val="1"/>
      <w:marLeft w:val="0"/>
      <w:marRight w:val="0"/>
      <w:marTop w:val="0"/>
      <w:marBottom w:val="0"/>
      <w:divBdr>
        <w:top w:val="none" w:sz="0" w:space="0" w:color="auto"/>
        <w:left w:val="none" w:sz="0" w:space="0" w:color="auto"/>
        <w:bottom w:val="none" w:sz="0" w:space="0" w:color="auto"/>
        <w:right w:val="none" w:sz="0" w:space="0" w:color="auto"/>
      </w:divBdr>
    </w:div>
    <w:div w:id="227425796">
      <w:bodyDiv w:val="1"/>
      <w:marLeft w:val="0"/>
      <w:marRight w:val="0"/>
      <w:marTop w:val="0"/>
      <w:marBottom w:val="0"/>
      <w:divBdr>
        <w:top w:val="none" w:sz="0" w:space="0" w:color="auto"/>
        <w:left w:val="none" w:sz="0" w:space="0" w:color="auto"/>
        <w:bottom w:val="none" w:sz="0" w:space="0" w:color="auto"/>
        <w:right w:val="none" w:sz="0" w:space="0" w:color="auto"/>
      </w:divBdr>
    </w:div>
    <w:div w:id="229465931">
      <w:bodyDiv w:val="1"/>
      <w:marLeft w:val="0"/>
      <w:marRight w:val="0"/>
      <w:marTop w:val="0"/>
      <w:marBottom w:val="0"/>
      <w:divBdr>
        <w:top w:val="none" w:sz="0" w:space="0" w:color="auto"/>
        <w:left w:val="none" w:sz="0" w:space="0" w:color="auto"/>
        <w:bottom w:val="none" w:sz="0" w:space="0" w:color="auto"/>
        <w:right w:val="none" w:sz="0" w:space="0" w:color="auto"/>
      </w:divBdr>
    </w:div>
    <w:div w:id="233780134">
      <w:bodyDiv w:val="1"/>
      <w:marLeft w:val="0"/>
      <w:marRight w:val="0"/>
      <w:marTop w:val="0"/>
      <w:marBottom w:val="0"/>
      <w:divBdr>
        <w:top w:val="none" w:sz="0" w:space="0" w:color="auto"/>
        <w:left w:val="none" w:sz="0" w:space="0" w:color="auto"/>
        <w:bottom w:val="none" w:sz="0" w:space="0" w:color="auto"/>
        <w:right w:val="none" w:sz="0" w:space="0" w:color="auto"/>
      </w:divBdr>
    </w:div>
    <w:div w:id="241112042">
      <w:bodyDiv w:val="1"/>
      <w:marLeft w:val="0"/>
      <w:marRight w:val="0"/>
      <w:marTop w:val="0"/>
      <w:marBottom w:val="0"/>
      <w:divBdr>
        <w:top w:val="none" w:sz="0" w:space="0" w:color="auto"/>
        <w:left w:val="none" w:sz="0" w:space="0" w:color="auto"/>
        <w:bottom w:val="none" w:sz="0" w:space="0" w:color="auto"/>
        <w:right w:val="none" w:sz="0" w:space="0" w:color="auto"/>
      </w:divBdr>
    </w:div>
    <w:div w:id="247151912">
      <w:bodyDiv w:val="1"/>
      <w:marLeft w:val="0"/>
      <w:marRight w:val="0"/>
      <w:marTop w:val="0"/>
      <w:marBottom w:val="0"/>
      <w:divBdr>
        <w:top w:val="none" w:sz="0" w:space="0" w:color="auto"/>
        <w:left w:val="none" w:sz="0" w:space="0" w:color="auto"/>
        <w:bottom w:val="none" w:sz="0" w:space="0" w:color="auto"/>
        <w:right w:val="none" w:sz="0" w:space="0" w:color="auto"/>
      </w:divBdr>
    </w:div>
    <w:div w:id="256911368">
      <w:bodyDiv w:val="1"/>
      <w:marLeft w:val="0"/>
      <w:marRight w:val="0"/>
      <w:marTop w:val="0"/>
      <w:marBottom w:val="0"/>
      <w:divBdr>
        <w:top w:val="none" w:sz="0" w:space="0" w:color="auto"/>
        <w:left w:val="none" w:sz="0" w:space="0" w:color="auto"/>
        <w:bottom w:val="none" w:sz="0" w:space="0" w:color="auto"/>
        <w:right w:val="none" w:sz="0" w:space="0" w:color="auto"/>
      </w:divBdr>
    </w:div>
    <w:div w:id="258024880">
      <w:bodyDiv w:val="1"/>
      <w:marLeft w:val="0"/>
      <w:marRight w:val="0"/>
      <w:marTop w:val="0"/>
      <w:marBottom w:val="0"/>
      <w:divBdr>
        <w:top w:val="none" w:sz="0" w:space="0" w:color="auto"/>
        <w:left w:val="none" w:sz="0" w:space="0" w:color="auto"/>
        <w:bottom w:val="none" w:sz="0" w:space="0" w:color="auto"/>
        <w:right w:val="none" w:sz="0" w:space="0" w:color="auto"/>
      </w:divBdr>
    </w:div>
    <w:div w:id="259342056">
      <w:bodyDiv w:val="1"/>
      <w:marLeft w:val="0"/>
      <w:marRight w:val="0"/>
      <w:marTop w:val="0"/>
      <w:marBottom w:val="0"/>
      <w:divBdr>
        <w:top w:val="none" w:sz="0" w:space="0" w:color="auto"/>
        <w:left w:val="none" w:sz="0" w:space="0" w:color="auto"/>
        <w:bottom w:val="none" w:sz="0" w:space="0" w:color="auto"/>
        <w:right w:val="none" w:sz="0" w:space="0" w:color="auto"/>
      </w:divBdr>
    </w:div>
    <w:div w:id="259527984">
      <w:bodyDiv w:val="1"/>
      <w:marLeft w:val="0"/>
      <w:marRight w:val="0"/>
      <w:marTop w:val="0"/>
      <w:marBottom w:val="0"/>
      <w:divBdr>
        <w:top w:val="none" w:sz="0" w:space="0" w:color="auto"/>
        <w:left w:val="none" w:sz="0" w:space="0" w:color="auto"/>
        <w:bottom w:val="none" w:sz="0" w:space="0" w:color="auto"/>
        <w:right w:val="none" w:sz="0" w:space="0" w:color="auto"/>
      </w:divBdr>
    </w:div>
    <w:div w:id="263463767">
      <w:bodyDiv w:val="1"/>
      <w:marLeft w:val="0"/>
      <w:marRight w:val="0"/>
      <w:marTop w:val="0"/>
      <w:marBottom w:val="0"/>
      <w:divBdr>
        <w:top w:val="none" w:sz="0" w:space="0" w:color="auto"/>
        <w:left w:val="none" w:sz="0" w:space="0" w:color="auto"/>
        <w:bottom w:val="none" w:sz="0" w:space="0" w:color="auto"/>
        <w:right w:val="none" w:sz="0" w:space="0" w:color="auto"/>
      </w:divBdr>
    </w:div>
    <w:div w:id="271211854">
      <w:bodyDiv w:val="1"/>
      <w:marLeft w:val="0"/>
      <w:marRight w:val="0"/>
      <w:marTop w:val="0"/>
      <w:marBottom w:val="0"/>
      <w:divBdr>
        <w:top w:val="none" w:sz="0" w:space="0" w:color="auto"/>
        <w:left w:val="none" w:sz="0" w:space="0" w:color="auto"/>
        <w:bottom w:val="none" w:sz="0" w:space="0" w:color="auto"/>
        <w:right w:val="none" w:sz="0" w:space="0" w:color="auto"/>
      </w:divBdr>
      <w:divsChild>
        <w:div w:id="931743776">
          <w:marLeft w:val="0"/>
          <w:marRight w:val="0"/>
          <w:marTop w:val="0"/>
          <w:marBottom w:val="0"/>
          <w:divBdr>
            <w:top w:val="none" w:sz="0" w:space="0" w:color="auto"/>
            <w:left w:val="none" w:sz="0" w:space="0" w:color="auto"/>
            <w:bottom w:val="none" w:sz="0" w:space="0" w:color="auto"/>
            <w:right w:val="none" w:sz="0" w:space="0" w:color="auto"/>
          </w:divBdr>
          <w:divsChild>
            <w:div w:id="942760221">
              <w:marLeft w:val="0"/>
              <w:marRight w:val="0"/>
              <w:marTop w:val="0"/>
              <w:marBottom w:val="0"/>
              <w:divBdr>
                <w:top w:val="none" w:sz="0" w:space="0" w:color="auto"/>
                <w:left w:val="none" w:sz="0" w:space="0" w:color="auto"/>
                <w:bottom w:val="none" w:sz="0" w:space="0" w:color="auto"/>
                <w:right w:val="none" w:sz="0" w:space="0" w:color="auto"/>
              </w:divBdr>
              <w:divsChild>
                <w:div w:id="1505971100">
                  <w:marLeft w:val="0"/>
                  <w:marRight w:val="0"/>
                  <w:marTop w:val="1800"/>
                  <w:marBottom w:val="225"/>
                  <w:divBdr>
                    <w:top w:val="none" w:sz="0" w:space="0" w:color="auto"/>
                    <w:left w:val="none" w:sz="0" w:space="0" w:color="auto"/>
                    <w:bottom w:val="none" w:sz="0" w:space="0" w:color="auto"/>
                    <w:right w:val="none" w:sz="0" w:space="0" w:color="auto"/>
                  </w:divBdr>
                  <w:divsChild>
                    <w:div w:id="1242065943">
                      <w:marLeft w:val="0"/>
                      <w:marRight w:val="0"/>
                      <w:marTop w:val="0"/>
                      <w:marBottom w:val="0"/>
                      <w:divBdr>
                        <w:top w:val="none" w:sz="0" w:space="0" w:color="auto"/>
                        <w:left w:val="none" w:sz="0" w:space="0" w:color="auto"/>
                        <w:bottom w:val="none" w:sz="0" w:space="0" w:color="auto"/>
                        <w:right w:val="none" w:sz="0" w:space="0" w:color="auto"/>
                      </w:divBdr>
                      <w:divsChild>
                        <w:div w:id="1922988756">
                          <w:marLeft w:val="0"/>
                          <w:marRight w:val="0"/>
                          <w:marTop w:val="0"/>
                          <w:marBottom w:val="0"/>
                          <w:divBdr>
                            <w:top w:val="none" w:sz="0" w:space="0" w:color="auto"/>
                            <w:left w:val="none" w:sz="0" w:space="0" w:color="auto"/>
                            <w:bottom w:val="none" w:sz="0" w:space="0" w:color="auto"/>
                            <w:right w:val="none" w:sz="0" w:space="0" w:color="auto"/>
                          </w:divBdr>
                          <w:divsChild>
                            <w:div w:id="229579911">
                              <w:marLeft w:val="0"/>
                              <w:marRight w:val="0"/>
                              <w:marTop w:val="300"/>
                              <w:marBottom w:val="300"/>
                              <w:divBdr>
                                <w:top w:val="none" w:sz="0" w:space="0" w:color="auto"/>
                                <w:left w:val="none" w:sz="0" w:space="0" w:color="auto"/>
                                <w:bottom w:val="none" w:sz="0" w:space="0" w:color="auto"/>
                                <w:right w:val="none" w:sz="0" w:space="0" w:color="auto"/>
                              </w:divBdr>
                              <w:divsChild>
                                <w:div w:id="792603144">
                                  <w:marLeft w:val="240"/>
                                  <w:marRight w:val="0"/>
                                  <w:marTop w:val="165"/>
                                  <w:marBottom w:val="0"/>
                                  <w:divBdr>
                                    <w:top w:val="none" w:sz="0" w:space="0" w:color="auto"/>
                                    <w:left w:val="none" w:sz="0" w:space="0" w:color="auto"/>
                                    <w:bottom w:val="none" w:sz="0" w:space="0" w:color="auto"/>
                                    <w:right w:val="none" w:sz="0" w:space="0" w:color="auto"/>
                                  </w:divBdr>
                                  <w:divsChild>
                                    <w:div w:id="172891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797283">
      <w:bodyDiv w:val="1"/>
      <w:marLeft w:val="0"/>
      <w:marRight w:val="0"/>
      <w:marTop w:val="0"/>
      <w:marBottom w:val="0"/>
      <w:divBdr>
        <w:top w:val="none" w:sz="0" w:space="0" w:color="auto"/>
        <w:left w:val="none" w:sz="0" w:space="0" w:color="auto"/>
        <w:bottom w:val="none" w:sz="0" w:space="0" w:color="auto"/>
        <w:right w:val="none" w:sz="0" w:space="0" w:color="auto"/>
      </w:divBdr>
    </w:div>
    <w:div w:id="276832194">
      <w:bodyDiv w:val="1"/>
      <w:marLeft w:val="0"/>
      <w:marRight w:val="0"/>
      <w:marTop w:val="0"/>
      <w:marBottom w:val="0"/>
      <w:divBdr>
        <w:top w:val="none" w:sz="0" w:space="0" w:color="auto"/>
        <w:left w:val="none" w:sz="0" w:space="0" w:color="auto"/>
        <w:bottom w:val="none" w:sz="0" w:space="0" w:color="auto"/>
        <w:right w:val="none" w:sz="0" w:space="0" w:color="auto"/>
      </w:divBdr>
    </w:div>
    <w:div w:id="280495053">
      <w:bodyDiv w:val="1"/>
      <w:marLeft w:val="0"/>
      <w:marRight w:val="0"/>
      <w:marTop w:val="0"/>
      <w:marBottom w:val="0"/>
      <w:divBdr>
        <w:top w:val="none" w:sz="0" w:space="0" w:color="auto"/>
        <w:left w:val="none" w:sz="0" w:space="0" w:color="auto"/>
        <w:bottom w:val="none" w:sz="0" w:space="0" w:color="auto"/>
        <w:right w:val="none" w:sz="0" w:space="0" w:color="auto"/>
      </w:divBdr>
    </w:div>
    <w:div w:id="280961980">
      <w:bodyDiv w:val="1"/>
      <w:marLeft w:val="0"/>
      <w:marRight w:val="0"/>
      <w:marTop w:val="0"/>
      <w:marBottom w:val="0"/>
      <w:divBdr>
        <w:top w:val="none" w:sz="0" w:space="0" w:color="auto"/>
        <w:left w:val="none" w:sz="0" w:space="0" w:color="auto"/>
        <w:bottom w:val="none" w:sz="0" w:space="0" w:color="auto"/>
        <w:right w:val="none" w:sz="0" w:space="0" w:color="auto"/>
      </w:divBdr>
    </w:div>
    <w:div w:id="286350039">
      <w:bodyDiv w:val="1"/>
      <w:marLeft w:val="0"/>
      <w:marRight w:val="0"/>
      <w:marTop w:val="0"/>
      <w:marBottom w:val="0"/>
      <w:divBdr>
        <w:top w:val="none" w:sz="0" w:space="0" w:color="auto"/>
        <w:left w:val="none" w:sz="0" w:space="0" w:color="auto"/>
        <w:bottom w:val="none" w:sz="0" w:space="0" w:color="auto"/>
        <w:right w:val="none" w:sz="0" w:space="0" w:color="auto"/>
      </w:divBdr>
      <w:divsChild>
        <w:div w:id="800154755">
          <w:marLeft w:val="0"/>
          <w:marRight w:val="0"/>
          <w:marTop w:val="0"/>
          <w:marBottom w:val="0"/>
          <w:divBdr>
            <w:top w:val="none" w:sz="0" w:space="0" w:color="auto"/>
            <w:left w:val="none" w:sz="0" w:space="0" w:color="auto"/>
            <w:bottom w:val="none" w:sz="0" w:space="0" w:color="auto"/>
            <w:right w:val="none" w:sz="0" w:space="0" w:color="auto"/>
          </w:divBdr>
          <w:divsChild>
            <w:div w:id="1123309795">
              <w:marLeft w:val="0"/>
              <w:marRight w:val="0"/>
              <w:marTop w:val="0"/>
              <w:marBottom w:val="0"/>
              <w:divBdr>
                <w:top w:val="none" w:sz="0" w:space="0" w:color="auto"/>
                <w:left w:val="none" w:sz="0" w:space="0" w:color="auto"/>
                <w:bottom w:val="none" w:sz="0" w:space="0" w:color="auto"/>
                <w:right w:val="none" w:sz="0" w:space="0" w:color="auto"/>
              </w:divBdr>
              <w:divsChild>
                <w:div w:id="1212035524">
                  <w:marLeft w:val="0"/>
                  <w:marRight w:val="0"/>
                  <w:marTop w:val="0"/>
                  <w:marBottom w:val="0"/>
                  <w:divBdr>
                    <w:top w:val="none" w:sz="0" w:space="0" w:color="auto"/>
                    <w:left w:val="none" w:sz="0" w:space="0" w:color="auto"/>
                    <w:bottom w:val="none" w:sz="0" w:space="0" w:color="auto"/>
                    <w:right w:val="none" w:sz="0" w:space="0" w:color="auto"/>
                  </w:divBdr>
                  <w:divsChild>
                    <w:div w:id="845483087">
                      <w:marLeft w:val="0"/>
                      <w:marRight w:val="0"/>
                      <w:marTop w:val="0"/>
                      <w:marBottom w:val="0"/>
                      <w:divBdr>
                        <w:top w:val="none" w:sz="0" w:space="0" w:color="auto"/>
                        <w:left w:val="none" w:sz="0" w:space="0" w:color="auto"/>
                        <w:bottom w:val="none" w:sz="0" w:space="0" w:color="auto"/>
                        <w:right w:val="none" w:sz="0" w:space="0" w:color="auto"/>
                      </w:divBdr>
                      <w:divsChild>
                        <w:div w:id="642856512">
                          <w:marLeft w:val="0"/>
                          <w:marRight w:val="0"/>
                          <w:marTop w:val="300"/>
                          <w:marBottom w:val="0"/>
                          <w:divBdr>
                            <w:top w:val="none" w:sz="0" w:space="0" w:color="auto"/>
                            <w:left w:val="none" w:sz="0" w:space="0" w:color="auto"/>
                            <w:bottom w:val="none" w:sz="0" w:space="0" w:color="auto"/>
                            <w:right w:val="none" w:sz="0" w:space="0" w:color="auto"/>
                          </w:divBdr>
                          <w:divsChild>
                            <w:div w:id="78677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7902330">
      <w:bodyDiv w:val="1"/>
      <w:marLeft w:val="0"/>
      <w:marRight w:val="0"/>
      <w:marTop w:val="0"/>
      <w:marBottom w:val="0"/>
      <w:divBdr>
        <w:top w:val="none" w:sz="0" w:space="0" w:color="auto"/>
        <w:left w:val="none" w:sz="0" w:space="0" w:color="auto"/>
        <w:bottom w:val="none" w:sz="0" w:space="0" w:color="auto"/>
        <w:right w:val="none" w:sz="0" w:space="0" w:color="auto"/>
      </w:divBdr>
    </w:div>
    <w:div w:id="291718137">
      <w:bodyDiv w:val="1"/>
      <w:marLeft w:val="0"/>
      <w:marRight w:val="0"/>
      <w:marTop w:val="0"/>
      <w:marBottom w:val="0"/>
      <w:divBdr>
        <w:top w:val="none" w:sz="0" w:space="0" w:color="auto"/>
        <w:left w:val="none" w:sz="0" w:space="0" w:color="auto"/>
        <w:bottom w:val="none" w:sz="0" w:space="0" w:color="auto"/>
        <w:right w:val="none" w:sz="0" w:space="0" w:color="auto"/>
      </w:divBdr>
    </w:div>
    <w:div w:id="293021135">
      <w:bodyDiv w:val="1"/>
      <w:marLeft w:val="0"/>
      <w:marRight w:val="0"/>
      <w:marTop w:val="0"/>
      <w:marBottom w:val="0"/>
      <w:divBdr>
        <w:top w:val="none" w:sz="0" w:space="0" w:color="auto"/>
        <w:left w:val="none" w:sz="0" w:space="0" w:color="auto"/>
        <w:bottom w:val="none" w:sz="0" w:space="0" w:color="auto"/>
        <w:right w:val="none" w:sz="0" w:space="0" w:color="auto"/>
      </w:divBdr>
    </w:div>
    <w:div w:id="294680436">
      <w:bodyDiv w:val="1"/>
      <w:marLeft w:val="0"/>
      <w:marRight w:val="0"/>
      <w:marTop w:val="0"/>
      <w:marBottom w:val="0"/>
      <w:divBdr>
        <w:top w:val="none" w:sz="0" w:space="0" w:color="auto"/>
        <w:left w:val="none" w:sz="0" w:space="0" w:color="auto"/>
        <w:bottom w:val="none" w:sz="0" w:space="0" w:color="auto"/>
        <w:right w:val="none" w:sz="0" w:space="0" w:color="auto"/>
      </w:divBdr>
    </w:div>
    <w:div w:id="297757908">
      <w:bodyDiv w:val="1"/>
      <w:marLeft w:val="0"/>
      <w:marRight w:val="0"/>
      <w:marTop w:val="0"/>
      <w:marBottom w:val="0"/>
      <w:divBdr>
        <w:top w:val="none" w:sz="0" w:space="0" w:color="auto"/>
        <w:left w:val="none" w:sz="0" w:space="0" w:color="auto"/>
        <w:bottom w:val="none" w:sz="0" w:space="0" w:color="auto"/>
        <w:right w:val="none" w:sz="0" w:space="0" w:color="auto"/>
      </w:divBdr>
    </w:div>
    <w:div w:id="297955414">
      <w:bodyDiv w:val="1"/>
      <w:marLeft w:val="0"/>
      <w:marRight w:val="0"/>
      <w:marTop w:val="0"/>
      <w:marBottom w:val="0"/>
      <w:divBdr>
        <w:top w:val="none" w:sz="0" w:space="0" w:color="auto"/>
        <w:left w:val="none" w:sz="0" w:space="0" w:color="auto"/>
        <w:bottom w:val="none" w:sz="0" w:space="0" w:color="auto"/>
        <w:right w:val="none" w:sz="0" w:space="0" w:color="auto"/>
      </w:divBdr>
    </w:div>
    <w:div w:id="298535782">
      <w:bodyDiv w:val="1"/>
      <w:marLeft w:val="0"/>
      <w:marRight w:val="0"/>
      <w:marTop w:val="0"/>
      <w:marBottom w:val="0"/>
      <w:divBdr>
        <w:top w:val="none" w:sz="0" w:space="0" w:color="auto"/>
        <w:left w:val="none" w:sz="0" w:space="0" w:color="auto"/>
        <w:bottom w:val="none" w:sz="0" w:space="0" w:color="auto"/>
        <w:right w:val="none" w:sz="0" w:space="0" w:color="auto"/>
      </w:divBdr>
      <w:divsChild>
        <w:div w:id="1349134246">
          <w:marLeft w:val="0"/>
          <w:marRight w:val="0"/>
          <w:marTop w:val="0"/>
          <w:marBottom w:val="0"/>
          <w:divBdr>
            <w:top w:val="none" w:sz="0" w:space="0" w:color="auto"/>
            <w:left w:val="none" w:sz="0" w:space="0" w:color="auto"/>
            <w:bottom w:val="none" w:sz="0" w:space="0" w:color="auto"/>
            <w:right w:val="none" w:sz="0" w:space="0" w:color="auto"/>
          </w:divBdr>
          <w:divsChild>
            <w:div w:id="32656368">
              <w:marLeft w:val="0"/>
              <w:marRight w:val="0"/>
              <w:marTop w:val="0"/>
              <w:marBottom w:val="0"/>
              <w:divBdr>
                <w:top w:val="none" w:sz="0" w:space="0" w:color="auto"/>
                <w:left w:val="none" w:sz="0" w:space="0" w:color="auto"/>
                <w:bottom w:val="none" w:sz="0" w:space="0" w:color="auto"/>
                <w:right w:val="none" w:sz="0" w:space="0" w:color="auto"/>
              </w:divBdr>
              <w:divsChild>
                <w:div w:id="689380741">
                  <w:marLeft w:val="0"/>
                  <w:marRight w:val="0"/>
                  <w:marTop w:val="0"/>
                  <w:marBottom w:val="0"/>
                  <w:divBdr>
                    <w:top w:val="none" w:sz="0" w:space="0" w:color="auto"/>
                    <w:left w:val="none" w:sz="0" w:space="0" w:color="auto"/>
                    <w:bottom w:val="none" w:sz="0" w:space="0" w:color="auto"/>
                    <w:right w:val="none" w:sz="0" w:space="0" w:color="auto"/>
                  </w:divBdr>
                  <w:divsChild>
                    <w:div w:id="202446340">
                      <w:marLeft w:val="0"/>
                      <w:marRight w:val="0"/>
                      <w:marTop w:val="0"/>
                      <w:marBottom w:val="0"/>
                      <w:divBdr>
                        <w:top w:val="none" w:sz="0" w:space="0" w:color="auto"/>
                        <w:left w:val="none" w:sz="0" w:space="0" w:color="auto"/>
                        <w:bottom w:val="none" w:sz="0" w:space="0" w:color="auto"/>
                        <w:right w:val="none" w:sz="0" w:space="0" w:color="auto"/>
                      </w:divBdr>
                      <w:divsChild>
                        <w:div w:id="1219131522">
                          <w:marLeft w:val="0"/>
                          <w:marRight w:val="0"/>
                          <w:marTop w:val="300"/>
                          <w:marBottom w:val="0"/>
                          <w:divBdr>
                            <w:top w:val="none" w:sz="0" w:space="0" w:color="auto"/>
                            <w:left w:val="none" w:sz="0" w:space="0" w:color="auto"/>
                            <w:bottom w:val="none" w:sz="0" w:space="0" w:color="auto"/>
                            <w:right w:val="none" w:sz="0" w:space="0" w:color="auto"/>
                          </w:divBdr>
                          <w:divsChild>
                            <w:div w:id="65884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6584">
      <w:bodyDiv w:val="1"/>
      <w:marLeft w:val="0"/>
      <w:marRight w:val="0"/>
      <w:marTop w:val="0"/>
      <w:marBottom w:val="0"/>
      <w:divBdr>
        <w:top w:val="none" w:sz="0" w:space="0" w:color="auto"/>
        <w:left w:val="none" w:sz="0" w:space="0" w:color="auto"/>
        <w:bottom w:val="none" w:sz="0" w:space="0" w:color="auto"/>
        <w:right w:val="none" w:sz="0" w:space="0" w:color="auto"/>
      </w:divBdr>
      <w:divsChild>
        <w:div w:id="211574254">
          <w:marLeft w:val="0"/>
          <w:marRight w:val="0"/>
          <w:marTop w:val="0"/>
          <w:marBottom w:val="0"/>
          <w:divBdr>
            <w:top w:val="none" w:sz="0" w:space="0" w:color="auto"/>
            <w:left w:val="none" w:sz="0" w:space="0" w:color="auto"/>
            <w:bottom w:val="none" w:sz="0" w:space="0" w:color="auto"/>
            <w:right w:val="none" w:sz="0" w:space="0" w:color="auto"/>
          </w:divBdr>
          <w:divsChild>
            <w:div w:id="1303655818">
              <w:marLeft w:val="0"/>
              <w:marRight w:val="0"/>
              <w:marTop w:val="0"/>
              <w:marBottom w:val="0"/>
              <w:divBdr>
                <w:top w:val="none" w:sz="0" w:space="0" w:color="auto"/>
                <w:left w:val="none" w:sz="0" w:space="0" w:color="auto"/>
                <w:bottom w:val="none" w:sz="0" w:space="0" w:color="auto"/>
                <w:right w:val="none" w:sz="0" w:space="0" w:color="auto"/>
              </w:divBdr>
              <w:divsChild>
                <w:div w:id="762803077">
                  <w:marLeft w:val="0"/>
                  <w:marRight w:val="0"/>
                  <w:marTop w:val="0"/>
                  <w:marBottom w:val="0"/>
                  <w:divBdr>
                    <w:top w:val="none" w:sz="0" w:space="0" w:color="auto"/>
                    <w:left w:val="none" w:sz="0" w:space="0" w:color="auto"/>
                    <w:bottom w:val="none" w:sz="0" w:space="0" w:color="auto"/>
                    <w:right w:val="none" w:sz="0" w:space="0" w:color="auto"/>
                  </w:divBdr>
                  <w:divsChild>
                    <w:div w:id="856117131">
                      <w:marLeft w:val="0"/>
                      <w:marRight w:val="0"/>
                      <w:marTop w:val="0"/>
                      <w:marBottom w:val="0"/>
                      <w:divBdr>
                        <w:top w:val="none" w:sz="0" w:space="0" w:color="auto"/>
                        <w:left w:val="none" w:sz="0" w:space="0" w:color="auto"/>
                        <w:bottom w:val="none" w:sz="0" w:space="0" w:color="auto"/>
                        <w:right w:val="none" w:sz="0" w:space="0" w:color="auto"/>
                      </w:divBdr>
                      <w:divsChild>
                        <w:div w:id="1911958701">
                          <w:marLeft w:val="0"/>
                          <w:marRight w:val="0"/>
                          <w:marTop w:val="300"/>
                          <w:marBottom w:val="0"/>
                          <w:divBdr>
                            <w:top w:val="none" w:sz="0" w:space="0" w:color="auto"/>
                            <w:left w:val="none" w:sz="0" w:space="0" w:color="auto"/>
                            <w:bottom w:val="none" w:sz="0" w:space="0" w:color="auto"/>
                            <w:right w:val="none" w:sz="0" w:space="0" w:color="auto"/>
                          </w:divBdr>
                          <w:divsChild>
                            <w:div w:id="211605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9040083">
      <w:bodyDiv w:val="1"/>
      <w:marLeft w:val="0"/>
      <w:marRight w:val="0"/>
      <w:marTop w:val="0"/>
      <w:marBottom w:val="0"/>
      <w:divBdr>
        <w:top w:val="none" w:sz="0" w:space="0" w:color="auto"/>
        <w:left w:val="none" w:sz="0" w:space="0" w:color="auto"/>
        <w:bottom w:val="none" w:sz="0" w:space="0" w:color="auto"/>
        <w:right w:val="none" w:sz="0" w:space="0" w:color="auto"/>
      </w:divBdr>
    </w:div>
    <w:div w:id="319625855">
      <w:bodyDiv w:val="1"/>
      <w:marLeft w:val="0"/>
      <w:marRight w:val="0"/>
      <w:marTop w:val="0"/>
      <w:marBottom w:val="0"/>
      <w:divBdr>
        <w:top w:val="none" w:sz="0" w:space="0" w:color="auto"/>
        <w:left w:val="none" w:sz="0" w:space="0" w:color="auto"/>
        <w:bottom w:val="none" w:sz="0" w:space="0" w:color="auto"/>
        <w:right w:val="none" w:sz="0" w:space="0" w:color="auto"/>
      </w:divBdr>
    </w:div>
    <w:div w:id="326834150">
      <w:bodyDiv w:val="1"/>
      <w:marLeft w:val="0"/>
      <w:marRight w:val="0"/>
      <w:marTop w:val="0"/>
      <w:marBottom w:val="0"/>
      <w:divBdr>
        <w:top w:val="none" w:sz="0" w:space="0" w:color="auto"/>
        <w:left w:val="none" w:sz="0" w:space="0" w:color="auto"/>
        <w:bottom w:val="none" w:sz="0" w:space="0" w:color="auto"/>
        <w:right w:val="none" w:sz="0" w:space="0" w:color="auto"/>
      </w:divBdr>
    </w:div>
    <w:div w:id="332149756">
      <w:bodyDiv w:val="1"/>
      <w:marLeft w:val="0"/>
      <w:marRight w:val="0"/>
      <w:marTop w:val="0"/>
      <w:marBottom w:val="0"/>
      <w:divBdr>
        <w:top w:val="none" w:sz="0" w:space="0" w:color="auto"/>
        <w:left w:val="none" w:sz="0" w:space="0" w:color="auto"/>
        <w:bottom w:val="none" w:sz="0" w:space="0" w:color="auto"/>
        <w:right w:val="none" w:sz="0" w:space="0" w:color="auto"/>
      </w:divBdr>
    </w:div>
    <w:div w:id="332487175">
      <w:bodyDiv w:val="1"/>
      <w:marLeft w:val="0"/>
      <w:marRight w:val="0"/>
      <w:marTop w:val="0"/>
      <w:marBottom w:val="0"/>
      <w:divBdr>
        <w:top w:val="none" w:sz="0" w:space="0" w:color="auto"/>
        <w:left w:val="none" w:sz="0" w:space="0" w:color="auto"/>
        <w:bottom w:val="none" w:sz="0" w:space="0" w:color="auto"/>
        <w:right w:val="none" w:sz="0" w:space="0" w:color="auto"/>
      </w:divBdr>
    </w:div>
    <w:div w:id="335117440">
      <w:bodyDiv w:val="1"/>
      <w:marLeft w:val="0"/>
      <w:marRight w:val="0"/>
      <w:marTop w:val="0"/>
      <w:marBottom w:val="0"/>
      <w:divBdr>
        <w:top w:val="none" w:sz="0" w:space="0" w:color="auto"/>
        <w:left w:val="none" w:sz="0" w:space="0" w:color="auto"/>
        <w:bottom w:val="none" w:sz="0" w:space="0" w:color="auto"/>
        <w:right w:val="none" w:sz="0" w:space="0" w:color="auto"/>
      </w:divBdr>
    </w:div>
    <w:div w:id="336274924">
      <w:bodyDiv w:val="1"/>
      <w:marLeft w:val="0"/>
      <w:marRight w:val="0"/>
      <w:marTop w:val="0"/>
      <w:marBottom w:val="0"/>
      <w:divBdr>
        <w:top w:val="none" w:sz="0" w:space="0" w:color="auto"/>
        <w:left w:val="none" w:sz="0" w:space="0" w:color="auto"/>
        <w:bottom w:val="none" w:sz="0" w:space="0" w:color="auto"/>
        <w:right w:val="none" w:sz="0" w:space="0" w:color="auto"/>
      </w:divBdr>
    </w:div>
    <w:div w:id="337389339">
      <w:bodyDiv w:val="1"/>
      <w:marLeft w:val="0"/>
      <w:marRight w:val="0"/>
      <w:marTop w:val="0"/>
      <w:marBottom w:val="0"/>
      <w:divBdr>
        <w:top w:val="none" w:sz="0" w:space="0" w:color="auto"/>
        <w:left w:val="none" w:sz="0" w:space="0" w:color="auto"/>
        <w:bottom w:val="none" w:sz="0" w:space="0" w:color="auto"/>
        <w:right w:val="none" w:sz="0" w:space="0" w:color="auto"/>
      </w:divBdr>
    </w:div>
    <w:div w:id="341667370">
      <w:bodyDiv w:val="1"/>
      <w:marLeft w:val="0"/>
      <w:marRight w:val="0"/>
      <w:marTop w:val="0"/>
      <w:marBottom w:val="0"/>
      <w:divBdr>
        <w:top w:val="none" w:sz="0" w:space="0" w:color="auto"/>
        <w:left w:val="none" w:sz="0" w:space="0" w:color="auto"/>
        <w:bottom w:val="none" w:sz="0" w:space="0" w:color="auto"/>
        <w:right w:val="none" w:sz="0" w:space="0" w:color="auto"/>
      </w:divBdr>
      <w:divsChild>
        <w:div w:id="1584334125">
          <w:marLeft w:val="0"/>
          <w:marRight w:val="0"/>
          <w:marTop w:val="0"/>
          <w:marBottom w:val="0"/>
          <w:divBdr>
            <w:top w:val="none" w:sz="0" w:space="0" w:color="auto"/>
            <w:left w:val="none" w:sz="0" w:space="0" w:color="auto"/>
            <w:bottom w:val="none" w:sz="0" w:space="0" w:color="auto"/>
            <w:right w:val="none" w:sz="0" w:space="0" w:color="auto"/>
          </w:divBdr>
          <w:divsChild>
            <w:div w:id="1797093357">
              <w:marLeft w:val="0"/>
              <w:marRight w:val="0"/>
              <w:marTop w:val="0"/>
              <w:marBottom w:val="0"/>
              <w:divBdr>
                <w:top w:val="none" w:sz="0" w:space="0" w:color="auto"/>
                <w:left w:val="none" w:sz="0" w:space="0" w:color="auto"/>
                <w:bottom w:val="none" w:sz="0" w:space="0" w:color="auto"/>
                <w:right w:val="none" w:sz="0" w:space="0" w:color="auto"/>
              </w:divBdr>
              <w:divsChild>
                <w:div w:id="1717270135">
                  <w:marLeft w:val="0"/>
                  <w:marRight w:val="0"/>
                  <w:marTop w:val="0"/>
                  <w:marBottom w:val="0"/>
                  <w:divBdr>
                    <w:top w:val="none" w:sz="0" w:space="0" w:color="auto"/>
                    <w:left w:val="none" w:sz="0" w:space="0" w:color="auto"/>
                    <w:bottom w:val="none" w:sz="0" w:space="0" w:color="auto"/>
                    <w:right w:val="none" w:sz="0" w:space="0" w:color="auto"/>
                  </w:divBdr>
                  <w:divsChild>
                    <w:div w:id="1690066640">
                      <w:marLeft w:val="0"/>
                      <w:marRight w:val="0"/>
                      <w:marTop w:val="0"/>
                      <w:marBottom w:val="0"/>
                      <w:divBdr>
                        <w:top w:val="none" w:sz="0" w:space="0" w:color="auto"/>
                        <w:left w:val="none" w:sz="0" w:space="0" w:color="auto"/>
                        <w:bottom w:val="none" w:sz="0" w:space="0" w:color="auto"/>
                        <w:right w:val="none" w:sz="0" w:space="0" w:color="auto"/>
                      </w:divBdr>
                      <w:divsChild>
                        <w:div w:id="574972967">
                          <w:marLeft w:val="0"/>
                          <w:marRight w:val="0"/>
                          <w:marTop w:val="300"/>
                          <w:marBottom w:val="0"/>
                          <w:divBdr>
                            <w:top w:val="none" w:sz="0" w:space="0" w:color="auto"/>
                            <w:left w:val="none" w:sz="0" w:space="0" w:color="auto"/>
                            <w:bottom w:val="none" w:sz="0" w:space="0" w:color="auto"/>
                            <w:right w:val="none" w:sz="0" w:space="0" w:color="auto"/>
                          </w:divBdr>
                          <w:divsChild>
                            <w:div w:id="6352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2509964">
      <w:bodyDiv w:val="1"/>
      <w:marLeft w:val="0"/>
      <w:marRight w:val="0"/>
      <w:marTop w:val="0"/>
      <w:marBottom w:val="0"/>
      <w:divBdr>
        <w:top w:val="none" w:sz="0" w:space="0" w:color="auto"/>
        <w:left w:val="none" w:sz="0" w:space="0" w:color="auto"/>
        <w:bottom w:val="none" w:sz="0" w:space="0" w:color="auto"/>
        <w:right w:val="none" w:sz="0" w:space="0" w:color="auto"/>
      </w:divBdr>
    </w:div>
    <w:div w:id="346030469">
      <w:bodyDiv w:val="1"/>
      <w:marLeft w:val="0"/>
      <w:marRight w:val="0"/>
      <w:marTop w:val="0"/>
      <w:marBottom w:val="0"/>
      <w:divBdr>
        <w:top w:val="none" w:sz="0" w:space="0" w:color="auto"/>
        <w:left w:val="none" w:sz="0" w:space="0" w:color="auto"/>
        <w:bottom w:val="none" w:sz="0" w:space="0" w:color="auto"/>
        <w:right w:val="none" w:sz="0" w:space="0" w:color="auto"/>
      </w:divBdr>
    </w:div>
    <w:div w:id="346835877">
      <w:bodyDiv w:val="1"/>
      <w:marLeft w:val="0"/>
      <w:marRight w:val="0"/>
      <w:marTop w:val="0"/>
      <w:marBottom w:val="0"/>
      <w:divBdr>
        <w:top w:val="none" w:sz="0" w:space="0" w:color="auto"/>
        <w:left w:val="none" w:sz="0" w:space="0" w:color="auto"/>
        <w:bottom w:val="none" w:sz="0" w:space="0" w:color="auto"/>
        <w:right w:val="none" w:sz="0" w:space="0" w:color="auto"/>
      </w:divBdr>
    </w:div>
    <w:div w:id="351537710">
      <w:bodyDiv w:val="1"/>
      <w:marLeft w:val="0"/>
      <w:marRight w:val="0"/>
      <w:marTop w:val="0"/>
      <w:marBottom w:val="0"/>
      <w:divBdr>
        <w:top w:val="none" w:sz="0" w:space="0" w:color="auto"/>
        <w:left w:val="none" w:sz="0" w:space="0" w:color="auto"/>
        <w:bottom w:val="none" w:sz="0" w:space="0" w:color="auto"/>
        <w:right w:val="none" w:sz="0" w:space="0" w:color="auto"/>
      </w:divBdr>
    </w:div>
    <w:div w:id="352540590">
      <w:bodyDiv w:val="1"/>
      <w:marLeft w:val="0"/>
      <w:marRight w:val="0"/>
      <w:marTop w:val="0"/>
      <w:marBottom w:val="0"/>
      <w:divBdr>
        <w:top w:val="none" w:sz="0" w:space="0" w:color="auto"/>
        <w:left w:val="none" w:sz="0" w:space="0" w:color="auto"/>
        <w:bottom w:val="none" w:sz="0" w:space="0" w:color="auto"/>
        <w:right w:val="none" w:sz="0" w:space="0" w:color="auto"/>
      </w:divBdr>
    </w:div>
    <w:div w:id="353729697">
      <w:bodyDiv w:val="1"/>
      <w:marLeft w:val="0"/>
      <w:marRight w:val="0"/>
      <w:marTop w:val="0"/>
      <w:marBottom w:val="0"/>
      <w:divBdr>
        <w:top w:val="none" w:sz="0" w:space="0" w:color="auto"/>
        <w:left w:val="none" w:sz="0" w:space="0" w:color="auto"/>
        <w:bottom w:val="none" w:sz="0" w:space="0" w:color="auto"/>
        <w:right w:val="none" w:sz="0" w:space="0" w:color="auto"/>
      </w:divBdr>
    </w:div>
    <w:div w:id="356975831">
      <w:bodyDiv w:val="1"/>
      <w:marLeft w:val="0"/>
      <w:marRight w:val="0"/>
      <w:marTop w:val="0"/>
      <w:marBottom w:val="0"/>
      <w:divBdr>
        <w:top w:val="none" w:sz="0" w:space="0" w:color="auto"/>
        <w:left w:val="none" w:sz="0" w:space="0" w:color="auto"/>
        <w:bottom w:val="none" w:sz="0" w:space="0" w:color="auto"/>
        <w:right w:val="none" w:sz="0" w:space="0" w:color="auto"/>
      </w:divBdr>
    </w:div>
    <w:div w:id="359621923">
      <w:bodyDiv w:val="1"/>
      <w:marLeft w:val="0"/>
      <w:marRight w:val="0"/>
      <w:marTop w:val="0"/>
      <w:marBottom w:val="0"/>
      <w:divBdr>
        <w:top w:val="none" w:sz="0" w:space="0" w:color="auto"/>
        <w:left w:val="none" w:sz="0" w:space="0" w:color="auto"/>
        <w:bottom w:val="none" w:sz="0" w:space="0" w:color="auto"/>
        <w:right w:val="none" w:sz="0" w:space="0" w:color="auto"/>
      </w:divBdr>
    </w:div>
    <w:div w:id="360129309">
      <w:bodyDiv w:val="1"/>
      <w:marLeft w:val="0"/>
      <w:marRight w:val="0"/>
      <w:marTop w:val="0"/>
      <w:marBottom w:val="0"/>
      <w:divBdr>
        <w:top w:val="none" w:sz="0" w:space="0" w:color="auto"/>
        <w:left w:val="none" w:sz="0" w:space="0" w:color="auto"/>
        <w:bottom w:val="none" w:sz="0" w:space="0" w:color="auto"/>
        <w:right w:val="none" w:sz="0" w:space="0" w:color="auto"/>
      </w:divBdr>
    </w:div>
    <w:div w:id="360279491">
      <w:bodyDiv w:val="1"/>
      <w:marLeft w:val="0"/>
      <w:marRight w:val="0"/>
      <w:marTop w:val="0"/>
      <w:marBottom w:val="0"/>
      <w:divBdr>
        <w:top w:val="none" w:sz="0" w:space="0" w:color="auto"/>
        <w:left w:val="none" w:sz="0" w:space="0" w:color="auto"/>
        <w:bottom w:val="none" w:sz="0" w:space="0" w:color="auto"/>
        <w:right w:val="none" w:sz="0" w:space="0" w:color="auto"/>
      </w:divBdr>
    </w:div>
    <w:div w:id="360522460">
      <w:bodyDiv w:val="1"/>
      <w:marLeft w:val="0"/>
      <w:marRight w:val="0"/>
      <w:marTop w:val="0"/>
      <w:marBottom w:val="0"/>
      <w:divBdr>
        <w:top w:val="none" w:sz="0" w:space="0" w:color="auto"/>
        <w:left w:val="none" w:sz="0" w:space="0" w:color="auto"/>
        <w:bottom w:val="none" w:sz="0" w:space="0" w:color="auto"/>
        <w:right w:val="none" w:sz="0" w:space="0" w:color="auto"/>
      </w:divBdr>
    </w:div>
    <w:div w:id="362944991">
      <w:bodyDiv w:val="1"/>
      <w:marLeft w:val="0"/>
      <w:marRight w:val="0"/>
      <w:marTop w:val="0"/>
      <w:marBottom w:val="0"/>
      <w:divBdr>
        <w:top w:val="none" w:sz="0" w:space="0" w:color="auto"/>
        <w:left w:val="none" w:sz="0" w:space="0" w:color="auto"/>
        <w:bottom w:val="none" w:sz="0" w:space="0" w:color="auto"/>
        <w:right w:val="none" w:sz="0" w:space="0" w:color="auto"/>
      </w:divBdr>
    </w:div>
    <w:div w:id="363750670">
      <w:bodyDiv w:val="1"/>
      <w:marLeft w:val="0"/>
      <w:marRight w:val="0"/>
      <w:marTop w:val="0"/>
      <w:marBottom w:val="0"/>
      <w:divBdr>
        <w:top w:val="none" w:sz="0" w:space="0" w:color="auto"/>
        <w:left w:val="none" w:sz="0" w:space="0" w:color="auto"/>
        <w:bottom w:val="none" w:sz="0" w:space="0" w:color="auto"/>
        <w:right w:val="none" w:sz="0" w:space="0" w:color="auto"/>
      </w:divBdr>
    </w:div>
    <w:div w:id="363754119">
      <w:bodyDiv w:val="1"/>
      <w:marLeft w:val="0"/>
      <w:marRight w:val="0"/>
      <w:marTop w:val="0"/>
      <w:marBottom w:val="0"/>
      <w:divBdr>
        <w:top w:val="none" w:sz="0" w:space="0" w:color="auto"/>
        <w:left w:val="none" w:sz="0" w:space="0" w:color="auto"/>
        <w:bottom w:val="none" w:sz="0" w:space="0" w:color="auto"/>
        <w:right w:val="none" w:sz="0" w:space="0" w:color="auto"/>
      </w:divBdr>
    </w:div>
    <w:div w:id="376467171">
      <w:bodyDiv w:val="1"/>
      <w:marLeft w:val="0"/>
      <w:marRight w:val="0"/>
      <w:marTop w:val="0"/>
      <w:marBottom w:val="0"/>
      <w:divBdr>
        <w:top w:val="none" w:sz="0" w:space="0" w:color="auto"/>
        <w:left w:val="none" w:sz="0" w:space="0" w:color="auto"/>
        <w:bottom w:val="none" w:sz="0" w:space="0" w:color="auto"/>
        <w:right w:val="none" w:sz="0" w:space="0" w:color="auto"/>
      </w:divBdr>
    </w:div>
    <w:div w:id="387188855">
      <w:bodyDiv w:val="1"/>
      <w:marLeft w:val="0"/>
      <w:marRight w:val="0"/>
      <w:marTop w:val="0"/>
      <w:marBottom w:val="0"/>
      <w:divBdr>
        <w:top w:val="none" w:sz="0" w:space="0" w:color="auto"/>
        <w:left w:val="none" w:sz="0" w:space="0" w:color="auto"/>
        <w:bottom w:val="none" w:sz="0" w:space="0" w:color="auto"/>
        <w:right w:val="none" w:sz="0" w:space="0" w:color="auto"/>
      </w:divBdr>
    </w:div>
    <w:div w:id="390233872">
      <w:bodyDiv w:val="1"/>
      <w:marLeft w:val="0"/>
      <w:marRight w:val="0"/>
      <w:marTop w:val="0"/>
      <w:marBottom w:val="0"/>
      <w:divBdr>
        <w:top w:val="none" w:sz="0" w:space="0" w:color="auto"/>
        <w:left w:val="none" w:sz="0" w:space="0" w:color="auto"/>
        <w:bottom w:val="none" w:sz="0" w:space="0" w:color="auto"/>
        <w:right w:val="none" w:sz="0" w:space="0" w:color="auto"/>
      </w:divBdr>
    </w:div>
    <w:div w:id="391005276">
      <w:bodyDiv w:val="1"/>
      <w:marLeft w:val="0"/>
      <w:marRight w:val="0"/>
      <w:marTop w:val="0"/>
      <w:marBottom w:val="0"/>
      <w:divBdr>
        <w:top w:val="none" w:sz="0" w:space="0" w:color="auto"/>
        <w:left w:val="none" w:sz="0" w:space="0" w:color="auto"/>
        <w:bottom w:val="none" w:sz="0" w:space="0" w:color="auto"/>
        <w:right w:val="none" w:sz="0" w:space="0" w:color="auto"/>
      </w:divBdr>
    </w:div>
    <w:div w:id="391467111">
      <w:bodyDiv w:val="1"/>
      <w:marLeft w:val="0"/>
      <w:marRight w:val="0"/>
      <w:marTop w:val="0"/>
      <w:marBottom w:val="0"/>
      <w:divBdr>
        <w:top w:val="none" w:sz="0" w:space="0" w:color="auto"/>
        <w:left w:val="none" w:sz="0" w:space="0" w:color="auto"/>
        <w:bottom w:val="none" w:sz="0" w:space="0" w:color="auto"/>
        <w:right w:val="none" w:sz="0" w:space="0" w:color="auto"/>
      </w:divBdr>
    </w:div>
    <w:div w:id="392386776">
      <w:bodyDiv w:val="1"/>
      <w:marLeft w:val="0"/>
      <w:marRight w:val="0"/>
      <w:marTop w:val="0"/>
      <w:marBottom w:val="0"/>
      <w:divBdr>
        <w:top w:val="none" w:sz="0" w:space="0" w:color="auto"/>
        <w:left w:val="none" w:sz="0" w:space="0" w:color="auto"/>
        <w:bottom w:val="none" w:sz="0" w:space="0" w:color="auto"/>
        <w:right w:val="none" w:sz="0" w:space="0" w:color="auto"/>
      </w:divBdr>
    </w:div>
    <w:div w:id="397286905">
      <w:bodyDiv w:val="1"/>
      <w:marLeft w:val="0"/>
      <w:marRight w:val="0"/>
      <w:marTop w:val="0"/>
      <w:marBottom w:val="0"/>
      <w:divBdr>
        <w:top w:val="none" w:sz="0" w:space="0" w:color="auto"/>
        <w:left w:val="none" w:sz="0" w:space="0" w:color="auto"/>
        <w:bottom w:val="none" w:sz="0" w:space="0" w:color="auto"/>
        <w:right w:val="none" w:sz="0" w:space="0" w:color="auto"/>
      </w:divBdr>
    </w:div>
    <w:div w:id="402260864">
      <w:bodyDiv w:val="1"/>
      <w:marLeft w:val="0"/>
      <w:marRight w:val="0"/>
      <w:marTop w:val="0"/>
      <w:marBottom w:val="0"/>
      <w:divBdr>
        <w:top w:val="none" w:sz="0" w:space="0" w:color="auto"/>
        <w:left w:val="none" w:sz="0" w:space="0" w:color="auto"/>
        <w:bottom w:val="none" w:sz="0" w:space="0" w:color="auto"/>
        <w:right w:val="none" w:sz="0" w:space="0" w:color="auto"/>
      </w:divBdr>
    </w:div>
    <w:div w:id="402797135">
      <w:bodyDiv w:val="1"/>
      <w:marLeft w:val="0"/>
      <w:marRight w:val="0"/>
      <w:marTop w:val="0"/>
      <w:marBottom w:val="0"/>
      <w:divBdr>
        <w:top w:val="none" w:sz="0" w:space="0" w:color="auto"/>
        <w:left w:val="none" w:sz="0" w:space="0" w:color="auto"/>
        <w:bottom w:val="none" w:sz="0" w:space="0" w:color="auto"/>
        <w:right w:val="none" w:sz="0" w:space="0" w:color="auto"/>
      </w:divBdr>
    </w:div>
    <w:div w:id="407654020">
      <w:bodyDiv w:val="1"/>
      <w:marLeft w:val="0"/>
      <w:marRight w:val="0"/>
      <w:marTop w:val="0"/>
      <w:marBottom w:val="0"/>
      <w:divBdr>
        <w:top w:val="none" w:sz="0" w:space="0" w:color="auto"/>
        <w:left w:val="none" w:sz="0" w:space="0" w:color="auto"/>
        <w:bottom w:val="none" w:sz="0" w:space="0" w:color="auto"/>
        <w:right w:val="none" w:sz="0" w:space="0" w:color="auto"/>
      </w:divBdr>
    </w:div>
    <w:div w:id="421951278">
      <w:bodyDiv w:val="1"/>
      <w:marLeft w:val="0"/>
      <w:marRight w:val="0"/>
      <w:marTop w:val="0"/>
      <w:marBottom w:val="0"/>
      <w:divBdr>
        <w:top w:val="none" w:sz="0" w:space="0" w:color="auto"/>
        <w:left w:val="none" w:sz="0" w:space="0" w:color="auto"/>
        <w:bottom w:val="none" w:sz="0" w:space="0" w:color="auto"/>
        <w:right w:val="none" w:sz="0" w:space="0" w:color="auto"/>
      </w:divBdr>
    </w:div>
    <w:div w:id="422998163">
      <w:bodyDiv w:val="1"/>
      <w:marLeft w:val="0"/>
      <w:marRight w:val="0"/>
      <w:marTop w:val="0"/>
      <w:marBottom w:val="0"/>
      <w:divBdr>
        <w:top w:val="none" w:sz="0" w:space="0" w:color="auto"/>
        <w:left w:val="none" w:sz="0" w:space="0" w:color="auto"/>
        <w:bottom w:val="none" w:sz="0" w:space="0" w:color="auto"/>
        <w:right w:val="none" w:sz="0" w:space="0" w:color="auto"/>
      </w:divBdr>
    </w:div>
    <w:div w:id="431164463">
      <w:bodyDiv w:val="1"/>
      <w:marLeft w:val="0"/>
      <w:marRight w:val="0"/>
      <w:marTop w:val="0"/>
      <w:marBottom w:val="0"/>
      <w:divBdr>
        <w:top w:val="none" w:sz="0" w:space="0" w:color="auto"/>
        <w:left w:val="none" w:sz="0" w:space="0" w:color="auto"/>
        <w:bottom w:val="none" w:sz="0" w:space="0" w:color="auto"/>
        <w:right w:val="none" w:sz="0" w:space="0" w:color="auto"/>
      </w:divBdr>
      <w:divsChild>
        <w:div w:id="1566604711">
          <w:marLeft w:val="0"/>
          <w:marRight w:val="0"/>
          <w:marTop w:val="0"/>
          <w:marBottom w:val="0"/>
          <w:divBdr>
            <w:top w:val="none" w:sz="0" w:space="0" w:color="auto"/>
            <w:left w:val="none" w:sz="0" w:space="0" w:color="auto"/>
            <w:bottom w:val="none" w:sz="0" w:space="0" w:color="auto"/>
            <w:right w:val="none" w:sz="0" w:space="0" w:color="auto"/>
          </w:divBdr>
          <w:divsChild>
            <w:div w:id="87041259">
              <w:marLeft w:val="0"/>
              <w:marRight w:val="0"/>
              <w:marTop w:val="0"/>
              <w:marBottom w:val="0"/>
              <w:divBdr>
                <w:top w:val="none" w:sz="0" w:space="0" w:color="auto"/>
                <w:left w:val="none" w:sz="0" w:space="0" w:color="auto"/>
                <w:bottom w:val="none" w:sz="0" w:space="0" w:color="auto"/>
                <w:right w:val="none" w:sz="0" w:space="0" w:color="auto"/>
              </w:divBdr>
              <w:divsChild>
                <w:div w:id="1087531139">
                  <w:marLeft w:val="0"/>
                  <w:marRight w:val="0"/>
                  <w:marTop w:val="0"/>
                  <w:marBottom w:val="0"/>
                  <w:divBdr>
                    <w:top w:val="none" w:sz="0" w:space="0" w:color="auto"/>
                    <w:left w:val="none" w:sz="0" w:space="0" w:color="auto"/>
                    <w:bottom w:val="none" w:sz="0" w:space="0" w:color="auto"/>
                    <w:right w:val="none" w:sz="0" w:space="0" w:color="auto"/>
                  </w:divBdr>
                  <w:divsChild>
                    <w:div w:id="166528212">
                      <w:marLeft w:val="0"/>
                      <w:marRight w:val="0"/>
                      <w:marTop w:val="0"/>
                      <w:marBottom w:val="0"/>
                      <w:divBdr>
                        <w:top w:val="none" w:sz="0" w:space="0" w:color="auto"/>
                        <w:left w:val="none" w:sz="0" w:space="0" w:color="auto"/>
                        <w:bottom w:val="none" w:sz="0" w:space="0" w:color="auto"/>
                        <w:right w:val="none" w:sz="0" w:space="0" w:color="auto"/>
                      </w:divBdr>
                      <w:divsChild>
                        <w:div w:id="379063540">
                          <w:marLeft w:val="0"/>
                          <w:marRight w:val="0"/>
                          <w:marTop w:val="0"/>
                          <w:marBottom w:val="0"/>
                          <w:divBdr>
                            <w:top w:val="none" w:sz="0" w:space="0" w:color="auto"/>
                            <w:left w:val="none" w:sz="0" w:space="0" w:color="auto"/>
                            <w:bottom w:val="none" w:sz="0" w:space="0" w:color="auto"/>
                            <w:right w:val="none" w:sz="0" w:space="0" w:color="auto"/>
                          </w:divBdr>
                          <w:divsChild>
                            <w:div w:id="14772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7799903">
      <w:bodyDiv w:val="1"/>
      <w:marLeft w:val="0"/>
      <w:marRight w:val="0"/>
      <w:marTop w:val="0"/>
      <w:marBottom w:val="0"/>
      <w:divBdr>
        <w:top w:val="none" w:sz="0" w:space="0" w:color="auto"/>
        <w:left w:val="none" w:sz="0" w:space="0" w:color="auto"/>
        <w:bottom w:val="none" w:sz="0" w:space="0" w:color="auto"/>
        <w:right w:val="none" w:sz="0" w:space="0" w:color="auto"/>
      </w:divBdr>
    </w:div>
    <w:div w:id="438523124">
      <w:bodyDiv w:val="1"/>
      <w:marLeft w:val="0"/>
      <w:marRight w:val="0"/>
      <w:marTop w:val="0"/>
      <w:marBottom w:val="0"/>
      <w:divBdr>
        <w:top w:val="none" w:sz="0" w:space="0" w:color="auto"/>
        <w:left w:val="none" w:sz="0" w:space="0" w:color="auto"/>
        <w:bottom w:val="none" w:sz="0" w:space="0" w:color="auto"/>
        <w:right w:val="none" w:sz="0" w:space="0" w:color="auto"/>
      </w:divBdr>
    </w:div>
    <w:div w:id="440340952">
      <w:bodyDiv w:val="1"/>
      <w:marLeft w:val="0"/>
      <w:marRight w:val="0"/>
      <w:marTop w:val="0"/>
      <w:marBottom w:val="0"/>
      <w:divBdr>
        <w:top w:val="none" w:sz="0" w:space="0" w:color="auto"/>
        <w:left w:val="none" w:sz="0" w:space="0" w:color="auto"/>
        <w:bottom w:val="none" w:sz="0" w:space="0" w:color="auto"/>
        <w:right w:val="none" w:sz="0" w:space="0" w:color="auto"/>
      </w:divBdr>
    </w:div>
    <w:div w:id="456726070">
      <w:bodyDiv w:val="1"/>
      <w:marLeft w:val="0"/>
      <w:marRight w:val="0"/>
      <w:marTop w:val="0"/>
      <w:marBottom w:val="0"/>
      <w:divBdr>
        <w:top w:val="none" w:sz="0" w:space="0" w:color="auto"/>
        <w:left w:val="none" w:sz="0" w:space="0" w:color="auto"/>
        <w:bottom w:val="none" w:sz="0" w:space="0" w:color="auto"/>
        <w:right w:val="none" w:sz="0" w:space="0" w:color="auto"/>
      </w:divBdr>
    </w:div>
    <w:div w:id="464128077">
      <w:bodyDiv w:val="1"/>
      <w:marLeft w:val="0"/>
      <w:marRight w:val="0"/>
      <w:marTop w:val="0"/>
      <w:marBottom w:val="0"/>
      <w:divBdr>
        <w:top w:val="none" w:sz="0" w:space="0" w:color="auto"/>
        <w:left w:val="none" w:sz="0" w:space="0" w:color="auto"/>
        <w:bottom w:val="none" w:sz="0" w:space="0" w:color="auto"/>
        <w:right w:val="none" w:sz="0" w:space="0" w:color="auto"/>
      </w:divBdr>
    </w:div>
    <w:div w:id="468596373">
      <w:bodyDiv w:val="1"/>
      <w:marLeft w:val="0"/>
      <w:marRight w:val="0"/>
      <w:marTop w:val="0"/>
      <w:marBottom w:val="0"/>
      <w:divBdr>
        <w:top w:val="none" w:sz="0" w:space="0" w:color="auto"/>
        <w:left w:val="none" w:sz="0" w:space="0" w:color="auto"/>
        <w:bottom w:val="none" w:sz="0" w:space="0" w:color="auto"/>
        <w:right w:val="none" w:sz="0" w:space="0" w:color="auto"/>
      </w:divBdr>
    </w:div>
    <w:div w:id="472672574">
      <w:bodyDiv w:val="1"/>
      <w:marLeft w:val="0"/>
      <w:marRight w:val="0"/>
      <w:marTop w:val="0"/>
      <w:marBottom w:val="0"/>
      <w:divBdr>
        <w:top w:val="none" w:sz="0" w:space="0" w:color="auto"/>
        <w:left w:val="none" w:sz="0" w:space="0" w:color="auto"/>
        <w:bottom w:val="none" w:sz="0" w:space="0" w:color="auto"/>
        <w:right w:val="none" w:sz="0" w:space="0" w:color="auto"/>
      </w:divBdr>
    </w:div>
    <w:div w:id="474487324">
      <w:bodyDiv w:val="1"/>
      <w:marLeft w:val="0"/>
      <w:marRight w:val="0"/>
      <w:marTop w:val="0"/>
      <w:marBottom w:val="0"/>
      <w:divBdr>
        <w:top w:val="none" w:sz="0" w:space="0" w:color="auto"/>
        <w:left w:val="none" w:sz="0" w:space="0" w:color="auto"/>
        <w:bottom w:val="none" w:sz="0" w:space="0" w:color="auto"/>
        <w:right w:val="none" w:sz="0" w:space="0" w:color="auto"/>
      </w:divBdr>
    </w:div>
    <w:div w:id="491483599">
      <w:bodyDiv w:val="1"/>
      <w:marLeft w:val="0"/>
      <w:marRight w:val="0"/>
      <w:marTop w:val="0"/>
      <w:marBottom w:val="0"/>
      <w:divBdr>
        <w:top w:val="none" w:sz="0" w:space="0" w:color="auto"/>
        <w:left w:val="none" w:sz="0" w:space="0" w:color="auto"/>
        <w:bottom w:val="none" w:sz="0" w:space="0" w:color="auto"/>
        <w:right w:val="none" w:sz="0" w:space="0" w:color="auto"/>
      </w:divBdr>
    </w:div>
    <w:div w:id="497042424">
      <w:bodyDiv w:val="1"/>
      <w:marLeft w:val="0"/>
      <w:marRight w:val="0"/>
      <w:marTop w:val="0"/>
      <w:marBottom w:val="0"/>
      <w:divBdr>
        <w:top w:val="none" w:sz="0" w:space="0" w:color="auto"/>
        <w:left w:val="none" w:sz="0" w:space="0" w:color="auto"/>
        <w:bottom w:val="none" w:sz="0" w:space="0" w:color="auto"/>
        <w:right w:val="none" w:sz="0" w:space="0" w:color="auto"/>
      </w:divBdr>
    </w:div>
    <w:div w:id="500245230">
      <w:bodyDiv w:val="1"/>
      <w:marLeft w:val="0"/>
      <w:marRight w:val="0"/>
      <w:marTop w:val="0"/>
      <w:marBottom w:val="0"/>
      <w:divBdr>
        <w:top w:val="none" w:sz="0" w:space="0" w:color="auto"/>
        <w:left w:val="none" w:sz="0" w:space="0" w:color="auto"/>
        <w:bottom w:val="none" w:sz="0" w:space="0" w:color="auto"/>
        <w:right w:val="none" w:sz="0" w:space="0" w:color="auto"/>
      </w:divBdr>
    </w:div>
    <w:div w:id="507839867">
      <w:bodyDiv w:val="1"/>
      <w:marLeft w:val="0"/>
      <w:marRight w:val="0"/>
      <w:marTop w:val="0"/>
      <w:marBottom w:val="0"/>
      <w:divBdr>
        <w:top w:val="none" w:sz="0" w:space="0" w:color="auto"/>
        <w:left w:val="none" w:sz="0" w:space="0" w:color="auto"/>
        <w:bottom w:val="none" w:sz="0" w:space="0" w:color="auto"/>
        <w:right w:val="none" w:sz="0" w:space="0" w:color="auto"/>
      </w:divBdr>
    </w:div>
    <w:div w:id="515000520">
      <w:bodyDiv w:val="1"/>
      <w:marLeft w:val="0"/>
      <w:marRight w:val="0"/>
      <w:marTop w:val="0"/>
      <w:marBottom w:val="0"/>
      <w:divBdr>
        <w:top w:val="none" w:sz="0" w:space="0" w:color="auto"/>
        <w:left w:val="none" w:sz="0" w:space="0" w:color="auto"/>
        <w:bottom w:val="none" w:sz="0" w:space="0" w:color="auto"/>
        <w:right w:val="none" w:sz="0" w:space="0" w:color="auto"/>
      </w:divBdr>
    </w:div>
    <w:div w:id="520314372">
      <w:bodyDiv w:val="1"/>
      <w:marLeft w:val="0"/>
      <w:marRight w:val="0"/>
      <w:marTop w:val="0"/>
      <w:marBottom w:val="0"/>
      <w:divBdr>
        <w:top w:val="none" w:sz="0" w:space="0" w:color="auto"/>
        <w:left w:val="none" w:sz="0" w:space="0" w:color="auto"/>
        <w:bottom w:val="none" w:sz="0" w:space="0" w:color="auto"/>
        <w:right w:val="none" w:sz="0" w:space="0" w:color="auto"/>
      </w:divBdr>
    </w:div>
    <w:div w:id="524834323">
      <w:bodyDiv w:val="1"/>
      <w:marLeft w:val="0"/>
      <w:marRight w:val="0"/>
      <w:marTop w:val="0"/>
      <w:marBottom w:val="0"/>
      <w:divBdr>
        <w:top w:val="none" w:sz="0" w:space="0" w:color="auto"/>
        <w:left w:val="none" w:sz="0" w:space="0" w:color="auto"/>
        <w:bottom w:val="none" w:sz="0" w:space="0" w:color="auto"/>
        <w:right w:val="none" w:sz="0" w:space="0" w:color="auto"/>
      </w:divBdr>
    </w:div>
    <w:div w:id="526451203">
      <w:bodyDiv w:val="1"/>
      <w:marLeft w:val="0"/>
      <w:marRight w:val="0"/>
      <w:marTop w:val="0"/>
      <w:marBottom w:val="0"/>
      <w:divBdr>
        <w:top w:val="none" w:sz="0" w:space="0" w:color="auto"/>
        <w:left w:val="none" w:sz="0" w:space="0" w:color="auto"/>
        <w:bottom w:val="none" w:sz="0" w:space="0" w:color="auto"/>
        <w:right w:val="none" w:sz="0" w:space="0" w:color="auto"/>
      </w:divBdr>
    </w:div>
    <w:div w:id="529032170">
      <w:bodyDiv w:val="1"/>
      <w:marLeft w:val="0"/>
      <w:marRight w:val="0"/>
      <w:marTop w:val="0"/>
      <w:marBottom w:val="0"/>
      <w:divBdr>
        <w:top w:val="none" w:sz="0" w:space="0" w:color="auto"/>
        <w:left w:val="none" w:sz="0" w:space="0" w:color="auto"/>
        <w:bottom w:val="none" w:sz="0" w:space="0" w:color="auto"/>
        <w:right w:val="none" w:sz="0" w:space="0" w:color="auto"/>
      </w:divBdr>
    </w:div>
    <w:div w:id="544298427">
      <w:bodyDiv w:val="1"/>
      <w:marLeft w:val="0"/>
      <w:marRight w:val="0"/>
      <w:marTop w:val="0"/>
      <w:marBottom w:val="0"/>
      <w:divBdr>
        <w:top w:val="none" w:sz="0" w:space="0" w:color="auto"/>
        <w:left w:val="none" w:sz="0" w:space="0" w:color="auto"/>
        <w:bottom w:val="none" w:sz="0" w:space="0" w:color="auto"/>
        <w:right w:val="none" w:sz="0" w:space="0" w:color="auto"/>
      </w:divBdr>
    </w:div>
    <w:div w:id="552812960">
      <w:bodyDiv w:val="1"/>
      <w:marLeft w:val="0"/>
      <w:marRight w:val="0"/>
      <w:marTop w:val="0"/>
      <w:marBottom w:val="0"/>
      <w:divBdr>
        <w:top w:val="none" w:sz="0" w:space="0" w:color="auto"/>
        <w:left w:val="none" w:sz="0" w:space="0" w:color="auto"/>
        <w:bottom w:val="none" w:sz="0" w:space="0" w:color="auto"/>
        <w:right w:val="none" w:sz="0" w:space="0" w:color="auto"/>
      </w:divBdr>
    </w:div>
    <w:div w:id="568733130">
      <w:bodyDiv w:val="1"/>
      <w:marLeft w:val="0"/>
      <w:marRight w:val="0"/>
      <w:marTop w:val="0"/>
      <w:marBottom w:val="0"/>
      <w:divBdr>
        <w:top w:val="none" w:sz="0" w:space="0" w:color="auto"/>
        <w:left w:val="none" w:sz="0" w:space="0" w:color="auto"/>
        <w:bottom w:val="none" w:sz="0" w:space="0" w:color="auto"/>
        <w:right w:val="none" w:sz="0" w:space="0" w:color="auto"/>
      </w:divBdr>
    </w:div>
    <w:div w:id="571474559">
      <w:bodyDiv w:val="1"/>
      <w:marLeft w:val="0"/>
      <w:marRight w:val="0"/>
      <w:marTop w:val="0"/>
      <w:marBottom w:val="0"/>
      <w:divBdr>
        <w:top w:val="none" w:sz="0" w:space="0" w:color="auto"/>
        <w:left w:val="none" w:sz="0" w:space="0" w:color="auto"/>
        <w:bottom w:val="none" w:sz="0" w:space="0" w:color="auto"/>
        <w:right w:val="none" w:sz="0" w:space="0" w:color="auto"/>
      </w:divBdr>
    </w:div>
    <w:div w:id="575021588">
      <w:bodyDiv w:val="1"/>
      <w:marLeft w:val="0"/>
      <w:marRight w:val="0"/>
      <w:marTop w:val="0"/>
      <w:marBottom w:val="0"/>
      <w:divBdr>
        <w:top w:val="none" w:sz="0" w:space="0" w:color="auto"/>
        <w:left w:val="none" w:sz="0" w:space="0" w:color="auto"/>
        <w:bottom w:val="none" w:sz="0" w:space="0" w:color="auto"/>
        <w:right w:val="none" w:sz="0" w:space="0" w:color="auto"/>
      </w:divBdr>
    </w:div>
    <w:div w:id="579171708">
      <w:bodyDiv w:val="1"/>
      <w:marLeft w:val="0"/>
      <w:marRight w:val="0"/>
      <w:marTop w:val="0"/>
      <w:marBottom w:val="0"/>
      <w:divBdr>
        <w:top w:val="none" w:sz="0" w:space="0" w:color="auto"/>
        <w:left w:val="none" w:sz="0" w:space="0" w:color="auto"/>
        <w:bottom w:val="none" w:sz="0" w:space="0" w:color="auto"/>
        <w:right w:val="none" w:sz="0" w:space="0" w:color="auto"/>
      </w:divBdr>
    </w:div>
    <w:div w:id="586427503">
      <w:bodyDiv w:val="1"/>
      <w:marLeft w:val="0"/>
      <w:marRight w:val="0"/>
      <w:marTop w:val="0"/>
      <w:marBottom w:val="0"/>
      <w:divBdr>
        <w:top w:val="none" w:sz="0" w:space="0" w:color="auto"/>
        <w:left w:val="none" w:sz="0" w:space="0" w:color="auto"/>
        <w:bottom w:val="none" w:sz="0" w:space="0" w:color="auto"/>
        <w:right w:val="none" w:sz="0" w:space="0" w:color="auto"/>
      </w:divBdr>
    </w:div>
    <w:div w:id="588852294">
      <w:bodyDiv w:val="1"/>
      <w:marLeft w:val="0"/>
      <w:marRight w:val="0"/>
      <w:marTop w:val="0"/>
      <w:marBottom w:val="0"/>
      <w:divBdr>
        <w:top w:val="none" w:sz="0" w:space="0" w:color="auto"/>
        <w:left w:val="none" w:sz="0" w:space="0" w:color="auto"/>
        <w:bottom w:val="none" w:sz="0" w:space="0" w:color="auto"/>
        <w:right w:val="none" w:sz="0" w:space="0" w:color="auto"/>
      </w:divBdr>
    </w:div>
    <w:div w:id="590159426">
      <w:bodyDiv w:val="1"/>
      <w:marLeft w:val="0"/>
      <w:marRight w:val="0"/>
      <w:marTop w:val="0"/>
      <w:marBottom w:val="0"/>
      <w:divBdr>
        <w:top w:val="none" w:sz="0" w:space="0" w:color="auto"/>
        <w:left w:val="none" w:sz="0" w:space="0" w:color="auto"/>
        <w:bottom w:val="none" w:sz="0" w:space="0" w:color="auto"/>
        <w:right w:val="none" w:sz="0" w:space="0" w:color="auto"/>
      </w:divBdr>
    </w:div>
    <w:div w:id="593784404">
      <w:bodyDiv w:val="1"/>
      <w:marLeft w:val="0"/>
      <w:marRight w:val="0"/>
      <w:marTop w:val="0"/>
      <w:marBottom w:val="0"/>
      <w:divBdr>
        <w:top w:val="none" w:sz="0" w:space="0" w:color="auto"/>
        <w:left w:val="none" w:sz="0" w:space="0" w:color="auto"/>
        <w:bottom w:val="none" w:sz="0" w:space="0" w:color="auto"/>
        <w:right w:val="none" w:sz="0" w:space="0" w:color="auto"/>
      </w:divBdr>
    </w:div>
    <w:div w:id="596325500">
      <w:bodyDiv w:val="1"/>
      <w:marLeft w:val="0"/>
      <w:marRight w:val="0"/>
      <w:marTop w:val="0"/>
      <w:marBottom w:val="0"/>
      <w:divBdr>
        <w:top w:val="none" w:sz="0" w:space="0" w:color="auto"/>
        <w:left w:val="none" w:sz="0" w:space="0" w:color="auto"/>
        <w:bottom w:val="none" w:sz="0" w:space="0" w:color="auto"/>
        <w:right w:val="none" w:sz="0" w:space="0" w:color="auto"/>
      </w:divBdr>
    </w:div>
    <w:div w:id="598292987">
      <w:bodyDiv w:val="1"/>
      <w:marLeft w:val="0"/>
      <w:marRight w:val="0"/>
      <w:marTop w:val="0"/>
      <w:marBottom w:val="0"/>
      <w:divBdr>
        <w:top w:val="none" w:sz="0" w:space="0" w:color="auto"/>
        <w:left w:val="none" w:sz="0" w:space="0" w:color="auto"/>
        <w:bottom w:val="none" w:sz="0" w:space="0" w:color="auto"/>
        <w:right w:val="none" w:sz="0" w:space="0" w:color="auto"/>
      </w:divBdr>
    </w:div>
    <w:div w:id="607275987">
      <w:bodyDiv w:val="1"/>
      <w:marLeft w:val="0"/>
      <w:marRight w:val="0"/>
      <w:marTop w:val="0"/>
      <w:marBottom w:val="0"/>
      <w:divBdr>
        <w:top w:val="none" w:sz="0" w:space="0" w:color="auto"/>
        <w:left w:val="none" w:sz="0" w:space="0" w:color="auto"/>
        <w:bottom w:val="none" w:sz="0" w:space="0" w:color="auto"/>
        <w:right w:val="none" w:sz="0" w:space="0" w:color="auto"/>
      </w:divBdr>
    </w:div>
    <w:div w:id="607810320">
      <w:bodyDiv w:val="1"/>
      <w:marLeft w:val="0"/>
      <w:marRight w:val="0"/>
      <w:marTop w:val="0"/>
      <w:marBottom w:val="0"/>
      <w:divBdr>
        <w:top w:val="none" w:sz="0" w:space="0" w:color="auto"/>
        <w:left w:val="none" w:sz="0" w:space="0" w:color="auto"/>
        <w:bottom w:val="none" w:sz="0" w:space="0" w:color="auto"/>
        <w:right w:val="none" w:sz="0" w:space="0" w:color="auto"/>
      </w:divBdr>
    </w:div>
    <w:div w:id="608322002">
      <w:bodyDiv w:val="1"/>
      <w:marLeft w:val="0"/>
      <w:marRight w:val="0"/>
      <w:marTop w:val="0"/>
      <w:marBottom w:val="0"/>
      <w:divBdr>
        <w:top w:val="none" w:sz="0" w:space="0" w:color="auto"/>
        <w:left w:val="none" w:sz="0" w:space="0" w:color="auto"/>
        <w:bottom w:val="none" w:sz="0" w:space="0" w:color="auto"/>
        <w:right w:val="none" w:sz="0" w:space="0" w:color="auto"/>
      </w:divBdr>
    </w:div>
    <w:div w:id="616370391">
      <w:bodyDiv w:val="1"/>
      <w:marLeft w:val="0"/>
      <w:marRight w:val="0"/>
      <w:marTop w:val="0"/>
      <w:marBottom w:val="0"/>
      <w:divBdr>
        <w:top w:val="none" w:sz="0" w:space="0" w:color="auto"/>
        <w:left w:val="none" w:sz="0" w:space="0" w:color="auto"/>
        <w:bottom w:val="none" w:sz="0" w:space="0" w:color="auto"/>
        <w:right w:val="none" w:sz="0" w:space="0" w:color="auto"/>
      </w:divBdr>
    </w:div>
    <w:div w:id="620384042">
      <w:bodyDiv w:val="1"/>
      <w:marLeft w:val="0"/>
      <w:marRight w:val="0"/>
      <w:marTop w:val="0"/>
      <w:marBottom w:val="0"/>
      <w:divBdr>
        <w:top w:val="none" w:sz="0" w:space="0" w:color="auto"/>
        <w:left w:val="none" w:sz="0" w:space="0" w:color="auto"/>
        <w:bottom w:val="none" w:sz="0" w:space="0" w:color="auto"/>
        <w:right w:val="none" w:sz="0" w:space="0" w:color="auto"/>
      </w:divBdr>
    </w:div>
    <w:div w:id="620693405">
      <w:bodyDiv w:val="1"/>
      <w:marLeft w:val="0"/>
      <w:marRight w:val="0"/>
      <w:marTop w:val="0"/>
      <w:marBottom w:val="0"/>
      <w:divBdr>
        <w:top w:val="none" w:sz="0" w:space="0" w:color="auto"/>
        <w:left w:val="none" w:sz="0" w:space="0" w:color="auto"/>
        <w:bottom w:val="none" w:sz="0" w:space="0" w:color="auto"/>
        <w:right w:val="none" w:sz="0" w:space="0" w:color="auto"/>
      </w:divBdr>
    </w:div>
    <w:div w:id="621154106">
      <w:bodyDiv w:val="1"/>
      <w:marLeft w:val="0"/>
      <w:marRight w:val="0"/>
      <w:marTop w:val="0"/>
      <w:marBottom w:val="0"/>
      <w:divBdr>
        <w:top w:val="none" w:sz="0" w:space="0" w:color="auto"/>
        <w:left w:val="none" w:sz="0" w:space="0" w:color="auto"/>
        <w:bottom w:val="none" w:sz="0" w:space="0" w:color="auto"/>
        <w:right w:val="none" w:sz="0" w:space="0" w:color="auto"/>
      </w:divBdr>
    </w:div>
    <w:div w:id="625309123">
      <w:bodyDiv w:val="1"/>
      <w:marLeft w:val="0"/>
      <w:marRight w:val="0"/>
      <w:marTop w:val="0"/>
      <w:marBottom w:val="0"/>
      <w:divBdr>
        <w:top w:val="none" w:sz="0" w:space="0" w:color="auto"/>
        <w:left w:val="none" w:sz="0" w:space="0" w:color="auto"/>
        <w:bottom w:val="none" w:sz="0" w:space="0" w:color="auto"/>
        <w:right w:val="none" w:sz="0" w:space="0" w:color="auto"/>
      </w:divBdr>
    </w:div>
    <w:div w:id="642002004">
      <w:bodyDiv w:val="1"/>
      <w:marLeft w:val="0"/>
      <w:marRight w:val="0"/>
      <w:marTop w:val="0"/>
      <w:marBottom w:val="0"/>
      <w:divBdr>
        <w:top w:val="none" w:sz="0" w:space="0" w:color="auto"/>
        <w:left w:val="none" w:sz="0" w:space="0" w:color="auto"/>
        <w:bottom w:val="none" w:sz="0" w:space="0" w:color="auto"/>
        <w:right w:val="none" w:sz="0" w:space="0" w:color="auto"/>
      </w:divBdr>
    </w:div>
    <w:div w:id="643698041">
      <w:bodyDiv w:val="1"/>
      <w:marLeft w:val="0"/>
      <w:marRight w:val="0"/>
      <w:marTop w:val="0"/>
      <w:marBottom w:val="0"/>
      <w:divBdr>
        <w:top w:val="none" w:sz="0" w:space="0" w:color="auto"/>
        <w:left w:val="none" w:sz="0" w:space="0" w:color="auto"/>
        <w:bottom w:val="none" w:sz="0" w:space="0" w:color="auto"/>
        <w:right w:val="none" w:sz="0" w:space="0" w:color="auto"/>
      </w:divBdr>
    </w:div>
    <w:div w:id="648947313">
      <w:bodyDiv w:val="1"/>
      <w:marLeft w:val="0"/>
      <w:marRight w:val="0"/>
      <w:marTop w:val="0"/>
      <w:marBottom w:val="0"/>
      <w:divBdr>
        <w:top w:val="none" w:sz="0" w:space="0" w:color="auto"/>
        <w:left w:val="none" w:sz="0" w:space="0" w:color="auto"/>
        <w:bottom w:val="none" w:sz="0" w:space="0" w:color="auto"/>
        <w:right w:val="none" w:sz="0" w:space="0" w:color="auto"/>
      </w:divBdr>
    </w:div>
    <w:div w:id="662590226">
      <w:bodyDiv w:val="1"/>
      <w:marLeft w:val="0"/>
      <w:marRight w:val="0"/>
      <w:marTop w:val="0"/>
      <w:marBottom w:val="0"/>
      <w:divBdr>
        <w:top w:val="none" w:sz="0" w:space="0" w:color="auto"/>
        <w:left w:val="none" w:sz="0" w:space="0" w:color="auto"/>
        <w:bottom w:val="none" w:sz="0" w:space="0" w:color="auto"/>
        <w:right w:val="none" w:sz="0" w:space="0" w:color="auto"/>
      </w:divBdr>
    </w:div>
    <w:div w:id="663125712">
      <w:bodyDiv w:val="1"/>
      <w:marLeft w:val="0"/>
      <w:marRight w:val="0"/>
      <w:marTop w:val="0"/>
      <w:marBottom w:val="0"/>
      <w:divBdr>
        <w:top w:val="none" w:sz="0" w:space="0" w:color="auto"/>
        <w:left w:val="none" w:sz="0" w:space="0" w:color="auto"/>
        <w:bottom w:val="none" w:sz="0" w:space="0" w:color="auto"/>
        <w:right w:val="none" w:sz="0" w:space="0" w:color="auto"/>
      </w:divBdr>
    </w:div>
    <w:div w:id="668099793">
      <w:bodyDiv w:val="1"/>
      <w:marLeft w:val="0"/>
      <w:marRight w:val="0"/>
      <w:marTop w:val="0"/>
      <w:marBottom w:val="0"/>
      <w:divBdr>
        <w:top w:val="none" w:sz="0" w:space="0" w:color="auto"/>
        <w:left w:val="none" w:sz="0" w:space="0" w:color="auto"/>
        <w:bottom w:val="none" w:sz="0" w:space="0" w:color="auto"/>
        <w:right w:val="none" w:sz="0" w:space="0" w:color="auto"/>
      </w:divBdr>
    </w:div>
    <w:div w:id="671252447">
      <w:bodyDiv w:val="1"/>
      <w:marLeft w:val="0"/>
      <w:marRight w:val="0"/>
      <w:marTop w:val="0"/>
      <w:marBottom w:val="0"/>
      <w:divBdr>
        <w:top w:val="none" w:sz="0" w:space="0" w:color="auto"/>
        <w:left w:val="none" w:sz="0" w:space="0" w:color="auto"/>
        <w:bottom w:val="none" w:sz="0" w:space="0" w:color="auto"/>
        <w:right w:val="none" w:sz="0" w:space="0" w:color="auto"/>
      </w:divBdr>
    </w:div>
    <w:div w:id="671877991">
      <w:bodyDiv w:val="1"/>
      <w:marLeft w:val="0"/>
      <w:marRight w:val="0"/>
      <w:marTop w:val="0"/>
      <w:marBottom w:val="0"/>
      <w:divBdr>
        <w:top w:val="none" w:sz="0" w:space="0" w:color="auto"/>
        <w:left w:val="none" w:sz="0" w:space="0" w:color="auto"/>
        <w:bottom w:val="none" w:sz="0" w:space="0" w:color="auto"/>
        <w:right w:val="none" w:sz="0" w:space="0" w:color="auto"/>
      </w:divBdr>
    </w:div>
    <w:div w:id="674767430">
      <w:bodyDiv w:val="1"/>
      <w:marLeft w:val="0"/>
      <w:marRight w:val="0"/>
      <w:marTop w:val="0"/>
      <w:marBottom w:val="0"/>
      <w:divBdr>
        <w:top w:val="none" w:sz="0" w:space="0" w:color="auto"/>
        <w:left w:val="none" w:sz="0" w:space="0" w:color="auto"/>
        <w:bottom w:val="none" w:sz="0" w:space="0" w:color="auto"/>
        <w:right w:val="none" w:sz="0" w:space="0" w:color="auto"/>
      </w:divBdr>
    </w:div>
    <w:div w:id="676350843">
      <w:bodyDiv w:val="1"/>
      <w:marLeft w:val="0"/>
      <w:marRight w:val="0"/>
      <w:marTop w:val="0"/>
      <w:marBottom w:val="0"/>
      <w:divBdr>
        <w:top w:val="none" w:sz="0" w:space="0" w:color="auto"/>
        <w:left w:val="none" w:sz="0" w:space="0" w:color="auto"/>
        <w:bottom w:val="none" w:sz="0" w:space="0" w:color="auto"/>
        <w:right w:val="none" w:sz="0" w:space="0" w:color="auto"/>
      </w:divBdr>
    </w:div>
    <w:div w:id="679744325">
      <w:bodyDiv w:val="1"/>
      <w:marLeft w:val="0"/>
      <w:marRight w:val="0"/>
      <w:marTop w:val="0"/>
      <w:marBottom w:val="0"/>
      <w:divBdr>
        <w:top w:val="none" w:sz="0" w:space="0" w:color="auto"/>
        <w:left w:val="none" w:sz="0" w:space="0" w:color="auto"/>
        <w:bottom w:val="none" w:sz="0" w:space="0" w:color="auto"/>
        <w:right w:val="none" w:sz="0" w:space="0" w:color="auto"/>
      </w:divBdr>
    </w:div>
    <w:div w:id="688458138">
      <w:bodyDiv w:val="1"/>
      <w:marLeft w:val="0"/>
      <w:marRight w:val="0"/>
      <w:marTop w:val="0"/>
      <w:marBottom w:val="0"/>
      <w:divBdr>
        <w:top w:val="none" w:sz="0" w:space="0" w:color="auto"/>
        <w:left w:val="none" w:sz="0" w:space="0" w:color="auto"/>
        <w:bottom w:val="none" w:sz="0" w:space="0" w:color="auto"/>
        <w:right w:val="none" w:sz="0" w:space="0" w:color="auto"/>
      </w:divBdr>
    </w:div>
    <w:div w:id="689797735">
      <w:bodyDiv w:val="1"/>
      <w:marLeft w:val="0"/>
      <w:marRight w:val="0"/>
      <w:marTop w:val="0"/>
      <w:marBottom w:val="0"/>
      <w:divBdr>
        <w:top w:val="none" w:sz="0" w:space="0" w:color="auto"/>
        <w:left w:val="none" w:sz="0" w:space="0" w:color="auto"/>
        <w:bottom w:val="none" w:sz="0" w:space="0" w:color="auto"/>
        <w:right w:val="none" w:sz="0" w:space="0" w:color="auto"/>
      </w:divBdr>
    </w:div>
    <w:div w:id="691568144">
      <w:bodyDiv w:val="1"/>
      <w:marLeft w:val="0"/>
      <w:marRight w:val="0"/>
      <w:marTop w:val="0"/>
      <w:marBottom w:val="0"/>
      <w:divBdr>
        <w:top w:val="none" w:sz="0" w:space="0" w:color="auto"/>
        <w:left w:val="none" w:sz="0" w:space="0" w:color="auto"/>
        <w:bottom w:val="none" w:sz="0" w:space="0" w:color="auto"/>
        <w:right w:val="none" w:sz="0" w:space="0" w:color="auto"/>
      </w:divBdr>
    </w:div>
    <w:div w:id="693075015">
      <w:bodyDiv w:val="1"/>
      <w:marLeft w:val="0"/>
      <w:marRight w:val="0"/>
      <w:marTop w:val="0"/>
      <w:marBottom w:val="0"/>
      <w:divBdr>
        <w:top w:val="none" w:sz="0" w:space="0" w:color="auto"/>
        <w:left w:val="none" w:sz="0" w:space="0" w:color="auto"/>
        <w:bottom w:val="none" w:sz="0" w:space="0" w:color="auto"/>
        <w:right w:val="none" w:sz="0" w:space="0" w:color="auto"/>
      </w:divBdr>
    </w:div>
    <w:div w:id="698507058">
      <w:bodyDiv w:val="1"/>
      <w:marLeft w:val="0"/>
      <w:marRight w:val="0"/>
      <w:marTop w:val="0"/>
      <w:marBottom w:val="0"/>
      <w:divBdr>
        <w:top w:val="none" w:sz="0" w:space="0" w:color="auto"/>
        <w:left w:val="none" w:sz="0" w:space="0" w:color="auto"/>
        <w:bottom w:val="none" w:sz="0" w:space="0" w:color="auto"/>
        <w:right w:val="none" w:sz="0" w:space="0" w:color="auto"/>
      </w:divBdr>
    </w:div>
    <w:div w:id="701705748">
      <w:bodyDiv w:val="1"/>
      <w:marLeft w:val="0"/>
      <w:marRight w:val="0"/>
      <w:marTop w:val="0"/>
      <w:marBottom w:val="0"/>
      <w:divBdr>
        <w:top w:val="none" w:sz="0" w:space="0" w:color="auto"/>
        <w:left w:val="none" w:sz="0" w:space="0" w:color="auto"/>
        <w:bottom w:val="none" w:sz="0" w:space="0" w:color="auto"/>
        <w:right w:val="none" w:sz="0" w:space="0" w:color="auto"/>
      </w:divBdr>
    </w:div>
    <w:div w:id="711686059">
      <w:bodyDiv w:val="1"/>
      <w:marLeft w:val="0"/>
      <w:marRight w:val="0"/>
      <w:marTop w:val="0"/>
      <w:marBottom w:val="0"/>
      <w:divBdr>
        <w:top w:val="none" w:sz="0" w:space="0" w:color="auto"/>
        <w:left w:val="none" w:sz="0" w:space="0" w:color="auto"/>
        <w:bottom w:val="none" w:sz="0" w:space="0" w:color="auto"/>
        <w:right w:val="none" w:sz="0" w:space="0" w:color="auto"/>
      </w:divBdr>
    </w:div>
    <w:div w:id="712117049">
      <w:bodyDiv w:val="1"/>
      <w:marLeft w:val="0"/>
      <w:marRight w:val="0"/>
      <w:marTop w:val="0"/>
      <w:marBottom w:val="0"/>
      <w:divBdr>
        <w:top w:val="none" w:sz="0" w:space="0" w:color="auto"/>
        <w:left w:val="none" w:sz="0" w:space="0" w:color="auto"/>
        <w:bottom w:val="none" w:sz="0" w:space="0" w:color="auto"/>
        <w:right w:val="none" w:sz="0" w:space="0" w:color="auto"/>
      </w:divBdr>
      <w:divsChild>
        <w:div w:id="852765743">
          <w:marLeft w:val="0"/>
          <w:marRight w:val="0"/>
          <w:marTop w:val="0"/>
          <w:marBottom w:val="0"/>
          <w:divBdr>
            <w:top w:val="none" w:sz="0" w:space="0" w:color="auto"/>
            <w:left w:val="none" w:sz="0" w:space="0" w:color="auto"/>
            <w:bottom w:val="none" w:sz="0" w:space="0" w:color="auto"/>
            <w:right w:val="none" w:sz="0" w:space="0" w:color="auto"/>
          </w:divBdr>
          <w:divsChild>
            <w:div w:id="1700933490">
              <w:marLeft w:val="0"/>
              <w:marRight w:val="0"/>
              <w:marTop w:val="0"/>
              <w:marBottom w:val="0"/>
              <w:divBdr>
                <w:top w:val="none" w:sz="0" w:space="0" w:color="auto"/>
                <w:left w:val="none" w:sz="0" w:space="0" w:color="auto"/>
                <w:bottom w:val="none" w:sz="0" w:space="0" w:color="auto"/>
                <w:right w:val="none" w:sz="0" w:space="0" w:color="auto"/>
              </w:divBdr>
              <w:divsChild>
                <w:div w:id="442578013">
                  <w:marLeft w:val="0"/>
                  <w:marRight w:val="0"/>
                  <w:marTop w:val="0"/>
                  <w:marBottom w:val="0"/>
                  <w:divBdr>
                    <w:top w:val="none" w:sz="0" w:space="0" w:color="auto"/>
                    <w:left w:val="none" w:sz="0" w:space="0" w:color="auto"/>
                    <w:bottom w:val="none" w:sz="0" w:space="0" w:color="auto"/>
                    <w:right w:val="none" w:sz="0" w:space="0" w:color="auto"/>
                  </w:divBdr>
                  <w:divsChild>
                    <w:div w:id="1727415628">
                      <w:marLeft w:val="0"/>
                      <w:marRight w:val="0"/>
                      <w:marTop w:val="0"/>
                      <w:marBottom w:val="0"/>
                      <w:divBdr>
                        <w:top w:val="none" w:sz="0" w:space="0" w:color="auto"/>
                        <w:left w:val="none" w:sz="0" w:space="0" w:color="auto"/>
                        <w:bottom w:val="none" w:sz="0" w:space="0" w:color="auto"/>
                        <w:right w:val="none" w:sz="0" w:space="0" w:color="auto"/>
                      </w:divBdr>
                      <w:divsChild>
                        <w:div w:id="841970028">
                          <w:marLeft w:val="0"/>
                          <w:marRight w:val="0"/>
                          <w:marTop w:val="0"/>
                          <w:marBottom w:val="0"/>
                          <w:divBdr>
                            <w:top w:val="none" w:sz="0" w:space="0" w:color="auto"/>
                            <w:left w:val="none" w:sz="0" w:space="0" w:color="auto"/>
                            <w:bottom w:val="none" w:sz="0" w:space="0" w:color="auto"/>
                            <w:right w:val="none" w:sz="0" w:space="0" w:color="auto"/>
                          </w:divBdr>
                          <w:divsChild>
                            <w:div w:id="11141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350624">
      <w:bodyDiv w:val="1"/>
      <w:marLeft w:val="0"/>
      <w:marRight w:val="0"/>
      <w:marTop w:val="0"/>
      <w:marBottom w:val="0"/>
      <w:divBdr>
        <w:top w:val="none" w:sz="0" w:space="0" w:color="auto"/>
        <w:left w:val="none" w:sz="0" w:space="0" w:color="auto"/>
        <w:bottom w:val="none" w:sz="0" w:space="0" w:color="auto"/>
        <w:right w:val="none" w:sz="0" w:space="0" w:color="auto"/>
      </w:divBdr>
    </w:div>
    <w:div w:id="714935388">
      <w:bodyDiv w:val="1"/>
      <w:marLeft w:val="0"/>
      <w:marRight w:val="0"/>
      <w:marTop w:val="0"/>
      <w:marBottom w:val="0"/>
      <w:divBdr>
        <w:top w:val="none" w:sz="0" w:space="0" w:color="auto"/>
        <w:left w:val="none" w:sz="0" w:space="0" w:color="auto"/>
        <w:bottom w:val="none" w:sz="0" w:space="0" w:color="auto"/>
        <w:right w:val="none" w:sz="0" w:space="0" w:color="auto"/>
      </w:divBdr>
    </w:div>
    <w:div w:id="717047220">
      <w:bodyDiv w:val="1"/>
      <w:marLeft w:val="0"/>
      <w:marRight w:val="0"/>
      <w:marTop w:val="0"/>
      <w:marBottom w:val="0"/>
      <w:divBdr>
        <w:top w:val="none" w:sz="0" w:space="0" w:color="auto"/>
        <w:left w:val="none" w:sz="0" w:space="0" w:color="auto"/>
        <w:bottom w:val="none" w:sz="0" w:space="0" w:color="auto"/>
        <w:right w:val="none" w:sz="0" w:space="0" w:color="auto"/>
      </w:divBdr>
    </w:div>
    <w:div w:id="726954463">
      <w:bodyDiv w:val="1"/>
      <w:marLeft w:val="0"/>
      <w:marRight w:val="0"/>
      <w:marTop w:val="0"/>
      <w:marBottom w:val="0"/>
      <w:divBdr>
        <w:top w:val="none" w:sz="0" w:space="0" w:color="auto"/>
        <w:left w:val="none" w:sz="0" w:space="0" w:color="auto"/>
        <w:bottom w:val="none" w:sz="0" w:space="0" w:color="auto"/>
        <w:right w:val="none" w:sz="0" w:space="0" w:color="auto"/>
      </w:divBdr>
    </w:div>
    <w:div w:id="727336587">
      <w:bodyDiv w:val="1"/>
      <w:marLeft w:val="0"/>
      <w:marRight w:val="0"/>
      <w:marTop w:val="0"/>
      <w:marBottom w:val="0"/>
      <w:divBdr>
        <w:top w:val="none" w:sz="0" w:space="0" w:color="auto"/>
        <w:left w:val="none" w:sz="0" w:space="0" w:color="auto"/>
        <w:bottom w:val="none" w:sz="0" w:space="0" w:color="auto"/>
        <w:right w:val="none" w:sz="0" w:space="0" w:color="auto"/>
      </w:divBdr>
    </w:div>
    <w:div w:id="728071827">
      <w:bodyDiv w:val="1"/>
      <w:marLeft w:val="0"/>
      <w:marRight w:val="0"/>
      <w:marTop w:val="0"/>
      <w:marBottom w:val="0"/>
      <w:divBdr>
        <w:top w:val="none" w:sz="0" w:space="0" w:color="auto"/>
        <w:left w:val="none" w:sz="0" w:space="0" w:color="auto"/>
        <w:bottom w:val="none" w:sz="0" w:space="0" w:color="auto"/>
        <w:right w:val="none" w:sz="0" w:space="0" w:color="auto"/>
      </w:divBdr>
    </w:div>
    <w:div w:id="728500438">
      <w:bodyDiv w:val="1"/>
      <w:marLeft w:val="0"/>
      <w:marRight w:val="0"/>
      <w:marTop w:val="0"/>
      <w:marBottom w:val="0"/>
      <w:divBdr>
        <w:top w:val="none" w:sz="0" w:space="0" w:color="auto"/>
        <w:left w:val="none" w:sz="0" w:space="0" w:color="auto"/>
        <w:bottom w:val="none" w:sz="0" w:space="0" w:color="auto"/>
        <w:right w:val="none" w:sz="0" w:space="0" w:color="auto"/>
      </w:divBdr>
    </w:div>
    <w:div w:id="730348797">
      <w:bodyDiv w:val="1"/>
      <w:marLeft w:val="0"/>
      <w:marRight w:val="0"/>
      <w:marTop w:val="0"/>
      <w:marBottom w:val="0"/>
      <w:divBdr>
        <w:top w:val="none" w:sz="0" w:space="0" w:color="auto"/>
        <w:left w:val="none" w:sz="0" w:space="0" w:color="auto"/>
        <w:bottom w:val="none" w:sz="0" w:space="0" w:color="auto"/>
        <w:right w:val="none" w:sz="0" w:space="0" w:color="auto"/>
      </w:divBdr>
    </w:div>
    <w:div w:id="742026001">
      <w:bodyDiv w:val="1"/>
      <w:marLeft w:val="0"/>
      <w:marRight w:val="0"/>
      <w:marTop w:val="0"/>
      <w:marBottom w:val="0"/>
      <w:divBdr>
        <w:top w:val="none" w:sz="0" w:space="0" w:color="auto"/>
        <w:left w:val="none" w:sz="0" w:space="0" w:color="auto"/>
        <w:bottom w:val="none" w:sz="0" w:space="0" w:color="auto"/>
        <w:right w:val="none" w:sz="0" w:space="0" w:color="auto"/>
      </w:divBdr>
    </w:div>
    <w:div w:id="748814337">
      <w:bodyDiv w:val="1"/>
      <w:marLeft w:val="0"/>
      <w:marRight w:val="0"/>
      <w:marTop w:val="0"/>
      <w:marBottom w:val="0"/>
      <w:divBdr>
        <w:top w:val="none" w:sz="0" w:space="0" w:color="auto"/>
        <w:left w:val="none" w:sz="0" w:space="0" w:color="auto"/>
        <w:bottom w:val="none" w:sz="0" w:space="0" w:color="auto"/>
        <w:right w:val="none" w:sz="0" w:space="0" w:color="auto"/>
      </w:divBdr>
    </w:div>
    <w:div w:id="762184427">
      <w:bodyDiv w:val="1"/>
      <w:marLeft w:val="0"/>
      <w:marRight w:val="0"/>
      <w:marTop w:val="0"/>
      <w:marBottom w:val="0"/>
      <w:divBdr>
        <w:top w:val="none" w:sz="0" w:space="0" w:color="auto"/>
        <w:left w:val="none" w:sz="0" w:space="0" w:color="auto"/>
        <w:bottom w:val="none" w:sz="0" w:space="0" w:color="auto"/>
        <w:right w:val="none" w:sz="0" w:space="0" w:color="auto"/>
      </w:divBdr>
    </w:div>
    <w:div w:id="770516425">
      <w:bodyDiv w:val="1"/>
      <w:marLeft w:val="0"/>
      <w:marRight w:val="0"/>
      <w:marTop w:val="0"/>
      <w:marBottom w:val="0"/>
      <w:divBdr>
        <w:top w:val="none" w:sz="0" w:space="0" w:color="auto"/>
        <w:left w:val="none" w:sz="0" w:space="0" w:color="auto"/>
        <w:bottom w:val="none" w:sz="0" w:space="0" w:color="auto"/>
        <w:right w:val="none" w:sz="0" w:space="0" w:color="auto"/>
      </w:divBdr>
    </w:div>
    <w:div w:id="771626229">
      <w:bodyDiv w:val="1"/>
      <w:marLeft w:val="0"/>
      <w:marRight w:val="0"/>
      <w:marTop w:val="0"/>
      <w:marBottom w:val="0"/>
      <w:divBdr>
        <w:top w:val="none" w:sz="0" w:space="0" w:color="auto"/>
        <w:left w:val="none" w:sz="0" w:space="0" w:color="auto"/>
        <w:bottom w:val="none" w:sz="0" w:space="0" w:color="auto"/>
        <w:right w:val="none" w:sz="0" w:space="0" w:color="auto"/>
      </w:divBdr>
    </w:div>
    <w:div w:id="771823060">
      <w:bodyDiv w:val="1"/>
      <w:marLeft w:val="0"/>
      <w:marRight w:val="0"/>
      <w:marTop w:val="0"/>
      <w:marBottom w:val="0"/>
      <w:divBdr>
        <w:top w:val="none" w:sz="0" w:space="0" w:color="auto"/>
        <w:left w:val="none" w:sz="0" w:space="0" w:color="auto"/>
        <w:bottom w:val="none" w:sz="0" w:space="0" w:color="auto"/>
        <w:right w:val="none" w:sz="0" w:space="0" w:color="auto"/>
      </w:divBdr>
    </w:div>
    <w:div w:id="772633732">
      <w:bodyDiv w:val="1"/>
      <w:marLeft w:val="0"/>
      <w:marRight w:val="0"/>
      <w:marTop w:val="0"/>
      <w:marBottom w:val="0"/>
      <w:divBdr>
        <w:top w:val="none" w:sz="0" w:space="0" w:color="auto"/>
        <w:left w:val="none" w:sz="0" w:space="0" w:color="auto"/>
        <w:bottom w:val="none" w:sz="0" w:space="0" w:color="auto"/>
        <w:right w:val="none" w:sz="0" w:space="0" w:color="auto"/>
      </w:divBdr>
    </w:div>
    <w:div w:id="776366121">
      <w:bodyDiv w:val="1"/>
      <w:marLeft w:val="0"/>
      <w:marRight w:val="0"/>
      <w:marTop w:val="0"/>
      <w:marBottom w:val="0"/>
      <w:divBdr>
        <w:top w:val="none" w:sz="0" w:space="0" w:color="auto"/>
        <w:left w:val="none" w:sz="0" w:space="0" w:color="auto"/>
        <w:bottom w:val="none" w:sz="0" w:space="0" w:color="auto"/>
        <w:right w:val="none" w:sz="0" w:space="0" w:color="auto"/>
      </w:divBdr>
    </w:div>
    <w:div w:id="777720479">
      <w:bodyDiv w:val="1"/>
      <w:marLeft w:val="0"/>
      <w:marRight w:val="0"/>
      <w:marTop w:val="0"/>
      <w:marBottom w:val="0"/>
      <w:divBdr>
        <w:top w:val="none" w:sz="0" w:space="0" w:color="auto"/>
        <w:left w:val="none" w:sz="0" w:space="0" w:color="auto"/>
        <w:bottom w:val="none" w:sz="0" w:space="0" w:color="auto"/>
        <w:right w:val="none" w:sz="0" w:space="0" w:color="auto"/>
      </w:divBdr>
    </w:div>
    <w:div w:id="780224201">
      <w:bodyDiv w:val="1"/>
      <w:marLeft w:val="0"/>
      <w:marRight w:val="0"/>
      <w:marTop w:val="0"/>
      <w:marBottom w:val="0"/>
      <w:divBdr>
        <w:top w:val="none" w:sz="0" w:space="0" w:color="auto"/>
        <w:left w:val="none" w:sz="0" w:space="0" w:color="auto"/>
        <w:bottom w:val="none" w:sz="0" w:space="0" w:color="auto"/>
        <w:right w:val="none" w:sz="0" w:space="0" w:color="auto"/>
      </w:divBdr>
    </w:div>
    <w:div w:id="782460975">
      <w:bodyDiv w:val="1"/>
      <w:marLeft w:val="0"/>
      <w:marRight w:val="0"/>
      <w:marTop w:val="0"/>
      <w:marBottom w:val="0"/>
      <w:divBdr>
        <w:top w:val="none" w:sz="0" w:space="0" w:color="auto"/>
        <w:left w:val="none" w:sz="0" w:space="0" w:color="auto"/>
        <w:bottom w:val="none" w:sz="0" w:space="0" w:color="auto"/>
        <w:right w:val="none" w:sz="0" w:space="0" w:color="auto"/>
      </w:divBdr>
    </w:div>
    <w:div w:id="782572558">
      <w:bodyDiv w:val="1"/>
      <w:marLeft w:val="0"/>
      <w:marRight w:val="0"/>
      <w:marTop w:val="0"/>
      <w:marBottom w:val="0"/>
      <w:divBdr>
        <w:top w:val="none" w:sz="0" w:space="0" w:color="auto"/>
        <w:left w:val="none" w:sz="0" w:space="0" w:color="auto"/>
        <w:bottom w:val="none" w:sz="0" w:space="0" w:color="auto"/>
        <w:right w:val="none" w:sz="0" w:space="0" w:color="auto"/>
      </w:divBdr>
    </w:div>
    <w:div w:id="794564047">
      <w:bodyDiv w:val="1"/>
      <w:marLeft w:val="0"/>
      <w:marRight w:val="0"/>
      <w:marTop w:val="0"/>
      <w:marBottom w:val="0"/>
      <w:divBdr>
        <w:top w:val="none" w:sz="0" w:space="0" w:color="auto"/>
        <w:left w:val="none" w:sz="0" w:space="0" w:color="auto"/>
        <w:bottom w:val="none" w:sz="0" w:space="0" w:color="auto"/>
        <w:right w:val="none" w:sz="0" w:space="0" w:color="auto"/>
      </w:divBdr>
    </w:div>
    <w:div w:id="806975736">
      <w:bodyDiv w:val="1"/>
      <w:marLeft w:val="0"/>
      <w:marRight w:val="0"/>
      <w:marTop w:val="0"/>
      <w:marBottom w:val="0"/>
      <w:divBdr>
        <w:top w:val="none" w:sz="0" w:space="0" w:color="auto"/>
        <w:left w:val="none" w:sz="0" w:space="0" w:color="auto"/>
        <w:bottom w:val="none" w:sz="0" w:space="0" w:color="auto"/>
        <w:right w:val="none" w:sz="0" w:space="0" w:color="auto"/>
      </w:divBdr>
    </w:div>
    <w:div w:id="811368236">
      <w:bodyDiv w:val="1"/>
      <w:marLeft w:val="0"/>
      <w:marRight w:val="0"/>
      <w:marTop w:val="0"/>
      <w:marBottom w:val="0"/>
      <w:divBdr>
        <w:top w:val="none" w:sz="0" w:space="0" w:color="auto"/>
        <w:left w:val="none" w:sz="0" w:space="0" w:color="auto"/>
        <w:bottom w:val="none" w:sz="0" w:space="0" w:color="auto"/>
        <w:right w:val="none" w:sz="0" w:space="0" w:color="auto"/>
      </w:divBdr>
    </w:div>
    <w:div w:id="816841557">
      <w:bodyDiv w:val="1"/>
      <w:marLeft w:val="0"/>
      <w:marRight w:val="0"/>
      <w:marTop w:val="0"/>
      <w:marBottom w:val="0"/>
      <w:divBdr>
        <w:top w:val="none" w:sz="0" w:space="0" w:color="auto"/>
        <w:left w:val="none" w:sz="0" w:space="0" w:color="auto"/>
        <w:bottom w:val="none" w:sz="0" w:space="0" w:color="auto"/>
        <w:right w:val="none" w:sz="0" w:space="0" w:color="auto"/>
      </w:divBdr>
    </w:div>
    <w:div w:id="818692897">
      <w:bodyDiv w:val="1"/>
      <w:marLeft w:val="0"/>
      <w:marRight w:val="0"/>
      <w:marTop w:val="0"/>
      <w:marBottom w:val="0"/>
      <w:divBdr>
        <w:top w:val="none" w:sz="0" w:space="0" w:color="auto"/>
        <w:left w:val="none" w:sz="0" w:space="0" w:color="auto"/>
        <w:bottom w:val="none" w:sz="0" w:space="0" w:color="auto"/>
        <w:right w:val="none" w:sz="0" w:space="0" w:color="auto"/>
      </w:divBdr>
    </w:div>
    <w:div w:id="821121838">
      <w:bodyDiv w:val="1"/>
      <w:marLeft w:val="0"/>
      <w:marRight w:val="0"/>
      <w:marTop w:val="0"/>
      <w:marBottom w:val="0"/>
      <w:divBdr>
        <w:top w:val="none" w:sz="0" w:space="0" w:color="auto"/>
        <w:left w:val="none" w:sz="0" w:space="0" w:color="auto"/>
        <w:bottom w:val="none" w:sz="0" w:space="0" w:color="auto"/>
        <w:right w:val="none" w:sz="0" w:space="0" w:color="auto"/>
      </w:divBdr>
    </w:div>
    <w:div w:id="828327911">
      <w:bodyDiv w:val="1"/>
      <w:marLeft w:val="0"/>
      <w:marRight w:val="0"/>
      <w:marTop w:val="0"/>
      <w:marBottom w:val="0"/>
      <w:divBdr>
        <w:top w:val="none" w:sz="0" w:space="0" w:color="auto"/>
        <w:left w:val="none" w:sz="0" w:space="0" w:color="auto"/>
        <w:bottom w:val="none" w:sz="0" w:space="0" w:color="auto"/>
        <w:right w:val="none" w:sz="0" w:space="0" w:color="auto"/>
      </w:divBdr>
    </w:div>
    <w:div w:id="836655940">
      <w:bodyDiv w:val="1"/>
      <w:marLeft w:val="0"/>
      <w:marRight w:val="0"/>
      <w:marTop w:val="0"/>
      <w:marBottom w:val="0"/>
      <w:divBdr>
        <w:top w:val="none" w:sz="0" w:space="0" w:color="auto"/>
        <w:left w:val="none" w:sz="0" w:space="0" w:color="auto"/>
        <w:bottom w:val="none" w:sz="0" w:space="0" w:color="auto"/>
        <w:right w:val="none" w:sz="0" w:space="0" w:color="auto"/>
      </w:divBdr>
    </w:div>
    <w:div w:id="840773121">
      <w:bodyDiv w:val="1"/>
      <w:marLeft w:val="0"/>
      <w:marRight w:val="0"/>
      <w:marTop w:val="0"/>
      <w:marBottom w:val="0"/>
      <w:divBdr>
        <w:top w:val="none" w:sz="0" w:space="0" w:color="auto"/>
        <w:left w:val="none" w:sz="0" w:space="0" w:color="auto"/>
        <w:bottom w:val="none" w:sz="0" w:space="0" w:color="auto"/>
        <w:right w:val="none" w:sz="0" w:space="0" w:color="auto"/>
      </w:divBdr>
    </w:div>
    <w:div w:id="848058374">
      <w:bodyDiv w:val="1"/>
      <w:marLeft w:val="0"/>
      <w:marRight w:val="0"/>
      <w:marTop w:val="0"/>
      <w:marBottom w:val="0"/>
      <w:divBdr>
        <w:top w:val="none" w:sz="0" w:space="0" w:color="auto"/>
        <w:left w:val="none" w:sz="0" w:space="0" w:color="auto"/>
        <w:bottom w:val="none" w:sz="0" w:space="0" w:color="auto"/>
        <w:right w:val="none" w:sz="0" w:space="0" w:color="auto"/>
      </w:divBdr>
    </w:div>
    <w:div w:id="854853662">
      <w:bodyDiv w:val="1"/>
      <w:marLeft w:val="0"/>
      <w:marRight w:val="0"/>
      <w:marTop w:val="0"/>
      <w:marBottom w:val="0"/>
      <w:divBdr>
        <w:top w:val="none" w:sz="0" w:space="0" w:color="auto"/>
        <w:left w:val="none" w:sz="0" w:space="0" w:color="auto"/>
        <w:bottom w:val="none" w:sz="0" w:space="0" w:color="auto"/>
        <w:right w:val="none" w:sz="0" w:space="0" w:color="auto"/>
      </w:divBdr>
    </w:div>
    <w:div w:id="862866803">
      <w:bodyDiv w:val="1"/>
      <w:marLeft w:val="0"/>
      <w:marRight w:val="0"/>
      <w:marTop w:val="0"/>
      <w:marBottom w:val="0"/>
      <w:divBdr>
        <w:top w:val="none" w:sz="0" w:space="0" w:color="auto"/>
        <w:left w:val="none" w:sz="0" w:space="0" w:color="auto"/>
        <w:bottom w:val="none" w:sz="0" w:space="0" w:color="auto"/>
        <w:right w:val="none" w:sz="0" w:space="0" w:color="auto"/>
      </w:divBdr>
    </w:div>
    <w:div w:id="868876603">
      <w:bodyDiv w:val="1"/>
      <w:marLeft w:val="0"/>
      <w:marRight w:val="0"/>
      <w:marTop w:val="0"/>
      <w:marBottom w:val="0"/>
      <w:divBdr>
        <w:top w:val="none" w:sz="0" w:space="0" w:color="auto"/>
        <w:left w:val="none" w:sz="0" w:space="0" w:color="auto"/>
        <w:bottom w:val="none" w:sz="0" w:space="0" w:color="auto"/>
        <w:right w:val="none" w:sz="0" w:space="0" w:color="auto"/>
      </w:divBdr>
    </w:div>
    <w:div w:id="870874343">
      <w:bodyDiv w:val="1"/>
      <w:marLeft w:val="0"/>
      <w:marRight w:val="0"/>
      <w:marTop w:val="0"/>
      <w:marBottom w:val="0"/>
      <w:divBdr>
        <w:top w:val="none" w:sz="0" w:space="0" w:color="auto"/>
        <w:left w:val="none" w:sz="0" w:space="0" w:color="auto"/>
        <w:bottom w:val="none" w:sz="0" w:space="0" w:color="auto"/>
        <w:right w:val="none" w:sz="0" w:space="0" w:color="auto"/>
      </w:divBdr>
    </w:div>
    <w:div w:id="872766117">
      <w:bodyDiv w:val="1"/>
      <w:marLeft w:val="0"/>
      <w:marRight w:val="0"/>
      <w:marTop w:val="0"/>
      <w:marBottom w:val="0"/>
      <w:divBdr>
        <w:top w:val="none" w:sz="0" w:space="0" w:color="auto"/>
        <w:left w:val="none" w:sz="0" w:space="0" w:color="auto"/>
        <w:bottom w:val="none" w:sz="0" w:space="0" w:color="auto"/>
        <w:right w:val="none" w:sz="0" w:space="0" w:color="auto"/>
      </w:divBdr>
    </w:div>
    <w:div w:id="875703535">
      <w:bodyDiv w:val="1"/>
      <w:marLeft w:val="0"/>
      <w:marRight w:val="0"/>
      <w:marTop w:val="0"/>
      <w:marBottom w:val="0"/>
      <w:divBdr>
        <w:top w:val="none" w:sz="0" w:space="0" w:color="auto"/>
        <w:left w:val="none" w:sz="0" w:space="0" w:color="auto"/>
        <w:bottom w:val="none" w:sz="0" w:space="0" w:color="auto"/>
        <w:right w:val="none" w:sz="0" w:space="0" w:color="auto"/>
      </w:divBdr>
    </w:div>
    <w:div w:id="881789198">
      <w:bodyDiv w:val="1"/>
      <w:marLeft w:val="0"/>
      <w:marRight w:val="0"/>
      <w:marTop w:val="0"/>
      <w:marBottom w:val="0"/>
      <w:divBdr>
        <w:top w:val="none" w:sz="0" w:space="0" w:color="auto"/>
        <w:left w:val="none" w:sz="0" w:space="0" w:color="auto"/>
        <w:bottom w:val="none" w:sz="0" w:space="0" w:color="auto"/>
        <w:right w:val="none" w:sz="0" w:space="0" w:color="auto"/>
      </w:divBdr>
    </w:div>
    <w:div w:id="889152139">
      <w:bodyDiv w:val="1"/>
      <w:marLeft w:val="0"/>
      <w:marRight w:val="0"/>
      <w:marTop w:val="0"/>
      <w:marBottom w:val="0"/>
      <w:divBdr>
        <w:top w:val="none" w:sz="0" w:space="0" w:color="auto"/>
        <w:left w:val="none" w:sz="0" w:space="0" w:color="auto"/>
        <w:bottom w:val="none" w:sz="0" w:space="0" w:color="auto"/>
        <w:right w:val="none" w:sz="0" w:space="0" w:color="auto"/>
      </w:divBdr>
    </w:div>
    <w:div w:id="892888594">
      <w:bodyDiv w:val="1"/>
      <w:marLeft w:val="0"/>
      <w:marRight w:val="0"/>
      <w:marTop w:val="0"/>
      <w:marBottom w:val="0"/>
      <w:divBdr>
        <w:top w:val="none" w:sz="0" w:space="0" w:color="auto"/>
        <w:left w:val="none" w:sz="0" w:space="0" w:color="auto"/>
        <w:bottom w:val="none" w:sz="0" w:space="0" w:color="auto"/>
        <w:right w:val="none" w:sz="0" w:space="0" w:color="auto"/>
      </w:divBdr>
    </w:div>
    <w:div w:id="895164423">
      <w:bodyDiv w:val="1"/>
      <w:marLeft w:val="0"/>
      <w:marRight w:val="0"/>
      <w:marTop w:val="0"/>
      <w:marBottom w:val="0"/>
      <w:divBdr>
        <w:top w:val="none" w:sz="0" w:space="0" w:color="auto"/>
        <w:left w:val="none" w:sz="0" w:space="0" w:color="auto"/>
        <w:bottom w:val="none" w:sz="0" w:space="0" w:color="auto"/>
        <w:right w:val="none" w:sz="0" w:space="0" w:color="auto"/>
      </w:divBdr>
    </w:div>
    <w:div w:id="898436910">
      <w:bodyDiv w:val="1"/>
      <w:marLeft w:val="0"/>
      <w:marRight w:val="0"/>
      <w:marTop w:val="0"/>
      <w:marBottom w:val="0"/>
      <w:divBdr>
        <w:top w:val="none" w:sz="0" w:space="0" w:color="auto"/>
        <w:left w:val="none" w:sz="0" w:space="0" w:color="auto"/>
        <w:bottom w:val="none" w:sz="0" w:space="0" w:color="auto"/>
        <w:right w:val="none" w:sz="0" w:space="0" w:color="auto"/>
      </w:divBdr>
    </w:div>
    <w:div w:id="898441563">
      <w:bodyDiv w:val="1"/>
      <w:marLeft w:val="0"/>
      <w:marRight w:val="0"/>
      <w:marTop w:val="0"/>
      <w:marBottom w:val="0"/>
      <w:divBdr>
        <w:top w:val="none" w:sz="0" w:space="0" w:color="auto"/>
        <w:left w:val="none" w:sz="0" w:space="0" w:color="auto"/>
        <w:bottom w:val="none" w:sz="0" w:space="0" w:color="auto"/>
        <w:right w:val="none" w:sz="0" w:space="0" w:color="auto"/>
      </w:divBdr>
      <w:divsChild>
        <w:div w:id="1817913949">
          <w:marLeft w:val="0"/>
          <w:marRight w:val="0"/>
          <w:marTop w:val="0"/>
          <w:marBottom w:val="0"/>
          <w:divBdr>
            <w:top w:val="none" w:sz="0" w:space="0" w:color="auto"/>
            <w:left w:val="none" w:sz="0" w:space="0" w:color="auto"/>
            <w:bottom w:val="none" w:sz="0" w:space="0" w:color="auto"/>
            <w:right w:val="none" w:sz="0" w:space="0" w:color="auto"/>
          </w:divBdr>
          <w:divsChild>
            <w:div w:id="1770739374">
              <w:marLeft w:val="0"/>
              <w:marRight w:val="0"/>
              <w:marTop w:val="0"/>
              <w:marBottom w:val="0"/>
              <w:divBdr>
                <w:top w:val="none" w:sz="0" w:space="0" w:color="auto"/>
                <w:left w:val="none" w:sz="0" w:space="0" w:color="auto"/>
                <w:bottom w:val="none" w:sz="0" w:space="0" w:color="auto"/>
                <w:right w:val="none" w:sz="0" w:space="0" w:color="auto"/>
              </w:divBdr>
              <w:divsChild>
                <w:div w:id="676660974">
                  <w:marLeft w:val="0"/>
                  <w:marRight w:val="0"/>
                  <w:marTop w:val="0"/>
                  <w:marBottom w:val="0"/>
                  <w:divBdr>
                    <w:top w:val="none" w:sz="0" w:space="0" w:color="auto"/>
                    <w:left w:val="none" w:sz="0" w:space="0" w:color="auto"/>
                    <w:bottom w:val="none" w:sz="0" w:space="0" w:color="auto"/>
                    <w:right w:val="none" w:sz="0" w:space="0" w:color="auto"/>
                  </w:divBdr>
                  <w:divsChild>
                    <w:div w:id="267396166">
                      <w:marLeft w:val="0"/>
                      <w:marRight w:val="0"/>
                      <w:marTop w:val="0"/>
                      <w:marBottom w:val="0"/>
                      <w:divBdr>
                        <w:top w:val="none" w:sz="0" w:space="0" w:color="auto"/>
                        <w:left w:val="none" w:sz="0" w:space="0" w:color="auto"/>
                        <w:bottom w:val="none" w:sz="0" w:space="0" w:color="auto"/>
                        <w:right w:val="none" w:sz="0" w:space="0" w:color="auto"/>
                      </w:divBdr>
                      <w:divsChild>
                        <w:div w:id="1843814462">
                          <w:marLeft w:val="0"/>
                          <w:marRight w:val="0"/>
                          <w:marTop w:val="300"/>
                          <w:marBottom w:val="0"/>
                          <w:divBdr>
                            <w:top w:val="none" w:sz="0" w:space="0" w:color="auto"/>
                            <w:left w:val="none" w:sz="0" w:space="0" w:color="auto"/>
                            <w:bottom w:val="none" w:sz="0" w:space="0" w:color="auto"/>
                            <w:right w:val="none" w:sz="0" w:space="0" w:color="auto"/>
                          </w:divBdr>
                          <w:divsChild>
                            <w:div w:id="117999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556012">
      <w:bodyDiv w:val="1"/>
      <w:marLeft w:val="0"/>
      <w:marRight w:val="0"/>
      <w:marTop w:val="0"/>
      <w:marBottom w:val="0"/>
      <w:divBdr>
        <w:top w:val="none" w:sz="0" w:space="0" w:color="auto"/>
        <w:left w:val="none" w:sz="0" w:space="0" w:color="auto"/>
        <w:bottom w:val="none" w:sz="0" w:space="0" w:color="auto"/>
        <w:right w:val="none" w:sz="0" w:space="0" w:color="auto"/>
      </w:divBdr>
    </w:div>
    <w:div w:id="906261912">
      <w:bodyDiv w:val="1"/>
      <w:marLeft w:val="0"/>
      <w:marRight w:val="0"/>
      <w:marTop w:val="0"/>
      <w:marBottom w:val="0"/>
      <w:divBdr>
        <w:top w:val="none" w:sz="0" w:space="0" w:color="auto"/>
        <w:left w:val="none" w:sz="0" w:space="0" w:color="auto"/>
        <w:bottom w:val="none" w:sz="0" w:space="0" w:color="auto"/>
        <w:right w:val="none" w:sz="0" w:space="0" w:color="auto"/>
      </w:divBdr>
    </w:div>
    <w:div w:id="908345483">
      <w:bodyDiv w:val="1"/>
      <w:marLeft w:val="0"/>
      <w:marRight w:val="0"/>
      <w:marTop w:val="0"/>
      <w:marBottom w:val="0"/>
      <w:divBdr>
        <w:top w:val="none" w:sz="0" w:space="0" w:color="auto"/>
        <w:left w:val="none" w:sz="0" w:space="0" w:color="auto"/>
        <w:bottom w:val="none" w:sz="0" w:space="0" w:color="auto"/>
        <w:right w:val="none" w:sz="0" w:space="0" w:color="auto"/>
      </w:divBdr>
    </w:div>
    <w:div w:id="912392393">
      <w:bodyDiv w:val="1"/>
      <w:marLeft w:val="0"/>
      <w:marRight w:val="0"/>
      <w:marTop w:val="0"/>
      <w:marBottom w:val="0"/>
      <w:divBdr>
        <w:top w:val="none" w:sz="0" w:space="0" w:color="auto"/>
        <w:left w:val="none" w:sz="0" w:space="0" w:color="auto"/>
        <w:bottom w:val="none" w:sz="0" w:space="0" w:color="auto"/>
        <w:right w:val="none" w:sz="0" w:space="0" w:color="auto"/>
      </w:divBdr>
      <w:divsChild>
        <w:div w:id="1265186134">
          <w:marLeft w:val="0"/>
          <w:marRight w:val="0"/>
          <w:marTop w:val="0"/>
          <w:marBottom w:val="0"/>
          <w:divBdr>
            <w:top w:val="none" w:sz="0" w:space="0" w:color="auto"/>
            <w:left w:val="none" w:sz="0" w:space="0" w:color="auto"/>
            <w:bottom w:val="none" w:sz="0" w:space="0" w:color="auto"/>
            <w:right w:val="none" w:sz="0" w:space="0" w:color="auto"/>
          </w:divBdr>
          <w:divsChild>
            <w:div w:id="78909883">
              <w:marLeft w:val="0"/>
              <w:marRight w:val="0"/>
              <w:marTop w:val="0"/>
              <w:marBottom w:val="0"/>
              <w:divBdr>
                <w:top w:val="none" w:sz="0" w:space="0" w:color="auto"/>
                <w:left w:val="none" w:sz="0" w:space="0" w:color="auto"/>
                <w:bottom w:val="none" w:sz="0" w:space="0" w:color="auto"/>
                <w:right w:val="none" w:sz="0" w:space="0" w:color="auto"/>
              </w:divBdr>
              <w:divsChild>
                <w:div w:id="1444693888">
                  <w:marLeft w:val="0"/>
                  <w:marRight w:val="0"/>
                  <w:marTop w:val="0"/>
                  <w:marBottom w:val="0"/>
                  <w:divBdr>
                    <w:top w:val="none" w:sz="0" w:space="0" w:color="auto"/>
                    <w:left w:val="none" w:sz="0" w:space="0" w:color="auto"/>
                    <w:bottom w:val="none" w:sz="0" w:space="0" w:color="auto"/>
                    <w:right w:val="none" w:sz="0" w:space="0" w:color="auto"/>
                  </w:divBdr>
                  <w:divsChild>
                    <w:div w:id="1467509973">
                      <w:marLeft w:val="0"/>
                      <w:marRight w:val="0"/>
                      <w:marTop w:val="0"/>
                      <w:marBottom w:val="0"/>
                      <w:divBdr>
                        <w:top w:val="none" w:sz="0" w:space="0" w:color="auto"/>
                        <w:left w:val="none" w:sz="0" w:space="0" w:color="auto"/>
                        <w:bottom w:val="none" w:sz="0" w:space="0" w:color="auto"/>
                        <w:right w:val="none" w:sz="0" w:space="0" w:color="auto"/>
                      </w:divBdr>
                      <w:divsChild>
                        <w:div w:id="1267689695">
                          <w:marLeft w:val="0"/>
                          <w:marRight w:val="0"/>
                          <w:marTop w:val="300"/>
                          <w:marBottom w:val="0"/>
                          <w:divBdr>
                            <w:top w:val="none" w:sz="0" w:space="0" w:color="auto"/>
                            <w:left w:val="none" w:sz="0" w:space="0" w:color="auto"/>
                            <w:bottom w:val="none" w:sz="0" w:space="0" w:color="auto"/>
                            <w:right w:val="none" w:sz="0" w:space="0" w:color="auto"/>
                          </w:divBdr>
                          <w:divsChild>
                            <w:div w:id="150590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9677515">
      <w:bodyDiv w:val="1"/>
      <w:marLeft w:val="0"/>
      <w:marRight w:val="0"/>
      <w:marTop w:val="0"/>
      <w:marBottom w:val="0"/>
      <w:divBdr>
        <w:top w:val="none" w:sz="0" w:space="0" w:color="auto"/>
        <w:left w:val="none" w:sz="0" w:space="0" w:color="auto"/>
        <w:bottom w:val="none" w:sz="0" w:space="0" w:color="auto"/>
        <w:right w:val="none" w:sz="0" w:space="0" w:color="auto"/>
      </w:divBdr>
    </w:div>
    <w:div w:id="924463376">
      <w:bodyDiv w:val="1"/>
      <w:marLeft w:val="0"/>
      <w:marRight w:val="0"/>
      <w:marTop w:val="0"/>
      <w:marBottom w:val="0"/>
      <w:divBdr>
        <w:top w:val="none" w:sz="0" w:space="0" w:color="auto"/>
        <w:left w:val="none" w:sz="0" w:space="0" w:color="auto"/>
        <w:bottom w:val="none" w:sz="0" w:space="0" w:color="auto"/>
        <w:right w:val="none" w:sz="0" w:space="0" w:color="auto"/>
      </w:divBdr>
    </w:div>
    <w:div w:id="928734588">
      <w:bodyDiv w:val="1"/>
      <w:marLeft w:val="0"/>
      <w:marRight w:val="0"/>
      <w:marTop w:val="0"/>
      <w:marBottom w:val="0"/>
      <w:divBdr>
        <w:top w:val="none" w:sz="0" w:space="0" w:color="auto"/>
        <w:left w:val="none" w:sz="0" w:space="0" w:color="auto"/>
        <w:bottom w:val="none" w:sz="0" w:space="0" w:color="auto"/>
        <w:right w:val="none" w:sz="0" w:space="0" w:color="auto"/>
      </w:divBdr>
    </w:div>
    <w:div w:id="929192335">
      <w:bodyDiv w:val="1"/>
      <w:marLeft w:val="0"/>
      <w:marRight w:val="0"/>
      <w:marTop w:val="0"/>
      <w:marBottom w:val="0"/>
      <w:divBdr>
        <w:top w:val="none" w:sz="0" w:space="0" w:color="auto"/>
        <w:left w:val="none" w:sz="0" w:space="0" w:color="auto"/>
        <w:bottom w:val="none" w:sz="0" w:space="0" w:color="auto"/>
        <w:right w:val="none" w:sz="0" w:space="0" w:color="auto"/>
      </w:divBdr>
    </w:div>
    <w:div w:id="932669218">
      <w:bodyDiv w:val="1"/>
      <w:marLeft w:val="0"/>
      <w:marRight w:val="0"/>
      <w:marTop w:val="0"/>
      <w:marBottom w:val="0"/>
      <w:divBdr>
        <w:top w:val="none" w:sz="0" w:space="0" w:color="auto"/>
        <w:left w:val="none" w:sz="0" w:space="0" w:color="auto"/>
        <w:bottom w:val="none" w:sz="0" w:space="0" w:color="auto"/>
        <w:right w:val="none" w:sz="0" w:space="0" w:color="auto"/>
      </w:divBdr>
    </w:div>
    <w:div w:id="932906186">
      <w:bodyDiv w:val="1"/>
      <w:marLeft w:val="0"/>
      <w:marRight w:val="0"/>
      <w:marTop w:val="0"/>
      <w:marBottom w:val="0"/>
      <w:divBdr>
        <w:top w:val="none" w:sz="0" w:space="0" w:color="auto"/>
        <w:left w:val="none" w:sz="0" w:space="0" w:color="auto"/>
        <w:bottom w:val="none" w:sz="0" w:space="0" w:color="auto"/>
        <w:right w:val="none" w:sz="0" w:space="0" w:color="auto"/>
      </w:divBdr>
    </w:div>
    <w:div w:id="943615117">
      <w:bodyDiv w:val="1"/>
      <w:marLeft w:val="0"/>
      <w:marRight w:val="0"/>
      <w:marTop w:val="0"/>
      <w:marBottom w:val="0"/>
      <w:divBdr>
        <w:top w:val="none" w:sz="0" w:space="0" w:color="auto"/>
        <w:left w:val="none" w:sz="0" w:space="0" w:color="auto"/>
        <w:bottom w:val="none" w:sz="0" w:space="0" w:color="auto"/>
        <w:right w:val="none" w:sz="0" w:space="0" w:color="auto"/>
      </w:divBdr>
    </w:div>
    <w:div w:id="945117053">
      <w:bodyDiv w:val="1"/>
      <w:marLeft w:val="0"/>
      <w:marRight w:val="0"/>
      <w:marTop w:val="0"/>
      <w:marBottom w:val="0"/>
      <w:divBdr>
        <w:top w:val="none" w:sz="0" w:space="0" w:color="auto"/>
        <w:left w:val="none" w:sz="0" w:space="0" w:color="auto"/>
        <w:bottom w:val="none" w:sz="0" w:space="0" w:color="auto"/>
        <w:right w:val="none" w:sz="0" w:space="0" w:color="auto"/>
      </w:divBdr>
    </w:div>
    <w:div w:id="950017381">
      <w:bodyDiv w:val="1"/>
      <w:marLeft w:val="0"/>
      <w:marRight w:val="0"/>
      <w:marTop w:val="0"/>
      <w:marBottom w:val="0"/>
      <w:divBdr>
        <w:top w:val="none" w:sz="0" w:space="0" w:color="auto"/>
        <w:left w:val="none" w:sz="0" w:space="0" w:color="auto"/>
        <w:bottom w:val="none" w:sz="0" w:space="0" w:color="auto"/>
        <w:right w:val="none" w:sz="0" w:space="0" w:color="auto"/>
      </w:divBdr>
    </w:div>
    <w:div w:id="951015111">
      <w:bodyDiv w:val="1"/>
      <w:marLeft w:val="0"/>
      <w:marRight w:val="0"/>
      <w:marTop w:val="0"/>
      <w:marBottom w:val="0"/>
      <w:divBdr>
        <w:top w:val="none" w:sz="0" w:space="0" w:color="auto"/>
        <w:left w:val="none" w:sz="0" w:space="0" w:color="auto"/>
        <w:bottom w:val="none" w:sz="0" w:space="0" w:color="auto"/>
        <w:right w:val="none" w:sz="0" w:space="0" w:color="auto"/>
      </w:divBdr>
    </w:div>
    <w:div w:id="956251639">
      <w:bodyDiv w:val="1"/>
      <w:marLeft w:val="0"/>
      <w:marRight w:val="0"/>
      <w:marTop w:val="0"/>
      <w:marBottom w:val="0"/>
      <w:divBdr>
        <w:top w:val="none" w:sz="0" w:space="0" w:color="auto"/>
        <w:left w:val="none" w:sz="0" w:space="0" w:color="auto"/>
        <w:bottom w:val="none" w:sz="0" w:space="0" w:color="auto"/>
        <w:right w:val="none" w:sz="0" w:space="0" w:color="auto"/>
      </w:divBdr>
    </w:div>
    <w:div w:id="956910755">
      <w:bodyDiv w:val="1"/>
      <w:marLeft w:val="0"/>
      <w:marRight w:val="0"/>
      <w:marTop w:val="0"/>
      <w:marBottom w:val="0"/>
      <w:divBdr>
        <w:top w:val="none" w:sz="0" w:space="0" w:color="auto"/>
        <w:left w:val="none" w:sz="0" w:space="0" w:color="auto"/>
        <w:bottom w:val="none" w:sz="0" w:space="0" w:color="auto"/>
        <w:right w:val="none" w:sz="0" w:space="0" w:color="auto"/>
      </w:divBdr>
    </w:div>
    <w:div w:id="961494810">
      <w:bodyDiv w:val="1"/>
      <w:marLeft w:val="0"/>
      <w:marRight w:val="0"/>
      <w:marTop w:val="0"/>
      <w:marBottom w:val="0"/>
      <w:divBdr>
        <w:top w:val="none" w:sz="0" w:space="0" w:color="auto"/>
        <w:left w:val="none" w:sz="0" w:space="0" w:color="auto"/>
        <w:bottom w:val="none" w:sz="0" w:space="0" w:color="auto"/>
        <w:right w:val="none" w:sz="0" w:space="0" w:color="auto"/>
      </w:divBdr>
    </w:div>
    <w:div w:id="961960562">
      <w:bodyDiv w:val="1"/>
      <w:marLeft w:val="0"/>
      <w:marRight w:val="0"/>
      <w:marTop w:val="0"/>
      <w:marBottom w:val="0"/>
      <w:divBdr>
        <w:top w:val="none" w:sz="0" w:space="0" w:color="auto"/>
        <w:left w:val="none" w:sz="0" w:space="0" w:color="auto"/>
        <w:bottom w:val="none" w:sz="0" w:space="0" w:color="auto"/>
        <w:right w:val="none" w:sz="0" w:space="0" w:color="auto"/>
      </w:divBdr>
    </w:div>
    <w:div w:id="962492325">
      <w:bodyDiv w:val="1"/>
      <w:marLeft w:val="0"/>
      <w:marRight w:val="0"/>
      <w:marTop w:val="0"/>
      <w:marBottom w:val="0"/>
      <w:divBdr>
        <w:top w:val="none" w:sz="0" w:space="0" w:color="auto"/>
        <w:left w:val="none" w:sz="0" w:space="0" w:color="auto"/>
        <w:bottom w:val="none" w:sz="0" w:space="0" w:color="auto"/>
        <w:right w:val="none" w:sz="0" w:space="0" w:color="auto"/>
      </w:divBdr>
    </w:div>
    <w:div w:id="966542411">
      <w:bodyDiv w:val="1"/>
      <w:marLeft w:val="0"/>
      <w:marRight w:val="0"/>
      <w:marTop w:val="0"/>
      <w:marBottom w:val="0"/>
      <w:divBdr>
        <w:top w:val="none" w:sz="0" w:space="0" w:color="auto"/>
        <w:left w:val="none" w:sz="0" w:space="0" w:color="auto"/>
        <w:bottom w:val="none" w:sz="0" w:space="0" w:color="auto"/>
        <w:right w:val="none" w:sz="0" w:space="0" w:color="auto"/>
      </w:divBdr>
    </w:div>
    <w:div w:id="969436906">
      <w:bodyDiv w:val="1"/>
      <w:marLeft w:val="0"/>
      <w:marRight w:val="0"/>
      <w:marTop w:val="0"/>
      <w:marBottom w:val="0"/>
      <w:divBdr>
        <w:top w:val="none" w:sz="0" w:space="0" w:color="auto"/>
        <w:left w:val="none" w:sz="0" w:space="0" w:color="auto"/>
        <w:bottom w:val="none" w:sz="0" w:space="0" w:color="auto"/>
        <w:right w:val="none" w:sz="0" w:space="0" w:color="auto"/>
      </w:divBdr>
    </w:div>
    <w:div w:id="977421987">
      <w:bodyDiv w:val="1"/>
      <w:marLeft w:val="0"/>
      <w:marRight w:val="0"/>
      <w:marTop w:val="0"/>
      <w:marBottom w:val="0"/>
      <w:divBdr>
        <w:top w:val="none" w:sz="0" w:space="0" w:color="auto"/>
        <w:left w:val="none" w:sz="0" w:space="0" w:color="auto"/>
        <w:bottom w:val="none" w:sz="0" w:space="0" w:color="auto"/>
        <w:right w:val="none" w:sz="0" w:space="0" w:color="auto"/>
      </w:divBdr>
    </w:div>
    <w:div w:id="985822128">
      <w:bodyDiv w:val="1"/>
      <w:marLeft w:val="0"/>
      <w:marRight w:val="0"/>
      <w:marTop w:val="0"/>
      <w:marBottom w:val="0"/>
      <w:divBdr>
        <w:top w:val="none" w:sz="0" w:space="0" w:color="auto"/>
        <w:left w:val="none" w:sz="0" w:space="0" w:color="auto"/>
        <w:bottom w:val="none" w:sz="0" w:space="0" w:color="auto"/>
        <w:right w:val="none" w:sz="0" w:space="0" w:color="auto"/>
      </w:divBdr>
      <w:divsChild>
        <w:div w:id="1573201445">
          <w:marLeft w:val="0"/>
          <w:marRight w:val="0"/>
          <w:marTop w:val="0"/>
          <w:marBottom w:val="0"/>
          <w:divBdr>
            <w:top w:val="none" w:sz="0" w:space="0" w:color="auto"/>
            <w:left w:val="none" w:sz="0" w:space="0" w:color="auto"/>
            <w:bottom w:val="none" w:sz="0" w:space="0" w:color="auto"/>
            <w:right w:val="none" w:sz="0" w:space="0" w:color="auto"/>
          </w:divBdr>
        </w:div>
        <w:div w:id="2084914359">
          <w:marLeft w:val="0"/>
          <w:marRight w:val="0"/>
          <w:marTop w:val="0"/>
          <w:marBottom w:val="0"/>
          <w:divBdr>
            <w:top w:val="none" w:sz="0" w:space="0" w:color="auto"/>
            <w:left w:val="none" w:sz="0" w:space="0" w:color="auto"/>
            <w:bottom w:val="none" w:sz="0" w:space="0" w:color="auto"/>
            <w:right w:val="none" w:sz="0" w:space="0" w:color="auto"/>
          </w:divBdr>
        </w:div>
      </w:divsChild>
    </w:div>
    <w:div w:id="995259591">
      <w:bodyDiv w:val="1"/>
      <w:marLeft w:val="0"/>
      <w:marRight w:val="0"/>
      <w:marTop w:val="0"/>
      <w:marBottom w:val="0"/>
      <w:divBdr>
        <w:top w:val="none" w:sz="0" w:space="0" w:color="auto"/>
        <w:left w:val="none" w:sz="0" w:space="0" w:color="auto"/>
        <w:bottom w:val="none" w:sz="0" w:space="0" w:color="auto"/>
        <w:right w:val="none" w:sz="0" w:space="0" w:color="auto"/>
      </w:divBdr>
    </w:div>
    <w:div w:id="1000502598">
      <w:bodyDiv w:val="1"/>
      <w:marLeft w:val="0"/>
      <w:marRight w:val="0"/>
      <w:marTop w:val="0"/>
      <w:marBottom w:val="0"/>
      <w:divBdr>
        <w:top w:val="none" w:sz="0" w:space="0" w:color="auto"/>
        <w:left w:val="none" w:sz="0" w:space="0" w:color="auto"/>
        <w:bottom w:val="none" w:sz="0" w:space="0" w:color="auto"/>
        <w:right w:val="none" w:sz="0" w:space="0" w:color="auto"/>
      </w:divBdr>
    </w:div>
    <w:div w:id="1002120187">
      <w:bodyDiv w:val="1"/>
      <w:marLeft w:val="0"/>
      <w:marRight w:val="0"/>
      <w:marTop w:val="0"/>
      <w:marBottom w:val="0"/>
      <w:divBdr>
        <w:top w:val="none" w:sz="0" w:space="0" w:color="auto"/>
        <w:left w:val="none" w:sz="0" w:space="0" w:color="auto"/>
        <w:bottom w:val="none" w:sz="0" w:space="0" w:color="auto"/>
        <w:right w:val="none" w:sz="0" w:space="0" w:color="auto"/>
      </w:divBdr>
    </w:div>
    <w:div w:id="1003045003">
      <w:bodyDiv w:val="1"/>
      <w:marLeft w:val="0"/>
      <w:marRight w:val="0"/>
      <w:marTop w:val="0"/>
      <w:marBottom w:val="0"/>
      <w:divBdr>
        <w:top w:val="none" w:sz="0" w:space="0" w:color="auto"/>
        <w:left w:val="none" w:sz="0" w:space="0" w:color="auto"/>
        <w:bottom w:val="none" w:sz="0" w:space="0" w:color="auto"/>
        <w:right w:val="none" w:sz="0" w:space="0" w:color="auto"/>
      </w:divBdr>
      <w:divsChild>
        <w:div w:id="846214956">
          <w:marLeft w:val="0"/>
          <w:marRight w:val="0"/>
          <w:marTop w:val="0"/>
          <w:marBottom w:val="0"/>
          <w:divBdr>
            <w:top w:val="none" w:sz="0" w:space="0" w:color="auto"/>
            <w:left w:val="none" w:sz="0" w:space="0" w:color="auto"/>
            <w:bottom w:val="none" w:sz="0" w:space="0" w:color="auto"/>
            <w:right w:val="none" w:sz="0" w:space="0" w:color="auto"/>
          </w:divBdr>
          <w:divsChild>
            <w:div w:id="497354677">
              <w:marLeft w:val="0"/>
              <w:marRight w:val="0"/>
              <w:marTop w:val="0"/>
              <w:marBottom w:val="0"/>
              <w:divBdr>
                <w:top w:val="none" w:sz="0" w:space="0" w:color="auto"/>
                <w:left w:val="none" w:sz="0" w:space="0" w:color="auto"/>
                <w:bottom w:val="none" w:sz="0" w:space="0" w:color="auto"/>
                <w:right w:val="none" w:sz="0" w:space="0" w:color="auto"/>
              </w:divBdr>
              <w:divsChild>
                <w:div w:id="1757634377">
                  <w:marLeft w:val="0"/>
                  <w:marRight w:val="0"/>
                  <w:marTop w:val="0"/>
                  <w:marBottom w:val="0"/>
                  <w:divBdr>
                    <w:top w:val="none" w:sz="0" w:space="0" w:color="auto"/>
                    <w:left w:val="none" w:sz="0" w:space="0" w:color="auto"/>
                    <w:bottom w:val="none" w:sz="0" w:space="0" w:color="auto"/>
                    <w:right w:val="none" w:sz="0" w:space="0" w:color="auto"/>
                  </w:divBdr>
                  <w:divsChild>
                    <w:div w:id="1321351555">
                      <w:marLeft w:val="0"/>
                      <w:marRight w:val="0"/>
                      <w:marTop w:val="0"/>
                      <w:marBottom w:val="0"/>
                      <w:divBdr>
                        <w:top w:val="none" w:sz="0" w:space="0" w:color="auto"/>
                        <w:left w:val="none" w:sz="0" w:space="0" w:color="auto"/>
                        <w:bottom w:val="none" w:sz="0" w:space="0" w:color="auto"/>
                        <w:right w:val="none" w:sz="0" w:space="0" w:color="auto"/>
                      </w:divBdr>
                      <w:divsChild>
                        <w:div w:id="1822698399">
                          <w:marLeft w:val="0"/>
                          <w:marRight w:val="0"/>
                          <w:marTop w:val="300"/>
                          <w:marBottom w:val="0"/>
                          <w:divBdr>
                            <w:top w:val="none" w:sz="0" w:space="0" w:color="auto"/>
                            <w:left w:val="none" w:sz="0" w:space="0" w:color="auto"/>
                            <w:bottom w:val="none" w:sz="0" w:space="0" w:color="auto"/>
                            <w:right w:val="none" w:sz="0" w:space="0" w:color="auto"/>
                          </w:divBdr>
                          <w:divsChild>
                            <w:div w:id="152937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438578">
      <w:bodyDiv w:val="1"/>
      <w:marLeft w:val="0"/>
      <w:marRight w:val="0"/>
      <w:marTop w:val="0"/>
      <w:marBottom w:val="0"/>
      <w:divBdr>
        <w:top w:val="none" w:sz="0" w:space="0" w:color="auto"/>
        <w:left w:val="none" w:sz="0" w:space="0" w:color="auto"/>
        <w:bottom w:val="none" w:sz="0" w:space="0" w:color="auto"/>
        <w:right w:val="none" w:sz="0" w:space="0" w:color="auto"/>
      </w:divBdr>
    </w:div>
    <w:div w:id="1011953562">
      <w:bodyDiv w:val="1"/>
      <w:marLeft w:val="0"/>
      <w:marRight w:val="0"/>
      <w:marTop w:val="0"/>
      <w:marBottom w:val="0"/>
      <w:divBdr>
        <w:top w:val="none" w:sz="0" w:space="0" w:color="auto"/>
        <w:left w:val="none" w:sz="0" w:space="0" w:color="auto"/>
        <w:bottom w:val="none" w:sz="0" w:space="0" w:color="auto"/>
        <w:right w:val="none" w:sz="0" w:space="0" w:color="auto"/>
      </w:divBdr>
    </w:div>
    <w:div w:id="1014186909">
      <w:bodyDiv w:val="1"/>
      <w:marLeft w:val="0"/>
      <w:marRight w:val="0"/>
      <w:marTop w:val="0"/>
      <w:marBottom w:val="0"/>
      <w:divBdr>
        <w:top w:val="none" w:sz="0" w:space="0" w:color="auto"/>
        <w:left w:val="none" w:sz="0" w:space="0" w:color="auto"/>
        <w:bottom w:val="none" w:sz="0" w:space="0" w:color="auto"/>
        <w:right w:val="none" w:sz="0" w:space="0" w:color="auto"/>
      </w:divBdr>
    </w:div>
    <w:div w:id="1020816865">
      <w:bodyDiv w:val="1"/>
      <w:marLeft w:val="0"/>
      <w:marRight w:val="0"/>
      <w:marTop w:val="0"/>
      <w:marBottom w:val="0"/>
      <w:divBdr>
        <w:top w:val="none" w:sz="0" w:space="0" w:color="auto"/>
        <w:left w:val="none" w:sz="0" w:space="0" w:color="auto"/>
        <w:bottom w:val="none" w:sz="0" w:space="0" w:color="auto"/>
        <w:right w:val="none" w:sz="0" w:space="0" w:color="auto"/>
      </w:divBdr>
      <w:divsChild>
        <w:div w:id="558050555">
          <w:marLeft w:val="0"/>
          <w:marRight w:val="0"/>
          <w:marTop w:val="0"/>
          <w:marBottom w:val="0"/>
          <w:divBdr>
            <w:top w:val="none" w:sz="0" w:space="0" w:color="auto"/>
            <w:left w:val="none" w:sz="0" w:space="0" w:color="auto"/>
            <w:bottom w:val="none" w:sz="0" w:space="0" w:color="auto"/>
            <w:right w:val="none" w:sz="0" w:space="0" w:color="auto"/>
          </w:divBdr>
          <w:divsChild>
            <w:div w:id="550728996">
              <w:marLeft w:val="0"/>
              <w:marRight w:val="0"/>
              <w:marTop w:val="0"/>
              <w:marBottom w:val="0"/>
              <w:divBdr>
                <w:top w:val="none" w:sz="0" w:space="0" w:color="auto"/>
                <w:left w:val="none" w:sz="0" w:space="0" w:color="auto"/>
                <w:bottom w:val="none" w:sz="0" w:space="0" w:color="auto"/>
                <w:right w:val="none" w:sz="0" w:space="0" w:color="auto"/>
              </w:divBdr>
              <w:divsChild>
                <w:div w:id="1136294998">
                  <w:marLeft w:val="0"/>
                  <w:marRight w:val="0"/>
                  <w:marTop w:val="0"/>
                  <w:marBottom w:val="0"/>
                  <w:divBdr>
                    <w:top w:val="none" w:sz="0" w:space="0" w:color="auto"/>
                    <w:left w:val="none" w:sz="0" w:space="0" w:color="auto"/>
                    <w:bottom w:val="none" w:sz="0" w:space="0" w:color="auto"/>
                    <w:right w:val="none" w:sz="0" w:space="0" w:color="auto"/>
                  </w:divBdr>
                  <w:divsChild>
                    <w:div w:id="1260141781">
                      <w:marLeft w:val="0"/>
                      <w:marRight w:val="0"/>
                      <w:marTop w:val="0"/>
                      <w:marBottom w:val="0"/>
                      <w:divBdr>
                        <w:top w:val="none" w:sz="0" w:space="0" w:color="auto"/>
                        <w:left w:val="none" w:sz="0" w:space="0" w:color="auto"/>
                        <w:bottom w:val="none" w:sz="0" w:space="0" w:color="auto"/>
                        <w:right w:val="none" w:sz="0" w:space="0" w:color="auto"/>
                      </w:divBdr>
                      <w:divsChild>
                        <w:div w:id="2074769135">
                          <w:marLeft w:val="0"/>
                          <w:marRight w:val="0"/>
                          <w:marTop w:val="0"/>
                          <w:marBottom w:val="0"/>
                          <w:divBdr>
                            <w:top w:val="none" w:sz="0" w:space="0" w:color="auto"/>
                            <w:left w:val="none" w:sz="0" w:space="0" w:color="auto"/>
                            <w:bottom w:val="none" w:sz="0" w:space="0" w:color="auto"/>
                            <w:right w:val="none" w:sz="0" w:space="0" w:color="auto"/>
                          </w:divBdr>
                          <w:divsChild>
                            <w:div w:id="45162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3089510">
      <w:bodyDiv w:val="1"/>
      <w:marLeft w:val="0"/>
      <w:marRight w:val="0"/>
      <w:marTop w:val="0"/>
      <w:marBottom w:val="0"/>
      <w:divBdr>
        <w:top w:val="none" w:sz="0" w:space="0" w:color="auto"/>
        <w:left w:val="none" w:sz="0" w:space="0" w:color="auto"/>
        <w:bottom w:val="none" w:sz="0" w:space="0" w:color="auto"/>
        <w:right w:val="none" w:sz="0" w:space="0" w:color="auto"/>
      </w:divBdr>
    </w:div>
    <w:div w:id="1031878283">
      <w:bodyDiv w:val="1"/>
      <w:marLeft w:val="0"/>
      <w:marRight w:val="0"/>
      <w:marTop w:val="0"/>
      <w:marBottom w:val="0"/>
      <w:divBdr>
        <w:top w:val="none" w:sz="0" w:space="0" w:color="auto"/>
        <w:left w:val="none" w:sz="0" w:space="0" w:color="auto"/>
        <w:bottom w:val="none" w:sz="0" w:space="0" w:color="auto"/>
        <w:right w:val="none" w:sz="0" w:space="0" w:color="auto"/>
      </w:divBdr>
    </w:div>
    <w:div w:id="1035424024">
      <w:bodyDiv w:val="1"/>
      <w:marLeft w:val="0"/>
      <w:marRight w:val="0"/>
      <w:marTop w:val="0"/>
      <w:marBottom w:val="0"/>
      <w:divBdr>
        <w:top w:val="none" w:sz="0" w:space="0" w:color="auto"/>
        <w:left w:val="none" w:sz="0" w:space="0" w:color="auto"/>
        <w:bottom w:val="none" w:sz="0" w:space="0" w:color="auto"/>
        <w:right w:val="none" w:sz="0" w:space="0" w:color="auto"/>
      </w:divBdr>
    </w:div>
    <w:div w:id="1047528613">
      <w:bodyDiv w:val="1"/>
      <w:marLeft w:val="0"/>
      <w:marRight w:val="0"/>
      <w:marTop w:val="0"/>
      <w:marBottom w:val="0"/>
      <w:divBdr>
        <w:top w:val="none" w:sz="0" w:space="0" w:color="auto"/>
        <w:left w:val="none" w:sz="0" w:space="0" w:color="auto"/>
        <w:bottom w:val="none" w:sz="0" w:space="0" w:color="auto"/>
        <w:right w:val="none" w:sz="0" w:space="0" w:color="auto"/>
      </w:divBdr>
    </w:div>
    <w:div w:id="1047607218">
      <w:bodyDiv w:val="1"/>
      <w:marLeft w:val="0"/>
      <w:marRight w:val="0"/>
      <w:marTop w:val="0"/>
      <w:marBottom w:val="0"/>
      <w:divBdr>
        <w:top w:val="none" w:sz="0" w:space="0" w:color="auto"/>
        <w:left w:val="none" w:sz="0" w:space="0" w:color="auto"/>
        <w:bottom w:val="none" w:sz="0" w:space="0" w:color="auto"/>
        <w:right w:val="none" w:sz="0" w:space="0" w:color="auto"/>
      </w:divBdr>
    </w:div>
    <w:div w:id="1052658157">
      <w:bodyDiv w:val="1"/>
      <w:marLeft w:val="0"/>
      <w:marRight w:val="0"/>
      <w:marTop w:val="0"/>
      <w:marBottom w:val="0"/>
      <w:divBdr>
        <w:top w:val="none" w:sz="0" w:space="0" w:color="auto"/>
        <w:left w:val="none" w:sz="0" w:space="0" w:color="auto"/>
        <w:bottom w:val="none" w:sz="0" w:space="0" w:color="auto"/>
        <w:right w:val="none" w:sz="0" w:space="0" w:color="auto"/>
      </w:divBdr>
    </w:div>
    <w:div w:id="1053769738">
      <w:bodyDiv w:val="1"/>
      <w:marLeft w:val="0"/>
      <w:marRight w:val="0"/>
      <w:marTop w:val="0"/>
      <w:marBottom w:val="0"/>
      <w:divBdr>
        <w:top w:val="none" w:sz="0" w:space="0" w:color="auto"/>
        <w:left w:val="none" w:sz="0" w:space="0" w:color="auto"/>
        <w:bottom w:val="none" w:sz="0" w:space="0" w:color="auto"/>
        <w:right w:val="none" w:sz="0" w:space="0" w:color="auto"/>
      </w:divBdr>
    </w:div>
    <w:div w:id="1066417768">
      <w:bodyDiv w:val="1"/>
      <w:marLeft w:val="0"/>
      <w:marRight w:val="0"/>
      <w:marTop w:val="0"/>
      <w:marBottom w:val="0"/>
      <w:divBdr>
        <w:top w:val="none" w:sz="0" w:space="0" w:color="auto"/>
        <w:left w:val="none" w:sz="0" w:space="0" w:color="auto"/>
        <w:bottom w:val="none" w:sz="0" w:space="0" w:color="auto"/>
        <w:right w:val="none" w:sz="0" w:space="0" w:color="auto"/>
      </w:divBdr>
    </w:div>
    <w:div w:id="1082263315">
      <w:bodyDiv w:val="1"/>
      <w:marLeft w:val="0"/>
      <w:marRight w:val="0"/>
      <w:marTop w:val="0"/>
      <w:marBottom w:val="0"/>
      <w:divBdr>
        <w:top w:val="none" w:sz="0" w:space="0" w:color="auto"/>
        <w:left w:val="none" w:sz="0" w:space="0" w:color="auto"/>
        <w:bottom w:val="none" w:sz="0" w:space="0" w:color="auto"/>
        <w:right w:val="none" w:sz="0" w:space="0" w:color="auto"/>
      </w:divBdr>
    </w:div>
    <w:div w:id="1083255089">
      <w:bodyDiv w:val="1"/>
      <w:marLeft w:val="0"/>
      <w:marRight w:val="0"/>
      <w:marTop w:val="0"/>
      <w:marBottom w:val="0"/>
      <w:divBdr>
        <w:top w:val="none" w:sz="0" w:space="0" w:color="auto"/>
        <w:left w:val="none" w:sz="0" w:space="0" w:color="auto"/>
        <w:bottom w:val="none" w:sz="0" w:space="0" w:color="auto"/>
        <w:right w:val="none" w:sz="0" w:space="0" w:color="auto"/>
      </w:divBdr>
    </w:div>
    <w:div w:id="1085151237">
      <w:bodyDiv w:val="1"/>
      <w:marLeft w:val="0"/>
      <w:marRight w:val="0"/>
      <w:marTop w:val="0"/>
      <w:marBottom w:val="0"/>
      <w:divBdr>
        <w:top w:val="none" w:sz="0" w:space="0" w:color="auto"/>
        <w:left w:val="none" w:sz="0" w:space="0" w:color="auto"/>
        <w:bottom w:val="none" w:sz="0" w:space="0" w:color="auto"/>
        <w:right w:val="none" w:sz="0" w:space="0" w:color="auto"/>
      </w:divBdr>
    </w:div>
    <w:div w:id="1098064806">
      <w:bodyDiv w:val="1"/>
      <w:marLeft w:val="0"/>
      <w:marRight w:val="0"/>
      <w:marTop w:val="0"/>
      <w:marBottom w:val="0"/>
      <w:divBdr>
        <w:top w:val="none" w:sz="0" w:space="0" w:color="auto"/>
        <w:left w:val="none" w:sz="0" w:space="0" w:color="auto"/>
        <w:bottom w:val="none" w:sz="0" w:space="0" w:color="auto"/>
        <w:right w:val="none" w:sz="0" w:space="0" w:color="auto"/>
      </w:divBdr>
    </w:div>
    <w:div w:id="1099525971">
      <w:bodyDiv w:val="1"/>
      <w:marLeft w:val="0"/>
      <w:marRight w:val="0"/>
      <w:marTop w:val="0"/>
      <w:marBottom w:val="0"/>
      <w:divBdr>
        <w:top w:val="none" w:sz="0" w:space="0" w:color="auto"/>
        <w:left w:val="none" w:sz="0" w:space="0" w:color="auto"/>
        <w:bottom w:val="none" w:sz="0" w:space="0" w:color="auto"/>
        <w:right w:val="none" w:sz="0" w:space="0" w:color="auto"/>
      </w:divBdr>
    </w:div>
    <w:div w:id="1100180331">
      <w:bodyDiv w:val="1"/>
      <w:marLeft w:val="0"/>
      <w:marRight w:val="0"/>
      <w:marTop w:val="0"/>
      <w:marBottom w:val="0"/>
      <w:divBdr>
        <w:top w:val="none" w:sz="0" w:space="0" w:color="auto"/>
        <w:left w:val="none" w:sz="0" w:space="0" w:color="auto"/>
        <w:bottom w:val="none" w:sz="0" w:space="0" w:color="auto"/>
        <w:right w:val="none" w:sz="0" w:space="0" w:color="auto"/>
      </w:divBdr>
    </w:div>
    <w:div w:id="1104694156">
      <w:bodyDiv w:val="1"/>
      <w:marLeft w:val="0"/>
      <w:marRight w:val="0"/>
      <w:marTop w:val="0"/>
      <w:marBottom w:val="0"/>
      <w:divBdr>
        <w:top w:val="none" w:sz="0" w:space="0" w:color="auto"/>
        <w:left w:val="none" w:sz="0" w:space="0" w:color="auto"/>
        <w:bottom w:val="none" w:sz="0" w:space="0" w:color="auto"/>
        <w:right w:val="none" w:sz="0" w:space="0" w:color="auto"/>
      </w:divBdr>
    </w:div>
    <w:div w:id="1111821468">
      <w:bodyDiv w:val="1"/>
      <w:marLeft w:val="0"/>
      <w:marRight w:val="0"/>
      <w:marTop w:val="0"/>
      <w:marBottom w:val="0"/>
      <w:divBdr>
        <w:top w:val="none" w:sz="0" w:space="0" w:color="auto"/>
        <w:left w:val="none" w:sz="0" w:space="0" w:color="auto"/>
        <w:bottom w:val="none" w:sz="0" w:space="0" w:color="auto"/>
        <w:right w:val="none" w:sz="0" w:space="0" w:color="auto"/>
      </w:divBdr>
    </w:div>
    <w:div w:id="1117061357">
      <w:bodyDiv w:val="1"/>
      <w:marLeft w:val="0"/>
      <w:marRight w:val="0"/>
      <w:marTop w:val="0"/>
      <w:marBottom w:val="0"/>
      <w:divBdr>
        <w:top w:val="none" w:sz="0" w:space="0" w:color="auto"/>
        <w:left w:val="none" w:sz="0" w:space="0" w:color="auto"/>
        <w:bottom w:val="none" w:sz="0" w:space="0" w:color="auto"/>
        <w:right w:val="none" w:sz="0" w:space="0" w:color="auto"/>
      </w:divBdr>
    </w:div>
    <w:div w:id="1117454928">
      <w:bodyDiv w:val="1"/>
      <w:marLeft w:val="0"/>
      <w:marRight w:val="0"/>
      <w:marTop w:val="0"/>
      <w:marBottom w:val="0"/>
      <w:divBdr>
        <w:top w:val="none" w:sz="0" w:space="0" w:color="auto"/>
        <w:left w:val="none" w:sz="0" w:space="0" w:color="auto"/>
        <w:bottom w:val="none" w:sz="0" w:space="0" w:color="auto"/>
        <w:right w:val="none" w:sz="0" w:space="0" w:color="auto"/>
      </w:divBdr>
    </w:div>
    <w:div w:id="1118260207">
      <w:bodyDiv w:val="1"/>
      <w:marLeft w:val="0"/>
      <w:marRight w:val="0"/>
      <w:marTop w:val="0"/>
      <w:marBottom w:val="0"/>
      <w:divBdr>
        <w:top w:val="none" w:sz="0" w:space="0" w:color="auto"/>
        <w:left w:val="none" w:sz="0" w:space="0" w:color="auto"/>
        <w:bottom w:val="none" w:sz="0" w:space="0" w:color="auto"/>
        <w:right w:val="none" w:sz="0" w:space="0" w:color="auto"/>
      </w:divBdr>
    </w:div>
    <w:div w:id="1118372595">
      <w:bodyDiv w:val="1"/>
      <w:marLeft w:val="0"/>
      <w:marRight w:val="0"/>
      <w:marTop w:val="0"/>
      <w:marBottom w:val="0"/>
      <w:divBdr>
        <w:top w:val="none" w:sz="0" w:space="0" w:color="auto"/>
        <w:left w:val="none" w:sz="0" w:space="0" w:color="auto"/>
        <w:bottom w:val="none" w:sz="0" w:space="0" w:color="auto"/>
        <w:right w:val="none" w:sz="0" w:space="0" w:color="auto"/>
      </w:divBdr>
    </w:div>
    <w:div w:id="1123577284">
      <w:bodyDiv w:val="1"/>
      <w:marLeft w:val="0"/>
      <w:marRight w:val="0"/>
      <w:marTop w:val="0"/>
      <w:marBottom w:val="0"/>
      <w:divBdr>
        <w:top w:val="none" w:sz="0" w:space="0" w:color="auto"/>
        <w:left w:val="none" w:sz="0" w:space="0" w:color="auto"/>
        <w:bottom w:val="none" w:sz="0" w:space="0" w:color="auto"/>
        <w:right w:val="none" w:sz="0" w:space="0" w:color="auto"/>
      </w:divBdr>
    </w:div>
    <w:div w:id="1134054842">
      <w:bodyDiv w:val="1"/>
      <w:marLeft w:val="0"/>
      <w:marRight w:val="0"/>
      <w:marTop w:val="0"/>
      <w:marBottom w:val="0"/>
      <w:divBdr>
        <w:top w:val="none" w:sz="0" w:space="0" w:color="auto"/>
        <w:left w:val="none" w:sz="0" w:space="0" w:color="auto"/>
        <w:bottom w:val="none" w:sz="0" w:space="0" w:color="auto"/>
        <w:right w:val="none" w:sz="0" w:space="0" w:color="auto"/>
      </w:divBdr>
    </w:div>
    <w:div w:id="1134568028">
      <w:bodyDiv w:val="1"/>
      <w:marLeft w:val="0"/>
      <w:marRight w:val="0"/>
      <w:marTop w:val="0"/>
      <w:marBottom w:val="0"/>
      <w:divBdr>
        <w:top w:val="none" w:sz="0" w:space="0" w:color="auto"/>
        <w:left w:val="none" w:sz="0" w:space="0" w:color="auto"/>
        <w:bottom w:val="none" w:sz="0" w:space="0" w:color="auto"/>
        <w:right w:val="none" w:sz="0" w:space="0" w:color="auto"/>
      </w:divBdr>
    </w:div>
    <w:div w:id="1142843350">
      <w:bodyDiv w:val="1"/>
      <w:marLeft w:val="0"/>
      <w:marRight w:val="0"/>
      <w:marTop w:val="0"/>
      <w:marBottom w:val="0"/>
      <w:divBdr>
        <w:top w:val="none" w:sz="0" w:space="0" w:color="auto"/>
        <w:left w:val="none" w:sz="0" w:space="0" w:color="auto"/>
        <w:bottom w:val="none" w:sz="0" w:space="0" w:color="auto"/>
        <w:right w:val="none" w:sz="0" w:space="0" w:color="auto"/>
      </w:divBdr>
    </w:div>
    <w:div w:id="1145732184">
      <w:bodyDiv w:val="1"/>
      <w:marLeft w:val="0"/>
      <w:marRight w:val="0"/>
      <w:marTop w:val="0"/>
      <w:marBottom w:val="0"/>
      <w:divBdr>
        <w:top w:val="none" w:sz="0" w:space="0" w:color="auto"/>
        <w:left w:val="none" w:sz="0" w:space="0" w:color="auto"/>
        <w:bottom w:val="none" w:sz="0" w:space="0" w:color="auto"/>
        <w:right w:val="none" w:sz="0" w:space="0" w:color="auto"/>
      </w:divBdr>
    </w:div>
    <w:div w:id="1145780500">
      <w:bodyDiv w:val="1"/>
      <w:marLeft w:val="0"/>
      <w:marRight w:val="0"/>
      <w:marTop w:val="0"/>
      <w:marBottom w:val="0"/>
      <w:divBdr>
        <w:top w:val="none" w:sz="0" w:space="0" w:color="auto"/>
        <w:left w:val="none" w:sz="0" w:space="0" w:color="auto"/>
        <w:bottom w:val="none" w:sz="0" w:space="0" w:color="auto"/>
        <w:right w:val="none" w:sz="0" w:space="0" w:color="auto"/>
      </w:divBdr>
    </w:div>
    <w:div w:id="1148085735">
      <w:bodyDiv w:val="1"/>
      <w:marLeft w:val="0"/>
      <w:marRight w:val="0"/>
      <w:marTop w:val="0"/>
      <w:marBottom w:val="0"/>
      <w:divBdr>
        <w:top w:val="none" w:sz="0" w:space="0" w:color="auto"/>
        <w:left w:val="none" w:sz="0" w:space="0" w:color="auto"/>
        <w:bottom w:val="none" w:sz="0" w:space="0" w:color="auto"/>
        <w:right w:val="none" w:sz="0" w:space="0" w:color="auto"/>
      </w:divBdr>
    </w:div>
    <w:div w:id="1150362499">
      <w:bodyDiv w:val="1"/>
      <w:marLeft w:val="0"/>
      <w:marRight w:val="0"/>
      <w:marTop w:val="0"/>
      <w:marBottom w:val="0"/>
      <w:divBdr>
        <w:top w:val="none" w:sz="0" w:space="0" w:color="auto"/>
        <w:left w:val="none" w:sz="0" w:space="0" w:color="auto"/>
        <w:bottom w:val="none" w:sz="0" w:space="0" w:color="auto"/>
        <w:right w:val="none" w:sz="0" w:space="0" w:color="auto"/>
      </w:divBdr>
    </w:div>
    <w:div w:id="1158380454">
      <w:bodyDiv w:val="1"/>
      <w:marLeft w:val="0"/>
      <w:marRight w:val="0"/>
      <w:marTop w:val="0"/>
      <w:marBottom w:val="0"/>
      <w:divBdr>
        <w:top w:val="none" w:sz="0" w:space="0" w:color="auto"/>
        <w:left w:val="none" w:sz="0" w:space="0" w:color="auto"/>
        <w:bottom w:val="none" w:sz="0" w:space="0" w:color="auto"/>
        <w:right w:val="none" w:sz="0" w:space="0" w:color="auto"/>
      </w:divBdr>
    </w:div>
    <w:div w:id="1167137815">
      <w:bodyDiv w:val="1"/>
      <w:marLeft w:val="0"/>
      <w:marRight w:val="0"/>
      <w:marTop w:val="0"/>
      <w:marBottom w:val="0"/>
      <w:divBdr>
        <w:top w:val="none" w:sz="0" w:space="0" w:color="auto"/>
        <w:left w:val="none" w:sz="0" w:space="0" w:color="auto"/>
        <w:bottom w:val="none" w:sz="0" w:space="0" w:color="auto"/>
        <w:right w:val="none" w:sz="0" w:space="0" w:color="auto"/>
      </w:divBdr>
    </w:div>
    <w:div w:id="1168134661">
      <w:bodyDiv w:val="1"/>
      <w:marLeft w:val="0"/>
      <w:marRight w:val="0"/>
      <w:marTop w:val="0"/>
      <w:marBottom w:val="0"/>
      <w:divBdr>
        <w:top w:val="none" w:sz="0" w:space="0" w:color="auto"/>
        <w:left w:val="none" w:sz="0" w:space="0" w:color="auto"/>
        <w:bottom w:val="none" w:sz="0" w:space="0" w:color="auto"/>
        <w:right w:val="none" w:sz="0" w:space="0" w:color="auto"/>
      </w:divBdr>
    </w:div>
    <w:div w:id="1169562167">
      <w:bodyDiv w:val="1"/>
      <w:marLeft w:val="0"/>
      <w:marRight w:val="0"/>
      <w:marTop w:val="0"/>
      <w:marBottom w:val="0"/>
      <w:divBdr>
        <w:top w:val="none" w:sz="0" w:space="0" w:color="auto"/>
        <w:left w:val="none" w:sz="0" w:space="0" w:color="auto"/>
        <w:bottom w:val="none" w:sz="0" w:space="0" w:color="auto"/>
        <w:right w:val="none" w:sz="0" w:space="0" w:color="auto"/>
      </w:divBdr>
    </w:div>
    <w:div w:id="1172918191">
      <w:bodyDiv w:val="1"/>
      <w:marLeft w:val="0"/>
      <w:marRight w:val="0"/>
      <w:marTop w:val="0"/>
      <w:marBottom w:val="0"/>
      <w:divBdr>
        <w:top w:val="none" w:sz="0" w:space="0" w:color="auto"/>
        <w:left w:val="none" w:sz="0" w:space="0" w:color="auto"/>
        <w:bottom w:val="none" w:sz="0" w:space="0" w:color="auto"/>
        <w:right w:val="none" w:sz="0" w:space="0" w:color="auto"/>
      </w:divBdr>
    </w:div>
    <w:div w:id="1173105614">
      <w:bodyDiv w:val="1"/>
      <w:marLeft w:val="0"/>
      <w:marRight w:val="0"/>
      <w:marTop w:val="0"/>
      <w:marBottom w:val="0"/>
      <w:divBdr>
        <w:top w:val="none" w:sz="0" w:space="0" w:color="auto"/>
        <w:left w:val="none" w:sz="0" w:space="0" w:color="auto"/>
        <w:bottom w:val="none" w:sz="0" w:space="0" w:color="auto"/>
        <w:right w:val="none" w:sz="0" w:space="0" w:color="auto"/>
      </w:divBdr>
    </w:div>
    <w:div w:id="1174806580">
      <w:bodyDiv w:val="1"/>
      <w:marLeft w:val="0"/>
      <w:marRight w:val="0"/>
      <w:marTop w:val="0"/>
      <w:marBottom w:val="0"/>
      <w:divBdr>
        <w:top w:val="none" w:sz="0" w:space="0" w:color="auto"/>
        <w:left w:val="none" w:sz="0" w:space="0" w:color="auto"/>
        <w:bottom w:val="none" w:sz="0" w:space="0" w:color="auto"/>
        <w:right w:val="none" w:sz="0" w:space="0" w:color="auto"/>
      </w:divBdr>
    </w:div>
    <w:div w:id="1177235910">
      <w:bodyDiv w:val="1"/>
      <w:marLeft w:val="0"/>
      <w:marRight w:val="0"/>
      <w:marTop w:val="0"/>
      <w:marBottom w:val="0"/>
      <w:divBdr>
        <w:top w:val="none" w:sz="0" w:space="0" w:color="auto"/>
        <w:left w:val="none" w:sz="0" w:space="0" w:color="auto"/>
        <w:bottom w:val="none" w:sz="0" w:space="0" w:color="auto"/>
        <w:right w:val="none" w:sz="0" w:space="0" w:color="auto"/>
      </w:divBdr>
    </w:div>
    <w:div w:id="1177767540">
      <w:bodyDiv w:val="1"/>
      <w:marLeft w:val="0"/>
      <w:marRight w:val="0"/>
      <w:marTop w:val="0"/>
      <w:marBottom w:val="0"/>
      <w:divBdr>
        <w:top w:val="none" w:sz="0" w:space="0" w:color="auto"/>
        <w:left w:val="none" w:sz="0" w:space="0" w:color="auto"/>
        <w:bottom w:val="none" w:sz="0" w:space="0" w:color="auto"/>
        <w:right w:val="none" w:sz="0" w:space="0" w:color="auto"/>
      </w:divBdr>
    </w:div>
    <w:div w:id="1178811057">
      <w:bodyDiv w:val="1"/>
      <w:marLeft w:val="0"/>
      <w:marRight w:val="0"/>
      <w:marTop w:val="0"/>
      <w:marBottom w:val="0"/>
      <w:divBdr>
        <w:top w:val="none" w:sz="0" w:space="0" w:color="auto"/>
        <w:left w:val="none" w:sz="0" w:space="0" w:color="auto"/>
        <w:bottom w:val="none" w:sz="0" w:space="0" w:color="auto"/>
        <w:right w:val="none" w:sz="0" w:space="0" w:color="auto"/>
      </w:divBdr>
    </w:div>
    <w:div w:id="1203634774">
      <w:bodyDiv w:val="1"/>
      <w:marLeft w:val="0"/>
      <w:marRight w:val="0"/>
      <w:marTop w:val="0"/>
      <w:marBottom w:val="0"/>
      <w:divBdr>
        <w:top w:val="none" w:sz="0" w:space="0" w:color="auto"/>
        <w:left w:val="none" w:sz="0" w:space="0" w:color="auto"/>
        <w:bottom w:val="none" w:sz="0" w:space="0" w:color="auto"/>
        <w:right w:val="none" w:sz="0" w:space="0" w:color="auto"/>
      </w:divBdr>
    </w:div>
    <w:div w:id="1204246145">
      <w:bodyDiv w:val="1"/>
      <w:marLeft w:val="0"/>
      <w:marRight w:val="0"/>
      <w:marTop w:val="0"/>
      <w:marBottom w:val="0"/>
      <w:divBdr>
        <w:top w:val="none" w:sz="0" w:space="0" w:color="auto"/>
        <w:left w:val="none" w:sz="0" w:space="0" w:color="auto"/>
        <w:bottom w:val="none" w:sz="0" w:space="0" w:color="auto"/>
        <w:right w:val="none" w:sz="0" w:space="0" w:color="auto"/>
      </w:divBdr>
    </w:div>
    <w:div w:id="1206791883">
      <w:bodyDiv w:val="1"/>
      <w:marLeft w:val="0"/>
      <w:marRight w:val="0"/>
      <w:marTop w:val="0"/>
      <w:marBottom w:val="0"/>
      <w:divBdr>
        <w:top w:val="none" w:sz="0" w:space="0" w:color="auto"/>
        <w:left w:val="none" w:sz="0" w:space="0" w:color="auto"/>
        <w:bottom w:val="none" w:sz="0" w:space="0" w:color="auto"/>
        <w:right w:val="none" w:sz="0" w:space="0" w:color="auto"/>
      </w:divBdr>
    </w:div>
    <w:div w:id="1221597559">
      <w:bodyDiv w:val="1"/>
      <w:marLeft w:val="0"/>
      <w:marRight w:val="0"/>
      <w:marTop w:val="0"/>
      <w:marBottom w:val="0"/>
      <w:divBdr>
        <w:top w:val="none" w:sz="0" w:space="0" w:color="auto"/>
        <w:left w:val="none" w:sz="0" w:space="0" w:color="auto"/>
        <w:bottom w:val="none" w:sz="0" w:space="0" w:color="auto"/>
        <w:right w:val="none" w:sz="0" w:space="0" w:color="auto"/>
      </w:divBdr>
    </w:div>
    <w:div w:id="1231580944">
      <w:bodyDiv w:val="1"/>
      <w:marLeft w:val="0"/>
      <w:marRight w:val="0"/>
      <w:marTop w:val="0"/>
      <w:marBottom w:val="0"/>
      <w:divBdr>
        <w:top w:val="none" w:sz="0" w:space="0" w:color="auto"/>
        <w:left w:val="none" w:sz="0" w:space="0" w:color="auto"/>
        <w:bottom w:val="none" w:sz="0" w:space="0" w:color="auto"/>
        <w:right w:val="none" w:sz="0" w:space="0" w:color="auto"/>
      </w:divBdr>
    </w:div>
    <w:div w:id="1257712307">
      <w:bodyDiv w:val="1"/>
      <w:marLeft w:val="0"/>
      <w:marRight w:val="0"/>
      <w:marTop w:val="0"/>
      <w:marBottom w:val="0"/>
      <w:divBdr>
        <w:top w:val="none" w:sz="0" w:space="0" w:color="auto"/>
        <w:left w:val="none" w:sz="0" w:space="0" w:color="auto"/>
        <w:bottom w:val="none" w:sz="0" w:space="0" w:color="auto"/>
        <w:right w:val="none" w:sz="0" w:space="0" w:color="auto"/>
      </w:divBdr>
      <w:divsChild>
        <w:div w:id="70859382">
          <w:marLeft w:val="0"/>
          <w:marRight w:val="0"/>
          <w:marTop w:val="0"/>
          <w:marBottom w:val="0"/>
          <w:divBdr>
            <w:top w:val="none" w:sz="0" w:space="0" w:color="auto"/>
            <w:left w:val="none" w:sz="0" w:space="0" w:color="auto"/>
            <w:bottom w:val="none" w:sz="0" w:space="0" w:color="auto"/>
            <w:right w:val="none" w:sz="0" w:space="0" w:color="auto"/>
          </w:divBdr>
          <w:divsChild>
            <w:div w:id="1015616430">
              <w:marLeft w:val="0"/>
              <w:marRight w:val="0"/>
              <w:marTop w:val="0"/>
              <w:marBottom w:val="0"/>
              <w:divBdr>
                <w:top w:val="none" w:sz="0" w:space="0" w:color="auto"/>
                <w:left w:val="none" w:sz="0" w:space="0" w:color="auto"/>
                <w:bottom w:val="none" w:sz="0" w:space="0" w:color="auto"/>
                <w:right w:val="none" w:sz="0" w:space="0" w:color="auto"/>
              </w:divBdr>
              <w:divsChild>
                <w:div w:id="297730697">
                  <w:marLeft w:val="0"/>
                  <w:marRight w:val="0"/>
                  <w:marTop w:val="0"/>
                  <w:marBottom w:val="0"/>
                  <w:divBdr>
                    <w:top w:val="none" w:sz="0" w:space="0" w:color="auto"/>
                    <w:left w:val="none" w:sz="0" w:space="0" w:color="auto"/>
                    <w:bottom w:val="none" w:sz="0" w:space="0" w:color="auto"/>
                    <w:right w:val="none" w:sz="0" w:space="0" w:color="auto"/>
                  </w:divBdr>
                  <w:divsChild>
                    <w:div w:id="1913739314">
                      <w:marLeft w:val="0"/>
                      <w:marRight w:val="0"/>
                      <w:marTop w:val="0"/>
                      <w:marBottom w:val="0"/>
                      <w:divBdr>
                        <w:top w:val="none" w:sz="0" w:space="0" w:color="auto"/>
                        <w:left w:val="none" w:sz="0" w:space="0" w:color="auto"/>
                        <w:bottom w:val="none" w:sz="0" w:space="0" w:color="auto"/>
                        <w:right w:val="none" w:sz="0" w:space="0" w:color="auto"/>
                      </w:divBdr>
                      <w:divsChild>
                        <w:div w:id="1591692526">
                          <w:marLeft w:val="0"/>
                          <w:marRight w:val="0"/>
                          <w:marTop w:val="300"/>
                          <w:marBottom w:val="0"/>
                          <w:divBdr>
                            <w:top w:val="none" w:sz="0" w:space="0" w:color="auto"/>
                            <w:left w:val="none" w:sz="0" w:space="0" w:color="auto"/>
                            <w:bottom w:val="none" w:sz="0" w:space="0" w:color="auto"/>
                            <w:right w:val="none" w:sz="0" w:space="0" w:color="auto"/>
                          </w:divBdr>
                          <w:divsChild>
                            <w:div w:id="104564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598939">
      <w:bodyDiv w:val="1"/>
      <w:marLeft w:val="0"/>
      <w:marRight w:val="0"/>
      <w:marTop w:val="0"/>
      <w:marBottom w:val="0"/>
      <w:divBdr>
        <w:top w:val="none" w:sz="0" w:space="0" w:color="auto"/>
        <w:left w:val="none" w:sz="0" w:space="0" w:color="auto"/>
        <w:bottom w:val="none" w:sz="0" w:space="0" w:color="auto"/>
        <w:right w:val="none" w:sz="0" w:space="0" w:color="auto"/>
      </w:divBdr>
    </w:div>
    <w:div w:id="1266769531">
      <w:bodyDiv w:val="1"/>
      <w:marLeft w:val="0"/>
      <w:marRight w:val="0"/>
      <w:marTop w:val="0"/>
      <w:marBottom w:val="0"/>
      <w:divBdr>
        <w:top w:val="none" w:sz="0" w:space="0" w:color="auto"/>
        <w:left w:val="none" w:sz="0" w:space="0" w:color="auto"/>
        <w:bottom w:val="none" w:sz="0" w:space="0" w:color="auto"/>
        <w:right w:val="none" w:sz="0" w:space="0" w:color="auto"/>
      </w:divBdr>
    </w:div>
    <w:div w:id="1269390061">
      <w:bodyDiv w:val="1"/>
      <w:marLeft w:val="0"/>
      <w:marRight w:val="0"/>
      <w:marTop w:val="0"/>
      <w:marBottom w:val="0"/>
      <w:divBdr>
        <w:top w:val="none" w:sz="0" w:space="0" w:color="auto"/>
        <w:left w:val="none" w:sz="0" w:space="0" w:color="auto"/>
        <w:bottom w:val="none" w:sz="0" w:space="0" w:color="auto"/>
        <w:right w:val="none" w:sz="0" w:space="0" w:color="auto"/>
      </w:divBdr>
    </w:div>
    <w:div w:id="1270353324">
      <w:bodyDiv w:val="1"/>
      <w:marLeft w:val="0"/>
      <w:marRight w:val="0"/>
      <w:marTop w:val="0"/>
      <w:marBottom w:val="0"/>
      <w:divBdr>
        <w:top w:val="none" w:sz="0" w:space="0" w:color="auto"/>
        <w:left w:val="none" w:sz="0" w:space="0" w:color="auto"/>
        <w:bottom w:val="none" w:sz="0" w:space="0" w:color="auto"/>
        <w:right w:val="none" w:sz="0" w:space="0" w:color="auto"/>
      </w:divBdr>
      <w:divsChild>
        <w:div w:id="1234243033">
          <w:marLeft w:val="0"/>
          <w:marRight w:val="0"/>
          <w:marTop w:val="0"/>
          <w:marBottom w:val="0"/>
          <w:divBdr>
            <w:top w:val="none" w:sz="0" w:space="0" w:color="auto"/>
            <w:left w:val="none" w:sz="0" w:space="0" w:color="auto"/>
            <w:bottom w:val="none" w:sz="0" w:space="0" w:color="auto"/>
            <w:right w:val="none" w:sz="0" w:space="0" w:color="auto"/>
          </w:divBdr>
        </w:div>
      </w:divsChild>
    </w:div>
    <w:div w:id="1270548240">
      <w:bodyDiv w:val="1"/>
      <w:marLeft w:val="0"/>
      <w:marRight w:val="0"/>
      <w:marTop w:val="0"/>
      <w:marBottom w:val="0"/>
      <w:divBdr>
        <w:top w:val="none" w:sz="0" w:space="0" w:color="auto"/>
        <w:left w:val="none" w:sz="0" w:space="0" w:color="auto"/>
        <w:bottom w:val="none" w:sz="0" w:space="0" w:color="auto"/>
        <w:right w:val="none" w:sz="0" w:space="0" w:color="auto"/>
      </w:divBdr>
    </w:div>
    <w:div w:id="1274901344">
      <w:bodyDiv w:val="1"/>
      <w:marLeft w:val="0"/>
      <w:marRight w:val="0"/>
      <w:marTop w:val="0"/>
      <w:marBottom w:val="0"/>
      <w:divBdr>
        <w:top w:val="none" w:sz="0" w:space="0" w:color="auto"/>
        <w:left w:val="none" w:sz="0" w:space="0" w:color="auto"/>
        <w:bottom w:val="none" w:sz="0" w:space="0" w:color="auto"/>
        <w:right w:val="none" w:sz="0" w:space="0" w:color="auto"/>
      </w:divBdr>
    </w:div>
    <w:div w:id="1290552435">
      <w:bodyDiv w:val="1"/>
      <w:marLeft w:val="0"/>
      <w:marRight w:val="0"/>
      <w:marTop w:val="0"/>
      <w:marBottom w:val="0"/>
      <w:divBdr>
        <w:top w:val="none" w:sz="0" w:space="0" w:color="auto"/>
        <w:left w:val="none" w:sz="0" w:space="0" w:color="auto"/>
        <w:bottom w:val="none" w:sz="0" w:space="0" w:color="auto"/>
        <w:right w:val="none" w:sz="0" w:space="0" w:color="auto"/>
      </w:divBdr>
    </w:div>
    <w:div w:id="1310788684">
      <w:bodyDiv w:val="1"/>
      <w:marLeft w:val="0"/>
      <w:marRight w:val="0"/>
      <w:marTop w:val="0"/>
      <w:marBottom w:val="0"/>
      <w:divBdr>
        <w:top w:val="none" w:sz="0" w:space="0" w:color="auto"/>
        <w:left w:val="none" w:sz="0" w:space="0" w:color="auto"/>
        <w:bottom w:val="none" w:sz="0" w:space="0" w:color="auto"/>
        <w:right w:val="none" w:sz="0" w:space="0" w:color="auto"/>
      </w:divBdr>
    </w:div>
    <w:div w:id="1320692573">
      <w:bodyDiv w:val="1"/>
      <w:marLeft w:val="0"/>
      <w:marRight w:val="0"/>
      <w:marTop w:val="0"/>
      <w:marBottom w:val="0"/>
      <w:divBdr>
        <w:top w:val="none" w:sz="0" w:space="0" w:color="auto"/>
        <w:left w:val="none" w:sz="0" w:space="0" w:color="auto"/>
        <w:bottom w:val="none" w:sz="0" w:space="0" w:color="auto"/>
        <w:right w:val="none" w:sz="0" w:space="0" w:color="auto"/>
      </w:divBdr>
      <w:divsChild>
        <w:div w:id="1506895885">
          <w:marLeft w:val="0"/>
          <w:marRight w:val="0"/>
          <w:marTop w:val="0"/>
          <w:marBottom w:val="0"/>
          <w:divBdr>
            <w:top w:val="none" w:sz="0" w:space="0" w:color="auto"/>
            <w:left w:val="none" w:sz="0" w:space="0" w:color="auto"/>
            <w:bottom w:val="none" w:sz="0" w:space="0" w:color="auto"/>
            <w:right w:val="none" w:sz="0" w:space="0" w:color="auto"/>
          </w:divBdr>
          <w:divsChild>
            <w:div w:id="1494947981">
              <w:marLeft w:val="0"/>
              <w:marRight w:val="0"/>
              <w:marTop w:val="0"/>
              <w:marBottom w:val="0"/>
              <w:divBdr>
                <w:top w:val="none" w:sz="0" w:space="0" w:color="auto"/>
                <w:left w:val="none" w:sz="0" w:space="0" w:color="auto"/>
                <w:bottom w:val="none" w:sz="0" w:space="0" w:color="auto"/>
                <w:right w:val="none" w:sz="0" w:space="0" w:color="auto"/>
              </w:divBdr>
              <w:divsChild>
                <w:div w:id="1792094847">
                  <w:marLeft w:val="0"/>
                  <w:marRight w:val="0"/>
                  <w:marTop w:val="0"/>
                  <w:marBottom w:val="0"/>
                  <w:divBdr>
                    <w:top w:val="none" w:sz="0" w:space="0" w:color="auto"/>
                    <w:left w:val="none" w:sz="0" w:space="0" w:color="auto"/>
                    <w:bottom w:val="none" w:sz="0" w:space="0" w:color="auto"/>
                    <w:right w:val="none" w:sz="0" w:space="0" w:color="auto"/>
                  </w:divBdr>
                  <w:divsChild>
                    <w:div w:id="1181892315">
                      <w:marLeft w:val="0"/>
                      <w:marRight w:val="0"/>
                      <w:marTop w:val="0"/>
                      <w:marBottom w:val="0"/>
                      <w:divBdr>
                        <w:top w:val="none" w:sz="0" w:space="0" w:color="auto"/>
                        <w:left w:val="none" w:sz="0" w:space="0" w:color="auto"/>
                        <w:bottom w:val="none" w:sz="0" w:space="0" w:color="auto"/>
                        <w:right w:val="none" w:sz="0" w:space="0" w:color="auto"/>
                      </w:divBdr>
                      <w:divsChild>
                        <w:div w:id="2004699917">
                          <w:marLeft w:val="0"/>
                          <w:marRight w:val="0"/>
                          <w:marTop w:val="300"/>
                          <w:marBottom w:val="0"/>
                          <w:divBdr>
                            <w:top w:val="none" w:sz="0" w:space="0" w:color="auto"/>
                            <w:left w:val="none" w:sz="0" w:space="0" w:color="auto"/>
                            <w:bottom w:val="none" w:sz="0" w:space="0" w:color="auto"/>
                            <w:right w:val="none" w:sz="0" w:space="0" w:color="auto"/>
                          </w:divBdr>
                          <w:divsChild>
                            <w:div w:id="180133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483893">
      <w:bodyDiv w:val="1"/>
      <w:marLeft w:val="0"/>
      <w:marRight w:val="0"/>
      <w:marTop w:val="0"/>
      <w:marBottom w:val="0"/>
      <w:divBdr>
        <w:top w:val="none" w:sz="0" w:space="0" w:color="auto"/>
        <w:left w:val="none" w:sz="0" w:space="0" w:color="auto"/>
        <w:bottom w:val="none" w:sz="0" w:space="0" w:color="auto"/>
        <w:right w:val="none" w:sz="0" w:space="0" w:color="auto"/>
      </w:divBdr>
    </w:div>
    <w:div w:id="1339308556">
      <w:bodyDiv w:val="1"/>
      <w:marLeft w:val="0"/>
      <w:marRight w:val="0"/>
      <w:marTop w:val="0"/>
      <w:marBottom w:val="0"/>
      <w:divBdr>
        <w:top w:val="none" w:sz="0" w:space="0" w:color="auto"/>
        <w:left w:val="none" w:sz="0" w:space="0" w:color="auto"/>
        <w:bottom w:val="none" w:sz="0" w:space="0" w:color="auto"/>
        <w:right w:val="none" w:sz="0" w:space="0" w:color="auto"/>
      </w:divBdr>
    </w:div>
    <w:div w:id="1342506299">
      <w:bodyDiv w:val="1"/>
      <w:marLeft w:val="0"/>
      <w:marRight w:val="0"/>
      <w:marTop w:val="0"/>
      <w:marBottom w:val="0"/>
      <w:divBdr>
        <w:top w:val="none" w:sz="0" w:space="0" w:color="auto"/>
        <w:left w:val="none" w:sz="0" w:space="0" w:color="auto"/>
        <w:bottom w:val="none" w:sz="0" w:space="0" w:color="auto"/>
        <w:right w:val="none" w:sz="0" w:space="0" w:color="auto"/>
      </w:divBdr>
    </w:div>
    <w:div w:id="1352532789">
      <w:bodyDiv w:val="1"/>
      <w:marLeft w:val="0"/>
      <w:marRight w:val="0"/>
      <w:marTop w:val="0"/>
      <w:marBottom w:val="0"/>
      <w:divBdr>
        <w:top w:val="none" w:sz="0" w:space="0" w:color="auto"/>
        <w:left w:val="none" w:sz="0" w:space="0" w:color="auto"/>
        <w:bottom w:val="none" w:sz="0" w:space="0" w:color="auto"/>
        <w:right w:val="none" w:sz="0" w:space="0" w:color="auto"/>
      </w:divBdr>
    </w:div>
    <w:div w:id="1354306972">
      <w:bodyDiv w:val="1"/>
      <w:marLeft w:val="0"/>
      <w:marRight w:val="0"/>
      <w:marTop w:val="0"/>
      <w:marBottom w:val="0"/>
      <w:divBdr>
        <w:top w:val="none" w:sz="0" w:space="0" w:color="auto"/>
        <w:left w:val="none" w:sz="0" w:space="0" w:color="auto"/>
        <w:bottom w:val="none" w:sz="0" w:space="0" w:color="auto"/>
        <w:right w:val="none" w:sz="0" w:space="0" w:color="auto"/>
      </w:divBdr>
    </w:div>
    <w:div w:id="1356347886">
      <w:bodyDiv w:val="1"/>
      <w:marLeft w:val="0"/>
      <w:marRight w:val="0"/>
      <w:marTop w:val="0"/>
      <w:marBottom w:val="0"/>
      <w:divBdr>
        <w:top w:val="none" w:sz="0" w:space="0" w:color="auto"/>
        <w:left w:val="none" w:sz="0" w:space="0" w:color="auto"/>
        <w:bottom w:val="none" w:sz="0" w:space="0" w:color="auto"/>
        <w:right w:val="none" w:sz="0" w:space="0" w:color="auto"/>
      </w:divBdr>
    </w:div>
    <w:div w:id="1364284202">
      <w:bodyDiv w:val="1"/>
      <w:marLeft w:val="0"/>
      <w:marRight w:val="0"/>
      <w:marTop w:val="0"/>
      <w:marBottom w:val="0"/>
      <w:divBdr>
        <w:top w:val="none" w:sz="0" w:space="0" w:color="auto"/>
        <w:left w:val="none" w:sz="0" w:space="0" w:color="auto"/>
        <w:bottom w:val="none" w:sz="0" w:space="0" w:color="auto"/>
        <w:right w:val="none" w:sz="0" w:space="0" w:color="auto"/>
      </w:divBdr>
    </w:div>
    <w:div w:id="1395085067">
      <w:bodyDiv w:val="1"/>
      <w:marLeft w:val="0"/>
      <w:marRight w:val="0"/>
      <w:marTop w:val="0"/>
      <w:marBottom w:val="0"/>
      <w:divBdr>
        <w:top w:val="none" w:sz="0" w:space="0" w:color="auto"/>
        <w:left w:val="none" w:sz="0" w:space="0" w:color="auto"/>
        <w:bottom w:val="none" w:sz="0" w:space="0" w:color="auto"/>
        <w:right w:val="none" w:sz="0" w:space="0" w:color="auto"/>
      </w:divBdr>
    </w:div>
    <w:div w:id="1403328801">
      <w:bodyDiv w:val="1"/>
      <w:marLeft w:val="0"/>
      <w:marRight w:val="0"/>
      <w:marTop w:val="0"/>
      <w:marBottom w:val="0"/>
      <w:divBdr>
        <w:top w:val="none" w:sz="0" w:space="0" w:color="auto"/>
        <w:left w:val="none" w:sz="0" w:space="0" w:color="auto"/>
        <w:bottom w:val="none" w:sz="0" w:space="0" w:color="auto"/>
        <w:right w:val="none" w:sz="0" w:space="0" w:color="auto"/>
      </w:divBdr>
    </w:div>
    <w:div w:id="1403406209">
      <w:bodyDiv w:val="1"/>
      <w:marLeft w:val="0"/>
      <w:marRight w:val="0"/>
      <w:marTop w:val="0"/>
      <w:marBottom w:val="0"/>
      <w:divBdr>
        <w:top w:val="none" w:sz="0" w:space="0" w:color="auto"/>
        <w:left w:val="none" w:sz="0" w:space="0" w:color="auto"/>
        <w:bottom w:val="none" w:sz="0" w:space="0" w:color="auto"/>
        <w:right w:val="none" w:sz="0" w:space="0" w:color="auto"/>
      </w:divBdr>
    </w:div>
    <w:div w:id="1405026680">
      <w:bodyDiv w:val="1"/>
      <w:marLeft w:val="0"/>
      <w:marRight w:val="0"/>
      <w:marTop w:val="0"/>
      <w:marBottom w:val="0"/>
      <w:divBdr>
        <w:top w:val="none" w:sz="0" w:space="0" w:color="auto"/>
        <w:left w:val="none" w:sz="0" w:space="0" w:color="auto"/>
        <w:bottom w:val="none" w:sz="0" w:space="0" w:color="auto"/>
        <w:right w:val="none" w:sz="0" w:space="0" w:color="auto"/>
      </w:divBdr>
    </w:div>
    <w:div w:id="1405957847">
      <w:bodyDiv w:val="1"/>
      <w:marLeft w:val="0"/>
      <w:marRight w:val="0"/>
      <w:marTop w:val="0"/>
      <w:marBottom w:val="0"/>
      <w:divBdr>
        <w:top w:val="none" w:sz="0" w:space="0" w:color="auto"/>
        <w:left w:val="none" w:sz="0" w:space="0" w:color="auto"/>
        <w:bottom w:val="none" w:sz="0" w:space="0" w:color="auto"/>
        <w:right w:val="none" w:sz="0" w:space="0" w:color="auto"/>
      </w:divBdr>
    </w:div>
    <w:div w:id="1415080446">
      <w:bodyDiv w:val="1"/>
      <w:marLeft w:val="0"/>
      <w:marRight w:val="0"/>
      <w:marTop w:val="0"/>
      <w:marBottom w:val="0"/>
      <w:divBdr>
        <w:top w:val="none" w:sz="0" w:space="0" w:color="auto"/>
        <w:left w:val="none" w:sz="0" w:space="0" w:color="auto"/>
        <w:bottom w:val="none" w:sz="0" w:space="0" w:color="auto"/>
        <w:right w:val="none" w:sz="0" w:space="0" w:color="auto"/>
      </w:divBdr>
    </w:div>
    <w:div w:id="1415586678">
      <w:bodyDiv w:val="1"/>
      <w:marLeft w:val="0"/>
      <w:marRight w:val="0"/>
      <w:marTop w:val="0"/>
      <w:marBottom w:val="0"/>
      <w:divBdr>
        <w:top w:val="none" w:sz="0" w:space="0" w:color="auto"/>
        <w:left w:val="none" w:sz="0" w:space="0" w:color="auto"/>
        <w:bottom w:val="none" w:sz="0" w:space="0" w:color="auto"/>
        <w:right w:val="none" w:sz="0" w:space="0" w:color="auto"/>
      </w:divBdr>
    </w:div>
    <w:div w:id="1424298415">
      <w:bodyDiv w:val="1"/>
      <w:marLeft w:val="0"/>
      <w:marRight w:val="0"/>
      <w:marTop w:val="0"/>
      <w:marBottom w:val="0"/>
      <w:divBdr>
        <w:top w:val="none" w:sz="0" w:space="0" w:color="auto"/>
        <w:left w:val="none" w:sz="0" w:space="0" w:color="auto"/>
        <w:bottom w:val="none" w:sz="0" w:space="0" w:color="auto"/>
        <w:right w:val="none" w:sz="0" w:space="0" w:color="auto"/>
      </w:divBdr>
    </w:div>
    <w:div w:id="1425760686">
      <w:bodyDiv w:val="1"/>
      <w:marLeft w:val="0"/>
      <w:marRight w:val="0"/>
      <w:marTop w:val="0"/>
      <w:marBottom w:val="0"/>
      <w:divBdr>
        <w:top w:val="none" w:sz="0" w:space="0" w:color="auto"/>
        <w:left w:val="none" w:sz="0" w:space="0" w:color="auto"/>
        <w:bottom w:val="none" w:sz="0" w:space="0" w:color="auto"/>
        <w:right w:val="none" w:sz="0" w:space="0" w:color="auto"/>
      </w:divBdr>
    </w:div>
    <w:div w:id="1426730333">
      <w:bodyDiv w:val="1"/>
      <w:marLeft w:val="0"/>
      <w:marRight w:val="0"/>
      <w:marTop w:val="0"/>
      <w:marBottom w:val="0"/>
      <w:divBdr>
        <w:top w:val="none" w:sz="0" w:space="0" w:color="auto"/>
        <w:left w:val="none" w:sz="0" w:space="0" w:color="auto"/>
        <w:bottom w:val="none" w:sz="0" w:space="0" w:color="auto"/>
        <w:right w:val="none" w:sz="0" w:space="0" w:color="auto"/>
      </w:divBdr>
    </w:div>
    <w:div w:id="1431001293">
      <w:bodyDiv w:val="1"/>
      <w:marLeft w:val="0"/>
      <w:marRight w:val="0"/>
      <w:marTop w:val="0"/>
      <w:marBottom w:val="0"/>
      <w:divBdr>
        <w:top w:val="none" w:sz="0" w:space="0" w:color="auto"/>
        <w:left w:val="none" w:sz="0" w:space="0" w:color="auto"/>
        <w:bottom w:val="none" w:sz="0" w:space="0" w:color="auto"/>
        <w:right w:val="none" w:sz="0" w:space="0" w:color="auto"/>
      </w:divBdr>
    </w:div>
    <w:div w:id="1433552864">
      <w:bodyDiv w:val="1"/>
      <w:marLeft w:val="0"/>
      <w:marRight w:val="0"/>
      <w:marTop w:val="0"/>
      <w:marBottom w:val="0"/>
      <w:divBdr>
        <w:top w:val="none" w:sz="0" w:space="0" w:color="auto"/>
        <w:left w:val="none" w:sz="0" w:space="0" w:color="auto"/>
        <w:bottom w:val="none" w:sz="0" w:space="0" w:color="auto"/>
        <w:right w:val="none" w:sz="0" w:space="0" w:color="auto"/>
      </w:divBdr>
    </w:div>
    <w:div w:id="1438526340">
      <w:bodyDiv w:val="1"/>
      <w:marLeft w:val="0"/>
      <w:marRight w:val="0"/>
      <w:marTop w:val="0"/>
      <w:marBottom w:val="0"/>
      <w:divBdr>
        <w:top w:val="none" w:sz="0" w:space="0" w:color="auto"/>
        <w:left w:val="none" w:sz="0" w:space="0" w:color="auto"/>
        <w:bottom w:val="none" w:sz="0" w:space="0" w:color="auto"/>
        <w:right w:val="none" w:sz="0" w:space="0" w:color="auto"/>
      </w:divBdr>
    </w:div>
    <w:div w:id="1440835157">
      <w:bodyDiv w:val="1"/>
      <w:marLeft w:val="0"/>
      <w:marRight w:val="0"/>
      <w:marTop w:val="0"/>
      <w:marBottom w:val="0"/>
      <w:divBdr>
        <w:top w:val="none" w:sz="0" w:space="0" w:color="auto"/>
        <w:left w:val="none" w:sz="0" w:space="0" w:color="auto"/>
        <w:bottom w:val="none" w:sz="0" w:space="0" w:color="auto"/>
        <w:right w:val="none" w:sz="0" w:space="0" w:color="auto"/>
      </w:divBdr>
    </w:div>
    <w:div w:id="1442989159">
      <w:bodyDiv w:val="1"/>
      <w:marLeft w:val="0"/>
      <w:marRight w:val="0"/>
      <w:marTop w:val="0"/>
      <w:marBottom w:val="0"/>
      <w:divBdr>
        <w:top w:val="none" w:sz="0" w:space="0" w:color="auto"/>
        <w:left w:val="none" w:sz="0" w:space="0" w:color="auto"/>
        <w:bottom w:val="none" w:sz="0" w:space="0" w:color="auto"/>
        <w:right w:val="none" w:sz="0" w:space="0" w:color="auto"/>
      </w:divBdr>
    </w:div>
    <w:div w:id="1443574664">
      <w:bodyDiv w:val="1"/>
      <w:marLeft w:val="0"/>
      <w:marRight w:val="0"/>
      <w:marTop w:val="0"/>
      <w:marBottom w:val="0"/>
      <w:divBdr>
        <w:top w:val="none" w:sz="0" w:space="0" w:color="auto"/>
        <w:left w:val="none" w:sz="0" w:space="0" w:color="auto"/>
        <w:bottom w:val="none" w:sz="0" w:space="0" w:color="auto"/>
        <w:right w:val="none" w:sz="0" w:space="0" w:color="auto"/>
      </w:divBdr>
    </w:div>
    <w:div w:id="1443651611">
      <w:bodyDiv w:val="1"/>
      <w:marLeft w:val="0"/>
      <w:marRight w:val="0"/>
      <w:marTop w:val="0"/>
      <w:marBottom w:val="0"/>
      <w:divBdr>
        <w:top w:val="none" w:sz="0" w:space="0" w:color="auto"/>
        <w:left w:val="none" w:sz="0" w:space="0" w:color="auto"/>
        <w:bottom w:val="none" w:sz="0" w:space="0" w:color="auto"/>
        <w:right w:val="none" w:sz="0" w:space="0" w:color="auto"/>
      </w:divBdr>
    </w:div>
    <w:div w:id="1445223748">
      <w:bodyDiv w:val="1"/>
      <w:marLeft w:val="0"/>
      <w:marRight w:val="0"/>
      <w:marTop w:val="0"/>
      <w:marBottom w:val="0"/>
      <w:divBdr>
        <w:top w:val="none" w:sz="0" w:space="0" w:color="auto"/>
        <w:left w:val="none" w:sz="0" w:space="0" w:color="auto"/>
        <w:bottom w:val="none" w:sz="0" w:space="0" w:color="auto"/>
        <w:right w:val="none" w:sz="0" w:space="0" w:color="auto"/>
      </w:divBdr>
    </w:div>
    <w:div w:id="1448810489">
      <w:bodyDiv w:val="1"/>
      <w:marLeft w:val="0"/>
      <w:marRight w:val="0"/>
      <w:marTop w:val="0"/>
      <w:marBottom w:val="0"/>
      <w:divBdr>
        <w:top w:val="none" w:sz="0" w:space="0" w:color="auto"/>
        <w:left w:val="none" w:sz="0" w:space="0" w:color="auto"/>
        <w:bottom w:val="none" w:sz="0" w:space="0" w:color="auto"/>
        <w:right w:val="none" w:sz="0" w:space="0" w:color="auto"/>
      </w:divBdr>
    </w:div>
    <w:div w:id="1450782142">
      <w:bodyDiv w:val="1"/>
      <w:marLeft w:val="0"/>
      <w:marRight w:val="0"/>
      <w:marTop w:val="0"/>
      <w:marBottom w:val="0"/>
      <w:divBdr>
        <w:top w:val="none" w:sz="0" w:space="0" w:color="auto"/>
        <w:left w:val="none" w:sz="0" w:space="0" w:color="auto"/>
        <w:bottom w:val="none" w:sz="0" w:space="0" w:color="auto"/>
        <w:right w:val="none" w:sz="0" w:space="0" w:color="auto"/>
      </w:divBdr>
    </w:div>
    <w:div w:id="1452477170">
      <w:bodyDiv w:val="1"/>
      <w:marLeft w:val="0"/>
      <w:marRight w:val="0"/>
      <w:marTop w:val="0"/>
      <w:marBottom w:val="0"/>
      <w:divBdr>
        <w:top w:val="none" w:sz="0" w:space="0" w:color="auto"/>
        <w:left w:val="none" w:sz="0" w:space="0" w:color="auto"/>
        <w:bottom w:val="none" w:sz="0" w:space="0" w:color="auto"/>
        <w:right w:val="none" w:sz="0" w:space="0" w:color="auto"/>
      </w:divBdr>
    </w:div>
    <w:div w:id="1457062266">
      <w:bodyDiv w:val="1"/>
      <w:marLeft w:val="0"/>
      <w:marRight w:val="0"/>
      <w:marTop w:val="0"/>
      <w:marBottom w:val="0"/>
      <w:divBdr>
        <w:top w:val="none" w:sz="0" w:space="0" w:color="auto"/>
        <w:left w:val="none" w:sz="0" w:space="0" w:color="auto"/>
        <w:bottom w:val="none" w:sz="0" w:space="0" w:color="auto"/>
        <w:right w:val="none" w:sz="0" w:space="0" w:color="auto"/>
      </w:divBdr>
    </w:div>
    <w:div w:id="1462922026">
      <w:bodyDiv w:val="1"/>
      <w:marLeft w:val="0"/>
      <w:marRight w:val="0"/>
      <w:marTop w:val="0"/>
      <w:marBottom w:val="0"/>
      <w:divBdr>
        <w:top w:val="none" w:sz="0" w:space="0" w:color="auto"/>
        <w:left w:val="none" w:sz="0" w:space="0" w:color="auto"/>
        <w:bottom w:val="none" w:sz="0" w:space="0" w:color="auto"/>
        <w:right w:val="none" w:sz="0" w:space="0" w:color="auto"/>
      </w:divBdr>
    </w:div>
    <w:div w:id="1478645396">
      <w:bodyDiv w:val="1"/>
      <w:marLeft w:val="0"/>
      <w:marRight w:val="0"/>
      <w:marTop w:val="0"/>
      <w:marBottom w:val="0"/>
      <w:divBdr>
        <w:top w:val="none" w:sz="0" w:space="0" w:color="auto"/>
        <w:left w:val="none" w:sz="0" w:space="0" w:color="auto"/>
        <w:bottom w:val="none" w:sz="0" w:space="0" w:color="auto"/>
        <w:right w:val="none" w:sz="0" w:space="0" w:color="auto"/>
      </w:divBdr>
    </w:div>
    <w:div w:id="1479345890">
      <w:bodyDiv w:val="1"/>
      <w:marLeft w:val="0"/>
      <w:marRight w:val="0"/>
      <w:marTop w:val="0"/>
      <w:marBottom w:val="0"/>
      <w:divBdr>
        <w:top w:val="none" w:sz="0" w:space="0" w:color="auto"/>
        <w:left w:val="none" w:sz="0" w:space="0" w:color="auto"/>
        <w:bottom w:val="none" w:sz="0" w:space="0" w:color="auto"/>
        <w:right w:val="none" w:sz="0" w:space="0" w:color="auto"/>
      </w:divBdr>
    </w:div>
    <w:div w:id="1488130220">
      <w:bodyDiv w:val="1"/>
      <w:marLeft w:val="0"/>
      <w:marRight w:val="0"/>
      <w:marTop w:val="0"/>
      <w:marBottom w:val="0"/>
      <w:divBdr>
        <w:top w:val="none" w:sz="0" w:space="0" w:color="auto"/>
        <w:left w:val="none" w:sz="0" w:space="0" w:color="auto"/>
        <w:bottom w:val="none" w:sz="0" w:space="0" w:color="auto"/>
        <w:right w:val="none" w:sz="0" w:space="0" w:color="auto"/>
      </w:divBdr>
    </w:div>
    <w:div w:id="1491556221">
      <w:bodyDiv w:val="1"/>
      <w:marLeft w:val="0"/>
      <w:marRight w:val="0"/>
      <w:marTop w:val="0"/>
      <w:marBottom w:val="0"/>
      <w:divBdr>
        <w:top w:val="none" w:sz="0" w:space="0" w:color="auto"/>
        <w:left w:val="none" w:sz="0" w:space="0" w:color="auto"/>
        <w:bottom w:val="none" w:sz="0" w:space="0" w:color="auto"/>
        <w:right w:val="none" w:sz="0" w:space="0" w:color="auto"/>
      </w:divBdr>
    </w:div>
    <w:div w:id="1500271889">
      <w:bodyDiv w:val="1"/>
      <w:marLeft w:val="0"/>
      <w:marRight w:val="0"/>
      <w:marTop w:val="0"/>
      <w:marBottom w:val="0"/>
      <w:divBdr>
        <w:top w:val="none" w:sz="0" w:space="0" w:color="auto"/>
        <w:left w:val="none" w:sz="0" w:space="0" w:color="auto"/>
        <w:bottom w:val="none" w:sz="0" w:space="0" w:color="auto"/>
        <w:right w:val="none" w:sz="0" w:space="0" w:color="auto"/>
      </w:divBdr>
    </w:div>
    <w:div w:id="1501198123">
      <w:bodyDiv w:val="1"/>
      <w:marLeft w:val="0"/>
      <w:marRight w:val="0"/>
      <w:marTop w:val="0"/>
      <w:marBottom w:val="0"/>
      <w:divBdr>
        <w:top w:val="none" w:sz="0" w:space="0" w:color="auto"/>
        <w:left w:val="none" w:sz="0" w:space="0" w:color="auto"/>
        <w:bottom w:val="none" w:sz="0" w:space="0" w:color="auto"/>
        <w:right w:val="none" w:sz="0" w:space="0" w:color="auto"/>
      </w:divBdr>
    </w:div>
    <w:div w:id="1502353509">
      <w:bodyDiv w:val="1"/>
      <w:marLeft w:val="0"/>
      <w:marRight w:val="0"/>
      <w:marTop w:val="0"/>
      <w:marBottom w:val="0"/>
      <w:divBdr>
        <w:top w:val="none" w:sz="0" w:space="0" w:color="auto"/>
        <w:left w:val="none" w:sz="0" w:space="0" w:color="auto"/>
        <w:bottom w:val="none" w:sz="0" w:space="0" w:color="auto"/>
        <w:right w:val="none" w:sz="0" w:space="0" w:color="auto"/>
      </w:divBdr>
    </w:div>
    <w:div w:id="1506746475">
      <w:bodyDiv w:val="1"/>
      <w:marLeft w:val="0"/>
      <w:marRight w:val="0"/>
      <w:marTop w:val="0"/>
      <w:marBottom w:val="0"/>
      <w:divBdr>
        <w:top w:val="none" w:sz="0" w:space="0" w:color="auto"/>
        <w:left w:val="none" w:sz="0" w:space="0" w:color="auto"/>
        <w:bottom w:val="none" w:sz="0" w:space="0" w:color="auto"/>
        <w:right w:val="none" w:sz="0" w:space="0" w:color="auto"/>
      </w:divBdr>
    </w:div>
    <w:div w:id="1506825097">
      <w:bodyDiv w:val="1"/>
      <w:marLeft w:val="0"/>
      <w:marRight w:val="0"/>
      <w:marTop w:val="0"/>
      <w:marBottom w:val="0"/>
      <w:divBdr>
        <w:top w:val="none" w:sz="0" w:space="0" w:color="auto"/>
        <w:left w:val="none" w:sz="0" w:space="0" w:color="auto"/>
        <w:bottom w:val="none" w:sz="0" w:space="0" w:color="auto"/>
        <w:right w:val="none" w:sz="0" w:space="0" w:color="auto"/>
      </w:divBdr>
    </w:div>
    <w:div w:id="1509713053">
      <w:bodyDiv w:val="1"/>
      <w:marLeft w:val="0"/>
      <w:marRight w:val="0"/>
      <w:marTop w:val="0"/>
      <w:marBottom w:val="0"/>
      <w:divBdr>
        <w:top w:val="none" w:sz="0" w:space="0" w:color="auto"/>
        <w:left w:val="none" w:sz="0" w:space="0" w:color="auto"/>
        <w:bottom w:val="none" w:sz="0" w:space="0" w:color="auto"/>
        <w:right w:val="none" w:sz="0" w:space="0" w:color="auto"/>
      </w:divBdr>
    </w:div>
    <w:div w:id="1514414668">
      <w:bodyDiv w:val="1"/>
      <w:marLeft w:val="0"/>
      <w:marRight w:val="0"/>
      <w:marTop w:val="0"/>
      <w:marBottom w:val="0"/>
      <w:divBdr>
        <w:top w:val="none" w:sz="0" w:space="0" w:color="auto"/>
        <w:left w:val="none" w:sz="0" w:space="0" w:color="auto"/>
        <w:bottom w:val="none" w:sz="0" w:space="0" w:color="auto"/>
        <w:right w:val="none" w:sz="0" w:space="0" w:color="auto"/>
      </w:divBdr>
    </w:div>
    <w:div w:id="1516187621">
      <w:bodyDiv w:val="1"/>
      <w:marLeft w:val="0"/>
      <w:marRight w:val="0"/>
      <w:marTop w:val="0"/>
      <w:marBottom w:val="0"/>
      <w:divBdr>
        <w:top w:val="none" w:sz="0" w:space="0" w:color="auto"/>
        <w:left w:val="none" w:sz="0" w:space="0" w:color="auto"/>
        <w:bottom w:val="none" w:sz="0" w:space="0" w:color="auto"/>
        <w:right w:val="none" w:sz="0" w:space="0" w:color="auto"/>
      </w:divBdr>
    </w:div>
    <w:div w:id="1527258182">
      <w:bodyDiv w:val="1"/>
      <w:marLeft w:val="0"/>
      <w:marRight w:val="0"/>
      <w:marTop w:val="0"/>
      <w:marBottom w:val="0"/>
      <w:divBdr>
        <w:top w:val="none" w:sz="0" w:space="0" w:color="auto"/>
        <w:left w:val="none" w:sz="0" w:space="0" w:color="auto"/>
        <w:bottom w:val="none" w:sz="0" w:space="0" w:color="auto"/>
        <w:right w:val="none" w:sz="0" w:space="0" w:color="auto"/>
      </w:divBdr>
    </w:div>
    <w:div w:id="1528789896">
      <w:bodyDiv w:val="1"/>
      <w:marLeft w:val="0"/>
      <w:marRight w:val="0"/>
      <w:marTop w:val="0"/>
      <w:marBottom w:val="0"/>
      <w:divBdr>
        <w:top w:val="none" w:sz="0" w:space="0" w:color="auto"/>
        <w:left w:val="none" w:sz="0" w:space="0" w:color="auto"/>
        <w:bottom w:val="none" w:sz="0" w:space="0" w:color="auto"/>
        <w:right w:val="none" w:sz="0" w:space="0" w:color="auto"/>
      </w:divBdr>
    </w:div>
    <w:div w:id="1532500699">
      <w:bodyDiv w:val="1"/>
      <w:marLeft w:val="0"/>
      <w:marRight w:val="0"/>
      <w:marTop w:val="0"/>
      <w:marBottom w:val="0"/>
      <w:divBdr>
        <w:top w:val="none" w:sz="0" w:space="0" w:color="auto"/>
        <w:left w:val="none" w:sz="0" w:space="0" w:color="auto"/>
        <w:bottom w:val="none" w:sz="0" w:space="0" w:color="auto"/>
        <w:right w:val="none" w:sz="0" w:space="0" w:color="auto"/>
      </w:divBdr>
    </w:div>
    <w:div w:id="1535146097">
      <w:bodyDiv w:val="1"/>
      <w:marLeft w:val="0"/>
      <w:marRight w:val="0"/>
      <w:marTop w:val="0"/>
      <w:marBottom w:val="0"/>
      <w:divBdr>
        <w:top w:val="none" w:sz="0" w:space="0" w:color="auto"/>
        <w:left w:val="none" w:sz="0" w:space="0" w:color="auto"/>
        <w:bottom w:val="none" w:sz="0" w:space="0" w:color="auto"/>
        <w:right w:val="none" w:sz="0" w:space="0" w:color="auto"/>
      </w:divBdr>
    </w:div>
    <w:div w:id="1536574641">
      <w:bodyDiv w:val="1"/>
      <w:marLeft w:val="0"/>
      <w:marRight w:val="0"/>
      <w:marTop w:val="0"/>
      <w:marBottom w:val="0"/>
      <w:divBdr>
        <w:top w:val="none" w:sz="0" w:space="0" w:color="auto"/>
        <w:left w:val="none" w:sz="0" w:space="0" w:color="auto"/>
        <w:bottom w:val="none" w:sz="0" w:space="0" w:color="auto"/>
        <w:right w:val="none" w:sz="0" w:space="0" w:color="auto"/>
      </w:divBdr>
    </w:div>
    <w:div w:id="1538811827">
      <w:bodyDiv w:val="1"/>
      <w:marLeft w:val="0"/>
      <w:marRight w:val="0"/>
      <w:marTop w:val="0"/>
      <w:marBottom w:val="0"/>
      <w:divBdr>
        <w:top w:val="none" w:sz="0" w:space="0" w:color="auto"/>
        <w:left w:val="none" w:sz="0" w:space="0" w:color="auto"/>
        <w:bottom w:val="none" w:sz="0" w:space="0" w:color="auto"/>
        <w:right w:val="none" w:sz="0" w:space="0" w:color="auto"/>
      </w:divBdr>
    </w:div>
    <w:div w:id="1544830221">
      <w:bodyDiv w:val="1"/>
      <w:marLeft w:val="0"/>
      <w:marRight w:val="0"/>
      <w:marTop w:val="0"/>
      <w:marBottom w:val="0"/>
      <w:divBdr>
        <w:top w:val="none" w:sz="0" w:space="0" w:color="auto"/>
        <w:left w:val="none" w:sz="0" w:space="0" w:color="auto"/>
        <w:bottom w:val="none" w:sz="0" w:space="0" w:color="auto"/>
        <w:right w:val="none" w:sz="0" w:space="0" w:color="auto"/>
      </w:divBdr>
    </w:div>
    <w:div w:id="1554195424">
      <w:bodyDiv w:val="1"/>
      <w:marLeft w:val="0"/>
      <w:marRight w:val="0"/>
      <w:marTop w:val="0"/>
      <w:marBottom w:val="0"/>
      <w:divBdr>
        <w:top w:val="none" w:sz="0" w:space="0" w:color="auto"/>
        <w:left w:val="none" w:sz="0" w:space="0" w:color="auto"/>
        <w:bottom w:val="none" w:sz="0" w:space="0" w:color="auto"/>
        <w:right w:val="none" w:sz="0" w:space="0" w:color="auto"/>
      </w:divBdr>
    </w:div>
    <w:div w:id="1554611014">
      <w:bodyDiv w:val="1"/>
      <w:marLeft w:val="0"/>
      <w:marRight w:val="0"/>
      <w:marTop w:val="0"/>
      <w:marBottom w:val="0"/>
      <w:divBdr>
        <w:top w:val="none" w:sz="0" w:space="0" w:color="auto"/>
        <w:left w:val="none" w:sz="0" w:space="0" w:color="auto"/>
        <w:bottom w:val="none" w:sz="0" w:space="0" w:color="auto"/>
        <w:right w:val="none" w:sz="0" w:space="0" w:color="auto"/>
      </w:divBdr>
    </w:div>
    <w:div w:id="1557206209">
      <w:bodyDiv w:val="1"/>
      <w:marLeft w:val="0"/>
      <w:marRight w:val="0"/>
      <w:marTop w:val="0"/>
      <w:marBottom w:val="0"/>
      <w:divBdr>
        <w:top w:val="none" w:sz="0" w:space="0" w:color="auto"/>
        <w:left w:val="none" w:sz="0" w:space="0" w:color="auto"/>
        <w:bottom w:val="none" w:sz="0" w:space="0" w:color="auto"/>
        <w:right w:val="none" w:sz="0" w:space="0" w:color="auto"/>
      </w:divBdr>
    </w:div>
    <w:div w:id="1558323122">
      <w:bodyDiv w:val="1"/>
      <w:marLeft w:val="0"/>
      <w:marRight w:val="0"/>
      <w:marTop w:val="0"/>
      <w:marBottom w:val="0"/>
      <w:divBdr>
        <w:top w:val="none" w:sz="0" w:space="0" w:color="auto"/>
        <w:left w:val="none" w:sz="0" w:space="0" w:color="auto"/>
        <w:bottom w:val="none" w:sz="0" w:space="0" w:color="auto"/>
        <w:right w:val="none" w:sz="0" w:space="0" w:color="auto"/>
      </w:divBdr>
    </w:div>
    <w:div w:id="1563103589">
      <w:bodyDiv w:val="1"/>
      <w:marLeft w:val="0"/>
      <w:marRight w:val="0"/>
      <w:marTop w:val="0"/>
      <w:marBottom w:val="0"/>
      <w:divBdr>
        <w:top w:val="none" w:sz="0" w:space="0" w:color="auto"/>
        <w:left w:val="none" w:sz="0" w:space="0" w:color="auto"/>
        <w:bottom w:val="none" w:sz="0" w:space="0" w:color="auto"/>
        <w:right w:val="none" w:sz="0" w:space="0" w:color="auto"/>
      </w:divBdr>
    </w:div>
    <w:div w:id="1564487827">
      <w:bodyDiv w:val="1"/>
      <w:marLeft w:val="0"/>
      <w:marRight w:val="0"/>
      <w:marTop w:val="0"/>
      <w:marBottom w:val="0"/>
      <w:divBdr>
        <w:top w:val="none" w:sz="0" w:space="0" w:color="auto"/>
        <w:left w:val="none" w:sz="0" w:space="0" w:color="auto"/>
        <w:bottom w:val="none" w:sz="0" w:space="0" w:color="auto"/>
        <w:right w:val="none" w:sz="0" w:space="0" w:color="auto"/>
      </w:divBdr>
    </w:div>
    <w:div w:id="1574586547">
      <w:bodyDiv w:val="1"/>
      <w:marLeft w:val="0"/>
      <w:marRight w:val="0"/>
      <w:marTop w:val="0"/>
      <w:marBottom w:val="0"/>
      <w:divBdr>
        <w:top w:val="none" w:sz="0" w:space="0" w:color="auto"/>
        <w:left w:val="none" w:sz="0" w:space="0" w:color="auto"/>
        <w:bottom w:val="none" w:sz="0" w:space="0" w:color="auto"/>
        <w:right w:val="none" w:sz="0" w:space="0" w:color="auto"/>
      </w:divBdr>
    </w:div>
    <w:div w:id="1576624132">
      <w:bodyDiv w:val="1"/>
      <w:marLeft w:val="0"/>
      <w:marRight w:val="0"/>
      <w:marTop w:val="0"/>
      <w:marBottom w:val="0"/>
      <w:divBdr>
        <w:top w:val="none" w:sz="0" w:space="0" w:color="auto"/>
        <w:left w:val="none" w:sz="0" w:space="0" w:color="auto"/>
        <w:bottom w:val="none" w:sz="0" w:space="0" w:color="auto"/>
        <w:right w:val="none" w:sz="0" w:space="0" w:color="auto"/>
      </w:divBdr>
    </w:div>
    <w:div w:id="1589777338">
      <w:bodyDiv w:val="1"/>
      <w:marLeft w:val="0"/>
      <w:marRight w:val="0"/>
      <w:marTop w:val="0"/>
      <w:marBottom w:val="0"/>
      <w:divBdr>
        <w:top w:val="none" w:sz="0" w:space="0" w:color="auto"/>
        <w:left w:val="none" w:sz="0" w:space="0" w:color="auto"/>
        <w:bottom w:val="none" w:sz="0" w:space="0" w:color="auto"/>
        <w:right w:val="none" w:sz="0" w:space="0" w:color="auto"/>
      </w:divBdr>
      <w:divsChild>
        <w:div w:id="536507886">
          <w:marLeft w:val="0"/>
          <w:marRight w:val="0"/>
          <w:marTop w:val="0"/>
          <w:marBottom w:val="0"/>
          <w:divBdr>
            <w:top w:val="none" w:sz="0" w:space="0" w:color="auto"/>
            <w:left w:val="none" w:sz="0" w:space="0" w:color="auto"/>
            <w:bottom w:val="none" w:sz="0" w:space="0" w:color="auto"/>
            <w:right w:val="none" w:sz="0" w:space="0" w:color="auto"/>
          </w:divBdr>
          <w:divsChild>
            <w:div w:id="380595118">
              <w:marLeft w:val="0"/>
              <w:marRight w:val="0"/>
              <w:marTop w:val="0"/>
              <w:marBottom w:val="0"/>
              <w:divBdr>
                <w:top w:val="none" w:sz="0" w:space="0" w:color="auto"/>
                <w:left w:val="none" w:sz="0" w:space="0" w:color="auto"/>
                <w:bottom w:val="none" w:sz="0" w:space="0" w:color="auto"/>
                <w:right w:val="none" w:sz="0" w:space="0" w:color="auto"/>
              </w:divBdr>
              <w:divsChild>
                <w:div w:id="1394692219">
                  <w:marLeft w:val="0"/>
                  <w:marRight w:val="0"/>
                  <w:marTop w:val="0"/>
                  <w:marBottom w:val="0"/>
                  <w:divBdr>
                    <w:top w:val="none" w:sz="0" w:space="0" w:color="auto"/>
                    <w:left w:val="none" w:sz="0" w:space="0" w:color="auto"/>
                    <w:bottom w:val="none" w:sz="0" w:space="0" w:color="auto"/>
                    <w:right w:val="none" w:sz="0" w:space="0" w:color="auto"/>
                  </w:divBdr>
                  <w:divsChild>
                    <w:div w:id="1902397364">
                      <w:marLeft w:val="0"/>
                      <w:marRight w:val="0"/>
                      <w:marTop w:val="0"/>
                      <w:marBottom w:val="0"/>
                      <w:divBdr>
                        <w:top w:val="none" w:sz="0" w:space="0" w:color="auto"/>
                        <w:left w:val="none" w:sz="0" w:space="0" w:color="auto"/>
                        <w:bottom w:val="none" w:sz="0" w:space="0" w:color="auto"/>
                        <w:right w:val="none" w:sz="0" w:space="0" w:color="auto"/>
                      </w:divBdr>
                      <w:divsChild>
                        <w:div w:id="583494073">
                          <w:marLeft w:val="0"/>
                          <w:marRight w:val="0"/>
                          <w:marTop w:val="300"/>
                          <w:marBottom w:val="0"/>
                          <w:divBdr>
                            <w:top w:val="none" w:sz="0" w:space="0" w:color="auto"/>
                            <w:left w:val="none" w:sz="0" w:space="0" w:color="auto"/>
                            <w:bottom w:val="none" w:sz="0" w:space="0" w:color="auto"/>
                            <w:right w:val="none" w:sz="0" w:space="0" w:color="auto"/>
                          </w:divBdr>
                          <w:divsChild>
                            <w:div w:id="237253611">
                              <w:marLeft w:val="0"/>
                              <w:marRight w:val="0"/>
                              <w:marTop w:val="0"/>
                              <w:marBottom w:val="0"/>
                              <w:divBdr>
                                <w:top w:val="none" w:sz="0" w:space="0" w:color="auto"/>
                                <w:left w:val="none" w:sz="0" w:space="0" w:color="auto"/>
                                <w:bottom w:val="none" w:sz="0" w:space="0" w:color="auto"/>
                                <w:right w:val="none" w:sz="0" w:space="0" w:color="auto"/>
                              </w:divBdr>
                              <w:divsChild>
                                <w:div w:id="384181815">
                                  <w:marLeft w:val="0"/>
                                  <w:marRight w:val="0"/>
                                  <w:marTop w:val="0"/>
                                  <w:marBottom w:val="0"/>
                                  <w:divBdr>
                                    <w:top w:val="none" w:sz="0" w:space="0" w:color="auto"/>
                                    <w:left w:val="none" w:sz="0" w:space="0" w:color="auto"/>
                                    <w:bottom w:val="none" w:sz="0" w:space="0" w:color="auto"/>
                                    <w:right w:val="none" w:sz="0" w:space="0" w:color="auto"/>
                                  </w:divBdr>
                                </w:div>
                              </w:divsChild>
                            </w:div>
                            <w:div w:id="162237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865331">
      <w:bodyDiv w:val="1"/>
      <w:marLeft w:val="0"/>
      <w:marRight w:val="0"/>
      <w:marTop w:val="0"/>
      <w:marBottom w:val="0"/>
      <w:divBdr>
        <w:top w:val="none" w:sz="0" w:space="0" w:color="auto"/>
        <w:left w:val="none" w:sz="0" w:space="0" w:color="auto"/>
        <w:bottom w:val="none" w:sz="0" w:space="0" w:color="auto"/>
        <w:right w:val="none" w:sz="0" w:space="0" w:color="auto"/>
      </w:divBdr>
    </w:div>
    <w:div w:id="1601181474">
      <w:bodyDiv w:val="1"/>
      <w:marLeft w:val="0"/>
      <w:marRight w:val="0"/>
      <w:marTop w:val="0"/>
      <w:marBottom w:val="0"/>
      <w:divBdr>
        <w:top w:val="none" w:sz="0" w:space="0" w:color="auto"/>
        <w:left w:val="none" w:sz="0" w:space="0" w:color="auto"/>
        <w:bottom w:val="none" w:sz="0" w:space="0" w:color="auto"/>
        <w:right w:val="none" w:sz="0" w:space="0" w:color="auto"/>
      </w:divBdr>
    </w:div>
    <w:div w:id="1602715228">
      <w:bodyDiv w:val="1"/>
      <w:marLeft w:val="0"/>
      <w:marRight w:val="0"/>
      <w:marTop w:val="0"/>
      <w:marBottom w:val="0"/>
      <w:divBdr>
        <w:top w:val="none" w:sz="0" w:space="0" w:color="auto"/>
        <w:left w:val="none" w:sz="0" w:space="0" w:color="auto"/>
        <w:bottom w:val="none" w:sz="0" w:space="0" w:color="auto"/>
        <w:right w:val="none" w:sz="0" w:space="0" w:color="auto"/>
      </w:divBdr>
    </w:div>
    <w:div w:id="1602757002">
      <w:bodyDiv w:val="1"/>
      <w:marLeft w:val="0"/>
      <w:marRight w:val="0"/>
      <w:marTop w:val="0"/>
      <w:marBottom w:val="0"/>
      <w:divBdr>
        <w:top w:val="none" w:sz="0" w:space="0" w:color="auto"/>
        <w:left w:val="none" w:sz="0" w:space="0" w:color="auto"/>
        <w:bottom w:val="none" w:sz="0" w:space="0" w:color="auto"/>
        <w:right w:val="none" w:sz="0" w:space="0" w:color="auto"/>
      </w:divBdr>
    </w:div>
    <w:div w:id="1603028138">
      <w:bodyDiv w:val="1"/>
      <w:marLeft w:val="0"/>
      <w:marRight w:val="0"/>
      <w:marTop w:val="0"/>
      <w:marBottom w:val="0"/>
      <w:divBdr>
        <w:top w:val="none" w:sz="0" w:space="0" w:color="auto"/>
        <w:left w:val="none" w:sz="0" w:space="0" w:color="auto"/>
        <w:bottom w:val="none" w:sz="0" w:space="0" w:color="auto"/>
        <w:right w:val="none" w:sz="0" w:space="0" w:color="auto"/>
      </w:divBdr>
    </w:div>
    <w:div w:id="1606621651">
      <w:bodyDiv w:val="1"/>
      <w:marLeft w:val="0"/>
      <w:marRight w:val="0"/>
      <w:marTop w:val="0"/>
      <w:marBottom w:val="0"/>
      <w:divBdr>
        <w:top w:val="none" w:sz="0" w:space="0" w:color="auto"/>
        <w:left w:val="none" w:sz="0" w:space="0" w:color="auto"/>
        <w:bottom w:val="none" w:sz="0" w:space="0" w:color="auto"/>
        <w:right w:val="none" w:sz="0" w:space="0" w:color="auto"/>
      </w:divBdr>
    </w:div>
    <w:div w:id="1611859364">
      <w:bodyDiv w:val="1"/>
      <w:marLeft w:val="0"/>
      <w:marRight w:val="0"/>
      <w:marTop w:val="0"/>
      <w:marBottom w:val="0"/>
      <w:divBdr>
        <w:top w:val="none" w:sz="0" w:space="0" w:color="auto"/>
        <w:left w:val="none" w:sz="0" w:space="0" w:color="auto"/>
        <w:bottom w:val="none" w:sz="0" w:space="0" w:color="auto"/>
        <w:right w:val="none" w:sz="0" w:space="0" w:color="auto"/>
      </w:divBdr>
    </w:div>
    <w:div w:id="1612594290">
      <w:bodyDiv w:val="1"/>
      <w:marLeft w:val="0"/>
      <w:marRight w:val="0"/>
      <w:marTop w:val="0"/>
      <w:marBottom w:val="0"/>
      <w:divBdr>
        <w:top w:val="none" w:sz="0" w:space="0" w:color="auto"/>
        <w:left w:val="none" w:sz="0" w:space="0" w:color="auto"/>
        <w:bottom w:val="none" w:sz="0" w:space="0" w:color="auto"/>
        <w:right w:val="none" w:sz="0" w:space="0" w:color="auto"/>
      </w:divBdr>
    </w:div>
    <w:div w:id="1612779089">
      <w:bodyDiv w:val="1"/>
      <w:marLeft w:val="0"/>
      <w:marRight w:val="0"/>
      <w:marTop w:val="0"/>
      <w:marBottom w:val="0"/>
      <w:divBdr>
        <w:top w:val="none" w:sz="0" w:space="0" w:color="auto"/>
        <w:left w:val="none" w:sz="0" w:space="0" w:color="auto"/>
        <w:bottom w:val="none" w:sz="0" w:space="0" w:color="auto"/>
        <w:right w:val="none" w:sz="0" w:space="0" w:color="auto"/>
      </w:divBdr>
    </w:div>
    <w:div w:id="1614440360">
      <w:bodyDiv w:val="1"/>
      <w:marLeft w:val="0"/>
      <w:marRight w:val="0"/>
      <w:marTop w:val="0"/>
      <w:marBottom w:val="0"/>
      <w:divBdr>
        <w:top w:val="none" w:sz="0" w:space="0" w:color="auto"/>
        <w:left w:val="none" w:sz="0" w:space="0" w:color="auto"/>
        <w:bottom w:val="none" w:sz="0" w:space="0" w:color="auto"/>
        <w:right w:val="none" w:sz="0" w:space="0" w:color="auto"/>
      </w:divBdr>
    </w:div>
    <w:div w:id="1622684926">
      <w:bodyDiv w:val="1"/>
      <w:marLeft w:val="0"/>
      <w:marRight w:val="0"/>
      <w:marTop w:val="0"/>
      <w:marBottom w:val="0"/>
      <w:divBdr>
        <w:top w:val="none" w:sz="0" w:space="0" w:color="auto"/>
        <w:left w:val="none" w:sz="0" w:space="0" w:color="auto"/>
        <w:bottom w:val="none" w:sz="0" w:space="0" w:color="auto"/>
        <w:right w:val="none" w:sz="0" w:space="0" w:color="auto"/>
      </w:divBdr>
    </w:div>
    <w:div w:id="1623413734">
      <w:bodyDiv w:val="1"/>
      <w:marLeft w:val="0"/>
      <w:marRight w:val="0"/>
      <w:marTop w:val="0"/>
      <w:marBottom w:val="0"/>
      <w:divBdr>
        <w:top w:val="none" w:sz="0" w:space="0" w:color="auto"/>
        <w:left w:val="none" w:sz="0" w:space="0" w:color="auto"/>
        <w:bottom w:val="none" w:sz="0" w:space="0" w:color="auto"/>
        <w:right w:val="none" w:sz="0" w:space="0" w:color="auto"/>
      </w:divBdr>
    </w:div>
    <w:div w:id="1635990511">
      <w:bodyDiv w:val="1"/>
      <w:marLeft w:val="0"/>
      <w:marRight w:val="0"/>
      <w:marTop w:val="0"/>
      <w:marBottom w:val="0"/>
      <w:divBdr>
        <w:top w:val="none" w:sz="0" w:space="0" w:color="auto"/>
        <w:left w:val="none" w:sz="0" w:space="0" w:color="auto"/>
        <w:bottom w:val="none" w:sz="0" w:space="0" w:color="auto"/>
        <w:right w:val="none" w:sz="0" w:space="0" w:color="auto"/>
      </w:divBdr>
    </w:div>
    <w:div w:id="1637905020">
      <w:bodyDiv w:val="1"/>
      <w:marLeft w:val="0"/>
      <w:marRight w:val="0"/>
      <w:marTop w:val="0"/>
      <w:marBottom w:val="0"/>
      <w:divBdr>
        <w:top w:val="none" w:sz="0" w:space="0" w:color="auto"/>
        <w:left w:val="none" w:sz="0" w:space="0" w:color="auto"/>
        <w:bottom w:val="none" w:sz="0" w:space="0" w:color="auto"/>
        <w:right w:val="none" w:sz="0" w:space="0" w:color="auto"/>
      </w:divBdr>
    </w:div>
    <w:div w:id="1638225296">
      <w:bodyDiv w:val="1"/>
      <w:marLeft w:val="0"/>
      <w:marRight w:val="0"/>
      <w:marTop w:val="0"/>
      <w:marBottom w:val="0"/>
      <w:divBdr>
        <w:top w:val="none" w:sz="0" w:space="0" w:color="auto"/>
        <w:left w:val="none" w:sz="0" w:space="0" w:color="auto"/>
        <w:bottom w:val="none" w:sz="0" w:space="0" w:color="auto"/>
        <w:right w:val="none" w:sz="0" w:space="0" w:color="auto"/>
      </w:divBdr>
    </w:div>
    <w:div w:id="1648511351">
      <w:bodyDiv w:val="1"/>
      <w:marLeft w:val="0"/>
      <w:marRight w:val="0"/>
      <w:marTop w:val="0"/>
      <w:marBottom w:val="0"/>
      <w:divBdr>
        <w:top w:val="none" w:sz="0" w:space="0" w:color="auto"/>
        <w:left w:val="none" w:sz="0" w:space="0" w:color="auto"/>
        <w:bottom w:val="none" w:sz="0" w:space="0" w:color="auto"/>
        <w:right w:val="none" w:sz="0" w:space="0" w:color="auto"/>
      </w:divBdr>
    </w:div>
    <w:div w:id="1649826295">
      <w:bodyDiv w:val="1"/>
      <w:marLeft w:val="0"/>
      <w:marRight w:val="0"/>
      <w:marTop w:val="0"/>
      <w:marBottom w:val="0"/>
      <w:divBdr>
        <w:top w:val="none" w:sz="0" w:space="0" w:color="auto"/>
        <w:left w:val="none" w:sz="0" w:space="0" w:color="auto"/>
        <w:bottom w:val="none" w:sz="0" w:space="0" w:color="auto"/>
        <w:right w:val="none" w:sz="0" w:space="0" w:color="auto"/>
      </w:divBdr>
    </w:div>
    <w:div w:id="1653489597">
      <w:bodyDiv w:val="1"/>
      <w:marLeft w:val="0"/>
      <w:marRight w:val="0"/>
      <w:marTop w:val="0"/>
      <w:marBottom w:val="0"/>
      <w:divBdr>
        <w:top w:val="none" w:sz="0" w:space="0" w:color="auto"/>
        <w:left w:val="none" w:sz="0" w:space="0" w:color="auto"/>
        <w:bottom w:val="none" w:sz="0" w:space="0" w:color="auto"/>
        <w:right w:val="none" w:sz="0" w:space="0" w:color="auto"/>
      </w:divBdr>
    </w:div>
    <w:div w:id="1662197615">
      <w:bodyDiv w:val="1"/>
      <w:marLeft w:val="0"/>
      <w:marRight w:val="0"/>
      <w:marTop w:val="0"/>
      <w:marBottom w:val="0"/>
      <w:divBdr>
        <w:top w:val="none" w:sz="0" w:space="0" w:color="auto"/>
        <w:left w:val="none" w:sz="0" w:space="0" w:color="auto"/>
        <w:bottom w:val="none" w:sz="0" w:space="0" w:color="auto"/>
        <w:right w:val="none" w:sz="0" w:space="0" w:color="auto"/>
      </w:divBdr>
    </w:div>
    <w:div w:id="1668361063">
      <w:bodyDiv w:val="1"/>
      <w:marLeft w:val="0"/>
      <w:marRight w:val="0"/>
      <w:marTop w:val="0"/>
      <w:marBottom w:val="0"/>
      <w:divBdr>
        <w:top w:val="none" w:sz="0" w:space="0" w:color="auto"/>
        <w:left w:val="none" w:sz="0" w:space="0" w:color="auto"/>
        <w:bottom w:val="none" w:sz="0" w:space="0" w:color="auto"/>
        <w:right w:val="none" w:sz="0" w:space="0" w:color="auto"/>
      </w:divBdr>
    </w:div>
    <w:div w:id="1670520344">
      <w:bodyDiv w:val="1"/>
      <w:marLeft w:val="0"/>
      <w:marRight w:val="0"/>
      <w:marTop w:val="0"/>
      <w:marBottom w:val="0"/>
      <w:divBdr>
        <w:top w:val="none" w:sz="0" w:space="0" w:color="auto"/>
        <w:left w:val="none" w:sz="0" w:space="0" w:color="auto"/>
        <w:bottom w:val="none" w:sz="0" w:space="0" w:color="auto"/>
        <w:right w:val="none" w:sz="0" w:space="0" w:color="auto"/>
      </w:divBdr>
    </w:div>
    <w:div w:id="1672023530">
      <w:bodyDiv w:val="1"/>
      <w:marLeft w:val="0"/>
      <w:marRight w:val="0"/>
      <w:marTop w:val="0"/>
      <w:marBottom w:val="0"/>
      <w:divBdr>
        <w:top w:val="none" w:sz="0" w:space="0" w:color="auto"/>
        <w:left w:val="none" w:sz="0" w:space="0" w:color="auto"/>
        <w:bottom w:val="none" w:sz="0" w:space="0" w:color="auto"/>
        <w:right w:val="none" w:sz="0" w:space="0" w:color="auto"/>
      </w:divBdr>
    </w:div>
    <w:div w:id="1672221393">
      <w:bodyDiv w:val="1"/>
      <w:marLeft w:val="0"/>
      <w:marRight w:val="0"/>
      <w:marTop w:val="0"/>
      <w:marBottom w:val="0"/>
      <w:divBdr>
        <w:top w:val="none" w:sz="0" w:space="0" w:color="auto"/>
        <w:left w:val="none" w:sz="0" w:space="0" w:color="auto"/>
        <w:bottom w:val="none" w:sz="0" w:space="0" w:color="auto"/>
        <w:right w:val="none" w:sz="0" w:space="0" w:color="auto"/>
      </w:divBdr>
    </w:div>
    <w:div w:id="1675065824">
      <w:bodyDiv w:val="1"/>
      <w:marLeft w:val="0"/>
      <w:marRight w:val="0"/>
      <w:marTop w:val="0"/>
      <w:marBottom w:val="0"/>
      <w:divBdr>
        <w:top w:val="none" w:sz="0" w:space="0" w:color="auto"/>
        <w:left w:val="none" w:sz="0" w:space="0" w:color="auto"/>
        <w:bottom w:val="none" w:sz="0" w:space="0" w:color="auto"/>
        <w:right w:val="none" w:sz="0" w:space="0" w:color="auto"/>
      </w:divBdr>
    </w:div>
    <w:div w:id="1678649403">
      <w:bodyDiv w:val="1"/>
      <w:marLeft w:val="0"/>
      <w:marRight w:val="0"/>
      <w:marTop w:val="0"/>
      <w:marBottom w:val="0"/>
      <w:divBdr>
        <w:top w:val="none" w:sz="0" w:space="0" w:color="auto"/>
        <w:left w:val="none" w:sz="0" w:space="0" w:color="auto"/>
        <w:bottom w:val="none" w:sz="0" w:space="0" w:color="auto"/>
        <w:right w:val="none" w:sz="0" w:space="0" w:color="auto"/>
      </w:divBdr>
      <w:divsChild>
        <w:div w:id="71897912">
          <w:marLeft w:val="0"/>
          <w:marRight w:val="0"/>
          <w:marTop w:val="0"/>
          <w:marBottom w:val="0"/>
          <w:divBdr>
            <w:top w:val="none" w:sz="0" w:space="0" w:color="auto"/>
            <w:left w:val="none" w:sz="0" w:space="0" w:color="auto"/>
            <w:bottom w:val="none" w:sz="0" w:space="0" w:color="auto"/>
            <w:right w:val="none" w:sz="0" w:space="0" w:color="auto"/>
          </w:divBdr>
          <w:divsChild>
            <w:div w:id="475731693">
              <w:marLeft w:val="0"/>
              <w:marRight w:val="0"/>
              <w:marTop w:val="0"/>
              <w:marBottom w:val="0"/>
              <w:divBdr>
                <w:top w:val="none" w:sz="0" w:space="0" w:color="auto"/>
                <w:left w:val="none" w:sz="0" w:space="0" w:color="auto"/>
                <w:bottom w:val="none" w:sz="0" w:space="0" w:color="auto"/>
                <w:right w:val="none" w:sz="0" w:space="0" w:color="auto"/>
              </w:divBdr>
              <w:divsChild>
                <w:div w:id="2032604202">
                  <w:marLeft w:val="0"/>
                  <w:marRight w:val="0"/>
                  <w:marTop w:val="0"/>
                  <w:marBottom w:val="0"/>
                  <w:divBdr>
                    <w:top w:val="none" w:sz="0" w:space="0" w:color="auto"/>
                    <w:left w:val="none" w:sz="0" w:space="0" w:color="auto"/>
                    <w:bottom w:val="none" w:sz="0" w:space="0" w:color="auto"/>
                    <w:right w:val="none" w:sz="0" w:space="0" w:color="auto"/>
                  </w:divBdr>
                  <w:divsChild>
                    <w:div w:id="1361977409">
                      <w:marLeft w:val="0"/>
                      <w:marRight w:val="0"/>
                      <w:marTop w:val="0"/>
                      <w:marBottom w:val="0"/>
                      <w:divBdr>
                        <w:top w:val="none" w:sz="0" w:space="0" w:color="auto"/>
                        <w:left w:val="none" w:sz="0" w:space="0" w:color="auto"/>
                        <w:bottom w:val="none" w:sz="0" w:space="0" w:color="auto"/>
                        <w:right w:val="none" w:sz="0" w:space="0" w:color="auto"/>
                      </w:divBdr>
                      <w:divsChild>
                        <w:div w:id="1276407668">
                          <w:marLeft w:val="0"/>
                          <w:marRight w:val="0"/>
                          <w:marTop w:val="300"/>
                          <w:marBottom w:val="0"/>
                          <w:divBdr>
                            <w:top w:val="none" w:sz="0" w:space="0" w:color="auto"/>
                            <w:left w:val="none" w:sz="0" w:space="0" w:color="auto"/>
                            <w:bottom w:val="none" w:sz="0" w:space="0" w:color="auto"/>
                            <w:right w:val="none" w:sz="0" w:space="0" w:color="auto"/>
                          </w:divBdr>
                          <w:divsChild>
                            <w:div w:id="18794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354038">
      <w:bodyDiv w:val="1"/>
      <w:marLeft w:val="0"/>
      <w:marRight w:val="0"/>
      <w:marTop w:val="0"/>
      <w:marBottom w:val="0"/>
      <w:divBdr>
        <w:top w:val="none" w:sz="0" w:space="0" w:color="auto"/>
        <w:left w:val="none" w:sz="0" w:space="0" w:color="auto"/>
        <w:bottom w:val="none" w:sz="0" w:space="0" w:color="auto"/>
        <w:right w:val="none" w:sz="0" w:space="0" w:color="auto"/>
      </w:divBdr>
    </w:div>
    <w:div w:id="1687899921">
      <w:bodyDiv w:val="1"/>
      <w:marLeft w:val="0"/>
      <w:marRight w:val="0"/>
      <w:marTop w:val="0"/>
      <w:marBottom w:val="0"/>
      <w:divBdr>
        <w:top w:val="none" w:sz="0" w:space="0" w:color="auto"/>
        <w:left w:val="none" w:sz="0" w:space="0" w:color="auto"/>
        <w:bottom w:val="none" w:sz="0" w:space="0" w:color="auto"/>
        <w:right w:val="none" w:sz="0" w:space="0" w:color="auto"/>
      </w:divBdr>
    </w:div>
    <w:div w:id="1690402545">
      <w:bodyDiv w:val="1"/>
      <w:marLeft w:val="0"/>
      <w:marRight w:val="0"/>
      <w:marTop w:val="0"/>
      <w:marBottom w:val="0"/>
      <w:divBdr>
        <w:top w:val="none" w:sz="0" w:space="0" w:color="auto"/>
        <w:left w:val="none" w:sz="0" w:space="0" w:color="auto"/>
        <w:bottom w:val="none" w:sz="0" w:space="0" w:color="auto"/>
        <w:right w:val="none" w:sz="0" w:space="0" w:color="auto"/>
      </w:divBdr>
    </w:div>
    <w:div w:id="1691179173">
      <w:bodyDiv w:val="1"/>
      <w:marLeft w:val="0"/>
      <w:marRight w:val="0"/>
      <w:marTop w:val="0"/>
      <w:marBottom w:val="0"/>
      <w:divBdr>
        <w:top w:val="none" w:sz="0" w:space="0" w:color="auto"/>
        <w:left w:val="none" w:sz="0" w:space="0" w:color="auto"/>
        <w:bottom w:val="none" w:sz="0" w:space="0" w:color="auto"/>
        <w:right w:val="none" w:sz="0" w:space="0" w:color="auto"/>
      </w:divBdr>
    </w:div>
    <w:div w:id="1691295093">
      <w:bodyDiv w:val="1"/>
      <w:marLeft w:val="0"/>
      <w:marRight w:val="0"/>
      <w:marTop w:val="0"/>
      <w:marBottom w:val="0"/>
      <w:divBdr>
        <w:top w:val="none" w:sz="0" w:space="0" w:color="auto"/>
        <w:left w:val="none" w:sz="0" w:space="0" w:color="auto"/>
        <w:bottom w:val="none" w:sz="0" w:space="0" w:color="auto"/>
        <w:right w:val="none" w:sz="0" w:space="0" w:color="auto"/>
      </w:divBdr>
    </w:div>
    <w:div w:id="1691952170">
      <w:bodyDiv w:val="1"/>
      <w:marLeft w:val="0"/>
      <w:marRight w:val="0"/>
      <w:marTop w:val="0"/>
      <w:marBottom w:val="0"/>
      <w:divBdr>
        <w:top w:val="none" w:sz="0" w:space="0" w:color="auto"/>
        <w:left w:val="none" w:sz="0" w:space="0" w:color="auto"/>
        <w:bottom w:val="none" w:sz="0" w:space="0" w:color="auto"/>
        <w:right w:val="none" w:sz="0" w:space="0" w:color="auto"/>
      </w:divBdr>
    </w:div>
    <w:div w:id="1692605882">
      <w:bodyDiv w:val="1"/>
      <w:marLeft w:val="0"/>
      <w:marRight w:val="0"/>
      <w:marTop w:val="0"/>
      <w:marBottom w:val="0"/>
      <w:divBdr>
        <w:top w:val="none" w:sz="0" w:space="0" w:color="auto"/>
        <w:left w:val="none" w:sz="0" w:space="0" w:color="auto"/>
        <w:bottom w:val="none" w:sz="0" w:space="0" w:color="auto"/>
        <w:right w:val="none" w:sz="0" w:space="0" w:color="auto"/>
      </w:divBdr>
    </w:div>
    <w:div w:id="1699816389">
      <w:bodyDiv w:val="1"/>
      <w:marLeft w:val="0"/>
      <w:marRight w:val="0"/>
      <w:marTop w:val="0"/>
      <w:marBottom w:val="0"/>
      <w:divBdr>
        <w:top w:val="none" w:sz="0" w:space="0" w:color="auto"/>
        <w:left w:val="none" w:sz="0" w:space="0" w:color="auto"/>
        <w:bottom w:val="none" w:sz="0" w:space="0" w:color="auto"/>
        <w:right w:val="none" w:sz="0" w:space="0" w:color="auto"/>
      </w:divBdr>
    </w:div>
    <w:div w:id="1702433704">
      <w:bodyDiv w:val="1"/>
      <w:marLeft w:val="0"/>
      <w:marRight w:val="0"/>
      <w:marTop w:val="0"/>
      <w:marBottom w:val="0"/>
      <w:divBdr>
        <w:top w:val="none" w:sz="0" w:space="0" w:color="auto"/>
        <w:left w:val="none" w:sz="0" w:space="0" w:color="auto"/>
        <w:bottom w:val="none" w:sz="0" w:space="0" w:color="auto"/>
        <w:right w:val="none" w:sz="0" w:space="0" w:color="auto"/>
      </w:divBdr>
    </w:div>
    <w:div w:id="1725563633">
      <w:bodyDiv w:val="1"/>
      <w:marLeft w:val="0"/>
      <w:marRight w:val="0"/>
      <w:marTop w:val="0"/>
      <w:marBottom w:val="0"/>
      <w:divBdr>
        <w:top w:val="none" w:sz="0" w:space="0" w:color="auto"/>
        <w:left w:val="none" w:sz="0" w:space="0" w:color="auto"/>
        <w:bottom w:val="none" w:sz="0" w:space="0" w:color="auto"/>
        <w:right w:val="none" w:sz="0" w:space="0" w:color="auto"/>
      </w:divBdr>
    </w:div>
    <w:div w:id="1725717734">
      <w:bodyDiv w:val="1"/>
      <w:marLeft w:val="0"/>
      <w:marRight w:val="0"/>
      <w:marTop w:val="0"/>
      <w:marBottom w:val="0"/>
      <w:divBdr>
        <w:top w:val="none" w:sz="0" w:space="0" w:color="auto"/>
        <w:left w:val="none" w:sz="0" w:space="0" w:color="auto"/>
        <w:bottom w:val="none" w:sz="0" w:space="0" w:color="auto"/>
        <w:right w:val="none" w:sz="0" w:space="0" w:color="auto"/>
      </w:divBdr>
    </w:div>
    <w:div w:id="1733774374">
      <w:bodyDiv w:val="1"/>
      <w:marLeft w:val="0"/>
      <w:marRight w:val="0"/>
      <w:marTop w:val="0"/>
      <w:marBottom w:val="0"/>
      <w:divBdr>
        <w:top w:val="none" w:sz="0" w:space="0" w:color="auto"/>
        <w:left w:val="none" w:sz="0" w:space="0" w:color="auto"/>
        <w:bottom w:val="none" w:sz="0" w:space="0" w:color="auto"/>
        <w:right w:val="none" w:sz="0" w:space="0" w:color="auto"/>
      </w:divBdr>
    </w:div>
    <w:div w:id="1742632873">
      <w:bodyDiv w:val="1"/>
      <w:marLeft w:val="0"/>
      <w:marRight w:val="0"/>
      <w:marTop w:val="0"/>
      <w:marBottom w:val="0"/>
      <w:divBdr>
        <w:top w:val="none" w:sz="0" w:space="0" w:color="auto"/>
        <w:left w:val="none" w:sz="0" w:space="0" w:color="auto"/>
        <w:bottom w:val="none" w:sz="0" w:space="0" w:color="auto"/>
        <w:right w:val="none" w:sz="0" w:space="0" w:color="auto"/>
      </w:divBdr>
    </w:div>
    <w:div w:id="1742829037">
      <w:bodyDiv w:val="1"/>
      <w:marLeft w:val="0"/>
      <w:marRight w:val="0"/>
      <w:marTop w:val="0"/>
      <w:marBottom w:val="0"/>
      <w:divBdr>
        <w:top w:val="none" w:sz="0" w:space="0" w:color="auto"/>
        <w:left w:val="none" w:sz="0" w:space="0" w:color="auto"/>
        <w:bottom w:val="none" w:sz="0" w:space="0" w:color="auto"/>
        <w:right w:val="none" w:sz="0" w:space="0" w:color="auto"/>
      </w:divBdr>
    </w:div>
    <w:div w:id="1746566772">
      <w:bodyDiv w:val="1"/>
      <w:marLeft w:val="0"/>
      <w:marRight w:val="0"/>
      <w:marTop w:val="0"/>
      <w:marBottom w:val="0"/>
      <w:divBdr>
        <w:top w:val="none" w:sz="0" w:space="0" w:color="auto"/>
        <w:left w:val="none" w:sz="0" w:space="0" w:color="auto"/>
        <w:bottom w:val="none" w:sz="0" w:space="0" w:color="auto"/>
        <w:right w:val="none" w:sz="0" w:space="0" w:color="auto"/>
      </w:divBdr>
    </w:div>
    <w:div w:id="1751777673">
      <w:bodyDiv w:val="1"/>
      <w:marLeft w:val="0"/>
      <w:marRight w:val="0"/>
      <w:marTop w:val="0"/>
      <w:marBottom w:val="0"/>
      <w:divBdr>
        <w:top w:val="none" w:sz="0" w:space="0" w:color="auto"/>
        <w:left w:val="none" w:sz="0" w:space="0" w:color="auto"/>
        <w:bottom w:val="none" w:sz="0" w:space="0" w:color="auto"/>
        <w:right w:val="none" w:sz="0" w:space="0" w:color="auto"/>
      </w:divBdr>
    </w:div>
    <w:div w:id="1759593109">
      <w:bodyDiv w:val="1"/>
      <w:marLeft w:val="0"/>
      <w:marRight w:val="0"/>
      <w:marTop w:val="0"/>
      <w:marBottom w:val="0"/>
      <w:divBdr>
        <w:top w:val="none" w:sz="0" w:space="0" w:color="auto"/>
        <w:left w:val="none" w:sz="0" w:space="0" w:color="auto"/>
        <w:bottom w:val="none" w:sz="0" w:space="0" w:color="auto"/>
        <w:right w:val="none" w:sz="0" w:space="0" w:color="auto"/>
      </w:divBdr>
    </w:div>
    <w:div w:id="1759986917">
      <w:bodyDiv w:val="1"/>
      <w:marLeft w:val="0"/>
      <w:marRight w:val="0"/>
      <w:marTop w:val="0"/>
      <w:marBottom w:val="0"/>
      <w:divBdr>
        <w:top w:val="none" w:sz="0" w:space="0" w:color="auto"/>
        <w:left w:val="none" w:sz="0" w:space="0" w:color="auto"/>
        <w:bottom w:val="none" w:sz="0" w:space="0" w:color="auto"/>
        <w:right w:val="none" w:sz="0" w:space="0" w:color="auto"/>
      </w:divBdr>
    </w:div>
    <w:div w:id="1759987048">
      <w:bodyDiv w:val="1"/>
      <w:marLeft w:val="0"/>
      <w:marRight w:val="0"/>
      <w:marTop w:val="0"/>
      <w:marBottom w:val="0"/>
      <w:divBdr>
        <w:top w:val="none" w:sz="0" w:space="0" w:color="auto"/>
        <w:left w:val="none" w:sz="0" w:space="0" w:color="auto"/>
        <w:bottom w:val="none" w:sz="0" w:space="0" w:color="auto"/>
        <w:right w:val="none" w:sz="0" w:space="0" w:color="auto"/>
      </w:divBdr>
      <w:divsChild>
        <w:div w:id="1176075776">
          <w:marLeft w:val="0"/>
          <w:marRight w:val="0"/>
          <w:marTop w:val="0"/>
          <w:marBottom w:val="0"/>
          <w:divBdr>
            <w:top w:val="none" w:sz="0" w:space="0" w:color="auto"/>
            <w:left w:val="none" w:sz="0" w:space="0" w:color="auto"/>
            <w:bottom w:val="none" w:sz="0" w:space="0" w:color="auto"/>
            <w:right w:val="none" w:sz="0" w:space="0" w:color="auto"/>
          </w:divBdr>
          <w:divsChild>
            <w:div w:id="2035183672">
              <w:marLeft w:val="0"/>
              <w:marRight w:val="0"/>
              <w:marTop w:val="0"/>
              <w:marBottom w:val="0"/>
              <w:divBdr>
                <w:top w:val="none" w:sz="0" w:space="0" w:color="auto"/>
                <w:left w:val="none" w:sz="0" w:space="0" w:color="auto"/>
                <w:bottom w:val="none" w:sz="0" w:space="0" w:color="auto"/>
                <w:right w:val="none" w:sz="0" w:space="0" w:color="auto"/>
              </w:divBdr>
              <w:divsChild>
                <w:div w:id="675232055">
                  <w:marLeft w:val="0"/>
                  <w:marRight w:val="0"/>
                  <w:marTop w:val="0"/>
                  <w:marBottom w:val="0"/>
                  <w:divBdr>
                    <w:top w:val="none" w:sz="0" w:space="0" w:color="auto"/>
                    <w:left w:val="none" w:sz="0" w:space="0" w:color="auto"/>
                    <w:bottom w:val="none" w:sz="0" w:space="0" w:color="auto"/>
                    <w:right w:val="none" w:sz="0" w:space="0" w:color="auto"/>
                  </w:divBdr>
                  <w:divsChild>
                    <w:div w:id="392967486">
                      <w:marLeft w:val="0"/>
                      <w:marRight w:val="0"/>
                      <w:marTop w:val="0"/>
                      <w:marBottom w:val="0"/>
                      <w:divBdr>
                        <w:top w:val="none" w:sz="0" w:space="0" w:color="auto"/>
                        <w:left w:val="none" w:sz="0" w:space="0" w:color="auto"/>
                        <w:bottom w:val="none" w:sz="0" w:space="0" w:color="auto"/>
                        <w:right w:val="none" w:sz="0" w:space="0" w:color="auto"/>
                      </w:divBdr>
                      <w:divsChild>
                        <w:div w:id="3242258">
                          <w:marLeft w:val="0"/>
                          <w:marRight w:val="0"/>
                          <w:marTop w:val="300"/>
                          <w:marBottom w:val="0"/>
                          <w:divBdr>
                            <w:top w:val="none" w:sz="0" w:space="0" w:color="auto"/>
                            <w:left w:val="none" w:sz="0" w:space="0" w:color="auto"/>
                            <w:bottom w:val="none" w:sz="0" w:space="0" w:color="auto"/>
                            <w:right w:val="none" w:sz="0" w:space="0" w:color="auto"/>
                          </w:divBdr>
                          <w:divsChild>
                            <w:div w:id="168416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408047">
      <w:bodyDiv w:val="1"/>
      <w:marLeft w:val="0"/>
      <w:marRight w:val="0"/>
      <w:marTop w:val="0"/>
      <w:marBottom w:val="0"/>
      <w:divBdr>
        <w:top w:val="none" w:sz="0" w:space="0" w:color="auto"/>
        <w:left w:val="none" w:sz="0" w:space="0" w:color="auto"/>
        <w:bottom w:val="none" w:sz="0" w:space="0" w:color="auto"/>
        <w:right w:val="none" w:sz="0" w:space="0" w:color="auto"/>
      </w:divBdr>
    </w:div>
    <w:div w:id="1763721854">
      <w:bodyDiv w:val="1"/>
      <w:marLeft w:val="0"/>
      <w:marRight w:val="0"/>
      <w:marTop w:val="0"/>
      <w:marBottom w:val="0"/>
      <w:divBdr>
        <w:top w:val="none" w:sz="0" w:space="0" w:color="auto"/>
        <w:left w:val="none" w:sz="0" w:space="0" w:color="auto"/>
        <w:bottom w:val="none" w:sz="0" w:space="0" w:color="auto"/>
        <w:right w:val="none" w:sz="0" w:space="0" w:color="auto"/>
      </w:divBdr>
    </w:div>
    <w:div w:id="1764568034">
      <w:bodyDiv w:val="1"/>
      <w:marLeft w:val="0"/>
      <w:marRight w:val="0"/>
      <w:marTop w:val="0"/>
      <w:marBottom w:val="0"/>
      <w:divBdr>
        <w:top w:val="none" w:sz="0" w:space="0" w:color="auto"/>
        <w:left w:val="none" w:sz="0" w:space="0" w:color="auto"/>
        <w:bottom w:val="none" w:sz="0" w:space="0" w:color="auto"/>
        <w:right w:val="none" w:sz="0" w:space="0" w:color="auto"/>
      </w:divBdr>
    </w:div>
    <w:div w:id="1765151436">
      <w:bodyDiv w:val="1"/>
      <w:marLeft w:val="0"/>
      <w:marRight w:val="0"/>
      <w:marTop w:val="0"/>
      <w:marBottom w:val="0"/>
      <w:divBdr>
        <w:top w:val="none" w:sz="0" w:space="0" w:color="auto"/>
        <w:left w:val="none" w:sz="0" w:space="0" w:color="auto"/>
        <w:bottom w:val="none" w:sz="0" w:space="0" w:color="auto"/>
        <w:right w:val="none" w:sz="0" w:space="0" w:color="auto"/>
      </w:divBdr>
    </w:div>
    <w:div w:id="1768622111">
      <w:bodyDiv w:val="1"/>
      <w:marLeft w:val="0"/>
      <w:marRight w:val="0"/>
      <w:marTop w:val="0"/>
      <w:marBottom w:val="0"/>
      <w:divBdr>
        <w:top w:val="none" w:sz="0" w:space="0" w:color="auto"/>
        <w:left w:val="none" w:sz="0" w:space="0" w:color="auto"/>
        <w:bottom w:val="none" w:sz="0" w:space="0" w:color="auto"/>
        <w:right w:val="none" w:sz="0" w:space="0" w:color="auto"/>
      </w:divBdr>
    </w:div>
    <w:div w:id="1769813336">
      <w:bodyDiv w:val="1"/>
      <w:marLeft w:val="0"/>
      <w:marRight w:val="0"/>
      <w:marTop w:val="0"/>
      <w:marBottom w:val="0"/>
      <w:divBdr>
        <w:top w:val="none" w:sz="0" w:space="0" w:color="auto"/>
        <w:left w:val="none" w:sz="0" w:space="0" w:color="auto"/>
        <w:bottom w:val="none" w:sz="0" w:space="0" w:color="auto"/>
        <w:right w:val="none" w:sz="0" w:space="0" w:color="auto"/>
      </w:divBdr>
    </w:div>
    <w:div w:id="1782798224">
      <w:bodyDiv w:val="1"/>
      <w:marLeft w:val="0"/>
      <w:marRight w:val="0"/>
      <w:marTop w:val="0"/>
      <w:marBottom w:val="0"/>
      <w:divBdr>
        <w:top w:val="none" w:sz="0" w:space="0" w:color="auto"/>
        <w:left w:val="none" w:sz="0" w:space="0" w:color="auto"/>
        <w:bottom w:val="none" w:sz="0" w:space="0" w:color="auto"/>
        <w:right w:val="none" w:sz="0" w:space="0" w:color="auto"/>
      </w:divBdr>
    </w:div>
    <w:div w:id="1782993282">
      <w:bodyDiv w:val="1"/>
      <w:marLeft w:val="0"/>
      <w:marRight w:val="0"/>
      <w:marTop w:val="0"/>
      <w:marBottom w:val="0"/>
      <w:divBdr>
        <w:top w:val="none" w:sz="0" w:space="0" w:color="auto"/>
        <w:left w:val="none" w:sz="0" w:space="0" w:color="auto"/>
        <w:bottom w:val="none" w:sz="0" w:space="0" w:color="auto"/>
        <w:right w:val="none" w:sz="0" w:space="0" w:color="auto"/>
      </w:divBdr>
    </w:div>
    <w:div w:id="1785802274">
      <w:bodyDiv w:val="1"/>
      <w:marLeft w:val="0"/>
      <w:marRight w:val="0"/>
      <w:marTop w:val="0"/>
      <w:marBottom w:val="0"/>
      <w:divBdr>
        <w:top w:val="none" w:sz="0" w:space="0" w:color="auto"/>
        <w:left w:val="none" w:sz="0" w:space="0" w:color="auto"/>
        <w:bottom w:val="none" w:sz="0" w:space="0" w:color="auto"/>
        <w:right w:val="none" w:sz="0" w:space="0" w:color="auto"/>
      </w:divBdr>
    </w:div>
    <w:div w:id="1791624956">
      <w:bodyDiv w:val="1"/>
      <w:marLeft w:val="0"/>
      <w:marRight w:val="0"/>
      <w:marTop w:val="0"/>
      <w:marBottom w:val="0"/>
      <w:divBdr>
        <w:top w:val="none" w:sz="0" w:space="0" w:color="auto"/>
        <w:left w:val="none" w:sz="0" w:space="0" w:color="auto"/>
        <w:bottom w:val="none" w:sz="0" w:space="0" w:color="auto"/>
        <w:right w:val="none" w:sz="0" w:space="0" w:color="auto"/>
      </w:divBdr>
    </w:div>
    <w:div w:id="1792899099">
      <w:bodyDiv w:val="1"/>
      <w:marLeft w:val="0"/>
      <w:marRight w:val="0"/>
      <w:marTop w:val="0"/>
      <w:marBottom w:val="0"/>
      <w:divBdr>
        <w:top w:val="none" w:sz="0" w:space="0" w:color="auto"/>
        <w:left w:val="none" w:sz="0" w:space="0" w:color="auto"/>
        <w:bottom w:val="none" w:sz="0" w:space="0" w:color="auto"/>
        <w:right w:val="none" w:sz="0" w:space="0" w:color="auto"/>
      </w:divBdr>
    </w:div>
    <w:div w:id="1801414483">
      <w:bodyDiv w:val="1"/>
      <w:marLeft w:val="0"/>
      <w:marRight w:val="0"/>
      <w:marTop w:val="0"/>
      <w:marBottom w:val="0"/>
      <w:divBdr>
        <w:top w:val="none" w:sz="0" w:space="0" w:color="auto"/>
        <w:left w:val="none" w:sz="0" w:space="0" w:color="auto"/>
        <w:bottom w:val="none" w:sz="0" w:space="0" w:color="auto"/>
        <w:right w:val="none" w:sz="0" w:space="0" w:color="auto"/>
      </w:divBdr>
    </w:div>
    <w:div w:id="1803421114">
      <w:bodyDiv w:val="1"/>
      <w:marLeft w:val="0"/>
      <w:marRight w:val="0"/>
      <w:marTop w:val="0"/>
      <w:marBottom w:val="0"/>
      <w:divBdr>
        <w:top w:val="none" w:sz="0" w:space="0" w:color="auto"/>
        <w:left w:val="none" w:sz="0" w:space="0" w:color="auto"/>
        <w:bottom w:val="none" w:sz="0" w:space="0" w:color="auto"/>
        <w:right w:val="none" w:sz="0" w:space="0" w:color="auto"/>
      </w:divBdr>
    </w:div>
    <w:div w:id="1804419765">
      <w:bodyDiv w:val="1"/>
      <w:marLeft w:val="0"/>
      <w:marRight w:val="0"/>
      <w:marTop w:val="0"/>
      <w:marBottom w:val="0"/>
      <w:divBdr>
        <w:top w:val="none" w:sz="0" w:space="0" w:color="auto"/>
        <w:left w:val="none" w:sz="0" w:space="0" w:color="auto"/>
        <w:bottom w:val="none" w:sz="0" w:space="0" w:color="auto"/>
        <w:right w:val="none" w:sz="0" w:space="0" w:color="auto"/>
      </w:divBdr>
    </w:div>
    <w:div w:id="1804689379">
      <w:bodyDiv w:val="1"/>
      <w:marLeft w:val="0"/>
      <w:marRight w:val="0"/>
      <w:marTop w:val="0"/>
      <w:marBottom w:val="0"/>
      <w:divBdr>
        <w:top w:val="none" w:sz="0" w:space="0" w:color="auto"/>
        <w:left w:val="none" w:sz="0" w:space="0" w:color="auto"/>
        <w:bottom w:val="none" w:sz="0" w:space="0" w:color="auto"/>
        <w:right w:val="none" w:sz="0" w:space="0" w:color="auto"/>
      </w:divBdr>
    </w:div>
    <w:div w:id="1805150012">
      <w:bodyDiv w:val="1"/>
      <w:marLeft w:val="0"/>
      <w:marRight w:val="0"/>
      <w:marTop w:val="0"/>
      <w:marBottom w:val="0"/>
      <w:divBdr>
        <w:top w:val="none" w:sz="0" w:space="0" w:color="auto"/>
        <w:left w:val="none" w:sz="0" w:space="0" w:color="auto"/>
        <w:bottom w:val="none" w:sz="0" w:space="0" w:color="auto"/>
        <w:right w:val="none" w:sz="0" w:space="0" w:color="auto"/>
      </w:divBdr>
    </w:div>
    <w:div w:id="1805734433">
      <w:bodyDiv w:val="1"/>
      <w:marLeft w:val="0"/>
      <w:marRight w:val="0"/>
      <w:marTop w:val="0"/>
      <w:marBottom w:val="0"/>
      <w:divBdr>
        <w:top w:val="none" w:sz="0" w:space="0" w:color="auto"/>
        <w:left w:val="none" w:sz="0" w:space="0" w:color="auto"/>
        <w:bottom w:val="none" w:sz="0" w:space="0" w:color="auto"/>
        <w:right w:val="none" w:sz="0" w:space="0" w:color="auto"/>
      </w:divBdr>
    </w:div>
    <w:div w:id="1805922227">
      <w:bodyDiv w:val="1"/>
      <w:marLeft w:val="0"/>
      <w:marRight w:val="0"/>
      <w:marTop w:val="0"/>
      <w:marBottom w:val="0"/>
      <w:divBdr>
        <w:top w:val="none" w:sz="0" w:space="0" w:color="auto"/>
        <w:left w:val="none" w:sz="0" w:space="0" w:color="auto"/>
        <w:bottom w:val="none" w:sz="0" w:space="0" w:color="auto"/>
        <w:right w:val="none" w:sz="0" w:space="0" w:color="auto"/>
      </w:divBdr>
    </w:div>
    <w:div w:id="1806313590">
      <w:bodyDiv w:val="1"/>
      <w:marLeft w:val="0"/>
      <w:marRight w:val="0"/>
      <w:marTop w:val="0"/>
      <w:marBottom w:val="0"/>
      <w:divBdr>
        <w:top w:val="none" w:sz="0" w:space="0" w:color="auto"/>
        <w:left w:val="none" w:sz="0" w:space="0" w:color="auto"/>
        <w:bottom w:val="none" w:sz="0" w:space="0" w:color="auto"/>
        <w:right w:val="none" w:sz="0" w:space="0" w:color="auto"/>
      </w:divBdr>
    </w:div>
    <w:div w:id="1806509668">
      <w:bodyDiv w:val="1"/>
      <w:marLeft w:val="0"/>
      <w:marRight w:val="0"/>
      <w:marTop w:val="0"/>
      <w:marBottom w:val="0"/>
      <w:divBdr>
        <w:top w:val="none" w:sz="0" w:space="0" w:color="auto"/>
        <w:left w:val="none" w:sz="0" w:space="0" w:color="auto"/>
        <w:bottom w:val="none" w:sz="0" w:space="0" w:color="auto"/>
        <w:right w:val="none" w:sz="0" w:space="0" w:color="auto"/>
      </w:divBdr>
      <w:divsChild>
        <w:div w:id="1066222730">
          <w:marLeft w:val="0"/>
          <w:marRight w:val="0"/>
          <w:marTop w:val="0"/>
          <w:marBottom w:val="0"/>
          <w:divBdr>
            <w:top w:val="none" w:sz="0" w:space="0" w:color="auto"/>
            <w:left w:val="none" w:sz="0" w:space="0" w:color="auto"/>
            <w:bottom w:val="none" w:sz="0" w:space="0" w:color="auto"/>
            <w:right w:val="none" w:sz="0" w:space="0" w:color="auto"/>
          </w:divBdr>
          <w:divsChild>
            <w:div w:id="1491556256">
              <w:marLeft w:val="0"/>
              <w:marRight w:val="0"/>
              <w:marTop w:val="0"/>
              <w:marBottom w:val="0"/>
              <w:divBdr>
                <w:top w:val="none" w:sz="0" w:space="0" w:color="auto"/>
                <w:left w:val="none" w:sz="0" w:space="0" w:color="auto"/>
                <w:bottom w:val="none" w:sz="0" w:space="0" w:color="auto"/>
                <w:right w:val="none" w:sz="0" w:space="0" w:color="auto"/>
              </w:divBdr>
              <w:divsChild>
                <w:div w:id="1101102942">
                  <w:marLeft w:val="0"/>
                  <w:marRight w:val="0"/>
                  <w:marTop w:val="0"/>
                  <w:marBottom w:val="0"/>
                  <w:divBdr>
                    <w:top w:val="none" w:sz="0" w:space="0" w:color="auto"/>
                    <w:left w:val="none" w:sz="0" w:space="0" w:color="auto"/>
                    <w:bottom w:val="none" w:sz="0" w:space="0" w:color="auto"/>
                    <w:right w:val="none" w:sz="0" w:space="0" w:color="auto"/>
                  </w:divBdr>
                  <w:divsChild>
                    <w:div w:id="67727536">
                      <w:marLeft w:val="0"/>
                      <w:marRight w:val="0"/>
                      <w:marTop w:val="0"/>
                      <w:marBottom w:val="0"/>
                      <w:divBdr>
                        <w:top w:val="none" w:sz="0" w:space="0" w:color="auto"/>
                        <w:left w:val="none" w:sz="0" w:space="0" w:color="auto"/>
                        <w:bottom w:val="none" w:sz="0" w:space="0" w:color="auto"/>
                        <w:right w:val="none" w:sz="0" w:space="0" w:color="auto"/>
                      </w:divBdr>
                      <w:divsChild>
                        <w:div w:id="46925363">
                          <w:marLeft w:val="0"/>
                          <w:marRight w:val="0"/>
                          <w:marTop w:val="0"/>
                          <w:marBottom w:val="0"/>
                          <w:divBdr>
                            <w:top w:val="none" w:sz="0" w:space="0" w:color="auto"/>
                            <w:left w:val="none" w:sz="0" w:space="0" w:color="auto"/>
                            <w:bottom w:val="none" w:sz="0" w:space="0" w:color="auto"/>
                            <w:right w:val="none" w:sz="0" w:space="0" w:color="auto"/>
                          </w:divBdr>
                          <w:divsChild>
                            <w:div w:id="208833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8157549">
      <w:bodyDiv w:val="1"/>
      <w:marLeft w:val="0"/>
      <w:marRight w:val="0"/>
      <w:marTop w:val="0"/>
      <w:marBottom w:val="0"/>
      <w:divBdr>
        <w:top w:val="none" w:sz="0" w:space="0" w:color="auto"/>
        <w:left w:val="none" w:sz="0" w:space="0" w:color="auto"/>
        <w:bottom w:val="none" w:sz="0" w:space="0" w:color="auto"/>
        <w:right w:val="none" w:sz="0" w:space="0" w:color="auto"/>
      </w:divBdr>
    </w:div>
    <w:div w:id="1812357344">
      <w:bodyDiv w:val="1"/>
      <w:marLeft w:val="0"/>
      <w:marRight w:val="0"/>
      <w:marTop w:val="0"/>
      <w:marBottom w:val="0"/>
      <w:divBdr>
        <w:top w:val="none" w:sz="0" w:space="0" w:color="auto"/>
        <w:left w:val="none" w:sz="0" w:space="0" w:color="auto"/>
        <w:bottom w:val="none" w:sz="0" w:space="0" w:color="auto"/>
        <w:right w:val="none" w:sz="0" w:space="0" w:color="auto"/>
      </w:divBdr>
    </w:div>
    <w:div w:id="1818181948">
      <w:bodyDiv w:val="1"/>
      <w:marLeft w:val="0"/>
      <w:marRight w:val="0"/>
      <w:marTop w:val="0"/>
      <w:marBottom w:val="0"/>
      <w:divBdr>
        <w:top w:val="none" w:sz="0" w:space="0" w:color="auto"/>
        <w:left w:val="none" w:sz="0" w:space="0" w:color="auto"/>
        <w:bottom w:val="none" w:sz="0" w:space="0" w:color="auto"/>
        <w:right w:val="none" w:sz="0" w:space="0" w:color="auto"/>
      </w:divBdr>
    </w:div>
    <w:div w:id="1821573382">
      <w:bodyDiv w:val="1"/>
      <w:marLeft w:val="0"/>
      <w:marRight w:val="0"/>
      <w:marTop w:val="0"/>
      <w:marBottom w:val="0"/>
      <w:divBdr>
        <w:top w:val="none" w:sz="0" w:space="0" w:color="auto"/>
        <w:left w:val="none" w:sz="0" w:space="0" w:color="auto"/>
        <w:bottom w:val="none" w:sz="0" w:space="0" w:color="auto"/>
        <w:right w:val="none" w:sz="0" w:space="0" w:color="auto"/>
      </w:divBdr>
    </w:div>
    <w:div w:id="1824613840">
      <w:bodyDiv w:val="1"/>
      <w:marLeft w:val="0"/>
      <w:marRight w:val="0"/>
      <w:marTop w:val="0"/>
      <w:marBottom w:val="0"/>
      <w:divBdr>
        <w:top w:val="none" w:sz="0" w:space="0" w:color="auto"/>
        <w:left w:val="none" w:sz="0" w:space="0" w:color="auto"/>
        <w:bottom w:val="none" w:sz="0" w:space="0" w:color="auto"/>
        <w:right w:val="none" w:sz="0" w:space="0" w:color="auto"/>
      </w:divBdr>
    </w:div>
    <w:div w:id="1826773409">
      <w:bodyDiv w:val="1"/>
      <w:marLeft w:val="0"/>
      <w:marRight w:val="0"/>
      <w:marTop w:val="0"/>
      <w:marBottom w:val="0"/>
      <w:divBdr>
        <w:top w:val="none" w:sz="0" w:space="0" w:color="auto"/>
        <w:left w:val="none" w:sz="0" w:space="0" w:color="auto"/>
        <w:bottom w:val="none" w:sz="0" w:space="0" w:color="auto"/>
        <w:right w:val="none" w:sz="0" w:space="0" w:color="auto"/>
      </w:divBdr>
    </w:div>
    <w:div w:id="1827239274">
      <w:bodyDiv w:val="1"/>
      <w:marLeft w:val="0"/>
      <w:marRight w:val="0"/>
      <w:marTop w:val="0"/>
      <w:marBottom w:val="0"/>
      <w:divBdr>
        <w:top w:val="none" w:sz="0" w:space="0" w:color="auto"/>
        <w:left w:val="none" w:sz="0" w:space="0" w:color="auto"/>
        <w:bottom w:val="none" w:sz="0" w:space="0" w:color="auto"/>
        <w:right w:val="none" w:sz="0" w:space="0" w:color="auto"/>
      </w:divBdr>
    </w:div>
    <w:div w:id="1834174630">
      <w:bodyDiv w:val="1"/>
      <w:marLeft w:val="0"/>
      <w:marRight w:val="0"/>
      <w:marTop w:val="0"/>
      <w:marBottom w:val="0"/>
      <w:divBdr>
        <w:top w:val="none" w:sz="0" w:space="0" w:color="auto"/>
        <w:left w:val="none" w:sz="0" w:space="0" w:color="auto"/>
        <w:bottom w:val="none" w:sz="0" w:space="0" w:color="auto"/>
        <w:right w:val="none" w:sz="0" w:space="0" w:color="auto"/>
      </w:divBdr>
    </w:div>
    <w:div w:id="1836069934">
      <w:bodyDiv w:val="1"/>
      <w:marLeft w:val="0"/>
      <w:marRight w:val="0"/>
      <w:marTop w:val="0"/>
      <w:marBottom w:val="0"/>
      <w:divBdr>
        <w:top w:val="none" w:sz="0" w:space="0" w:color="auto"/>
        <w:left w:val="none" w:sz="0" w:space="0" w:color="auto"/>
        <w:bottom w:val="none" w:sz="0" w:space="0" w:color="auto"/>
        <w:right w:val="none" w:sz="0" w:space="0" w:color="auto"/>
      </w:divBdr>
    </w:div>
    <w:div w:id="1842043855">
      <w:bodyDiv w:val="1"/>
      <w:marLeft w:val="0"/>
      <w:marRight w:val="0"/>
      <w:marTop w:val="0"/>
      <w:marBottom w:val="0"/>
      <w:divBdr>
        <w:top w:val="none" w:sz="0" w:space="0" w:color="auto"/>
        <w:left w:val="none" w:sz="0" w:space="0" w:color="auto"/>
        <w:bottom w:val="none" w:sz="0" w:space="0" w:color="auto"/>
        <w:right w:val="none" w:sz="0" w:space="0" w:color="auto"/>
      </w:divBdr>
    </w:div>
    <w:div w:id="1842770092">
      <w:bodyDiv w:val="1"/>
      <w:marLeft w:val="0"/>
      <w:marRight w:val="0"/>
      <w:marTop w:val="0"/>
      <w:marBottom w:val="0"/>
      <w:divBdr>
        <w:top w:val="none" w:sz="0" w:space="0" w:color="auto"/>
        <w:left w:val="none" w:sz="0" w:space="0" w:color="auto"/>
        <w:bottom w:val="none" w:sz="0" w:space="0" w:color="auto"/>
        <w:right w:val="none" w:sz="0" w:space="0" w:color="auto"/>
      </w:divBdr>
      <w:divsChild>
        <w:div w:id="780759938">
          <w:marLeft w:val="0"/>
          <w:marRight w:val="0"/>
          <w:marTop w:val="0"/>
          <w:marBottom w:val="0"/>
          <w:divBdr>
            <w:top w:val="none" w:sz="0" w:space="0" w:color="auto"/>
            <w:left w:val="none" w:sz="0" w:space="0" w:color="auto"/>
            <w:bottom w:val="none" w:sz="0" w:space="0" w:color="auto"/>
            <w:right w:val="none" w:sz="0" w:space="0" w:color="auto"/>
          </w:divBdr>
          <w:divsChild>
            <w:div w:id="961695587">
              <w:marLeft w:val="0"/>
              <w:marRight w:val="0"/>
              <w:marTop w:val="0"/>
              <w:marBottom w:val="0"/>
              <w:divBdr>
                <w:top w:val="none" w:sz="0" w:space="0" w:color="auto"/>
                <w:left w:val="none" w:sz="0" w:space="0" w:color="auto"/>
                <w:bottom w:val="none" w:sz="0" w:space="0" w:color="auto"/>
                <w:right w:val="none" w:sz="0" w:space="0" w:color="auto"/>
              </w:divBdr>
              <w:divsChild>
                <w:div w:id="1105268034">
                  <w:marLeft w:val="0"/>
                  <w:marRight w:val="0"/>
                  <w:marTop w:val="0"/>
                  <w:marBottom w:val="0"/>
                  <w:divBdr>
                    <w:top w:val="none" w:sz="0" w:space="0" w:color="auto"/>
                    <w:left w:val="none" w:sz="0" w:space="0" w:color="auto"/>
                    <w:bottom w:val="none" w:sz="0" w:space="0" w:color="auto"/>
                    <w:right w:val="none" w:sz="0" w:space="0" w:color="auto"/>
                  </w:divBdr>
                  <w:divsChild>
                    <w:div w:id="1404374596">
                      <w:marLeft w:val="0"/>
                      <w:marRight w:val="0"/>
                      <w:marTop w:val="0"/>
                      <w:marBottom w:val="0"/>
                      <w:divBdr>
                        <w:top w:val="none" w:sz="0" w:space="0" w:color="auto"/>
                        <w:left w:val="none" w:sz="0" w:space="0" w:color="auto"/>
                        <w:bottom w:val="none" w:sz="0" w:space="0" w:color="auto"/>
                        <w:right w:val="none" w:sz="0" w:space="0" w:color="auto"/>
                      </w:divBdr>
                      <w:divsChild>
                        <w:div w:id="837960968">
                          <w:marLeft w:val="0"/>
                          <w:marRight w:val="0"/>
                          <w:marTop w:val="300"/>
                          <w:marBottom w:val="0"/>
                          <w:divBdr>
                            <w:top w:val="none" w:sz="0" w:space="0" w:color="auto"/>
                            <w:left w:val="none" w:sz="0" w:space="0" w:color="auto"/>
                            <w:bottom w:val="none" w:sz="0" w:space="0" w:color="auto"/>
                            <w:right w:val="none" w:sz="0" w:space="0" w:color="auto"/>
                          </w:divBdr>
                          <w:divsChild>
                            <w:div w:id="7112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0946669">
      <w:bodyDiv w:val="1"/>
      <w:marLeft w:val="0"/>
      <w:marRight w:val="0"/>
      <w:marTop w:val="0"/>
      <w:marBottom w:val="0"/>
      <w:divBdr>
        <w:top w:val="none" w:sz="0" w:space="0" w:color="auto"/>
        <w:left w:val="none" w:sz="0" w:space="0" w:color="auto"/>
        <w:bottom w:val="none" w:sz="0" w:space="0" w:color="auto"/>
        <w:right w:val="none" w:sz="0" w:space="0" w:color="auto"/>
      </w:divBdr>
    </w:div>
    <w:div w:id="1859079039">
      <w:bodyDiv w:val="1"/>
      <w:marLeft w:val="0"/>
      <w:marRight w:val="0"/>
      <w:marTop w:val="0"/>
      <w:marBottom w:val="0"/>
      <w:divBdr>
        <w:top w:val="none" w:sz="0" w:space="0" w:color="auto"/>
        <w:left w:val="none" w:sz="0" w:space="0" w:color="auto"/>
        <w:bottom w:val="none" w:sz="0" w:space="0" w:color="auto"/>
        <w:right w:val="none" w:sz="0" w:space="0" w:color="auto"/>
      </w:divBdr>
    </w:div>
    <w:div w:id="1859466411">
      <w:bodyDiv w:val="1"/>
      <w:marLeft w:val="0"/>
      <w:marRight w:val="0"/>
      <w:marTop w:val="0"/>
      <w:marBottom w:val="0"/>
      <w:divBdr>
        <w:top w:val="none" w:sz="0" w:space="0" w:color="auto"/>
        <w:left w:val="none" w:sz="0" w:space="0" w:color="auto"/>
        <w:bottom w:val="none" w:sz="0" w:space="0" w:color="auto"/>
        <w:right w:val="none" w:sz="0" w:space="0" w:color="auto"/>
      </w:divBdr>
    </w:div>
    <w:div w:id="1861237642">
      <w:bodyDiv w:val="1"/>
      <w:marLeft w:val="0"/>
      <w:marRight w:val="0"/>
      <w:marTop w:val="0"/>
      <w:marBottom w:val="0"/>
      <w:divBdr>
        <w:top w:val="none" w:sz="0" w:space="0" w:color="auto"/>
        <w:left w:val="none" w:sz="0" w:space="0" w:color="auto"/>
        <w:bottom w:val="none" w:sz="0" w:space="0" w:color="auto"/>
        <w:right w:val="none" w:sz="0" w:space="0" w:color="auto"/>
      </w:divBdr>
    </w:div>
    <w:div w:id="1861356548">
      <w:bodyDiv w:val="1"/>
      <w:marLeft w:val="0"/>
      <w:marRight w:val="0"/>
      <w:marTop w:val="0"/>
      <w:marBottom w:val="0"/>
      <w:divBdr>
        <w:top w:val="none" w:sz="0" w:space="0" w:color="auto"/>
        <w:left w:val="none" w:sz="0" w:space="0" w:color="auto"/>
        <w:bottom w:val="none" w:sz="0" w:space="0" w:color="auto"/>
        <w:right w:val="none" w:sz="0" w:space="0" w:color="auto"/>
      </w:divBdr>
    </w:div>
    <w:div w:id="1873686752">
      <w:bodyDiv w:val="1"/>
      <w:marLeft w:val="0"/>
      <w:marRight w:val="0"/>
      <w:marTop w:val="0"/>
      <w:marBottom w:val="0"/>
      <w:divBdr>
        <w:top w:val="none" w:sz="0" w:space="0" w:color="auto"/>
        <w:left w:val="none" w:sz="0" w:space="0" w:color="auto"/>
        <w:bottom w:val="none" w:sz="0" w:space="0" w:color="auto"/>
        <w:right w:val="none" w:sz="0" w:space="0" w:color="auto"/>
      </w:divBdr>
    </w:div>
    <w:div w:id="1885368554">
      <w:bodyDiv w:val="1"/>
      <w:marLeft w:val="0"/>
      <w:marRight w:val="0"/>
      <w:marTop w:val="0"/>
      <w:marBottom w:val="0"/>
      <w:divBdr>
        <w:top w:val="none" w:sz="0" w:space="0" w:color="auto"/>
        <w:left w:val="none" w:sz="0" w:space="0" w:color="auto"/>
        <w:bottom w:val="none" w:sz="0" w:space="0" w:color="auto"/>
        <w:right w:val="none" w:sz="0" w:space="0" w:color="auto"/>
      </w:divBdr>
    </w:div>
    <w:div w:id="1885602404">
      <w:bodyDiv w:val="1"/>
      <w:marLeft w:val="0"/>
      <w:marRight w:val="0"/>
      <w:marTop w:val="0"/>
      <w:marBottom w:val="0"/>
      <w:divBdr>
        <w:top w:val="none" w:sz="0" w:space="0" w:color="auto"/>
        <w:left w:val="none" w:sz="0" w:space="0" w:color="auto"/>
        <w:bottom w:val="none" w:sz="0" w:space="0" w:color="auto"/>
        <w:right w:val="none" w:sz="0" w:space="0" w:color="auto"/>
      </w:divBdr>
    </w:div>
    <w:div w:id="1888491103">
      <w:bodyDiv w:val="1"/>
      <w:marLeft w:val="0"/>
      <w:marRight w:val="0"/>
      <w:marTop w:val="0"/>
      <w:marBottom w:val="0"/>
      <w:divBdr>
        <w:top w:val="none" w:sz="0" w:space="0" w:color="auto"/>
        <w:left w:val="none" w:sz="0" w:space="0" w:color="auto"/>
        <w:bottom w:val="none" w:sz="0" w:space="0" w:color="auto"/>
        <w:right w:val="none" w:sz="0" w:space="0" w:color="auto"/>
      </w:divBdr>
    </w:div>
    <w:div w:id="1891452600">
      <w:bodyDiv w:val="1"/>
      <w:marLeft w:val="0"/>
      <w:marRight w:val="0"/>
      <w:marTop w:val="0"/>
      <w:marBottom w:val="0"/>
      <w:divBdr>
        <w:top w:val="none" w:sz="0" w:space="0" w:color="auto"/>
        <w:left w:val="none" w:sz="0" w:space="0" w:color="auto"/>
        <w:bottom w:val="none" w:sz="0" w:space="0" w:color="auto"/>
        <w:right w:val="none" w:sz="0" w:space="0" w:color="auto"/>
      </w:divBdr>
    </w:div>
    <w:div w:id="1894343140">
      <w:bodyDiv w:val="1"/>
      <w:marLeft w:val="0"/>
      <w:marRight w:val="0"/>
      <w:marTop w:val="0"/>
      <w:marBottom w:val="0"/>
      <w:divBdr>
        <w:top w:val="none" w:sz="0" w:space="0" w:color="auto"/>
        <w:left w:val="none" w:sz="0" w:space="0" w:color="auto"/>
        <w:bottom w:val="none" w:sz="0" w:space="0" w:color="auto"/>
        <w:right w:val="none" w:sz="0" w:space="0" w:color="auto"/>
      </w:divBdr>
    </w:div>
    <w:div w:id="1899658579">
      <w:bodyDiv w:val="1"/>
      <w:marLeft w:val="0"/>
      <w:marRight w:val="0"/>
      <w:marTop w:val="0"/>
      <w:marBottom w:val="0"/>
      <w:divBdr>
        <w:top w:val="none" w:sz="0" w:space="0" w:color="auto"/>
        <w:left w:val="none" w:sz="0" w:space="0" w:color="auto"/>
        <w:bottom w:val="none" w:sz="0" w:space="0" w:color="auto"/>
        <w:right w:val="none" w:sz="0" w:space="0" w:color="auto"/>
      </w:divBdr>
    </w:div>
    <w:div w:id="1899703203">
      <w:bodyDiv w:val="1"/>
      <w:marLeft w:val="0"/>
      <w:marRight w:val="0"/>
      <w:marTop w:val="0"/>
      <w:marBottom w:val="0"/>
      <w:divBdr>
        <w:top w:val="none" w:sz="0" w:space="0" w:color="auto"/>
        <w:left w:val="none" w:sz="0" w:space="0" w:color="auto"/>
        <w:bottom w:val="none" w:sz="0" w:space="0" w:color="auto"/>
        <w:right w:val="none" w:sz="0" w:space="0" w:color="auto"/>
      </w:divBdr>
    </w:div>
    <w:div w:id="1912500901">
      <w:bodyDiv w:val="1"/>
      <w:marLeft w:val="0"/>
      <w:marRight w:val="0"/>
      <w:marTop w:val="0"/>
      <w:marBottom w:val="0"/>
      <w:divBdr>
        <w:top w:val="none" w:sz="0" w:space="0" w:color="auto"/>
        <w:left w:val="none" w:sz="0" w:space="0" w:color="auto"/>
        <w:bottom w:val="none" w:sz="0" w:space="0" w:color="auto"/>
        <w:right w:val="none" w:sz="0" w:space="0" w:color="auto"/>
      </w:divBdr>
    </w:div>
    <w:div w:id="1913731021">
      <w:bodyDiv w:val="1"/>
      <w:marLeft w:val="0"/>
      <w:marRight w:val="0"/>
      <w:marTop w:val="0"/>
      <w:marBottom w:val="0"/>
      <w:divBdr>
        <w:top w:val="none" w:sz="0" w:space="0" w:color="auto"/>
        <w:left w:val="none" w:sz="0" w:space="0" w:color="auto"/>
        <w:bottom w:val="none" w:sz="0" w:space="0" w:color="auto"/>
        <w:right w:val="none" w:sz="0" w:space="0" w:color="auto"/>
      </w:divBdr>
    </w:div>
    <w:div w:id="1914897869">
      <w:bodyDiv w:val="1"/>
      <w:marLeft w:val="0"/>
      <w:marRight w:val="0"/>
      <w:marTop w:val="0"/>
      <w:marBottom w:val="0"/>
      <w:divBdr>
        <w:top w:val="none" w:sz="0" w:space="0" w:color="auto"/>
        <w:left w:val="none" w:sz="0" w:space="0" w:color="auto"/>
        <w:bottom w:val="none" w:sz="0" w:space="0" w:color="auto"/>
        <w:right w:val="none" w:sz="0" w:space="0" w:color="auto"/>
      </w:divBdr>
    </w:div>
    <w:div w:id="1915427903">
      <w:bodyDiv w:val="1"/>
      <w:marLeft w:val="0"/>
      <w:marRight w:val="0"/>
      <w:marTop w:val="0"/>
      <w:marBottom w:val="0"/>
      <w:divBdr>
        <w:top w:val="none" w:sz="0" w:space="0" w:color="auto"/>
        <w:left w:val="none" w:sz="0" w:space="0" w:color="auto"/>
        <w:bottom w:val="none" w:sz="0" w:space="0" w:color="auto"/>
        <w:right w:val="none" w:sz="0" w:space="0" w:color="auto"/>
      </w:divBdr>
    </w:div>
    <w:div w:id="1928536068">
      <w:bodyDiv w:val="1"/>
      <w:marLeft w:val="0"/>
      <w:marRight w:val="0"/>
      <w:marTop w:val="0"/>
      <w:marBottom w:val="0"/>
      <w:divBdr>
        <w:top w:val="none" w:sz="0" w:space="0" w:color="auto"/>
        <w:left w:val="none" w:sz="0" w:space="0" w:color="auto"/>
        <w:bottom w:val="none" w:sz="0" w:space="0" w:color="auto"/>
        <w:right w:val="none" w:sz="0" w:space="0" w:color="auto"/>
      </w:divBdr>
    </w:div>
    <w:div w:id="1928997776">
      <w:bodyDiv w:val="1"/>
      <w:marLeft w:val="0"/>
      <w:marRight w:val="0"/>
      <w:marTop w:val="0"/>
      <w:marBottom w:val="0"/>
      <w:divBdr>
        <w:top w:val="none" w:sz="0" w:space="0" w:color="auto"/>
        <w:left w:val="none" w:sz="0" w:space="0" w:color="auto"/>
        <w:bottom w:val="none" w:sz="0" w:space="0" w:color="auto"/>
        <w:right w:val="none" w:sz="0" w:space="0" w:color="auto"/>
      </w:divBdr>
    </w:div>
    <w:div w:id="1930430912">
      <w:bodyDiv w:val="1"/>
      <w:marLeft w:val="0"/>
      <w:marRight w:val="0"/>
      <w:marTop w:val="0"/>
      <w:marBottom w:val="0"/>
      <w:divBdr>
        <w:top w:val="none" w:sz="0" w:space="0" w:color="auto"/>
        <w:left w:val="none" w:sz="0" w:space="0" w:color="auto"/>
        <w:bottom w:val="none" w:sz="0" w:space="0" w:color="auto"/>
        <w:right w:val="none" w:sz="0" w:space="0" w:color="auto"/>
      </w:divBdr>
    </w:div>
    <w:div w:id="1930458612">
      <w:bodyDiv w:val="1"/>
      <w:marLeft w:val="0"/>
      <w:marRight w:val="0"/>
      <w:marTop w:val="0"/>
      <w:marBottom w:val="0"/>
      <w:divBdr>
        <w:top w:val="none" w:sz="0" w:space="0" w:color="auto"/>
        <w:left w:val="none" w:sz="0" w:space="0" w:color="auto"/>
        <w:bottom w:val="none" w:sz="0" w:space="0" w:color="auto"/>
        <w:right w:val="none" w:sz="0" w:space="0" w:color="auto"/>
      </w:divBdr>
    </w:div>
    <w:div w:id="1931158977">
      <w:bodyDiv w:val="1"/>
      <w:marLeft w:val="0"/>
      <w:marRight w:val="0"/>
      <w:marTop w:val="0"/>
      <w:marBottom w:val="0"/>
      <w:divBdr>
        <w:top w:val="none" w:sz="0" w:space="0" w:color="auto"/>
        <w:left w:val="none" w:sz="0" w:space="0" w:color="auto"/>
        <w:bottom w:val="none" w:sz="0" w:space="0" w:color="auto"/>
        <w:right w:val="none" w:sz="0" w:space="0" w:color="auto"/>
      </w:divBdr>
    </w:div>
    <w:div w:id="1932733223">
      <w:bodyDiv w:val="1"/>
      <w:marLeft w:val="0"/>
      <w:marRight w:val="0"/>
      <w:marTop w:val="0"/>
      <w:marBottom w:val="0"/>
      <w:divBdr>
        <w:top w:val="none" w:sz="0" w:space="0" w:color="auto"/>
        <w:left w:val="none" w:sz="0" w:space="0" w:color="auto"/>
        <w:bottom w:val="none" w:sz="0" w:space="0" w:color="auto"/>
        <w:right w:val="none" w:sz="0" w:space="0" w:color="auto"/>
      </w:divBdr>
    </w:div>
    <w:div w:id="1933775008">
      <w:bodyDiv w:val="1"/>
      <w:marLeft w:val="0"/>
      <w:marRight w:val="0"/>
      <w:marTop w:val="0"/>
      <w:marBottom w:val="0"/>
      <w:divBdr>
        <w:top w:val="none" w:sz="0" w:space="0" w:color="auto"/>
        <w:left w:val="none" w:sz="0" w:space="0" w:color="auto"/>
        <w:bottom w:val="none" w:sz="0" w:space="0" w:color="auto"/>
        <w:right w:val="none" w:sz="0" w:space="0" w:color="auto"/>
      </w:divBdr>
    </w:div>
    <w:div w:id="1935236438">
      <w:bodyDiv w:val="1"/>
      <w:marLeft w:val="0"/>
      <w:marRight w:val="0"/>
      <w:marTop w:val="0"/>
      <w:marBottom w:val="0"/>
      <w:divBdr>
        <w:top w:val="none" w:sz="0" w:space="0" w:color="auto"/>
        <w:left w:val="none" w:sz="0" w:space="0" w:color="auto"/>
        <w:bottom w:val="none" w:sz="0" w:space="0" w:color="auto"/>
        <w:right w:val="none" w:sz="0" w:space="0" w:color="auto"/>
      </w:divBdr>
    </w:div>
    <w:div w:id="1935241591">
      <w:bodyDiv w:val="1"/>
      <w:marLeft w:val="0"/>
      <w:marRight w:val="0"/>
      <w:marTop w:val="0"/>
      <w:marBottom w:val="0"/>
      <w:divBdr>
        <w:top w:val="none" w:sz="0" w:space="0" w:color="auto"/>
        <w:left w:val="none" w:sz="0" w:space="0" w:color="auto"/>
        <w:bottom w:val="none" w:sz="0" w:space="0" w:color="auto"/>
        <w:right w:val="none" w:sz="0" w:space="0" w:color="auto"/>
      </w:divBdr>
    </w:div>
    <w:div w:id="1940214851">
      <w:bodyDiv w:val="1"/>
      <w:marLeft w:val="0"/>
      <w:marRight w:val="0"/>
      <w:marTop w:val="0"/>
      <w:marBottom w:val="0"/>
      <w:divBdr>
        <w:top w:val="none" w:sz="0" w:space="0" w:color="auto"/>
        <w:left w:val="none" w:sz="0" w:space="0" w:color="auto"/>
        <w:bottom w:val="none" w:sz="0" w:space="0" w:color="auto"/>
        <w:right w:val="none" w:sz="0" w:space="0" w:color="auto"/>
      </w:divBdr>
    </w:div>
    <w:div w:id="1941519975">
      <w:bodyDiv w:val="1"/>
      <w:marLeft w:val="0"/>
      <w:marRight w:val="0"/>
      <w:marTop w:val="0"/>
      <w:marBottom w:val="0"/>
      <w:divBdr>
        <w:top w:val="none" w:sz="0" w:space="0" w:color="auto"/>
        <w:left w:val="none" w:sz="0" w:space="0" w:color="auto"/>
        <w:bottom w:val="none" w:sz="0" w:space="0" w:color="auto"/>
        <w:right w:val="none" w:sz="0" w:space="0" w:color="auto"/>
      </w:divBdr>
    </w:div>
    <w:div w:id="1951618399">
      <w:bodyDiv w:val="1"/>
      <w:marLeft w:val="0"/>
      <w:marRight w:val="0"/>
      <w:marTop w:val="0"/>
      <w:marBottom w:val="0"/>
      <w:divBdr>
        <w:top w:val="none" w:sz="0" w:space="0" w:color="auto"/>
        <w:left w:val="none" w:sz="0" w:space="0" w:color="auto"/>
        <w:bottom w:val="none" w:sz="0" w:space="0" w:color="auto"/>
        <w:right w:val="none" w:sz="0" w:space="0" w:color="auto"/>
      </w:divBdr>
    </w:div>
    <w:div w:id="1954435324">
      <w:bodyDiv w:val="1"/>
      <w:marLeft w:val="0"/>
      <w:marRight w:val="0"/>
      <w:marTop w:val="0"/>
      <w:marBottom w:val="0"/>
      <w:divBdr>
        <w:top w:val="none" w:sz="0" w:space="0" w:color="auto"/>
        <w:left w:val="none" w:sz="0" w:space="0" w:color="auto"/>
        <w:bottom w:val="none" w:sz="0" w:space="0" w:color="auto"/>
        <w:right w:val="none" w:sz="0" w:space="0" w:color="auto"/>
      </w:divBdr>
    </w:div>
    <w:div w:id="1955557785">
      <w:bodyDiv w:val="1"/>
      <w:marLeft w:val="0"/>
      <w:marRight w:val="0"/>
      <w:marTop w:val="0"/>
      <w:marBottom w:val="0"/>
      <w:divBdr>
        <w:top w:val="none" w:sz="0" w:space="0" w:color="auto"/>
        <w:left w:val="none" w:sz="0" w:space="0" w:color="auto"/>
        <w:bottom w:val="none" w:sz="0" w:space="0" w:color="auto"/>
        <w:right w:val="none" w:sz="0" w:space="0" w:color="auto"/>
      </w:divBdr>
    </w:div>
    <w:div w:id="1960843516">
      <w:bodyDiv w:val="1"/>
      <w:marLeft w:val="0"/>
      <w:marRight w:val="0"/>
      <w:marTop w:val="0"/>
      <w:marBottom w:val="0"/>
      <w:divBdr>
        <w:top w:val="none" w:sz="0" w:space="0" w:color="auto"/>
        <w:left w:val="none" w:sz="0" w:space="0" w:color="auto"/>
        <w:bottom w:val="none" w:sz="0" w:space="0" w:color="auto"/>
        <w:right w:val="none" w:sz="0" w:space="0" w:color="auto"/>
      </w:divBdr>
    </w:div>
    <w:div w:id="1962419813">
      <w:bodyDiv w:val="1"/>
      <w:marLeft w:val="0"/>
      <w:marRight w:val="0"/>
      <w:marTop w:val="0"/>
      <w:marBottom w:val="0"/>
      <w:divBdr>
        <w:top w:val="none" w:sz="0" w:space="0" w:color="auto"/>
        <w:left w:val="none" w:sz="0" w:space="0" w:color="auto"/>
        <w:bottom w:val="none" w:sz="0" w:space="0" w:color="auto"/>
        <w:right w:val="none" w:sz="0" w:space="0" w:color="auto"/>
      </w:divBdr>
    </w:div>
    <w:div w:id="1963657819">
      <w:bodyDiv w:val="1"/>
      <w:marLeft w:val="0"/>
      <w:marRight w:val="0"/>
      <w:marTop w:val="0"/>
      <w:marBottom w:val="0"/>
      <w:divBdr>
        <w:top w:val="none" w:sz="0" w:space="0" w:color="auto"/>
        <w:left w:val="none" w:sz="0" w:space="0" w:color="auto"/>
        <w:bottom w:val="none" w:sz="0" w:space="0" w:color="auto"/>
        <w:right w:val="none" w:sz="0" w:space="0" w:color="auto"/>
      </w:divBdr>
    </w:div>
    <w:div w:id="1969972687">
      <w:bodyDiv w:val="1"/>
      <w:marLeft w:val="0"/>
      <w:marRight w:val="0"/>
      <w:marTop w:val="0"/>
      <w:marBottom w:val="0"/>
      <w:divBdr>
        <w:top w:val="none" w:sz="0" w:space="0" w:color="auto"/>
        <w:left w:val="none" w:sz="0" w:space="0" w:color="auto"/>
        <w:bottom w:val="none" w:sz="0" w:space="0" w:color="auto"/>
        <w:right w:val="none" w:sz="0" w:space="0" w:color="auto"/>
      </w:divBdr>
    </w:div>
    <w:div w:id="1970554211">
      <w:bodyDiv w:val="1"/>
      <w:marLeft w:val="0"/>
      <w:marRight w:val="0"/>
      <w:marTop w:val="0"/>
      <w:marBottom w:val="0"/>
      <w:divBdr>
        <w:top w:val="none" w:sz="0" w:space="0" w:color="auto"/>
        <w:left w:val="none" w:sz="0" w:space="0" w:color="auto"/>
        <w:bottom w:val="none" w:sz="0" w:space="0" w:color="auto"/>
        <w:right w:val="none" w:sz="0" w:space="0" w:color="auto"/>
      </w:divBdr>
    </w:div>
    <w:div w:id="1975139545">
      <w:bodyDiv w:val="1"/>
      <w:marLeft w:val="0"/>
      <w:marRight w:val="0"/>
      <w:marTop w:val="0"/>
      <w:marBottom w:val="0"/>
      <w:divBdr>
        <w:top w:val="none" w:sz="0" w:space="0" w:color="auto"/>
        <w:left w:val="none" w:sz="0" w:space="0" w:color="auto"/>
        <w:bottom w:val="none" w:sz="0" w:space="0" w:color="auto"/>
        <w:right w:val="none" w:sz="0" w:space="0" w:color="auto"/>
      </w:divBdr>
    </w:div>
    <w:div w:id="1976714932">
      <w:bodyDiv w:val="1"/>
      <w:marLeft w:val="0"/>
      <w:marRight w:val="0"/>
      <w:marTop w:val="0"/>
      <w:marBottom w:val="0"/>
      <w:divBdr>
        <w:top w:val="none" w:sz="0" w:space="0" w:color="auto"/>
        <w:left w:val="none" w:sz="0" w:space="0" w:color="auto"/>
        <w:bottom w:val="none" w:sz="0" w:space="0" w:color="auto"/>
        <w:right w:val="none" w:sz="0" w:space="0" w:color="auto"/>
      </w:divBdr>
    </w:div>
    <w:div w:id="1982034351">
      <w:bodyDiv w:val="1"/>
      <w:marLeft w:val="0"/>
      <w:marRight w:val="0"/>
      <w:marTop w:val="0"/>
      <w:marBottom w:val="0"/>
      <w:divBdr>
        <w:top w:val="none" w:sz="0" w:space="0" w:color="auto"/>
        <w:left w:val="none" w:sz="0" w:space="0" w:color="auto"/>
        <w:bottom w:val="none" w:sz="0" w:space="0" w:color="auto"/>
        <w:right w:val="none" w:sz="0" w:space="0" w:color="auto"/>
      </w:divBdr>
    </w:div>
    <w:div w:id="1985625980">
      <w:bodyDiv w:val="1"/>
      <w:marLeft w:val="0"/>
      <w:marRight w:val="0"/>
      <w:marTop w:val="0"/>
      <w:marBottom w:val="0"/>
      <w:divBdr>
        <w:top w:val="none" w:sz="0" w:space="0" w:color="auto"/>
        <w:left w:val="none" w:sz="0" w:space="0" w:color="auto"/>
        <w:bottom w:val="none" w:sz="0" w:space="0" w:color="auto"/>
        <w:right w:val="none" w:sz="0" w:space="0" w:color="auto"/>
      </w:divBdr>
    </w:div>
    <w:div w:id="1986202883">
      <w:bodyDiv w:val="1"/>
      <w:marLeft w:val="0"/>
      <w:marRight w:val="0"/>
      <w:marTop w:val="0"/>
      <w:marBottom w:val="0"/>
      <w:divBdr>
        <w:top w:val="none" w:sz="0" w:space="0" w:color="auto"/>
        <w:left w:val="none" w:sz="0" w:space="0" w:color="auto"/>
        <w:bottom w:val="none" w:sz="0" w:space="0" w:color="auto"/>
        <w:right w:val="none" w:sz="0" w:space="0" w:color="auto"/>
      </w:divBdr>
    </w:div>
    <w:div w:id="1989702014">
      <w:bodyDiv w:val="1"/>
      <w:marLeft w:val="0"/>
      <w:marRight w:val="0"/>
      <w:marTop w:val="0"/>
      <w:marBottom w:val="0"/>
      <w:divBdr>
        <w:top w:val="none" w:sz="0" w:space="0" w:color="auto"/>
        <w:left w:val="none" w:sz="0" w:space="0" w:color="auto"/>
        <w:bottom w:val="none" w:sz="0" w:space="0" w:color="auto"/>
        <w:right w:val="none" w:sz="0" w:space="0" w:color="auto"/>
      </w:divBdr>
    </w:div>
    <w:div w:id="2000038896">
      <w:bodyDiv w:val="1"/>
      <w:marLeft w:val="0"/>
      <w:marRight w:val="0"/>
      <w:marTop w:val="0"/>
      <w:marBottom w:val="0"/>
      <w:divBdr>
        <w:top w:val="none" w:sz="0" w:space="0" w:color="auto"/>
        <w:left w:val="none" w:sz="0" w:space="0" w:color="auto"/>
        <w:bottom w:val="none" w:sz="0" w:space="0" w:color="auto"/>
        <w:right w:val="none" w:sz="0" w:space="0" w:color="auto"/>
      </w:divBdr>
      <w:divsChild>
        <w:div w:id="727416740">
          <w:marLeft w:val="0"/>
          <w:marRight w:val="0"/>
          <w:marTop w:val="0"/>
          <w:marBottom w:val="0"/>
          <w:divBdr>
            <w:top w:val="none" w:sz="0" w:space="0" w:color="auto"/>
            <w:left w:val="none" w:sz="0" w:space="0" w:color="auto"/>
            <w:bottom w:val="none" w:sz="0" w:space="0" w:color="auto"/>
            <w:right w:val="none" w:sz="0" w:space="0" w:color="auto"/>
          </w:divBdr>
          <w:divsChild>
            <w:div w:id="979918389">
              <w:marLeft w:val="0"/>
              <w:marRight w:val="0"/>
              <w:marTop w:val="0"/>
              <w:marBottom w:val="0"/>
              <w:divBdr>
                <w:top w:val="none" w:sz="0" w:space="0" w:color="auto"/>
                <w:left w:val="none" w:sz="0" w:space="0" w:color="auto"/>
                <w:bottom w:val="none" w:sz="0" w:space="0" w:color="auto"/>
                <w:right w:val="none" w:sz="0" w:space="0" w:color="auto"/>
              </w:divBdr>
              <w:divsChild>
                <w:div w:id="1273126883">
                  <w:marLeft w:val="0"/>
                  <w:marRight w:val="0"/>
                  <w:marTop w:val="0"/>
                  <w:marBottom w:val="0"/>
                  <w:divBdr>
                    <w:top w:val="none" w:sz="0" w:space="0" w:color="auto"/>
                    <w:left w:val="none" w:sz="0" w:space="0" w:color="auto"/>
                    <w:bottom w:val="none" w:sz="0" w:space="0" w:color="auto"/>
                    <w:right w:val="none" w:sz="0" w:space="0" w:color="auto"/>
                  </w:divBdr>
                  <w:divsChild>
                    <w:div w:id="1712876106">
                      <w:marLeft w:val="0"/>
                      <w:marRight w:val="0"/>
                      <w:marTop w:val="0"/>
                      <w:marBottom w:val="0"/>
                      <w:divBdr>
                        <w:top w:val="none" w:sz="0" w:space="0" w:color="auto"/>
                        <w:left w:val="none" w:sz="0" w:space="0" w:color="auto"/>
                        <w:bottom w:val="none" w:sz="0" w:space="0" w:color="auto"/>
                        <w:right w:val="none" w:sz="0" w:space="0" w:color="auto"/>
                      </w:divBdr>
                      <w:divsChild>
                        <w:div w:id="68041625">
                          <w:marLeft w:val="0"/>
                          <w:marRight w:val="0"/>
                          <w:marTop w:val="300"/>
                          <w:marBottom w:val="0"/>
                          <w:divBdr>
                            <w:top w:val="none" w:sz="0" w:space="0" w:color="auto"/>
                            <w:left w:val="none" w:sz="0" w:space="0" w:color="auto"/>
                            <w:bottom w:val="none" w:sz="0" w:space="0" w:color="auto"/>
                            <w:right w:val="none" w:sz="0" w:space="0" w:color="auto"/>
                          </w:divBdr>
                          <w:divsChild>
                            <w:div w:id="914168681">
                              <w:marLeft w:val="0"/>
                              <w:marRight w:val="0"/>
                              <w:marTop w:val="0"/>
                              <w:marBottom w:val="0"/>
                              <w:divBdr>
                                <w:top w:val="none" w:sz="0" w:space="0" w:color="auto"/>
                                <w:left w:val="none" w:sz="0" w:space="0" w:color="auto"/>
                                <w:bottom w:val="none" w:sz="0" w:space="0" w:color="auto"/>
                                <w:right w:val="none" w:sz="0" w:space="0" w:color="auto"/>
                              </w:divBdr>
                              <w:divsChild>
                                <w:div w:id="1981228379">
                                  <w:marLeft w:val="0"/>
                                  <w:marRight w:val="0"/>
                                  <w:marTop w:val="0"/>
                                  <w:marBottom w:val="0"/>
                                  <w:divBdr>
                                    <w:top w:val="none" w:sz="0" w:space="0" w:color="auto"/>
                                    <w:left w:val="none" w:sz="0" w:space="0" w:color="auto"/>
                                    <w:bottom w:val="none" w:sz="0" w:space="0" w:color="auto"/>
                                    <w:right w:val="none" w:sz="0" w:space="0" w:color="auto"/>
                                  </w:divBdr>
                                </w:div>
                              </w:divsChild>
                            </w:div>
                            <w:div w:id="983777425">
                              <w:marLeft w:val="0"/>
                              <w:marRight w:val="0"/>
                              <w:marTop w:val="0"/>
                              <w:marBottom w:val="0"/>
                              <w:divBdr>
                                <w:top w:val="none" w:sz="0" w:space="0" w:color="auto"/>
                                <w:left w:val="none" w:sz="0" w:space="0" w:color="auto"/>
                                <w:bottom w:val="none" w:sz="0" w:space="0" w:color="auto"/>
                                <w:right w:val="none" w:sz="0" w:space="0" w:color="auto"/>
                              </w:divBdr>
                              <w:divsChild>
                                <w:div w:id="477186041">
                                  <w:marLeft w:val="0"/>
                                  <w:marRight w:val="0"/>
                                  <w:marTop w:val="0"/>
                                  <w:marBottom w:val="0"/>
                                  <w:divBdr>
                                    <w:top w:val="none" w:sz="0" w:space="0" w:color="auto"/>
                                    <w:left w:val="none" w:sz="0" w:space="0" w:color="auto"/>
                                    <w:bottom w:val="none" w:sz="0" w:space="0" w:color="auto"/>
                                    <w:right w:val="none" w:sz="0" w:space="0" w:color="auto"/>
                                  </w:divBdr>
                                </w:div>
                              </w:divsChild>
                            </w:div>
                            <w:div w:id="1039819646">
                              <w:marLeft w:val="0"/>
                              <w:marRight w:val="0"/>
                              <w:marTop w:val="0"/>
                              <w:marBottom w:val="0"/>
                              <w:divBdr>
                                <w:top w:val="none" w:sz="0" w:space="0" w:color="auto"/>
                                <w:left w:val="none" w:sz="0" w:space="0" w:color="auto"/>
                                <w:bottom w:val="none" w:sz="0" w:space="0" w:color="auto"/>
                                <w:right w:val="none" w:sz="0" w:space="0" w:color="auto"/>
                              </w:divBdr>
                              <w:divsChild>
                                <w:div w:id="453061850">
                                  <w:marLeft w:val="0"/>
                                  <w:marRight w:val="0"/>
                                  <w:marTop w:val="0"/>
                                  <w:marBottom w:val="0"/>
                                  <w:divBdr>
                                    <w:top w:val="none" w:sz="0" w:space="0" w:color="auto"/>
                                    <w:left w:val="none" w:sz="0" w:space="0" w:color="auto"/>
                                    <w:bottom w:val="none" w:sz="0" w:space="0" w:color="auto"/>
                                    <w:right w:val="none" w:sz="0" w:space="0" w:color="auto"/>
                                  </w:divBdr>
                                </w:div>
                              </w:divsChild>
                            </w:div>
                            <w:div w:id="1369141787">
                              <w:marLeft w:val="0"/>
                              <w:marRight w:val="0"/>
                              <w:marTop w:val="0"/>
                              <w:marBottom w:val="0"/>
                              <w:divBdr>
                                <w:top w:val="none" w:sz="0" w:space="0" w:color="auto"/>
                                <w:left w:val="none" w:sz="0" w:space="0" w:color="auto"/>
                                <w:bottom w:val="none" w:sz="0" w:space="0" w:color="auto"/>
                                <w:right w:val="none" w:sz="0" w:space="0" w:color="auto"/>
                              </w:divBdr>
                              <w:divsChild>
                                <w:div w:id="29032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544135">
      <w:bodyDiv w:val="1"/>
      <w:marLeft w:val="0"/>
      <w:marRight w:val="0"/>
      <w:marTop w:val="0"/>
      <w:marBottom w:val="0"/>
      <w:divBdr>
        <w:top w:val="none" w:sz="0" w:space="0" w:color="auto"/>
        <w:left w:val="none" w:sz="0" w:space="0" w:color="auto"/>
        <w:bottom w:val="none" w:sz="0" w:space="0" w:color="auto"/>
        <w:right w:val="none" w:sz="0" w:space="0" w:color="auto"/>
      </w:divBdr>
    </w:div>
    <w:div w:id="2005275674">
      <w:bodyDiv w:val="1"/>
      <w:marLeft w:val="0"/>
      <w:marRight w:val="0"/>
      <w:marTop w:val="0"/>
      <w:marBottom w:val="0"/>
      <w:divBdr>
        <w:top w:val="none" w:sz="0" w:space="0" w:color="auto"/>
        <w:left w:val="none" w:sz="0" w:space="0" w:color="auto"/>
        <w:bottom w:val="none" w:sz="0" w:space="0" w:color="auto"/>
        <w:right w:val="none" w:sz="0" w:space="0" w:color="auto"/>
      </w:divBdr>
    </w:div>
    <w:div w:id="2007393651">
      <w:bodyDiv w:val="1"/>
      <w:marLeft w:val="0"/>
      <w:marRight w:val="0"/>
      <w:marTop w:val="0"/>
      <w:marBottom w:val="0"/>
      <w:divBdr>
        <w:top w:val="none" w:sz="0" w:space="0" w:color="auto"/>
        <w:left w:val="none" w:sz="0" w:space="0" w:color="auto"/>
        <w:bottom w:val="none" w:sz="0" w:space="0" w:color="auto"/>
        <w:right w:val="none" w:sz="0" w:space="0" w:color="auto"/>
      </w:divBdr>
    </w:div>
    <w:div w:id="2008973146">
      <w:bodyDiv w:val="1"/>
      <w:marLeft w:val="0"/>
      <w:marRight w:val="0"/>
      <w:marTop w:val="0"/>
      <w:marBottom w:val="0"/>
      <w:divBdr>
        <w:top w:val="none" w:sz="0" w:space="0" w:color="auto"/>
        <w:left w:val="none" w:sz="0" w:space="0" w:color="auto"/>
        <w:bottom w:val="none" w:sz="0" w:space="0" w:color="auto"/>
        <w:right w:val="none" w:sz="0" w:space="0" w:color="auto"/>
      </w:divBdr>
    </w:div>
    <w:div w:id="2010596773">
      <w:bodyDiv w:val="1"/>
      <w:marLeft w:val="0"/>
      <w:marRight w:val="0"/>
      <w:marTop w:val="0"/>
      <w:marBottom w:val="0"/>
      <w:divBdr>
        <w:top w:val="none" w:sz="0" w:space="0" w:color="auto"/>
        <w:left w:val="none" w:sz="0" w:space="0" w:color="auto"/>
        <w:bottom w:val="none" w:sz="0" w:space="0" w:color="auto"/>
        <w:right w:val="none" w:sz="0" w:space="0" w:color="auto"/>
      </w:divBdr>
    </w:div>
    <w:div w:id="2021084862">
      <w:bodyDiv w:val="1"/>
      <w:marLeft w:val="0"/>
      <w:marRight w:val="0"/>
      <w:marTop w:val="0"/>
      <w:marBottom w:val="0"/>
      <w:divBdr>
        <w:top w:val="none" w:sz="0" w:space="0" w:color="auto"/>
        <w:left w:val="none" w:sz="0" w:space="0" w:color="auto"/>
        <w:bottom w:val="none" w:sz="0" w:space="0" w:color="auto"/>
        <w:right w:val="none" w:sz="0" w:space="0" w:color="auto"/>
      </w:divBdr>
    </w:div>
    <w:div w:id="2022275924">
      <w:bodyDiv w:val="1"/>
      <w:marLeft w:val="0"/>
      <w:marRight w:val="0"/>
      <w:marTop w:val="0"/>
      <w:marBottom w:val="0"/>
      <w:divBdr>
        <w:top w:val="none" w:sz="0" w:space="0" w:color="auto"/>
        <w:left w:val="none" w:sz="0" w:space="0" w:color="auto"/>
        <w:bottom w:val="none" w:sz="0" w:space="0" w:color="auto"/>
        <w:right w:val="none" w:sz="0" w:space="0" w:color="auto"/>
      </w:divBdr>
    </w:div>
    <w:div w:id="2022537994">
      <w:bodyDiv w:val="1"/>
      <w:marLeft w:val="0"/>
      <w:marRight w:val="0"/>
      <w:marTop w:val="0"/>
      <w:marBottom w:val="0"/>
      <w:divBdr>
        <w:top w:val="none" w:sz="0" w:space="0" w:color="auto"/>
        <w:left w:val="none" w:sz="0" w:space="0" w:color="auto"/>
        <w:bottom w:val="none" w:sz="0" w:space="0" w:color="auto"/>
        <w:right w:val="none" w:sz="0" w:space="0" w:color="auto"/>
      </w:divBdr>
      <w:divsChild>
        <w:div w:id="1874807286">
          <w:marLeft w:val="0"/>
          <w:marRight w:val="0"/>
          <w:marTop w:val="0"/>
          <w:marBottom w:val="0"/>
          <w:divBdr>
            <w:top w:val="none" w:sz="0" w:space="0" w:color="auto"/>
            <w:left w:val="none" w:sz="0" w:space="0" w:color="auto"/>
            <w:bottom w:val="none" w:sz="0" w:space="0" w:color="auto"/>
            <w:right w:val="none" w:sz="0" w:space="0" w:color="auto"/>
          </w:divBdr>
          <w:divsChild>
            <w:div w:id="773746015">
              <w:marLeft w:val="0"/>
              <w:marRight w:val="0"/>
              <w:marTop w:val="0"/>
              <w:marBottom w:val="0"/>
              <w:divBdr>
                <w:top w:val="none" w:sz="0" w:space="0" w:color="auto"/>
                <w:left w:val="none" w:sz="0" w:space="0" w:color="auto"/>
                <w:bottom w:val="none" w:sz="0" w:space="0" w:color="auto"/>
                <w:right w:val="none" w:sz="0" w:space="0" w:color="auto"/>
              </w:divBdr>
              <w:divsChild>
                <w:div w:id="1608149214">
                  <w:marLeft w:val="0"/>
                  <w:marRight w:val="0"/>
                  <w:marTop w:val="0"/>
                  <w:marBottom w:val="0"/>
                  <w:divBdr>
                    <w:top w:val="none" w:sz="0" w:space="0" w:color="auto"/>
                    <w:left w:val="none" w:sz="0" w:space="0" w:color="auto"/>
                    <w:bottom w:val="none" w:sz="0" w:space="0" w:color="auto"/>
                    <w:right w:val="none" w:sz="0" w:space="0" w:color="auto"/>
                  </w:divBdr>
                  <w:divsChild>
                    <w:div w:id="1893733593">
                      <w:marLeft w:val="0"/>
                      <w:marRight w:val="0"/>
                      <w:marTop w:val="0"/>
                      <w:marBottom w:val="0"/>
                      <w:divBdr>
                        <w:top w:val="none" w:sz="0" w:space="0" w:color="auto"/>
                        <w:left w:val="none" w:sz="0" w:space="0" w:color="auto"/>
                        <w:bottom w:val="none" w:sz="0" w:space="0" w:color="auto"/>
                        <w:right w:val="none" w:sz="0" w:space="0" w:color="auto"/>
                      </w:divBdr>
                      <w:divsChild>
                        <w:div w:id="1794783703">
                          <w:marLeft w:val="0"/>
                          <w:marRight w:val="0"/>
                          <w:marTop w:val="300"/>
                          <w:marBottom w:val="0"/>
                          <w:divBdr>
                            <w:top w:val="none" w:sz="0" w:space="0" w:color="auto"/>
                            <w:left w:val="none" w:sz="0" w:space="0" w:color="auto"/>
                            <w:bottom w:val="none" w:sz="0" w:space="0" w:color="auto"/>
                            <w:right w:val="none" w:sz="0" w:space="0" w:color="auto"/>
                          </w:divBdr>
                          <w:divsChild>
                            <w:div w:id="150342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359331">
      <w:bodyDiv w:val="1"/>
      <w:marLeft w:val="0"/>
      <w:marRight w:val="0"/>
      <w:marTop w:val="0"/>
      <w:marBottom w:val="0"/>
      <w:divBdr>
        <w:top w:val="none" w:sz="0" w:space="0" w:color="auto"/>
        <w:left w:val="none" w:sz="0" w:space="0" w:color="auto"/>
        <w:bottom w:val="none" w:sz="0" w:space="0" w:color="auto"/>
        <w:right w:val="none" w:sz="0" w:space="0" w:color="auto"/>
      </w:divBdr>
    </w:div>
    <w:div w:id="2034574732">
      <w:bodyDiv w:val="1"/>
      <w:marLeft w:val="0"/>
      <w:marRight w:val="0"/>
      <w:marTop w:val="0"/>
      <w:marBottom w:val="0"/>
      <w:divBdr>
        <w:top w:val="none" w:sz="0" w:space="0" w:color="auto"/>
        <w:left w:val="none" w:sz="0" w:space="0" w:color="auto"/>
        <w:bottom w:val="none" w:sz="0" w:space="0" w:color="auto"/>
        <w:right w:val="none" w:sz="0" w:space="0" w:color="auto"/>
      </w:divBdr>
    </w:div>
    <w:div w:id="2036147359">
      <w:bodyDiv w:val="1"/>
      <w:marLeft w:val="0"/>
      <w:marRight w:val="0"/>
      <w:marTop w:val="0"/>
      <w:marBottom w:val="0"/>
      <w:divBdr>
        <w:top w:val="none" w:sz="0" w:space="0" w:color="auto"/>
        <w:left w:val="none" w:sz="0" w:space="0" w:color="auto"/>
        <w:bottom w:val="none" w:sz="0" w:space="0" w:color="auto"/>
        <w:right w:val="none" w:sz="0" w:space="0" w:color="auto"/>
      </w:divBdr>
    </w:div>
    <w:div w:id="2040547375">
      <w:bodyDiv w:val="1"/>
      <w:marLeft w:val="0"/>
      <w:marRight w:val="0"/>
      <w:marTop w:val="0"/>
      <w:marBottom w:val="0"/>
      <w:divBdr>
        <w:top w:val="none" w:sz="0" w:space="0" w:color="auto"/>
        <w:left w:val="none" w:sz="0" w:space="0" w:color="auto"/>
        <w:bottom w:val="none" w:sz="0" w:space="0" w:color="auto"/>
        <w:right w:val="none" w:sz="0" w:space="0" w:color="auto"/>
      </w:divBdr>
    </w:div>
    <w:div w:id="2040662219">
      <w:bodyDiv w:val="1"/>
      <w:marLeft w:val="0"/>
      <w:marRight w:val="0"/>
      <w:marTop w:val="0"/>
      <w:marBottom w:val="0"/>
      <w:divBdr>
        <w:top w:val="none" w:sz="0" w:space="0" w:color="auto"/>
        <w:left w:val="none" w:sz="0" w:space="0" w:color="auto"/>
        <w:bottom w:val="none" w:sz="0" w:space="0" w:color="auto"/>
        <w:right w:val="none" w:sz="0" w:space="0" w:color="auto"/>
      </w:divBdr>
    </w:div>
    <w:div w:id="2050645738">
      <w:bodyDiv w:val="1"/>
      <w:marLeft w:val="0"/>
      <w:marRight w:val="0"/>
      <w:marTop w:val="0"/>
      <w:marBottom w:val="0"/>
      <w:divBdr>
        <w:top w:val="none" w:sz="0" w:space="0" w:color="auto"/>
        <w:left w:val="none" w:sz="0" w:space="0" w:color="auto"/>
        <w:bottom w:val="none" w:sz="0" w:space="0" w:color="auto"/>
        <w:right w:val="none" w:sz="0" w:space="0" w:color="auto"/>
      </w:divBdr>
    </w:div>
    <w:div w:id="2058624363">
      <w:bodyDiv w:val="1"/>
      <w:marLeft w:val="0"/>
      <w:marRight w:val="0"/>
      <w:marTop w:val="0"/>
      <w:marBottom w:val="0"/>
      <w:divBdr>
        <w:top w:val="none" w:sz="0" w:space="0" w:color="auto"/>
        <w:left w:val="none" w:sz="0" w:space="0" w:color="auto"/>
        <w:bottom w:val="none" w:sz="0" w:space="0" w:color="auto"/>
        <w:right w:val="none" w:sz="0" w:space="0" w:color="auto"/>
      </w:divBdr>
    </w:div>
    <w:div w:id="2065836863">
      <w:bodyDiv w:val="1"/>
      <w:marLeft w:val="0"/>
      <w:marRight w:val="0"/>
      <w:marTop w:val="0"/>
      <w:marBottom w:val="0"/>
      <w:divBdr>
        <w:top w:val="none" w:sz="0" w:space="0" w:color="auto"/>
        <w:left w:val="none" w:sz="0" w:space="0" w:color="auto"/>
        <w:bottom w:val="none" w:sz="0" w:space="0" w:color="auto"/>
        <w:right w:val="none" w:sz="0" w:space="0" w:color="auto"/>
      </w:divBdr>
    </w:div>
    <w:div w:id="2065983444">
      <w:bodyDiv w:val="1"/>
      <w:marLeft w:val="0"/>
      <w:marRight w:val="0"/>
      <w:marTop w:val="0"/>
      <w:marBottom w:val="0"/>
      <w:divBdr>
        <w:top w:val="none" w:sz="0" w:space="0" w:color="auto"/>
        <w:left w:val="none" w:sz="0" w:space="0" w:color="auto"/>
        <w:bottom w:val="none" w:sz="0" w:space="0" w:color="auto"/>
        <w:right w:val="none" w:sz="0" w:space="0" w:color="auto"/>
      </w:divBdr>
    </w:div>
    <w:div w:id="2070302766">
      <w:bodyDiv w:val="1"/>
      <w:marLeft w:val="0"/>
      <w:marRight w:val="0"/>
      <w:marTop w:val="0"/>
      <w:marBottom w:val="0"/>
      <w:divBdr>
        <w:top w:val="none" w:sz="0" w:space="0" w:color="auto"/>
        <w:left w:val="none" w:sz="0" w:space="0" w:color="auto"/>
        <w:bottom w:val="none" w:sz="0" w:space="0" w:color="auto"/>
        <w:right w:val="none" w:sz="0" w:space="0" w:color="auto"/>
      </w:divBdr>
    </w:div>
    <w:div w:id="2080516582">
      <w:bodyDiv w:val="1"/>
      <w:marLeft w:val="0"/>
      <w:marRight w:val="0"/>
      <w:marTop w:val="0"/>
      <w:marBottom w:val="0"/>
      <w:divBdr>
        <w:top w:val="none" w:sz="0" w:space="0" w:color="auto"/>
        <w:left w:val="none" w:sz="0" w:space="0" w:color="auto"/>
        <w:bottom w:val="none" w:sz="0" w:space="0" w:color="auto"/>
        <w:right w:val="none" w:sz="0" w:space="0" w:color="auto"/>
      </w:divBdr>
    </w:div>
    <w:div w:id="2085565703">
      <w:bodyDiv w:val="1"/>
      <w:marLeft w:val="0"/>
      <w:marRight w:val="0"/>
      <w:marTop w:val="0"/>
      <w:marBottom w:val="0"/>
      <w:divBdr>
        <w:top w:val="none" w:sz="0" w:space="0" w:color="auto"/>
        <w:left w:val="none" w:sz="0" w:space="0" w:color="auto"/>
        <w:bottom w:val="none" w:sz="0" w:space="0" w:color="auto"/>
        <w:right w:val="none" w:sz="0" w:space="0" w:color="auto"/>
      </w:divBdr>
    </w:div>
    <w:div w:id="2085952760">
      <w:bodyDiv w:val="1"/>
      <w:marLeft w:val="0"/>
      <w:marRight w:val="0"/>
      <w:marTop w:val="0"/>
      <w:marBottom w:val="0"/>
      <w:divBdr>
        <w:top w:val="none" w:sz="0" w:space="0" w:color="auto"/>
        <w:left w:val="none" w:sz="0" w:space="0" w:color="auto"/>
        <w:bottom w:val="none" w:sz="0" w:space="0" w:color="auto"/>
        <w:right w:val="none" w:sz="0" w:space="0" w:color="auto"/>
      </w:divBdr>
    </w:div>
    <w:div w:id="2087218606">
      <w:bodyDiv w:val="1"/>
      <w:marLeft w:val="0"/>
      <w:marRight w:val="0"/>
      <w:marTop w:val="0"/>
      <w:marBottom w:val="0"/>
      <w:divBdr>
        <w:top w:val="none" w:sz="0" w:space="0" w:color="auto"/>
        <w:left w:val="none" w:sz="0" w:space="0" w:color="auto"/>
        <w:bottom w:val="none" w:sz="0" w:space="0" w:color="auto"/>
        <w:right w:val="none" w:sz="0" w:space="0" w:color="auto"/>
      </w:divBdr>
    </w:div>
    <w:div w:id="2105032013">
      <w:bodyDiv w:val="1"/>
      <w:marLeft w:val="0"/>
      <w:marRight w:val="0"/>
      <w:marTop w:val="0"/>
      <w:marBottom w:val="0"/>
      <w:divBdr>
        <w:top w:val="none" w:sz="0" w:space="0" w:color="auto"/>
        <w:left w:val="none" w:sz="0" w:space="0" w:color="auto"/>
        <w:bottom w:val="none" w:sz="0" w:space="0" w:color="auto"/>
        <w:right w:val="none" w:sz="0" w:space="0" w:color="auto"/>
      </w:divBdr>
    </w:div>
    <w:div w:id="2105219576">
      <w:bodyDiv w:val="1"/>
      <w:marLeft w:val="0"/>
      <w:marRight w:val="0"/>
      <w:marTop w:val="0"/>
      <w:marBottom w:val="0"/>
      <w:divBdr>
        <w:top w:val="none" w:sz="0" w:space="0" w:color="auto"/>
        <w:left w:val="none" w:sz="0" w:space="0" w:color="auto"/>
        <w:bottom w:val="none" w:sz="0" w:space="0" w:color="auto"/>
        <w:right w:val="none" w:sz="0" w:space="0" w:color="auto"/>
      </w:divBdr>
    </w:div>
    <w:div w:id="2109619030">
      <w:bodyDiv w:val="1"/>
      <w:marLeft w:val="0"/>
      <w:marRight w:val="0"/>
      <w:marTop w:val="0"/>
      <w:marBottom w:val="0"/>
      <w:divBdr>
        <w:top w:val="none" w:sz="0" w:space="0" w:color="auto"/>
        <w:left w:val="none" w:sz="0" w:space="0" w:color="auto"/>
        <w:bottom w:val="none" w:sz="0" w:space="0" w:color="auto"/>
        <w:right w:val="none" w:sz="0" w:space="0" w:color="auto"/>
      </w:divBdr>
    </w:div>
    <w:div w:id="2111389561">
      <w:bodyDiv w:val="1"/>
      <w:marLeft w:val="0"/>
      <w:marRight w:val="0"/>
      <w:marTop w:val="0"/>
      <w:marBottom w:val="0"/>
      <w:divBdr>
        <w:top w:val="none" w:sz="0" w:space="0" w:color="auto"/>
        <w:left w:val="none" w:sz="0" w:space="0" w:color="auto"/>
        <w:bottom w:val="none" w:sz="0" w:space="0" w:color="auto"/>
        <w:right w:val="none" w:sz="0" w:space="0" w:color="auto"/>
      </w:divBdr>
    </w:div>
    <w:div w:id="2114981548">
      <w:bodyDiv w:val="1"/>
      <w:marLeft w:val="0"/>
      <w:marRight w:val="0"/>
      <w:marTop w:val="0"/>
      <w:marBottom w:val="0"/>
      <w:divBdr>
        <w:top w:val="none" w:sz="0" w:space="0" w:color="auto"/>
        <w:left w:val="none" w:sz="0" w:space="0" w:color="auto"/>
        <w:bottom w:val="none" w:sz="0" w:space="0" w:color="auto"/>
        <w:right w:val="none" w:sz="0" w:space="0" w:color="auto"/>
      </w:divBdr>
    </w:div>
    <w:div w:id="2118256870">
      <w:bodyDiv w:val="1"/>
      <w:marLeft w:val="0"/>
      <w:marRight w:val="0"/>
      <w:marTop w:val="0"/>
      <w:marBottom w:val="0"/>
      <w:divBdr>
        <w:top w:val="none" w:sz="0" w:space="0" w:color="auto"/>
        <w:left w:val="none" w:sz="0" w:space="0" w:color="auto"/>
        <w:bottom w:val="none" w:sz="0" w:space="0" w:color="auto"/>
        <w:right w:val="none" w:sz="0" w:space="0" w:color="auto"/>
      </w:divBdr>
    </w:div>
    <w:div w:id="2122335117">
      <w:bodyDiv w:val="1"/>
      <w:marLeft w:val="0"/>
      <w:marRight w:val="0"/>
      <w:marTop w:val="0"/>
      <w:marBottom w:val="0"/>
      <w:divBdr>
        <w:top w:val="none" w:sz="0" w:space="0" w:color="auto"/>
        <w:left w:val="none" w:sz="0" w:space="0" w:color="auto"/>
        <w:bottom w:val="none" w:sz="0" w:space="0" w:color="auto"/>
        <w:right w:val="none" w:sz="0" w:space="0" w:color="auto"/>
      </w:divBdr>
    </w:div>
    <w:div w:id="2126002150">
      <w:bodyDiv w:val="1"/>
      <w:marLeft w:val="0"/>
      <w:marRight w:val="0"/>
      <w:marTop w:val="0"/>
      <w:marBottom w:val="0"/>
      <w:divBdr>
        <w:top w:val="none" w:sz="0" w:space="0" w:color="auto"/>
        <w:left w:val="none" w:sz="0" w:space="0" w:color="auto"/>
        <w:bottom w:val="none" w:sz="0" w:space="0" w:color="auto"/>
        <w:right w:val="none" w:sz="0" w:space="0" w:color="auto"/>
      </w:divBdr>
    </w:div>
    <w:div w:id="2128504944">
      <w:bodyDiv w:val="1"/>
      <w:marLeft w:val="0"/>
      <w:marRight w:val="0"/>
      <w:marTop w:val="0"/>
      <w:marBottom w:val="0"/>
      <w:divBdr>
        <w:top w:val="none" w:sz="0" w:space="0" w:color="auto"/>
        <w:left w:val="none" w:sz="0" w:space="0" w:color="auto"/>
        <w:bottom w:val="none" w:sz="0" w:space="0" w:color="auto"/>
        <w:right w:val="none" w:sz="0" w:space="0" w:color="auto"/>
      </w:divBdr>
    </w:div>
    <w:div w:id="2132698975">
      <w:bodyDiv w:val="1"/>
      <w:marLeft w:val="0"/>
      <w:marRight w:val="0"/>
      <w:marTop w:val="0"/>
      <w:marBottom w:val="0"/>
      <w:divBdr>
        <w:top w:val="none" w:sz="0" w:space="0" w:color="auto"/>
        <w:left w:val="none" w:sz="0" w:space="0" w:color="auto"/>
        <w:bottom w:val="none" w:sz="0" w:space="0" w:color="auto"/>
        <w:right w:val="none" w:sz="0" w:space="0" w:color="auto"/>
      </w:divBdr>
      <w:divsChild>
        <w:div w:id="821704174">
          <w:marLeft w:val="0"/>
          <w:marRight w:val="0"/>
          <w:marTop w:val="0"/>
          <w:marBottom w:val="0"/>
          <w:divBdr>
            <w:top w:val="none" w:sz="0" w:space="0" w:color="auto"/>
            <w:left w:val="none" w:sz="0" w:space="0" w:color="auto"/>
            <w:bottom w:val="none" w:sz="0" w:space="0" w:color="auto"/>
            <w:right w:val="none" w:sz="0" w:space="0" w:color="auto"/>
          </w:divBdr>
          <w:divsChild>
            <w:div w:id="549272251">
              <w:marLeft w:val="0"/>
              <w:marRight w:val="0"/>
              <w:marTop w:val="0"/>
              <w:marBottom w:val="0"/>
              <w:divBdr>
                <w:top w:val="none" w:sz="0" w:space="0" w:color="auto"/>
                <w:left w:val="none" w:sz="0" w:space="0" w:color="auto"/>
                <w:bottom w:val="none" w:sz="0" w:space="0" w:color="auto"/>
                <w:right w:val="none" w:sz="0" w:space="0" w:color="auto"/>
              </w:divBdr>
              <w:divsChild>
                <w:div w:id="200439383">
                  <w:marLeft w:val="0"/>
                  <w:marRight w:val="0"/>
                  <w:marTop w:val="0"/>
                  <w:marBottom w:val="0"/>
                  <w:divBdr>
                    <w:top w:val="none" w:sz="0" w:space="0" w:color="auto"/>
                    <w:left w:val="none" w:sz="0" w:space="0" w:color="auto"/>
                    <w:bottom w:val="none" w:sz="0" w:space="0" w:color="auto"/>
                    <w:right w:val="none" w:sz="0" w:space="0" w:color="auto"/>
                  </w:divBdr>
                  <w:divsChild>
                    <w:div w:id="2068530658">
                      <w:marLeft w:val="0"/>
                      <w:marRight w:val="0"/>
                      <w:marTop w:val="0"/>
                      <w:marBottom w:val="0"/>
                      <w:divBdr>
                        <w:top w:val="none" w:sz="0" w:space="0" w:color="auto"/>
                        <w:left w:val="none" w:sz="0" w:space="0" w:color="auto"/>
                        <w:bottom w:val="none" w:sz="0" w:space="0" w:color="auto"/>
                        <w:right w:val="none" w:sz="0" w:space="0" w:color="auto"/>
                      </w:divBdr>
                      <w:divsChild>
                        <w:div w:id="2101171021">
                          <w:marLeft w:val="0"/>
                          <w:marRight w:val="0"/>
                          <w:marTop w:val="300"/>
                          <w:marBottom w:val="0"/>
                          <w:divBdr>
                            <w:top w:val="none" w:sz="0" w:space="0" w:color="auto"/>
                            <w:left w:val="none" w:sz="0" w:space="0" w:color="auto"/>
                            <w:bottom w:val="none" w:sz="0" w:space="0" w:color="auto"/>
                            <w:right w:val="none" w:sz="0" w:space="0" w:color="auto"/>
                          </w:divBdr>
                          <w:divsChild>
                            <w:div w:id="172453400">
                              <w:marLeft w:val="0"/>
                              <w:marRight w:val="0"/>
                              <w:marTop w:val="0"/>
                              <w:marBottom w:val="0"/>
                              <w:divBdr>
                                <w:top w:val="none" w:sz="0" w:space="0" w:color="auto"/>
                                <w:left w:val="none" w:sz="0" w:space="0" w:color="auto"/>
                                <w:bottom w:val="none" w:sz="0" w:space="0" w:color="auto"/>
                                <w:right w:val="none" w:sz="0" w:space="0" w:color="auto"/>
                              </w:divBdr>
                              <w:divsChild>
                                <w:div w:id="467481113">
                                  <w:marLeft w:val="0"/>
                                  <w:marRight w:val="0"/>
                                  <w:marTop w:val="0"/>
                                  <w:marBottom w:val="0"/>
                                  <w:divBdr>
                                    <w:top w:val="none" w:sz="0" w:space="0" w:color="auto"/>
                                    <w:left w:val="none" w:sz="0" w:space="0" w:color="auto"/>
                                    <w:bottom w:val="none" w:sz="0" w:space="0" w:color="auto"/>
                                    <w:right w:val="none" w:sz="0" w:space="0" w:color="auto"/>
                                  </w:divBdr>
                                </w:div>
                              </w:divsChild>
                            </w:div>
                            <w:div w:id="1200166646">
                              <w:marLeft w:val="0"/>
                              <w:marRight w:val="0"/>
                              <w:marTop w:val="0"/>
                              <w:marBottom w:val="0"/>
                              <w:divBdr>
                                <w:top w:val="none" w:sz="0" w:space="0" w:color="auto"/>
                                <w:left w:val="none" w:sz="0" w:space="0" w:color="auto"/>
                                <w:bottom w:val="none" w:sz="0" w:space="0" w:color="auto"/>
                                <w:right w:val="none" w:sz="0" w:space="0" w:color="auto"/>
                              </w:divBdr>
                            </w:div>
                            <w:div w:id="1263106072">
                              <w:marLeft w:val="0"/>
                              <w:marRight w:val="0"/>
                              <w:marTop w:val="0"/>
                              <w:marBottom w:val="0"/>
                              <w:divBdr>
                                <w:top w:val="none" w:sz="0" w:space="0" w:color="auto"/>
                                <w:left w:val="none" w:sz="0" w:space="0" w:color="auto"/>
                                <w:bottom w:val="none" w:sz="0" w:space="0" w:color="auto"/>
                                <w:right w:val="none" w:sz="0" w:space="0" w:color="auto"/>
                              </w:divBdr>
                              <w:divsChild>
                                <w:div w:id="1097020765">
                                  <w:marLeft w:val="0"/>
                                  <w:marRight w:val="0"/>
                                  <w:marTop w:val="0"/>
                                  <w:marBottom w:val="0"/>
                                  <w:divBdr>
                                    <w:top w:val="none" w:sz="0" w:space="0" w:color="auto"/>
                                    <w:left w:val="none" w:sz="0" w:space="0" w:color="auto"/>
                                    <w:bottom w:val="none" w:sz="0" w:space="0" w:color="auto"/>
                                    <w:right w:val="none" w:sz="0" w:space="0" w:color="auto"/>
                                  </w:divBdr>
                                </w:div>
                              </w:divsChild>
                            </w:div>
                            <w:div w:id="1898785045">
                              <w:marLeft w:val="0"/>
                              <w:marRight w:val="0"/>
                              <w:marTop w:val="0"/>
                              <w:marBottom w:val="0"/>
                              <w:divBdr>
                                <w:top w:val="none" w:sz="0" w:space="0" w:color="auto"/>
                                <w:left w:val="none" w:sz="0" w:space="0" w:color="auto"/>
                                <w:bottom w:val="none" w:sz="0" w:space="0" w:color="auto"/>
                                <w:right w:val="none" w:sz="0" w:space="0" w:color="auto"/>
                              </w:divBdr>
                              <w:divsChild>
                                <w:div w:id="1306620635">
                                  <w:marLeft w:val="0"/>
                                  <w:marRight w:val="0"/>
                                  <w:marTop w:val="0"/>
                                  <w:marBottom w:val="0"/>
                                  <w:divBdr>
                                    <w:top w:val="none" w:sz="0" w:space="0" w:color="auto"/>
                                    <w:left w:val="none" w:sz="0" w:space="0" w:color="auto"/>
                                    <w:bottom w:val="none" w:sz="0" w:space="0" w:color="auto"/>
                                    <w:right w:val="none" w:sz="0" w:space="0" w:color="auto"/>
                                  </w:divBdr>
                                </w:div>
                              </w:divsChild>
                            </w:div>
                            <w:div w:id="2143187120">
                              <w:marLeft w:val="0"/>
                              <w:marRight w:val="0"/>
                              <w:marTop w:val="0"/>
                              <w:marBottom w:val="0"/>
                              <w:divBdr>
                                <w:top w:val="none" w:sz="0" w:space="0" w:color="auto"/>
                                <w:left w:val="none" w:sz="0" w:space="0" w:color="auto"/>
                                <w:bottom w:val="none" w:sz="0" w:space="0" w:color="auto"/>
                                <w:right w:val="none" w:sz="0" w:space="0" w:color="auto"/>
                              </w:divBdr>
                              <w:divsChild>
                                <w:div w:id="11437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639870">
      <w:bodyDiv w:val="1"/>
      <w:marLeft w:val="0"/>
      <w:marRight w:val="0"/>
      <w:marTop w:val="0"/>
      <w:marBottom w:val="0"/>
      <w:divBdr>
        <w:top w:val="none" w:sz="0" w:space="0" w:color="auto"/>
        <w:left w:val="none" w:sz="0" w:space="0" w:color="auto"/>
        <w:bottom w:val="none" w:sz="0" w:space="0" w:color="auto"/>
        <w:right w:val="none" w:sz="0" w:space="0" w:color="auto"/>
      </w:divBdr>
    </w:div>
    <w:div w:id="2136215640">
      <w:bodyDiv w:val="1"/>
      <w:marLeft w:val="0"/>
      <w:marRight w:val="0"/>
      <w:marTop w:val="0"/>
      <w:marBottom w:val="0"/>
      <w:divBdr>
        <w:top w:val="none" w:sz="0" w:space="0" w:color="auto"/>
        <w:left w:val="none" w:sz="0" w:space="0" w:color="auto"/>
        <w:bottom w:val="none" w:sz="0" w:space="0" w:color="auto"/>
        <w:right w:val="none" w:sz="0" w:space="0" w:color="auto"/>
      </w:divBdr>
      <w:divsChild>
        <w:div w:id="1032192991">
          <w:marLeft w:val="0"/>
          <w:marRight w:val="0"/>
          <w:marTop w:val="0"/>
          <w:marBottom w:val="0"/>
          <w:divBdr>
            <w:top w:val="none" w:sz="0" w:space="0" w:color="auto"/>
            <w:left w:val="none" w:sz="0" w:space="0" w:color="auto"/>
            <w:bottom w:val="none" w:sz="0" w:space="0" w:color="auto"/>
            <w:right w:val="none" w:sz="0" w:space="0" w:color="auto"/>
          </w:divBdr>
          <w:divsChild>
            <w:div w:id="1733459455">
              <w:marLeft w:val="0"/>
              <w:marRight w:val="0"/>
              <w:marTop w:val="0"/>
              <w:marBottom w:val="0"/>
              <w:divBdr>
                <w:top w:val="none" w:sz="0" w:space="0" w:color="auto"/>
                <w:left w:val="none" w:sz="0" w:space="0" w:color="auto"/>
                <w:bottom w:val="none" w:sz="0" w:space="0" w:color="auto"/>
                <w:right w:val="none" w:sz="0" w:space="0" w:color="auto"/>
              </w:divBdr>
              <w:divsChild>
                <w:div w:id="1580746539">
                  <w:marLeft w:val="0"/>
                  <w:marRight w:val="0"/>
                  <w:marTop w:val="0"/>
                  <w:marBottom w:val="0"/>
                  <w:divBdr>
                    <w:top w:val="none" w:sz="0" w:space="0" w:color="auto"/>
                    <w:left w:val="none" w:sz="0" w:space="0" w:color="auto"/>
                    <w:bottom w:val="none" w:sz="0" w:space="0" w:color="auto"/>
                    <w:right w:val="none" w:sz="0" w:space="0" w:color="auto"/>
                  </w:divBdr>
                  <w:divsChild>
                    <w:div w:id="492524302">
                      <w:marLeft w:val="0"/>
                      <w:marRight w:val="0"/>
                      <w:marTop w:val="0"/>
                      <w:marBottom w:val="0"/>
                      <w:divBdr>
                        <w:top w:val="none" w:sz="0" w:space="0" w:color="auto"/>
                        <w:left w:val="none" w:sz="0" w:space="0" w:color="auto"/>
                        <w:bottom w:val="none" w:sz="0" w:space="0" w:color="auto"/>
                        <w:right w:val="none" w:sz="0" w:space="0" w:color="auto"/>
                      </w:divBdr>
                      <w:divsChild>
                        <w:div w:id="1478452986">
                          <w:marLeft w:val="0"/>
                          <w:marRight w:val="0"/>
                          <w:marTop w:val="300"/>
                          <w:marBottom w:val="0"/>
                          <w:divBdr>
                            <w:top w:val="none" w:sz="0" w:space="0" w:color="auto"/>
                            <w:left w:val="none" w:sz="0" w:space="0" w:color="auto"/>
                            <w:bottom w:val="none" w:sz="0" w:space="0" w:color="auto"/>
                            <w:right w:val="none" w:sz="0" w:space="0" w:color="auto"/>
                          </w:divBdr>
                          <w:divsChild>
                            <w:div w:id="200608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6289482">
      <w:bodyDiv w:val="1"/>
      <w:marLeft w:val="0"/>
      <w:marRight w:val="0"/>
      <w:marTop w:val="0"/>
      <w:marBottom w:val="0"/>
      <w:divBdr>
        <w:top w:val="none" w:sz="0" w:space="0" w:color="auto"/>
        <w:left w:val="none" w:sz="0" w:space="0" w:color="auto"/>
        <w:bottom w:val="none" w:sz="0" w:space="0" w:color="auto"/>
        <w:right w:val="none" w:sz="0" w:space="0" w:color="auto"/>
      </w:divBdr>
    </w:div>
    <w:div w:id="2136410537">
      <w:bodyDiv w:val="1"/>
      <w:marLeft w:val="0"/>
      <w:marRight w:val="0"/>
      <w:marTop w:val="0"/>
      <w:marBottom w:val="0"/>
      <w:divBdr>
        <w:top w:val="none" w:sz="0" w:space="0" w:color="auto"/>
        <w:left w:val="none" w:sz="0" w:space="0" w:color="auto"/>
        <w:bottom w:val="none" w:sz="0" w:space="0" w:color="auto"/>
        <w:right w:val="none" w:sz="0" w:space="0" w:color="auto"/>
      </w:divBdr>
    </w:div>
    <w:div w:id="2137024269">
      <w:bodyDiv w:val="1"/>
      <w:marLeft w:val="0"/>
      <w:marRight w:val="0"/>
      <w:marTop w:val="0"/>
      <w:marBottom w:val="0"/>
      <w:divBdr>
        <w:top w:val="none" w:sz="0" w:space="0" w:color="auto"/>
        <w:left w:val="none" w:sz="0" w:space="0" w:color="auto"/>
        <w:bottom w:val="none" w:sz="0" w:space="0" w:color="auto"/>
        <w:right w:val="none" w:sz="0" w:space="0" w:color="auto"/>
      </w:divBdr>
    </w:div>
    <w:div w:id="2142192586">
      <w:bodyDiv w:val="1"/>
      <w:marLeft w:val="0"/>
      <w:marRight w:val="0"/>
      <w:marTop w:val="0"/>
      <w:marBottom w:val="0"/>
      <w:divBdr>
        <w:top w:val="none" w:sz="0" w:space="0" w:color="auto"/>
        <w:left w:val="none" w:sz="0" w:space="0" w:color="auto"/>
        <w:bottom w:val="none" w:sz="0" w:space="0" w:color="auto"/>
        <w:right w:val="none" w:sz="0" w:space="0" w:color="auto"/>
      </w:divBdr>
      <w:divsChild>
        <w:div w:id="1245139580">
          <w:marLeft w:val="0"/>
          <w:marRight w:val="0"/>
          <w:marTop w:val="0"/>
          <w:marBottom w:val="0"/>
          <w:divBdr>
            <w:top w:val="none" w:sz="0" w:space="0" w:color="auto"/>
            <w:left w:val="none" w:sz="0" w:space="0" w:color="auto"/>
            <w:bottom w:val="none" w:sz="0" w:space="0" w:color="auto"/>
            <w:right w:val="none" w:sz="0" w:space="0" w:color="auto"/>
          </w:divBdr>
          <w:divsChild>
            <w:div w:id="976030572">
              <w:marLeft w:val="0"/>
              <w:marRight w:val="0"/>
              <w:marTop w:val="0"/>
              <w:marBottom w:val="0"/>
              <w:divBdr>
                <w:top w:val="none" w:sz="0" w:space="0" w:color="auto"/>
                <w:left w:val="none" w:sz="0" w:space="0" w:color="auto"/>
                <w:bottom w:val="none" w:sz="0" w:space="0" w:color="auto"/>
                <w:right w:val="none" w:sz="0" w:space="0" w:color="auto"/>
              </w:divBdr>
              <w:divsChild>
                <w:div w:id="878668415">
                  <w:marLeft w:val="0"/>
                  <w:marRight w:val="0"/>
                  <w:marTop w:val="0"/>
                  <w:marBottom w:val="0"/>
                  <w:divBdr>
                    <w:top w:val="none" w:sz="0" w:space="0" w:color="auto"/>
                    <w:left w:val="none" w:sz="0" w:space="0" w:color="auto"/>
                    <w:bottom w:val="none" w:sz="0" w:space="0" w:color="auto"/>
                    <w:right w:val="none" w:sz="0" w:space="0" w:color="auto"/>
                  </w:divBdr>
                  <w:divsChild>
                    <w:div w:id="1572304078">
                      <w:marLeft w:val="0"/>
                      <w:marRight w:val="0"/>
                      <w:marTop w:val="0"/>
                      <w:marBottom w:val="0"/>
                      <w:divBdr>
                        <w:top w:val="none" w:sz="0" w:space="0" w:color="auto"/>
                        <w:left w:val="none" w:sz="0" w:space="0" w:color="auto"/>
                        <w:bottom w:val="none" w:sz="0" w:space="0" w:color="auto"/>
                        <w:right w:val="none" w:sz="0" w:space="0" w:color="auto"/>
                      </w:divBdr>
                      <w:divsChild>
                        <w:div w:id="691302004">
                          <w:marLeft w:val="0"/>
                          <w:marRight w:val="0"/>
                          <w:marTop w:val="300"/>
                          <w:marBottom w:val="0"/>
                          <w:divBdr>
                            <w:top w:val="none" w:sz="0" w:space="0" w:color="auto"/>
                            <w:left w:val="none" w:sz="0" w:space="0" w:color="auto"/>
                            <w:bottom w:val="none" w:sz="0" w:space="0" w:color="auto"/>
                            <w:right w:val="none" w:sz="0" w:space="0" w:color="auto"/>
                          </w:divBdr>
                          <w:divsChild>
                            <w:div w:id="124133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495244">
      <w:bodyDiv w:val="1"/>
      <w:marLeft w:val="0"/>
      <w:marRight w:val="0"/>
      <w:marTop w:val="0"/>
      <w:marBottom w:val="0"/>
      <w:divBdr>
        <w:top w:val="none" w:sz="0" w:space="0" w:color="auto"/>
        <w:left w:val="none" w:sz="0" w:space="0" w:color="auto"/>
        <w:bottom w:val="none" w:sz="0" w:space="0" w:color="auto"/>
        <w:right w:val="none" w:sz="0" w:space="0" w:color="auto"/>
      </w:divBdr>
    </w:div>
    <w:div w:id="214480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ase.gov.lv/parskati-un-tames/latvijas-republikas-gada-parska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ase.gov.lv/metodika/butiskum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se.gov.lv/metodika/butiskum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kase.gov.lv/sites/default/files/public/SSD/PVNLVS/PVNLVS_2018.pdf" TargetMode="External"/></Relationships>
</file>

<file path=word/theme/theme1.xml><?xml version="1.0" encoding="utf-8"?>
<a:theme xmlns:a="http://schemas.openxmlformats.org/drawingml/2006/main" name="Office Theme">
  <a:themeElements>
    <a:clrScheme name="Custom 1">
      <a:dk1>
        <a:srgbClr val="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83329C144DA9A846BB0CECFDE58D00F3" ma:contentTypeVersion="0" ma:contentTypeDescription="Izveidot jaunu dokumentu." ma:contentTypeScope="" ma:versionID="592fe25209eb061037e482297b83987c">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C0384-56EF-48E9-8CE9-ED7DCEA3B5A9}">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BD45E9A-BD52-49DF-AC80-2FEF01B2EC1E}">
  <ds:schemaRefs>
    <ds:schemaRef ds:uri="http://schemas.microsoft.com/sharepoint/v3/contenttype/forms"/>
  </ds:schemaRefs>
</ds:datastoreItem>
</file>

<file path=customXml/itemProps3.xml><?xml version="1.0" encoding="utf-8"?>
<ds:datastoreItem xmlns:ds="http://schemas.openxmlformats.org/officeDocument/2006/customXml" ds:itemID="{DE9C42EA-1EB6-41D2-8083-E729A445CB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F5E5CAA-A9A0-49F1-B465-3EEB3FC6F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4614</TotalTime>
  <Pages>80</Pages>
  <Words>137301</Words>
  <Characters>78262</Characters>
  <Application>Microsoft Office Word</Application>
  <DocSecurity>0</DocSecurity>
  <Lines>652</Lines>
  <Paragraphs>430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Latvijas Republikas konsolidētais 2023.gada pārskats</vt:lpstr>
      <vt:lpstr>Latvijas Republikas konsolidētais 2023.gada pārskats</vt:lpstr>
    </vt:vector>
  </TitlesOfParts>
  <Company>Valsts kase</Company>
  <LinksUpToDate>false</LinksUpToDate>
  <CharactersWithSpaces>215133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konsolidētais 2023.gada pārskats</dc:title>
  <dc:subject>Skaidrojums</dc:subject>
  <dc:creator>Atbildīgā amatpersona: Vineta Parfenkova;67094248;Vineta.Parfenkova@kase.gov.lv</dc:creator>
  <cp:lastModifiedBy>Sandija Krūmiņa</cp:lastModifiedBy>
  <cp:revision>464</cp:revision>
  <cp:lastPrinted>2024-07-14T16:24:00Z</cp:lastPrinted>
  <dcterms:created xsi:type="dcterms:W3CDTF">2024-01-11T14:43:00Z</dcterms:created>
  <dcterms:modified xsi:type="dcterms:W3CDTF">2024-07-15T05:25:00Z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0x01010083329C144DA9A846BB0CECFDE58D00F3</vt:lpwstr>
  </property>
</Properties>
</file>